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s>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cs="宋体"/>
          <w:bCs/>
          <w:color w:val="auto"/>
          <w:sz w:val="44"/>
          <w:szCs w:val="44"/>
          <w:shd w:val="clear" w:color="auto" w:fill="FFFFFF"/>
        </w:rPr>
      </w:pPr>
      <w:bookmarkStart w:id="0" w:name="_GoBack"/>
      <w:r>
        <w:rPr>
          <w:rFonts w:hint="eastAsia" w:ascii="方正小标宋简体" w:eastAsia="方正小标宋简体" w:cs="宋体"/>
          <w:bCs/>
          <w:color w:val="auto"/>
          <w:sz w:val="44"/>
          <w:szCs w:val="44"/>
          <w:shd w:val="clear" w:color="auto" w:fill="FFFFFF"/>
        </w:rPr>
        <w:t>闹枝镇森林火</w:t>
      </w:r>
      <w:r>
        <w:rPr>
          <w:rFonts w:hint="eastAsia" w:ascii="方正小标宋简体" w:eastAsia="方正小标宋简体" w:cs="宋体"/>
          <w:bCs/>
          <w:color w:val="auto"/>
          <w:sz w:val="44"/>
          <w:szCs w:val="44"/>
          <w:shd w:val="clear" w:color="auto" w:fill="FFFFFF"/>
          <w:lang w:eastAsia="zh-CN"/>
        </w:rPr>
        <w:t>险</w:t>
      </w:r>
      <w:r>
        <w:rPr>
          <w:rFonts w:hint="eastAsia" w:ascii="方正小标宋简体" w:eastAsia="方正小标宋简体" w:cs="宋体"/>
          <w:bCs/>
          <w:color w:val="auto"/>
          <w:sz w:val="44"/>
          <w:szCs w:val="44"/>
          <w:shd w:val="clear" w:color="auto" w:fill="FFFFFF"/>
        </w:rPr>
        <w:t>预警响应预案</w:t>
      </w:r>
    </w:p>
    <w:bookmarkEnd w:id="0"/>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为了推进森林防火工作运行的规范化、程序化、科学化，切实做到“以防为主、积极消灭”的森防方针，为达到“无险不麻痹，有险不紊乱”，结合本辖区的实际情况制定本预案。</w:t>
      </w:r>
    </w:p>
    <w:p>
      <w:pPr>
        <w:keepNext w:val="0"/>
        <w:keepLines w:val="0"/>
        <w:pageBreakBefore w:val="0"/>
        <w:widowControl/>
        <w:kinsoku/>
        <w:wordWrap/>
        <w:overflowPunct w:val="0"/>
        <w:topLinePunct/>
        <w:autoSpaceDE/>
        <w:autoSpaceDN/>
        <w:bidi w:val="0"/>
        <w:adjustRightInd/>
        <w:snapToGrid/>
        <w:spacing w:line="576" w:lineRule="exact"/>
        <w:ind w:firstLine="560"/>
        <w:textAlignment w:val="auto"/>
        <w:rPr>
          <w:rFonts w:hint="eastAsia" w:ascii="仿宋_GB2312" w:eastAsia="仿宋_GB2312"/>
          <w:color w:val="auto"/>
          <w:sz w:val="32"/>
          <w:szCs w:val="32"/>
        </w:rPr>
      </w:pPr>
      <w:r>
        <w:rPr>
          <w:rFonts w:hint="eastAsia" w:ascii="黑体" w:hAnsi="黑体" w:eastAsia="黑体" w:cs="黑体"/>
          <w:color w:val="auto"/>
          <w:sz w:val="32"/>
          <w:szCs w:val="32"/>
        </w:rPr>
        <w:t>一、森林火险预警响应预案制定和执行准则：</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本预案适用于闹枝镇辖区内的森林火灾预防和扑救准备工作的监督管理。 </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森林火险预警响应是指科学应对因险施策，分级分岗落实明确标准的原则。</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严格执行奖惩制度，对造成不良后果的责任人严厉查处。</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黑体" w:hAnsi="黑体" w:eastAsia="黑体" w:cs="黑体"/>
          <w:color w:val="auto"/>
          <w:sz w:val="32"/>
          <w:szCs w:val="32"/>
        </w:rPr>
      </w:pPr>
      <w:r>
        <w:rPr>
          <w:rFonts w:hint="eastAsia" w:ascii="仿宋_GB2312" w:eastAsia="仿宋_GB2312"/>
          <w:color w:val="auto"/>
          <w:sz w:val="32"/>
          <w:szCs w:val="32"/>
        </w:rPr>
        <w:t xml:space="preserve">  </w:t>
      </w:r>
      <w:r>
        <w:rPr>
          <w:rFonts w:hint="eastAsia" w:ascii="黑体" w:hAnsi="黑体" w:eastAsia="黑体" w:cs="黑体"/>
          <w:color w:val="auto"/>
          <w:sz w:val="32"/>
          <w:szCs w:val="32"/>
        </w:rPr>
        <w:t xml:space="preserve">  二、密切注视各类气象信息及林区隐患动态</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对气象部门发布的气象信息加以评价分析，及时向各林区发布，并做好各级预警警示工作。</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对防火期内各重点林区内的野生动植物资源进行了解，跟踪入山人员的动向，掌握其规律届时可采取不同的应变措施。</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黑体" w:hAnsi="黑体" w:eastAsia="黑体" w:cs="黑体"/>
          <w:color w:val="auto"/>
          <w:sz w:val="32"/>
          <w:szCs w:val="32"/>
        </w:rPr>
      </w:pPr>
      <w:r>
        <w:rPr>
          <w:rFonts w:hint="eastAsia" w:ascii="仿宋_GB2312" w:eastAsia="仿宋_GB2312"/>
          <w:color w:val="auto"/>
          <w:sz w:val="32"/>
          <w:szCs w:val="32"/>
        </w:rPr>
        <w:t xml:space="preserve">   </w:t>
      </w:r>
      <w:r>
        <w:rPr>
          <w:rFonts w:hint="eastAsia" w:ascii="黑体" w:hAnsi="黑体" w:eastAsia="黑体" w:cs="黑体"/>
          <w:color w:val="auto"/>
          <w:sz w:val="32"/>
          <w:szCs w:val="32"/>
        </w:rPr>
        <w:t xml:space="preserve"> 三、《森林火险预警响应预案》启动程度</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接到森林防火指挥部发布的森林火险预警信息立刻向各相关部门传达。</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值班</w:t>
      </w:r>
      <w:r>
        <w:rPr>
          <w:rFonts w:hint="eastAsia" w:eastAsia="仿宋_GB2312" w:cs="Times New Roman"/>
          <w:color w:val="auto"/>
          <w:sz w:val="32"/>
          <w:szCs w:val="32"/>
        </w:rPr>
        <w:t>人员</w:t>
      </w:r>
      <w:r>
        <w:rPr>
          <w:rFonts w:hint="eastAsia" w:ascii="仿宋_GB2312" w:eastAsia="仿宋_GB2312"/>
          <w:color w:val="auto"/>
          <w:sz w:val="32"/>
          <w:szCs w:val="32"/>
        </w:rPr>
        <w:t>应及时的把施用的森林火险预警响应状态向单位负责人报告。</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eastAsia="仿宋_GB2312" w:cs="Times New Roman"/>
          <w:color w:val="auto"/>
          <w:sz w:val="32"/>
          <w:szCs w:val="32"/>
          <w:lang w:val="en-US" w:eastAsia="zh-CN"/>
        </w:rPr>
        <w:t>.</w:t>
      </w:r>
      <w:r>
        <w:rPr>
          <w:rFonts w:hint="eastAsia" w:eastAsia="仿宋_GB2312" w:cs="Times New Roman"/>
          <w:color w:val="auto"/>
          <w:sz w:val="32"/>
          <w:szCs w:val="32"/>
        </w:rPr>
        <w:t>遇到高火险预警时应及时向市森防指、镇</w:t>
      </w:r>
      <w:r>
        <w:rPr>
          <w:rFonts w:hint="eastAsia" w:ascii="仿宋_GB2312" w:eastAsia="仿宋_GB2312"/>
          <w:color w:val="auto"/>
          <w:sz w:val="32"/>
          <w:szCs w:val="32"/>
        </w:rPr>
        <w:t>森林防火联防指挥部报告和请示应对措施和意见。</w:t>
      </w: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火险等级的转换应以发生有效降水或风力明显降低的气象为准，由辖区森防指向市森防指请示后适时转换预警级别，不得凭经验和臆断做主张更替。</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黑体" w:hAnsi="黑体" w:eastAsia="黑体" w:cs="黑体"/>
          <w:color w:val="auto"/>
          <w:sz w:val="32"/>
          <w:szCs w:val="32"/>
        </w:rPr>
      </w:pPr>
      <w:r>
        <w:rPr>
          <w:rFonts w:hint="eastAsia" w:ascii="仿宋_GB2312" w:eastAsia="仿宋_GB2312"/>
          <w:color w:val="auto"/>
          <w:sz w:val="32"/>
          <w:szCs w:val="32"/>
        </w:rPr>
        <w:t xml:space="preserve">   </w:t>
      </w:r>
      <w:r>
        <w:rPr>
          <w:rFonts w:hint="eastAsia" w:ascii="黑体" w:hAnsi="黑体" w:eastAsia="黑体" w:cs="黑体"/>
          <w:color w:val="auto"/>
          <w:sz w:val="32"/>
          <w:szCs w:val="32"/>
        </w:rPr>
        <w:t xml:space="preserve"> 四、对各类火险预警后的主要工作</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方正小标宋简体" w:hAnsi="方正小标宋简体" w:eastAsia="方正小标宋简体" w:cs="方正小标宋简体"/>
          <w:color w:val="auto"/>
          <w:sz w:val="32"/>
          <w:szCs w:val="32"/>
        </w:rPr>
      </w:pPr>
      <w:r>
        <w:rPr>
          <w:rFonts w:hint="eastAsia" w:ascii="仿宋_GB2312" w:eastAsia="仿宋_GB2312"/>
          <w:color w:val="auto"/>
          <w:sz w:val="32"/>
          <w:szCs w:val="32"/>
        </w:rPr>
        <w:t xml:space="preserve">    二级火险时各队要抓好重点火险区的管护工作。三级火险时重次火险区的管护工作并抓。四级火险时整个辖区全面管护，适时开展搜巡工作，对重点火险区、景区实行封山防火。五级火险时全辖区封山防火。</w:t>
      </w:r>
    </w:p>
    <w:p>
      <w:pPr>
        <w:jc w:val="center"/>
        <w:rPr>
          <w:rFonts w:hint="eastAsia" w:ascii="方正小标宋简体" w:hAnsi="方正小标宋简体" w:eastAsia="方正小标宋简体" w:cs="方正小标宋简体"/>
          <w:color w:val="auto"/>
          <w:sz w:val="32"/>
          <w:szCs w:val="32"/>
        </w:rPr>
      </w:pP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闹枝镇重次火险及景区分布表</w:t>
      </w:r>
    </w:p>
    <w:tbl>
      <w:tblPr>
        <w:tblStyle w:val="8"/>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365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31" w:type="dxa"/>
            <w:noWrap w:val="0"/>
            <w:vAlign w:val="center"/>
          </w:tcPr>
          <w:p>
            <w:pPr>
              <w:jc w:val="center"/>
              <w:rPr>
                <w:rFonts w:hint="eastAsia" w:eastAsia="仿宋_GB2312"/>
                <w:color w:val="auto"/>
                <w:sz w:val="28"/>
              </w:rPr>
            </w:pPr>
            <w:r>
              <w:rPr>
                <w:rFonts w:hint="eastAsia" w:eastAsia="仿宋_GB2312"/>
                <w:color w:val="auto"/>
                <w:sz w:val="28"/>
              </w:rPr>
              <w:t>重点火灾区</w:t>
            </w:r>
          </w:p>
        </w:tc>
        <w:tc>
          <w:tcPr>
            <w:tcW w:w="3653" w:type="dxa"/>
            <w:noWrap w:val="0"/>
            <w:vAlign w:val="center"/>
          </w:tcPr>
          <w:p>
            <w:pPr>
              <w:jc w:val="center"/>
              <w:rPr>
                <w:rFonts w:hint="eastAsia" w:eastAsia="仿宋_GB2312"/>
                <w:color w:val="auto"/>
                <w:sz w:val="28"/>
              </w:rPr>
            </w:pPr>
            <w:r>
              <w:rPr>
                <w:rFonts w:hint="eastAsia" w:eastAsia="仿宋_GB2312"/>
                <w:color w:val="auto"/>
                <w:sz w:val="28"/>
              </w:rPr>
              <w:t>次重点火灾区</w:t>
            </w:r>
          </w:p>
        </w:tc>
        <w:tc>
          <w:tcPr>
            <w:tcW w:w="2100" w:type="dxa"/>
            <w:noWrap w:val="0"/>
            <w:vAlign w:val="center"/>
          </w:tcPr>
          <w:p>
            <w:pPr>
              <w:jc w:val="center"/>
              <w:rPr>
                <w:rFonts w:hint="eastAsia" w:eastAsia="仿宋_GB2312"/>
                <w:color w:val="auto"/>
                <w:sz w:val="28"/>
              </w:rPr>
            </w:pPr>
            <w:r>
              <w:rPr>
                <w:rFonts w:hint="eastAsia" w:eastAsia="仿宋_GB2312"/>
                <w:color w:val="auto"/>
                <w:sz w:val="28"/>
              </w:rPr>
              <w:t>景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831" w:type="dxa"/>
            <w:noWrap w:val="0"/>
            <w:vAlign w:val="center"/>
          </w:tcPr>
          <w:p>
            <w:pPr>
              <w:jc w:val="center"/>
              <w:rPr>
                <w:rFonts w:hint="eastAsia" w:eastAsia="仿宋_GB2312"/>
                <w:color w:val="auto"/>
                <w:sz w:val="28"/>
              </w:rPr>
            </w:pPr>
            <w:r>
              <w:rPr>
                <w:rFonts w:hint="eastAsia" w:eastAsia="仿宋_GB2312"/>
                <w:color w:val="auto"/>
                <w:sz w:val="28"/>
              </w:rPr>
              <w:t>暖泉子、冰湖</w:t>
            </w:r>
          </w:p>
        </w:tc>
        <w:tc>
          <w:tcPr>
            <w:tcW w:w="3653" w:type="dxa"/>
            <w:noWrap w:val="0"/>
            <w:vAlign w:val="center"/>
          </w:tcPr>
          <w:p>
            <w:pPr>
              <w:jc w:val="center"/>
              <w:rPr>
                <w:rFonts w:hint="eastAsia" w:eastAsia="仿宋_GB2312"/>
                <w:color w:val="auto"/>
                <w:sz w:val="28"/>
              </w:rPr>
            </w:pPr>
            <w:r>
              <w:rPr>
                <w:rFonts w:hint="eastAsia" w:eastAsia="仿宋_GB2312"/>
                <w:color w:val="auto"/>
                <w:sz w:val="28"/>
              </w:rPr>
              <w:t>义和、吊打、闹枝</w:t>
            </w:r>
            <w:r>
              <w:rPr>
                <w:rFonts w:hint="eastAsia" w:eastAsia="仿宋_GB2312"/>
                <w:color w:val="auto"/>
                <w:sz w:val="28"/>
                <w:lang w:eastAsia="zh-CN"/>
              </w:rPr>
              <w:t>、</w:t>
            </w:r>
            <w:r>
              <w:rPr>
                <w:rFonts w:hint="eastAsia" w:eastAsia="仿宋_GB2312"/>
                <w:color w:val="auto"/>
                <w:sz w:val="28"/>
              </w:rPr>
              <w:t>黑松</w:t>
            </w:r>
          </w:p>
        </w:tc>
        <w:tc>
          <w:tcPr>
            <w:tcW w:w="2100" w:type="dxa"/>
            <w:noWrap w:val="0"/>
            <w:vAlign w:val="center"/>
          </w:tcPr>
          <w:p>
            <w:pPr>
              <w:jc w:val="center"/>
              <w:rPr>
                <w:rFonts w:hint="eastAsia" w:eastAsia="仿宋_GB2312"/>
                <w:color w:val="auto"/>
                <w:sz w:val="28"/>
              </w:rPr>
            </w:pPr>
            <w:r>
              <w:rPr>
                <w:rFonts w:hint="eastAsia" w:eastAsia="仿宋_GB2312"/>
                <w:color w:val="auto"/>
                <w:sz w:val="28"/>
              </w:rPr>
              <w:t>吊打水库</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28"/>
        </w:rPr>
        <w:t xml:space="preserve">   </w:t>
      </w:r>
      <w:r>
        <w:rPr>
          <w:rFonts w:hint="eastAsia" w:eastAsia="仿宋_GB2312"/>
          <w:color w:val="auto"/>
          <w:sz w:val="32"/>
          <w:szCs w:val="32"/>
        </w:rPr>
        <w:t xml:space="preserve"> </w:t>
      </w:r>
      <w:r>
        <w:rPr>
          <w:rFonts w:hint="eastAsia" w:ascii="黑体" w:hAnsi="黑体" w:eastAsia="黑体" w:cs="黑体"/>
          <w:color w:val="auto"/>
          <w:sz w:val="32"/>
          <w:szCs w:val="32"/>
        </w:rPr>
        <w:t>五、闹枝森防工作人员配置与管理标准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color w:val="auto"/>
          <w:sz w:val="32"/>
          <w:szCs w:val="32"/>
        </w:rPr>
      </w:pPr>
      <w:r>
        <w:rPr>
          <w:rFonts w:hint="eastAsia" w:eastAsia="仿宋_GB2312"/>
          <w:color w:val="auto"/>
          <w:sz w:val="32"/>
          <w:szCs w:val="32"/>
        </w:rPr>
        <w:t xml:space="preserve">    以下防火工作人员为基本防范力量，不可任意削减，可根据森林火险预警适当加强。</w:t>
      </w: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闹枝森防人员配置表</w:t>
      </w:r>
    </w:p>
    <w:tbl>
      <w:tblPr>
        <w:tblStyle w:val="8"/>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032"/>
        <w:gridCol w:w="918"/>
        <w:gridCol w:w="994"/>
        <w:gridCol w:w="1031"/>
        <w:gridCol w:w="957"/>
        <w:gridCol w:w="1689"/>
        <w:gridCol w:w="82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74" w:type="dxa"/>
            <w:vMerge w:val="restart"/>
            <w:tcBorders>
              <w:tl2br w:val="single" w:color="auto" w:sz="4" w:space="0"/>
            </w:tcBorders>
            <w:noWrap w:val="0"/>
            <w:vAlign w:val="center"/>
          </w:tcPr>
          <w:p>
            <w:pPr>
              <w:jc w:val="left"/>
              <w:rPr>
                <w:rFonts w:hint="eastAsia" w:eastAsia="仿宋_GB2312"/>
                <w:color w:val="auto"/>
              </w:rPr>
            </w:pPr>
            <w:r>
              <w:rPr>
                <w:rFonts w:hint="eastAsia" w:eastAsia="仿宋_GB2312"/>
                <w:color w:val="auto"/>
              </w:rPr>
              <w:t xml:space="preserve">     项目</w:t>
            </w:r>
          </w:p>
          <w:p>
            <w:pPr>
              <w:jc w:val="left"/>
              <w:rPr>
                <w:rFonts w:hint="eastAsia" w:eastAsia="仿宋_GB2312"/>
                <w:color w:val="auto"/>
              </w:rPr>
            </w:pPr>
          </w:p>
          <w:p>
            <w:pPr>
              <w:jc w:val="left"/>
              <w:rPr>
                <w:rFonts w:hint="eastAsia" w:eastAsia="仿宋_GB2312"/>
                <w:color w:val="auto"/>
              </w:rPr>
            </w:pPr>
            <w:r>
              <w:rPr>
                <w:rFonts w:hint="eastAsia" w:eastAsia="仿宋_GB2312"/>
                <w:color w:val="auto"/>
              </w:rPr>
              <w:t>单位</w:t>
            </w:r>
          </w:p>
        </w:tc>
        <w:tc>
          <w:tcPr>
            <w:tcW w:w="1032" w:type="dxa"/>
            <w:vMerge w:val="restart"/>
            <w:noWrap w:val="0"/>
            <w:vAlign w:val="center"/>
          </w:tcPr>
          <w:p>
            <w:pPr>
              <w:widowControl/>
              <w:jc w:val="center"/>
              <w:rPr>
                <w:rFonts w:hint="eastAsia" w:eastAsia="仿宋_GB2312"/>
                <w:color w:val="auto"/>
              </w:rPr>
            </w:pPr>
            <w:r>
              <w:rPr>
                <w:rFonts w:hint="eastAsia" w:eastAsia="仿宋_GB2312"/>
                <w:color w:val="auto"/>
              </w:rPr>
              <w:t>稽查员</w:t>
            </w:r>
          </w:p>
        </w:tc>
        <w:tc>
          <w:tcPr>
            <w:tcW w:w="918" w:type="dxa"/>
            <w:vMerge w:val="restart"/>
            <w:noWrap w:val="0"/>
            <w:vAlign w:val="center"/>
          </w:tcPr>
          <w:p>
            <w:pPr>
              <w:widowControl/>
              <w:jc w:val="center"/>
              <w:rPr>
                <w:rFonts w:hint="eastAsia" w:eastAsia="仿宋_GB2312"/>
                <w:color w:val="auto"/>
              </w:rPr>
            </w:pPr>
            <w:r>
              <w:rPr>
                <w:rFonts w:hint="eastAsia" w:eastAsia="仿宋_GB2312"/>
                <w:color w:val="auto"/>
              </w:rPr>
              <w:t>技术员</w:t>
            </w:r>
          </w:p>
        </w:tc>
        <w:tc>
          <w:tcPr>
            <w:tcW w:w="994" w:type="dxa"/>
            <w:vMerge w:val="restart"/>
            <w:noWrap w:val="0"/>
            <w:vAlign w:val="center"/>
          </w:tcPr>
          <w:p>
            <w:pPr>
              <w:jc w:val="center"/>
              <w:rPr>
                <w:rFonts w:hint="eastAsia" w:eastAsia="仿宋_GB2312"/>
                <w:color w:val="auto"/>
              </w:rPr>
            </w:pPr>
            <w:r>
              <w:rPr>
                <w:rFonts w:hint="eastAsia" w:eastAsia="仿宋_GB2312"/>
                <w:color w:val="auto"/>
              </w:rPr>
              <w:t>看营巡</w:t>
            </w:r>
          </w:p>
          <w:p>
            <w:pPr>
              <w:jc w:val="center"/>
              <w:rPr>
                <w:rFonts w:hint="eastAsia" w:eastAsia="仿宋_GB2312"/>
                <w:color w:val="auto"/>
              </w:rPr>
            </w:pPr>
            <w:r>
              <w:rPr>
                <w:rFonts w:hint="eastAsia" w:eastAsia="仿宋_GB2312"/>
                <w:color w:val="auto"/>
              </w:rPr>
              <w:t>护员</w:t>
            </w:r>
          </w:p>
        </w:tc>
        <w:tc>
          <w:tcPr>
            <w:tcW w:w="1031" w:type="dxa"/>
            <w:vMerge w:val="restart"/>
            <w:noWrap w:val="0"/>
            <w:vAlign w:val="center"/>
          </w:tcPr>
          <w:p>
            <w:pPr>
              <w:jc w:val="center"/>
              <w:rPr>
                <w:rFonts w:hint="eastAsia" w:eastAsia="仿宋_GB2312"/>
                <w:color w:val="auto"/>
              </w:rPr>
            </w:pPr>
            <w:r>
              <w:rPr>
                <w:rFonts w:hint="eastAsia" w:eastAsia="仿宋_GB2312"/>
                <w:color w:val="auto"/>
              </w:rPr>
              <w:t>值机员</w:t>
            </w:r>
          </w:p>
        </w:tc>
        <w:tc>
          <w:tcPr>
            <w:tcW w:w="957" w:type="dxa"/>
            <w:vMerge w:val="restart"/>
            <w:noWrap w:val="0"/>
            <w:vAlign w:val="center"/>
          </w:tcPr>
          <w:p>
            <w:pPr>
              <w:jc w:val="center"/>
              <w:rPr>
                <w:rFonts w:hint="eastAsia" w:eastAsia="仿宋_GB2312"/>
                <w:color w:val="auto"/>
              </w:rPr>
            </w:pPr>
            <w:r>
              <w:rPr>
                <w:rFonts w:hint="eastAsia" w:eastAsia="仿宋_GB2312"/>
                <w:color w:val="auto"/>
              </w:rPr>
              <w:t>道口检查员</w:t>
            </w:r>
          </w:p>
        </w:tc>
        <w:tc>
          <w:tcPr>
            <w:tcW w:w="1689" w:type="dxa"/>
            <w:vMerge w:val="restart"/>
            <w:noWrap w:val="0"/>
            <w:vAlign w:val="center"/>
          </w:tcPr>
          <w:p>
            <w:pPr>
              <w:jc w:val="center"/>
              <w:rPr>
                <w:rFonts w:hint="eastAsia" w:eastAsia="仿宋_GB2312"/>
                <w:color w:val="auto"/>
              </w:rPr>
            </w:pPr>
            <w:r>
              <w:rPr>
                <w:rFonts w:hint="eastAsia" w:eastAsia="仿宋_GB2312"/>
                <w:color w:val="auto"/>
              </w:rPr>
              <w:t>道口检查站分布</w:t>
            </w:r>
          </w:p>
        </w:tc>
        <w:tc>
          <w:tcPr>
            <w:tcW w:w="1770" w:type="dxa"/>
            <w:gridSpan w:val="2"/>
            <w:noWrap w:val="0"/>
            <w:vAlign w:val="center"/>
          </w:tcPr>
          <w:p>
            <w:pPr>
              <w:ind w:left="225"/>
              <w:jc w:val="center"/>
              <w:rPr>
                <w:rFonts w:hint="eastAsia" w:eastAsia="仿宋_GB2312"/>
                <w:color w:val="auto"/>
              </w:rPr>
            </w:pPr>
            <w:r>
              <w:rPr>
                <w:rFonts w:hint="eastAsia" w:eastAsia="仿宋_GB2312"/>
                <w:color w:val="auto"/>
              </w:rPr>
              <w:t>扑火队伍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74" w:type="dxa"/>
            <w:vMerge w:val="continue"/>
            <w:noWrap w:val="0"/>
            <w:vAlign w:val="center"/>
          </w:tcPr>
          <w:p>
            <w:pPr>
              <w:jc w:val="left"/>
              <w:rPr>
                <w:rFonts w:hint="eastAsia" w:eastAsia="仿宋_GB2312"/>
                <w:color w:val="auto"/>
              </w:rPr>
            </w:pPr>
          </w:p>
        </w:tc>
        <w:tc>
          <w:tcPr>
            <w:tcW w:w="1032" w:type="dxa"/>
            <w:vMerge w:val="continue"/>
            <w:noWrap w:val="0"/>
            <w:vAlign w:val="center"/>
          </w:tcPr>
          <w:p>
            <w:pPr>
              <w:widowControl/>
              <w:jc w:val="center"/>
              <w:rPr>
                <w:rFonts w:eastAsia="仿宋_GB2312"/>
                <w:color w:val="auto"/>
              </w:rPr>
            </w:pPr>
          </w:p>
        </w:tc>
        <w:tc>
          <w:tcPr>
            <w:tcW w:w="918" w:type="dxa"/>
            <w:vMerge w:val="continue"/>
            <w:noWrap w:val="0"/>
            <w:vAlign w:val="center"/>
          </w:tcPr>
          <w:p>
            <w:pPr>
              <w:widowControl/>
              <w:jc w:val="center"/>
              <w:rPr>
                <w:rFonts w:eastAsia="仿宋_GB2312"/>
                <w:color w:val="auto"/>
              </w:rPr>
            </w:pPr>
          </w:p>
        </w:tc>
        <w:tc>
          <w:tcPr>
            <w:tcW w:w="994" w:type="dxa"/>
            <w:vMerge w:val="continue"/>
            <w:noWrap w:val="0"/>
            <w:vAlign w:val="center"/>
          </w:tcPr>
          <w:p>
            <w:pPr>
              <w:widowControl/>
              <w:jc w:val="center"/>
              <w:rPr>
                <w:rFonts w:eastAsia="仿宋_GB2312"/>
                <w:color w:val="auto"/>
              </w:rPr>
            </w:pPr>
          </w:p>
        </w:tc>
        <w:tc>
          <w:tcPr>
            <w:tcW w:w="1031" w:type="dxa"/>
            <w:vMerge w:val="continue"/>
            <w:noWrap w:val="0"/>
            <w:vAlign w:val="center"/>
          </w:tcPr>
          <w:p>
            <w:pPr>
              <w:widowControl/>
              <w:jc w:val="center"/>
              <w:rPr>
                <w:rFonts w:eastAsia="仿宋_GB2312"/>
                <w:color w:val="auto"/>
              </w:rPr>
            </w:pPr>
          </w:p>
        </w:tc>
        <w:tc>
          <w:tcPr>
            <w:tcW w:w="957" w:type="dxa"/>
            <w:vMerge w:val="continue"/>
            <w:noWrap w:val="0"/>
            <w:vAlign w:val="center"/>
          </w:tcPr>
          <w:p>
            <w:pPr>
              <w:widowControl/>
              <w:jc w:val="center"/>
              <w:rPr>
                <w:rFonts w:eastAsia="仿宋_GB2312"/>
                <w:color w:val="auto"/>
              </w:rPr>
            </w:pPr>
          </w:p>
        </w:tc>
        <w:tc>
          <w:tcPr>
            <w:tcW w:w="1689" w:type="dxa"/>
            <w:vMerge w:val="continue"/>
            <w:noWrap w:val="0"/>
            <w:vAlign w:val="center"/>
          </w:tcPr>
          <w:p>
            <w:pPr>
              <w:jc w:val="center"/>
              <w:rPr>
                <w:rFonts w:hint="eastAsia" w:eastAsia="仿宋_GB2312"/>
                <w:color w:val="auto"/>
              </w:rPr>
            </w:pPr>
          </w:p>
        </w:tc>
        <w:tc>
          <w:tcPr>
            <w:tcW w:w="825" w:type="dxa"/>
            <w:noWrap w:val="0"/>
            <w:vAlign w:val="center"/>
          </w:tcPr>
          <w:p>
            <w:pPr>
              <w:jc w:val="center"/>
              <w:rPr>
                <w:rFonts w:hint="eastAsia" w:eastAsia="仿宋_GB2312"/>
                <w:color w:val="auto"/>
              </w:rPr>
            </w:pPr>
            <w:r>
              <w:rPr>
                <w:rFonts w:hint="eastAsia" w:eastAsia="仿宋_GB2312"/>
                <w:color w:val="auto"/>
              </w:rPr>
              <w:t>机动扑火队</w:t>
            </w:r>
          </w:p>
        </w:tc>
        <w:tc>
          <w:tcPr>
            <w:tcW w:w="945" w:type="dxa"/>
            <w:noWrap w:val="0"/>
            <w:vAlign w:val="center"/>
          </w:tcPr>
          <w:p>
            <w:pPr>
              <w:jc w:val="center"/>
              <w:rPr>
                <w:rFonts w:hint="eastAsia" w:eastAsia="仿宋_GB2312"/>
                <w:color w:val="auto"/>
              </w:rPr>
            </w:pPr>
            <w:r>
              <w:rPr>
                <w:rFonts w:hint="eastAsia" w:eastAsia="仿宋_GB2312"/>
                <w:color w:val="auto"/>
              </w:rPr>
              <w:t>义务兼职扑火队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合计</w:t>
            </w:r>
          </w:p>
        </w:tc>
        <w:tc>
          <w:tcPr>
            <w:tcW w:w="1032" w:type="dxa"/>
            <w:noWrap w:val="0"/>
            <w:vAlign w:val="center"/>
          </w:tcPr>
          <w:p>
            <w:pPr>
              <w:jc w:val="center"/>
              <w:rPr>
                <w:rFonts w:hint="eastAsia" w:eastAsia="仿宋_GB2312"/>
                <w:color w:val="auto"/>
              </w:rPr>
            </w:pPr>
            <w:r>
              <w:rPr>
                <w:rFonts w:hint="eastAsia" w:eastAsia="仿宋_GB2312"/>
                <w:color w:val="auto"/>
              </w:rPr>
              <w:t>12</w:t>
            </w:r>
          </w:p>
        </w:tc>
        <w:tc>
          <w:tcPr>
            <w:tcW w:w="918" w:type="dxa"/>
            <w:noWrap w:val="0"/>
            <w:vAlign w:val="center"/>
          </w:tcPr>
          <w:p>
            <w:pPr>
              <w:jc w:val="center"/>
              <w:rPr>
                <w:rFonts w:hint="eastAsia" w:eastAsia="仿宋_GB2312"/>
                <w:color w:val="auto"/>
              </w:rPr>
            </w:pPr>
            <w:r>
              <w:rPr>
                <w:rFonts w:hint="eastAsia" w:eastAsia="仿宋_GB2312"/>
                <w:color w:val="auto"/>
              </w:rPr>
              <w:t>3</w:t>
            </w:r>
          </w:p>
        </w:tc>
        <w:tc>
          <w:tcPr>
            <w:tcW w:w="994"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21</w:t>
            </w:r>
          </w:p>
        </w:tc>
        <w:tc>
          <w:tcPr>
            <w:tcW w:w="1031"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34</w:t>
            </w:r>
          </w:p>
        </w:tc>
        <w:tc>
          <w:tcPr>
            <w:tcW w:w="957" w:type="dxa"/>
            <w:noWrap w:val="0"/>
            <w:vAlign w:val="center"/>
          </w:tcPr>
          <w:p>
            <w:pPr>
              <w:jc w:val="center"/>
              <w:rPr>
                <w:rFonts w:hint="eastAsia" w:eastAsia="仿宋_GB2312"/>
                <w:color w:val="auto"/>
                <w:lang w:eastAsia="zh-CN"/>
              </w:rPr>
            </w:pPr>
            <w:r>
              <w:rPr>
                <w:rFonts w:hint="eastAsia" w:eastAsia="仿宋_GB2312"/>
                <w:color w:val="auto"/>
                <w:lang w:val="en-US" w:eastAsia="zh-CN"/>
              </w:rPr>
              <w:t>16</w:t>
            </w:r>
          </w:p>
        </w:tc>
        <w:tc>
          <w:tcPr>
            <w:tcW w:w="1689"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7</w:t>
            </w:r>
          </w:p>
        </w:tc>
        <w:tc>
          <w:tcPr>
            <w:tcW w:w="825"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32</w:t>
            </w:r>
          </w:p>
        </w:tc>
        <w:tc>
          <w:tcPr>
            <w:tcW w:w="945"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lang w:eastAsia="zh-CN"/>
              </w:rPr>
            </w:pPr>
            <w:r>
              <w:rPr>
                <w:rFonts w:hint="eastAsia" w:eastAsia="仿宋_GB2312"/>
                <w:color w:val="auto"/>
              </w:rPr>
              <w:t>闹枝镇政府、林业</w:t>
            </w:r>
            <w:r>
              <w:rPr>
                <w:rFonts w:hint="eastAsia" w:eastAsia="仿宋_GB2312"/>
                <w:color w:val="auto"/>
                <w:lang w:eastAsia="zh-CN"/>
              </w:rPr>
              <w:t>科</w:t>
            </w:r>
          </w:p>
        </w:tc>
        <w:tc>
          <w:tcPr>
            <w:tcW w:w="1032" w:type="dxa"/>
            <w:noWrap w:val="0"/>
            <w:vAlign w:val="center"/>
          </w:tcPr>
          <w:p>
            <w:pPr>
              <w:jc w:val="center"/>
              <w:rPr>
                <w:rFonts w:hint="eastAsia" w:eastAsia="仿宋_GB2312"/>
                <w:color w:val="auto"/>
              </w:rPr>
            </w:pPr>
            <w:r>
              <w:rPr>
                <w:rFonts w:hint="eastAsia" w:eastAsia="仿宋_GB2312"/>
                <w:color w:val="auto"/>
              </w:rPr>
              <w:t>4</w:t>
            </w:r>
          </w:p>
        </w:tc>
        <w:tc>
          <w:tcPr>
            <w:tcW w:w="918" w:type="dxa"/>
            <w:noWrap w:val="0"/>
            <w:vAlign w:val="center"/>
          </w:tcPr>
          <w:p>
            <w:pPr>
              <w:jc w:val="center"/>
              <w:rPr>
                <w:rFonts w:hint="eastAsia" w:eastAsia="仿宋_GB2312"/>
                <w:color w:val="auto"/>
              </w:rPr>
            </w:pPr>
            <w:r>
              <w:rPr>
                <w:rFonts w:hint="eastAsia" w:eastAsia="仿宋_GB2312"/>
                <w:color w:val="auto"/>
              </w:rPr>
              <w:t>1</w:t>
            </w:r>
          </w:p>
        </w:tc>
        <w:tc>
          <w:tcPr>
            <w:tcW w:w="994"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2</w:t>
            </w:r>
          </w:p>
        </w:tc>
        <w:tc>
          <w:tcPr>
            <w:tcW w:w="1031"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30</w:t>
            </w:r>
          </w:p>
        </w:tc>
        <w:tc>
          <w:tcPr>
            <w:tcW w:w="957" w:type="dxa"/>
            <w:noWrap w:val="0"/>
            <w:vAlign w:val="center"/>
          </w:tcPr>
          <w:p>
            <w:pPr>
              <w:jc w:val="center"/>
              <w:rPr>
                <w:rFonts w:hint="eastAsia" w:eastAsia="仿宋_GB2312"/>
                <w:color w:val="auto"/>
              </w:rPr>
            </w:pPr>
          </w:p>
        </w:tc>
        <w:tc>
          <w:tcPr>
            <w:tcW w:w="1689" w:type="dxa"/>
            <w:noWrap w:val="0"/>
            <w:vAlign w:val="center"/>
          </w:tcPr>
          <w:p>
            <w:pPr>
              <w:jc w:val="center"/>
              <w:rPr>
                <w:rFonts w:hint="eastAsia" w:eastAsia="仿宋_GB2312"/>
                <w:color w:val="auto"/>
              </w:rPr>
            </w:pP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黑松村</w:t>
            </w:r>
          </w:p>
        </w:tc>
        <w:tc>
          <w:tcPr>
            <w:tcW w:w="1032" w:type="dxa"/>
            <w:noWrap w:val="0"/>
            <w:vAlign w:val="center"/>
          </w:tcPr>
          <w:p>
            <w:pPr>
              <w:jc w:val="center"/>
              <w:rPr>
                <w:rFonts w:hint="eastAsia" w:eastAsia="仿宋_GB2312"/>
                <w:color w:val="auto"/>
              </w:rPr>
            </w:pPr>
            <w:r>
              <w:rPr>
                <w:rFonts w:hint="eastAsia" w:eastAsia="仿宋_GB2312"/>
                <w:color w:val="auto"/>
              </w:rPr>
              <w:t>1</w:t>
            </w:r>
          </w:p>
          <w:p>
            <w:pPr>
              <w:jc w:val="center"/>
              <w:rPr>
                <w:rFonts w:hint="eastAsia" w:eastAsia="仿宋_GB2312"/>
                <w:color w:val="auto"/>
              </w:rPr>
            </w:pP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rPr>
            </w:pPr>
            <w:r>
              <w:rPr>
                <w:rFonts w:hint="eastAsia" w:eastAsia="仿宋_GB2312"/>
                <w:color w:val="auto"/>
              </w:rPr>
              <w:t>2</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2</w:t>
            </w:r>
          </w:p>
        </w:tc>
        <w:tc>
          <w:tcPr>
            <w:tcW w:w="1689" w:type="dxa"/>
            <w:noWrap w:val="0"/>
            <w:vAlign w:val="center"/>
          </w:tcPr>
          <w:p>
            <w:pPr>
              <w:jc w:val="center"/>
              <w:rPr>
                <w:rFonts w:hint="eastAsia" w:eastAsia="仿宋_GB2312"/>
                <w:color w:val="auto"/>
              </w:rPr>
            </w:pPr>
            <w:r>
              <w:rPr>
                <w:rFonts w:hint="eastAsia" w:eastAsia="仿宋_GB2312"/>
                <w:color w:val="auto"/>
              </w:rPr>
              <w:t>富水山庄路口</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eastAsia" w:eastAsia="仿宋_GB2312"/>
                <w:color w:val="auto"/>
              </w:rPr>
            </w:pPr>
            <w:r>
              <w:rPr>
                <w:rFonts w:hint="eastAsia" w:eastAsia="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吊打村</w:t>
            </w:r>
          </w:p>
        </w:tc>
        <w:tc>
          <w:tcPr>
            <w:tcW w:w="1032" w:type="dxa"/>
            <w:noWrap w:val="0"/>
            <w:vAlign w:val="center"/>
          </w:tcPr>
          <w:p>
            <w:pPr>
              <w:jc w:val="center"/>
              <w:rPr>
                <w:rFonts w:hint="eastAsia" w:eastAsia="仿宋_GB2312"/>
                <w:color w:val="auto"/>
              </w:rPr>
            </w:pPr>
            <w:r>
              <w:rPr>
                <w:rFonts w:hint="eastAsia" w:eastAsia="仿宋_GB2312"/>
                <w:color w:val="auto"/>
              </w:rPr>
              <w:t>1</w:t>
            </w: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rPr>
            </w:pPr>
            <w:r>
              <w:rPr>
                <w:rFonts w:hint="eastAsia" w:eastAsia="仿宋_GB2312"/>
                <w:color w:val="auto"/>
              </w:rPr>
              <w:t>2</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2</w:t>
            </w:r>
          </w:p>
        </w:tc>
        <w:tc>
          <w:tcPr>
            <w:tcW w:w="1689" w:type="dxa"/>
            <w:noWrap w:val="0"/>
            <w:vAlign w:val="center"/>
          </w:tcPr>
          <w:p>
            <w:pPr>
              <w:jc w:val="center"/>
              <w:rPr>
                <w:rFonts w:hint="eastAsia" w:eastAsia="仿宋_GB2312"/>
                <w:color w:val="auto"/>
              </w:rPr>
            </w:pPr>
            <w:r>
              <w:rPr>
                <w:rFonts w:hint="eastAsia" w:eastAsia="仿宋_GB2312"/>
                <w:color w:val="auto"/>
              </w:rPr>
              <w:t>吊打大榆树桥头</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eastAsia" w:eastAsia="仿宋_GB2312"/>
                <w:color w:val="auto"/>
              </w:rPr>
            </w:pPr>
            <w:r>
              <w:rPr>
                <w:rFonts w:hint="eastAsia" w:eastAsia="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闹枝村</w:t>
            </w:r>
          </w:p>
        </w:tc>
        <w:tc>
          <w:tcPr>
            <w:tcW w:w="1032" w:type="dxa"/>
            <w:noWrap w:val="0"/>
            <w:vAlign w:val="center"/>
          </w:tcPr>
          <w:p>
            <w:pPr>
              <w:jc w:val="center"/>
              <w:rPr>
                <w:rFonts w:hint="eastAsia" w:eastAsia="仿宋_GB2312"/>
                <w:color w:val="auto"/>
              </w:rPr>
            </w:pPr>
            <w:r>
              <w:rPr>
                <w:rFonts w:hint="eastAsia" w:eastAsia="仿宋_GB2312"/>
                <w:color w:val="auto"/>
              </w:rPr>
              <w:t>1</w:t>
            </w: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rPr>
            </w:pPr>
            <w:r>
              <w:rPr>
                <w:rFonts w:hint="eastAsia" w:eastAsia="仿宋_GB2312"/>
                <w:color w:val="auto"/>
              </w:rPr>
              <w:t>2</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1</w:t>
            </w:r>
          </w:p>
        </w:tc>
        <w:tc>
          <w:tcPr>
            <w:tcW w:w="1689" w:type="dxa"/>
            <w:noWrap w:val="0"/>
            <w:vAlign w:val="center"/>
          </w:tcPr>
          <w:p>
            <w:pPr>
              <w:jc w:val="center"/>
              <w:rPr>
                <w:rFonts w:hint="eastAsia" w:eastAsia="仿宋_GB2312"/>
                <w:color w:val="auto"/>
              </w:rPr>
            </w:pPr>
            <w:r>
              <w:rPr>
                <w:rFonts w:hint="eastAsia" w:eastAsia="仿宋_GB2312"/>
                <w:color w:val="auto"/>
              </w:rPr>
              <w:t>干沟子沟门</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eastAsia" w:eastAsia="仿宋_GB2312"/>
                <w:color w:val="auto"/>
              </w:rPr>
            </w:pPr>
            <w:r>
              <w:rPr>
                <w:rFonts w:hint="eastAsia" w:eastAsia="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义和村</w:t>
            </w:r>
          </w:p>
        </w:tc>
        <w:tc>
          <w:tcPr>
            <w:tcW w:w="1032" w:type="dxa"/>
            <w:noWrap w:val="0"/>
            <w:vAlign w:val="center"/>
          </w:tcPr>
          <w:p>
            <w:pPr>
              <w:jc w:val="center"/>
              <w:rPr>
                <w:rFonts w:hint="eastAsia" w:eastAsia="仿宋_GB2312"/>
                <w:color w:val="auto"/>
              </w:rPr>
            </w:pPr>
            <w:r>
              <w:rPr>
                <w:rFonts w:hint="eastAsia" w:eastAsia="仿宋_GB2312"/>
                <w:color w:val="auto"/>
              </w:rPr>
              <w:t>1</w:t>
            </w: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lang w:eastAsia="zh-CN"/>
              </w:rPr>
            </w:pPr>
            <w:r>
              <w:rPr>
                <w:rFonts w:hint="eastAsia" w:eastAsia="仿宋_GB2312"/>
                <w:color w:val="auto"/>
                <w:lang w:val="en-US" w:eastAsia="zh-CN"/>
              </w:rPr>
              <w:t>1</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1</w:t>
            </w:r>
          </w:p>
        </w:tc>
        <w:tc>
          <w:tcPr>
            <w:tcW w:w="1689" w:type="dxa"/>
            <w:noWrap w:val="0"/>
            <w:vAlign w:val="center"/>
          </w:tcPr>
          <w:p>
            <w:pPr>
              <w:jc w:val="center"/>
              <w:rPr>
                <w:rFonts w:hint="eastAsia" w:eastAsia="仿宋_GB2312"/>
                <w:color w:val="auto"/>
              </w:rPr>
            </w:pPr>
            <w:r>
              <w:rPr>
                <w:rFonts w:hint="eastAsia" w:eastAsia="仿宋_GB2312"/>
                <w:color w:val="auto"/>
              </w:rPr>
              <w:t>义和参场道口</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eastAsia" w:eastAsia="仿宋_GB2312"/>
                <w:color w:val="auto"/>
              </w:rPr>
            </w:pPr>
            <w:r>
              <w:rPr>
                <w:rFonts w:hint="eastAsia" w:eastAsia="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暖泉子村</w:t>
            </w:r>
          </w:p>
        </w:tc>
        <w:tc>
          <w:tcPr>
            <w:tcW w:w="1032" w:type="dxa"/>
            <w:noWrap w:val="0"/>
            <w:vAlign w:val="center"/>
          </w:tcPr>
          <w:p>
            <w:pPr>
              <w:jc w:val="center"/>
              <w:rPr>
                <w:rFonts w:hint="eastAsia" w:eastAsia="仿宋_GB2312"/>
                <w:color w:val="auto"/>
              </w:rPr>
            </w:pPr>
            <w:r>
              <w:rPr>
                <w:rFonts w:hint="eastAsia" w:eastAsia="仿宋_GB2312"/>
                <w:color w:val="auto"/>
              </w:rPr>
              <w:t>1</w:t>
            </w: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rPr>
            </w:pPr>
            <w:r>
              <w:rPr>
                <w:rFonts w:hint="eastAsia" w:eastAsia="仿宋_GB2312"/>
                <w:color w:val="auto"/>
              </w:rPr>
              <w:t>2</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1</w:t>
            </w:r>
          </w:p>
        </w:tc>
        <w:tc>
          <w:tcPr>
            <w:tcW w:w="1689" w:type="dxa"/>
            <w:noWrap w:val="0"/>
            <w:vAlign w:val="center"/>
          </w:tcPr>
          <w:p>
            <w:pPr>
              <w:jc w:val="center"/>
              <w:rPr>
                <w:rFonts w:hint="eastAsia" w:eastAsia="仿宋_GB2312"/>
                <w:color w:val="auto"/>
              </w:rPr>
            </w:pPr>
            <w:r>
              <w:rPr>
                <w:rFonts w:hint="eastAsia" w:eastAsia="仿宋_GB2312"/>
                <w:color w:val="auto"/>
              </w:rPr>
              <w:t>暖泉子村王奎学道口</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冰湖村</w:t>
            </w:r>
          </w:p>
        </w:tc>
        <w:tc>
          <w:tcPr>
            <w:tcW w:w="1032" w:type="dxa"/>
            <w:noWrap w:val="0"/>
            <w:vAlign w:val="center"/>
          </w:tcPr>
          <w:p>
            <w:pPr>
              <w:jc w:val="center"/>
              <w:rPr>
                <w:rFonts w:hint="eastAsia" w:eastAsia="仿宋_GB2312"/>
                <w:color w:val="auto"/>
              </w:rPr>
            </w:pPr>
            <w:r>
              <w:rPr>
                <w:rFonts w:hint="eastAsia" w:eastAsia="仿宋_GB2312"/>
                <w:color w:val="auto"/>
              </w:rPr>
              <w:t>1</w:t>
            </w:r>
          </w:p>
        </w:tc>
        <w:tc>
          <w:tcPr>
            <w:tcW w:w="918" w:type="dxa"/>
            <w:noWrap w:val="0"/>
            <w:vAlign w:val="center"/>
          </w:tcPr>
          <w:p>
            <w:pPr>
              <w:jc w:val="center"/>
              <w:rPr>
                <w:rFonts w:hint="eastAsia" w:eastAsia="仿宋_GB2312"/>
                <w:color w:val="auto"/>
              </w:rPr>
            </w:pPr>
          </w:p>
        </w:tc>
        <w:tc>
          <w:tcPr>
            <w:tcW w:w="994" w:type="dxa"/>
            <w:noWrap w:val="0"/>
            <w:vAlign w:val="center"/>
          </w:tcPr>
          <w:p>
            <w:pPr>
              <w:jc w:val="center"/>
              <w:rPr>
                <w:rFonts w:hint="eastAsia" w:eastAsia="仿宋_GB2312"/>
                <w:color w:val="auto"/>
              </w:rPr>
            </w:pPr>
            <w:r>
              <w:rPr>
                <w:rFonts w:hint="eastAsia" w:eastAsia="仿宋_GB2312"/>
                <w:color w:val="auto"/>
              </w:rPr>
              <w:t>2</w:t>
            </w:r>
          </w:p>
        </w:tc>
        <w:tc>
          <w:tcPr>
            <w:tcW w:w="1031" w:type="dxa"/>
            <w:noWrap w:val="0"/>
            <w:vAlign w:val="center"/>
          </w:tcPr>
          <w:p>
            <w:pPr>
              <w:jc w:val="center"/>
              <w:rPr>
                <w:rFonts w:hint="eastAsia" w:eastAsia="仿宋_GB2312"/>
                <w:color w:val="auto"/>
              </w:rPr>
            </w:pPr>
          </w:p>
        </w:tc>
        <w:tc>
          <w:tcPr>
            <w:tcW w:w="957" w:type="dxa"/>
            <w:noWrap w:val="0"/>
            <w:vAlign w:val="center"/>
          </w:tcPr>
          <w:p>
            <w:pPr>
              <w:jc w:val="center"/>
              <w:rPr>
                <w:rFonts w:hint="eastAsia" w:eastAsia="仿宋_GB2312"/>
                <w:color w:val="auto"/>
              </w:rPr>
            </w:pPr>
            <w:r>
              <w:rPr>
                <w:rFonts w:hint="eastAsia" w:eastAsia="仿宋_GB2312"/>
                <w:color w:val="auto"/>
              </w:rPr>
              <w:t>1</w:t>
            </w:r>
          </w:p>
        </w:tc>
        <w:tc>
          <w:tcPr>
            <w:tcW w:w="1689" w:type="dxa"/>
            <w:noWrap w:val="0"/>
            <w:vAlign w:val="center"/>
          </w:tcPr>
          <w:p>
            <w:pPr>
              <w:jc w:val="center"/>
              <w:rPr>
                <w:rFonts w:hint="eastAsia" w:eastAsia="仿宋_GB2312"/>
                <w:color w:val="auto"/>
              </w:rPr>
            </w:pPr>
            <w:r>
              <w:rPr>
                <w:rFonts w:hint="eastAsia" w:eastAsia="仿宋_GB2312"/>
                <w:color w:val="auto"/>
              </w:rPr>
              <w:t>林业局检查站</w:t>
            </w:r>
          </w:p>
        </w:tc>
        <w:tc>
          <w:tcPr>
            <w:tcW w:w="825" w:type="dxa"/>
            <w:noWrap w:val="0"/>
            <w:vAlign w:val="center"/>
          </w:tcPr>
          <w:p>
            <w:pPr>
              <w:jc w:val="center"/>
              <w:rPr>
                <w:rFonts w:hint="eastAsia" w:eastAsia="仿宋_GB2312"/>
                <w:color w:val="auto"/>
                <w:lang w:val="en-US" w:eastAsia="zh-CN"/>
              </w:rPr>
            </w:pPr>
            <w:r>
              <w:rPr>
                <w:rFonts w:hint="eastAsia" w:eastAsia="仿宋_GB2312"/>
                <w:color w:val="auto"/>
                <w:lang w:val="en-US" w:eastAsia="zh-CN"/>
              </w:rPr>
              <w:t>1</w:t>
            </w:r>
          </w:p>
        </w:tc>
        <w:tc>
          <w:tcPr>
            <w:tcW w:w="945" w:type="dxa"/>
            <w:noWrap w:val="0"/>
            <w:vAlign w:val="center"/>
          </w:tcPr>
          <w:p>
            <w:pPr>
              <w:jc w:val="center"/>
              <w:rPr>
                <w:rFonts w:hint="default" w:eastAsia="仿宋_GB2312"/>
                <w:color w:val="auto"/>
                <w:lang w:val="en-US" w:eastAsia="zh-CN"/>
              </w:rPr>
            </w:pPr>
            <w:r>
              <w:rPr>
                <w:rFonts w:hint="eastAsia" w:eastAsia="仿宋_GB2312"/>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noWrap w:val="0"/>
            <w:vAlign w:val="center"/>
          </w:tcPr>
          <w:p>
            <w:pPr>
              <w:jc w:val="center"/>
              <w:rPr>
                <w:rFonts w:hint="eastAsia" w:eastAsia="仿宋_GB2312"/>
                <w:color w:val="auto"/>
              </w:rPr>
            </w:pPr>
            <w:r>
              <w:rPr>
                <w:rFonts w:hint="eastAsia" w:eastAsia="仿宋_GB2312"/>
                <w:color w:val="auto"/>
              </w:rPr>
              <w:t>闹枝林场</w:t>
            </w:r>
          </w:p>
        </w:tc>
        <w:tc>
          <w:tcPr>
            <w:tcW w:w="1032" w:type="dxa"/>
            <w:noWrap w:val="0"/>
            <w:vAlign w:val="center"/>
          </w:tcPr>
          <w:p>
            <w:pPr>
              <w:jc w:val="center"/>
              <w:rPr>
                <w:rFonts w:hint="eastAsia" w:eastAsia="仿宋_GB2312"/>
                <w:color w:val="auto"/>
              </w:rPr>
            </w:pPr>
            <w:r>
              <w:rPr>
                <w:rFonts w:hint="eastAsia" w:eastAsia="仿宋_GB2312"/>
                <w:color w:val="auto"/>
              </w:rPr>
              <w:t>2</w:t>
            </w:r>
          </w:p>
        </w:tc>
        <w:tc>
          <w:tcPr>
            <w:tcW w:w="918" w:type="dxa"/>
            <w:noWrap w:val="0"/>
            <w:vAlign w:val="center"/>
          </w:tcPr>
          <w:p>
            <w:pPr>
              <w:jc w:val="center"/>
              <w:rPr>
                <w:rFonts w:hint="eastAsia" w:eastAsia="仿宋_GB2312"/>
                <w:color w:val="auto"/>
              </w:rPr>
            </w:pPr>
            <w:r>
              <w:rPr>
                <w:rFonts w:hint="eastAsia" w:eastAsia="仿宋_GB2312"/>
                <w:color w:val="auto"/>
              </w:rPr>
              <w:t>2</w:t>
            </w:r>
          </w:p>
        </w:tc>
        <w:tc>
          <w:tcPr>
            <w:tcW w:w="994" w:type="dxa"/>
            <w:noWrap w:val="0"/>
            <w:vAlign w:val="center"/>
          </w:tcPr>
          <w:p>
            <w:pPr>
              <w:jc w:val="center"/>
              <w:rPr>
                <w:rFonts w:hint="eastAsia" w:eastAsia="仿宋_GB2312"/>
                <w:color w:val="auto"/>
              </w:rPr>
            </w:pPr>
            <w:r>
              <w:rPr>
                <w:rFonts w:hint="eastAsia" w:eastAsia="仿宋_GB2312"/>
                <w:color w:val="auto"/>
              </w:rPr>
              <w:t>8</w:t>
            </w:r>
          </w:p>
        </w:tc>
        <w:tc>
          <w:tcPr>
            <w:tcW w:w="1031" w:type="dxa"/>
            <w:noWrap w:val="0"/>
            <w:vAlign w:val="center"/>
          </w:tcPr>
          <w:p>
            <w:pPr>
              <w:jc w:val="center"/>
              <w:rPr>
                <w:rFonts w:hint="eastAsia" w:eastAsia="仿宋_GB2312"/>
                <w:color w:val="auto"/>
              </w:rPr>
            </w:pPr>
            <w:r>
              <w:rPr>
                <w:rFonts w:hint="eastAsia" w:eastAsia="仿宋_GB2312"/>
                <w:color w:val="auto"/>
              </w:rPr>
              <w:t>4</w:t>
            </w:r>
          </w:p>
        </w:tc>
        <w:tc>
          <w:tcPr>
            <w:tcW w:w="957" w:type="dxa"/>
            <w:noWrap w:val="0"/>
            <w:vAlign w:val="center"/>
          </w:tcPr>
          <w:p>
            <w:pPr>
              <w:jc w:val="center"/>
              <w:rPr>
                <w:rFonts w:hint="eastAsia" w:eastAsia="仿宋_GB2312"/>
                <w:color w:val="auto"/>
              </w:rPr>
            </w:pPr>
            <w:r>
              <w:rPr>
                <w:rFonts w:hint="eastAsia" w:eastAsia="仿宋_GB2312"/>
                <w:color w:val="auto"/>
              </w:rPr>
              <w:t>8</w:t>
            </w:r>
          </w:p>
        </w:tc>
        <w:tc>
          <w:tcPr>
            <w:tcW w:w="1689" w:type="dxa"/>
            <w:noWrap w:val="0"/>
            <w:vAlign w:val="center"/>
          </w:tcPr>
          <w:p>
            <w:pPr>
              <w:jc w:val="center"/>
              <w:rPr>
                <w:rFonts w:hint="eastAsia" w:eastAsia="仿宋_GB2312"/>
                <w:color w:val="auto"/>
              </w:rPr>
            </w:pPr>
            <w:r>
              <w:rPr>
                <w:rFonts w:hint="eastAsia" w:eastAsia="仿宋_GB2312"/>
                <w:color w:val="auto"/>
              </w:rPr>
              <w:t>闹枝林场检查站</w:t>
            </w:r>
          </w:p>
        </w:tc>
        <w:tc>
          <w:tcPr>
            <w:tcW w:w="825" w:type="dxa"/>
            <w:noWrap w:val="0"/>
            <w:vAlign w:val="center"/>
          </w:tcPr>
          <w:p>
            <w:pPr>
              <w:jc w:val="center"/>
              <w:rPr>
                <w:rFonts w:hint="eastAsia" w:eastAsia="仿宋_GB2312"/>
                <w:color w:val="auto"/>
              </w:rPr>
            </w:pPr>
            <w:r>
              <w:rPr>
                <w:rFonts w:hint="eastAsia" w:eastAsia="仿宋_GB2312"/>
                <w:color w:val="auto"/>
              </w:rPr>
              <w:t>25</w:t>
            </w:r>
          </w:p>
        </w:tc>
        <w:tc>
          <w:tcPr>
            <w:tcW w:w="945" w:type="dxa"/>
            <w:noWrap w:val="0"/>
            <w:vAlign w:val="center"/>
          </w:tcPr>
          <w:p>
            <w:pPr>
              <w:jc w:val="center"/>
              <w:rPr>
                <w:rFonts w:hint="eastAsia" w:eastAsia="仿宋_GB2312"/>
                <w:color w:val="auto"/>
              </w:rPr>
            </w:pPr>
            <w:r>
              <w:rPr>
                <w:rFonts w:hint="eastAsia" w:eastAsia="仿宋_GB2312"/>
                <w:color w:val="auto"/>
              </w:rPr>
              <w:t>50</w:t>
            </w:r>
          </w:p>
        </w:tc>
      </w:tr>
    </w:tbl>
    <w:p>
      <w:pPr>
        <w:rPr>
          <w:rFonts w:hint="eastAsia" w:eastAsia="仿宋_GB2312"/>
          <w:color w:val="auto"/>
          <w:sz w:val="28"/>
        </w:rPr>
      </w:pPr>
    </w:p>
    <w:p>
      <w:pPr>
        <w:keepNext w:val="0"/>
        <w:keepLines w:val="0"/>
        <w:pageBreakBefore w:val="0"/>
        <w:widowControl/>
        <w:kinsoku/>
        <w:wordWrap/>
        <w:overflowPunct w:val="0"/>
        <w:topLinePunct/>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（二）各森防工作人员管理标准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s="Times New Roman"/>
          <w:b/>
          <w:bCs/>
          <w:color w:val="auto"/>
          <w:sz w:val="32"/>
          <w:szCs w:val="32"/>
        </w:rPr>
      </w:pPr>
      <w:r>
        <w:rPr>
          <w:rFonts w:hint="eastAsia" w:eastAsia="仿宋_GB2312"/>
          <w:color w:val="auto"/>
          <w:sz w:val="32"/>
          <w:szCs w:val="32"/>
        </w:rPr>
        <w:t xml:space="preserve">   </w:t>
      </w:r>
      <w:r>
        <w:rPr>
          <w:rFonts w:hint="eastAsia" w:ascii="仿宋_GB2312" w:eastAsia="仿宋_GB2312" w:cs="Times New Roman"/>
          <w:color w:val="auto"/>
          <w:sz w:val="32"/>
          <w:szCs w:val="32"/>
        </w:rPr>
        <w:t xml:space="preserve"> </w:t>
      </w:r>
      <w:r>
        <w:rPr>
          <w:rFonts w:hint="eastAsia" w:ascii="仿宋_GB2312" w:eastAsia="仿宋_GB2312" w:cs="Times New Roman"/>
          <w:b/>
          <w:bCs/>
          <w:color w:val="auto"/>
          <w:sz w:val="32"/>
          <w:szCs w:val="32"/>
        </w:rPr>
        <w:t>1</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森防技术员管理标准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（1）宣传贯彻森防各相关法规、制度和完善森防工作方案及各种森防合同和规章制度。</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（2）森防营（巡）护林人员要全面掌握辖区森防动态，经常报告，提出扑救森林火灾的具体措施方案。</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（3）及时准确的传达贯彻森防指的指示，定期向森防指汇报，要准确规范的做好内业，并制定好计划及长期规划并能组织实施。</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s="Times New Roman"/>
          <w:b/>
          <w:bCs/>
          <w:color w:val="auto"/>
          <w:sz w:val="32"/>
          <w:szCs w:val="32"/>
        </w:rPr>
      </w:pPr>
      <w:r>
        <w:rPr>
          <w:rFonts w:hint="eastAsia" w:eastAsia="仿宋_GB2312"/>
          <w:color w:val="auto"/>
          <w:sz w:val="32"/>
          <w:szCs w:val="32"/>
        </w:rPr>
        <w:t xml:space="preserve">   </w:t>
      </w:r>
      <w:r>
        <w:rPr>
          <w:rFonts w:hint="eastAsia" w:eastAsia="仿宋_GB2312"/>
          <w:b/>
          <w:bCs/>
          <w:color w:val="auto"/>
          <w:sz w:val="32"/>
          <w:szCs w:val="32"/>
        </w:rPr>
        <w:t xml:space="preserve"> </w:t>
      </w:r>
      <w:r>
        <w:rPr>
          <w:rFonts w:hint="eastAsia" w:ascii="仿宋_GB2312" w:eastAsia="仿宋_GB2312" w:cs="Times New Roman"/>
          <w:b/>
          <w:bCs/>
          <w:color w:val="auto"/>
          <w:sz w:val="32"/>
          <w:szCs w:val="32"/>
        </w:rPr>
        <w:t>2</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森防营（巡）护人员的管理标准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实行分片包保，在高火险期内适时增加管护人员，巡护人员熟知森防各种法规政策、方针，切实做到（三有、五到户），加强“十户联防”合同书签定工作，严格控制好火源，积极消除管护区内的不利因素，做好火情监测工作，发现火情立即上报并积极扑救，同时搞好联防配合工作。</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b/>
          <w:bCs/>
          <w:color w:val="auto"/>
          <w:sz w:val="32"/>
          <w:szCs w:val="32"/>
        </w:rPr>
      </w:pPr>
      <w:r>
        <w:rPr>
          <w:rFonts w:hint="eastAsia" w:eastAsia="仿宋_GB2312"/>
          <w:color w:val="auto"/>
          <w:sz w:val="32"/>
          <w:szCs w:val="32"/>
        </w:rPr>
        <w:t xml:space="preserve">   </w:t>
      </w:r>
      <w:r>
        <w:rPr>
          <w:rFonts w:hint="eastAsia" w:eastAsia="仿宋_GB2312"/>
          <w:b/>
          <w:bCs/>
          <w:color w:val="auto"/>
          <w:sz w:val="32"/>
          <w:szCs w:val="32"/>
        </w:rPr>
        <w:t xml:space="preserve"> </w:t>
      </w:r>
      <w:r>
        <w:rPr>
          <w:rFonts w:hint="eastAsia" w:ascii="仿宋_GB2312" w:eastAsia="仿宋_GB2312" w:cs="Times New Roman"/>
          <w:b/>
          <w:bCs/>
          <w:color w:val="auto"/>
          <w:sz w:val="32"/>
          <w:szCs w:val="32"/>
        </w:rPr>
        <w:t>3</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值机值班</w:t>
      </w:r>
      <w:r>
        <w:rPr>
          <w:rFonts w:hint="eastAsia" w:eastAsia="仿宋_GB2312"/>
          <w:b/>
          <w:bCs/>
          <w:color w:val="auto"/>
          <w:sz w:val="32"/>
          <w:szCs w:val="32"/>
        </w:rPr>
        <w:t>人员的管理标准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严格执行值班制度，准确无误的传达指令，做好记录，认真负责完成规定的各项任务。</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s="Times New Roman"/>
          <w:b/>
          <w:bCs/>
          <w:color w:val="auto"/>
          <w:sz w:val="32"/>
          <w:szCs w:val="32"/>
        </w:rPr>
      </w:pPr>
      <w:r>
        <w:rPr>
          <w:rFonts w:hint="eastAsia" w:eastAsia="仿宋_GB2312"/>
          <w:color w:val="auto"/>
          <w:sz w:val="32"/>
          <w:szCs w:val="32"/>
        </w:rPr>
        <w:t xml:space="preserve">   </w:t>
      </w:r>
      <w:r>
        <w:rPr>
          <w:rFonts w:hint="eastAsia" w:eastAsia="仿宋_GB2312"/>
          <w:b/>
          <w:bCs/>
          <w:color w:val="auto"/>
          <w:sz w:val="32"/>
          <w:szCs w:val="32"/>
        </w:rPr>
        <w:t xml:space="preserve"> </w:t>
      </w:r>
      <w:r>
        <w:rPr>
          <w:rFonts w:hint="eastAsia" w:ascii="仿宋_GB2312" w:eastAsia="仿宋_GB2312" w:cs="Times New Roman"/>
          <w:b/>
          <w:bCs/>
          <w:color w:val="auto"/>
          <w:sz w:val="32"/>
          <w:szCs w:val="32"/>
        </w:rPr>
        <w:t>4</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检查人员的管理标准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熟知森防各项法规政策、方针，执证上岗，严格执法，做好各项检查，做好记录，以高度的责任心完成本职工作。</w:t>
      </w:r>
    </w:p>
    <w:p>
      <w:pPr>
        <w:keepNext w:val="0"/>
        <w:keepLines w:val="0"/>
        <w:pageBreakBefore w:val="0"/>
        <w:widowControl/>
        <w:kinsoku/>
        <w:wordWrap/>
        <w:overflowPunct w:val="0"/>
        <w:topLinePunct/>
        <w:autoSpaceDE/>
        <w:autoSpaceDN/>
        <w:bidi w:val="0"/>
        <w:adjustRightInd/>
        <w:snapToGrid/>
        <w:spacing w:line="576" w:lineRule="exact"/>
        <w:ind w:firstLine="643" w:firstLineChars="200"/>
        <w:textAlignment w:val="auto"/>
        <w:rPr>
          <w:rFonts w:hint="eastAsia" w:ascii="仿宋_GB2312" w:eastAsia="仿宋_GB2312" w:cs="Times New Roman"/>
          <w:b/>
          <w:bCs/>
          <w:color w:val="auto"/>
          <w:sz w:val="32"/>
          <w:szCs w:val="32"/>
        </w:rPr>
      </w:pPr>
      <w:r>
        <w:rPr>
          <w:rFonts w:hint="eastAsia" w:ascii="仿宋_GB2312" w:eastAsia="仿宋_GB2312" w:cs="Times New Roman"/>
          <w:b/>
          <w:bCs/>
          <w:color w:val="auto"/>
          <w:sz w:val="32"/>
          <w:szCs w:val="32"/>
        </w:rPr>
        <w:t>5</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道口看看人员的管理标准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作为森防的前沿管理人员，必须佩带明显标志，手执宣传旗，严格实施检查，各道口在二级预警设看看人一名，三级以上均增至2人或2人以上。</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s="Times New Roman"/>
          <w:b/>
          <w:bCs/>
          <w:color w:val="auto"/>
          <w:sz w:val="32"/>
          <w:szCs w:val="32"/>
        </w:rPr>
      </w:pPr>
      <w:r>
        <w:rPr>
          <w:rFonts w:hint="eastAsia" w:eastAsia="仿宋_GB2312"/>
          <w:color w:val="auto"/>
          <w:sz w:val="32"/>
          <w:szCs w:val="32"/>
        </w:rPr>
        <w:t xml:space="preserve">   </w:t>
      </w:r>
      <w:r>
        <w:rPr>
          <w:rFonts w:hint="eastAsia" w:ascii="仿宋_GB2312" w:eastAsia="仿宋_GB2312" w:cs="Times New Roman"/>
          <w:b/>
          <w:bCs/>
          <w:color w:val="auto"/>
          <w:sz w:val="32"/>
          <w:szCs w:val="32"/>
        </w:rPr>
        <w:t xml:space="preserve"> 6</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稽查员的管理标准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由辖区林业主看领导兼任，掌握森防各项法规政策，严格控制野外生产用火的审批制度，监督检查各项用火防范措施的落实，坚决做到“六不烧”，积极发动群众搞好联防工作，调动一切力量参与到火源管理当中。</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eastAsia="仿宋_GB2312" w:cs="Times New Roman"/>
          <w:b/>
          <w:bCs/>
          <w:color w:val="auto"/>
          <w:sz w:val="32"/>
          <w:szCs w:val="32"/>
        </w:rPr>
      </w:pPr>
      <w:r>
        <w:rPr>
          <w:rFonts w:hint="eastAsia" w:eastAsia="仿宋_GB2312"/>
          <w:color w:val="auto"/>
          <w:sz w:val="32"/>
          <w:szCs w:val="32"/>
        </w:rPr>
        <w:t xml:space="preserve">   </w:t>
      </w:r>
      <w:r>
        <w:rPr>
          <w:rFonts w:hint="eastAsia" w:ascii="仿宋_GB2312" w:eastAsia="仿宋_GB2312" w:cs="Times New Roman"/>
          <w:color w:val="auto"/>
          <w:sz w:val="32"/>
          <w:szCs w:val="32"/>
        </w:rPr>
        <w:t xml:space="preserve"> </w:t>
      </w:r>
      <w:r>
        <w:rPr>
          <w:rFonts w:hint="eastAsia" w:ascii="仿宋_GB2312" w:eastAsia="仿宋_GB2312" w:cs="Times New Roman"/>
          <w:b/>
          <w:bCs/>
          <w:color w:val="auto"/>
          <w:sz w:val="32"/>
          <w:szCs w:val="32"/>
        </w:rPr>
        <w:t>7</w:t>
      </w:r>
      <w:r>
        <w:rPr>
          <w:rFonts w:hint="eastAsia" w:ascii="仿宋_GB2312" w:eastAsia="仿宋_GB2312" w:cs="Times New Roman"/>
          <w:b/>
          <w:bCs/>
          <w:color w:val="auto"/>
          <w:sz w:val="32"/>
          <w:szCs w:val="32"/>
          <w:lang w:val="en-US" w:eastAsia="zh-CN"/>
        </w:rPr>
        <w:t>.</w:t>
      </w:r>
      <w:r>
        <w:rPr>
          <w:rFonts w:hint="eastAsia" w:ascii="仿宋_GB2312" w:eastAsia="仿宋_GB2312" w:cs="Times New Roman"/>
          <w:b/>
          <w:bCs/>
          <w:color w:val="auto"/>
          <w:sz w:val="32"/>
          <w:szCs w:val="32"/>
        </w:rPr>
        <w:t>扑火队人员管理标准</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eastAsia="仿宋_GB2312"/>
          <w:color w:val="auto"/>
          <w:sz w:val="32"/>
          <w:szCs w:val="32"/>
        </w:rPr>
      </w:pPr>
      <w:r>
        <w:rPr>
          <w:rFonts w:hint="eastAsia" w:eastAsia="仿宋_GB2312"/>
          <w:color w:val="auto"/>
          <w:sz w:val="32"/>
          <w:szCs w:val="32"/>
        </w:rPr>
        <w:t xml:space="preserve">    认真学习森防各项法规政策，严格执行《森林法》、《森防条例》，平时注重培训和演练，做一只能敢打硬仗，做到打早、打小、打了的工作要求。</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r>
        <w:rPr>
          <w:rFonts w:hint="eastAsia" w:eastAsia="仿宋_GB2312"/>
          <w:color w:val="auto"/>
          <w:sz w:val="32"/>
          <w:szCs w:val="32"/>
        </w:rPr>
        <w:t xml:space="preserve"> </w:t>
      </w:r>
      <w:r>
        <w:rPr>
          <w:rFonts w:hint="eastAsia" w:ascii="仿宋_GB2312" w:hAnsi="仿宋_GB2312" w:eastAsia="仿宋_GB2312" w:cs="仿宋_GB2312"/>
          <w:color w:val="auto"/>
          <w:sz w:val="32"/>
          <w:szCs w:val="32"/>
        </w:rPr>
        <w:t xml:space="preserve"> </w:t>
      </w:r>
    </w:p>
    <w:p>
      <w:pPr>
        <w:pStyle w:val="2"/>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闹枝地区森林防火联防指挥部</w:t>
      </w:r>
    </w:p>
    <w:p>
      <w:pPr>
        <w:rPr>
          <w:rFonts w:hint="eastAsia" w:ascii="仿宋_GB2312" w:hAnsi="仿宋_GB2312" w:eastAsia="仿宋_GB2312" w:cs="仿宋_GB2312"/>
          <w:color w:val="auto"/>
          <w:sz w:val="32"/>
          <w:szCs w:val="32"/>
          <w:u w:val="thick"/>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2024年3月18日</w:t>
      </w:r>
    </w:p>
    <w:p>
      <w:pPr>
        <w:keepNext w:val="0"/>
        <w:keepLines w:val="0"/>
        <w:pageBreakBefore w:val="0"/>
        <w:widowControl/>
        <w:kinsoku/>
        <w:wordWrap/>
        <w:overflowPunct w:val="0"/>
        <w:topLinePunct/>
        <w:autoSpaceDE/>
        <w:autoSpaceDN/>
        <w:bidi w:val="0"/>
        <w:adjustRightInd/>
        <w:snapToGrid/>
        <w:spacing w:line="576" w:lineRule="exact"/>
        <w:textAlignment w:val="auto"/>
        <w:rPr>
          <w:rFonts w:hint="eastAsia"/>
          <w:color w:val="auto"/>
          <w:sz w:val="32"/>
          <w:szCs w:val="32"/>
          <w:u w:val="thick"/>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jc2OTk0MzgxMmVhZGNkYTIzYzNjYjJhZjQyN2YifQ=="/>
  </w:docVars>
  <w:rsids>
    <w:rsidRoot w:val="005809B4"/>
    <w:rsid w:val="001B7547"/>
    <w:rsid w:val="005809B4"/>
    <w:rsid w:val="00CD01A1"/>
    <w:rsid w:val="095D1468"/>
    <w:rsid w:val="096F401D"/>
    <w:rsid w:val="09CD2E38"/>
    <w:rsid w:val="0E79471B"/>
    <w:rsid w:val="10DE733F"/>
    <w:rsid w:val="1FC841AB"/>
    <w:rsid w:val="209459C7"/>
    <w:rsid w:val="277C33F4"/>
    <w:rsid w:val="2B3C2B7F"/>
    <w:rsid w:val="2BC476D7"/>
    <w:rsid w:val="31E81940"/>
    <w:rsid w:val="32C77C8B"/>
    <w:rsid w:val="338A4858"/>
    <w:rsid w:val="39D04EA6"/>
    <w:rsid w:val="3CF773E9"/>
    <w:rsid w:val="45D740E4"/>
    <w:rsid w:val="485D5D15"/>
    <w:rsid w:val="4A7F0AFC"/>
    <w:rsid w:val="51116E7A"/>
    <w:rsid w:val="51450494"/>
    <w:rsid w:val="54FF4472"/>
    <w:rsid w:val="5E547F68"/>
    <w:rsid w:val="63B9368F"/>
    <w:rsid w:val="69883D91"/>
    <w:rsid w:val="6C5A1573"/>
    <w:rsid w:val="7028112F"/>
    <w:rsid w:val="718022CC"/>
    <w:rsid w:val="719A64AB"/>
    <w:rsid w:val="78566334"/>
    <w:rsid w:val="79253FF2"/>
    <w:rsid w:val="79EF6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rPr>
      <w:rFonts w:hint="eastAsia"/>
      <w:szCs w:val="21"/>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6</Pages>
  <Words>1759</Words>
  <Characters>1785</Characters>
  <Lines>6</Lines>
  <Paragraphs>1</Paragraphs>
  <TotalTime>7</TotalTime>
  <ScaleCrop>false</ScaleCrop>
  <LinksUpToDate>false</LinksUpToDate>
  <CharactersWithSpaces>1963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栩栩如笙</cp:lastModifiedBy>
  <cp:lastPrinted>2024-03-28T07:15:00Z</cp:lastPrinted>
  <dcterms:modified xsi:type="dcterms:W3CDTF">2024-03-29T06:18:45Z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1E3FADE9148E4F01B07DB950309047C2_13</vt:lpwstr>
  </property>
</Properties>
</file>