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13C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临江市森工街道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河长制工作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网格化管理实施方案</w:t>
      </w:r>
    </w:p>
    <w:p w14:paraId="5FC123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03BFCA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贯彻上级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河长制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工作会议精神，进一步落实工作责任，真正做到一级抓一级、层层抓落实，建立健全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临江市森工街道河长制</w:t>
      </w:r>
      <w:r>
        <w:rPr>
          <w:rFonts w:hint="eastAsia" w:ascii="仿宋_GB2312" w:hAnsi="仿宋_GB2312" w:eastAsia="仿宋_GB2312" w:cs="仿宋_GB2312"/>
          <w:sz w:val="32"/>
          <w:szCs w:val="32"/>
        </w:rPr>
        <w:t>网格化管理和日常巡查制度，构建齐抓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共管的监管格局。结合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实际情况，特制定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森工街道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河长制工作网格化管理实施方案。</w:t>
      </w:r>
    </w:p>
    <w:p w14:paraId="5AB8469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6B65BD7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</w:rPr>
        <w:t>大精神为指导，深入贯彻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习近平总书记重要讲话精神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，认真落实党中央、国务院的决策部署，明确监管层级，落实监管责任。逐步构建覆盖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、责任到人的网格化监管体系，实现各有所管、各尽其责、信息畅通、集约高效的监管工作新格局。有效保障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安全，促进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监管能力提升，维护人民群众环境权益，不断改善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质量。</w:t>
      </w:r>
    </w:p>
    <w:p w14:paraId="0BAB21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二、总体要求</w:t>
      </w:r>
    </w:p>
    <w:p w14:paraId="019012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坚持“条块结合、块为主体，分工负责、责任到人，上下联动、整体推进，重心下沉、属地管理，把握重点、突出效能，便于执法、提高效能”的原则，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临江市森工街道办事处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保护监管责任主体，整合辖区内负有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保护监管职责的各部门监管力量，依托现有的基层网格化社会管理体系，在网格内定区域、定人员、定职责、定任务、定奖惩，构建一个覆盖全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监管网格。</w:t>
      </w:r>
    </w:p>
    <w:p w14:paraId="1B1C1AF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shd w:val="clear" w:fill="FFFFFF"/>
        </w:rPr>
        <w:t>总体目标</w:t>
      </w:r>
    </w:p>
    <w:p w14:paraId="7D60E0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通过实施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保护网格化管理，形成“政府组织实施、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保护相关职能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各负其责、社会各界广泛参与”的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监管格局，实现“三清三到位”的目标（即区域清、职责清、底数清和监管到位、服务到位、互通到位）。即日起全面实行“横向到边、纵向到底，不留死角，不存盲区”的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监管网格化管理，着力解决影响社会发展、损害群众健康和破坏生态环境的突出问题，促进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生态文明建设。</w:t>
      </w:r>
    </w:p>
    <w:p w14:paraId="5B5B7A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shd w:val="clear" w:fill="FFFFFF"/>
        </w:rPr>
        <w:t>组织领导</w:t>
      </w:r>
    </w:p>
    <w:p w14:paraId="60AD61D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为进一步加强对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街道河道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监管网格化管理工作的组织领导，确保工作顺利实施，特成立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森工街道河道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监管网格化管理工作领导小组。</w:t>
      </w:r>
    </w:p>
    <w:p w14:paraId="5CB67FA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组  长：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孙凤海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委书记</w:t>
      </w:r>
    </w:p>
    <w:p w14:paraId="110253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        李  鑫  党工委副书记、办事处主任</w:t>
      </w:r>
    </w:p>
    <w:p w14:paraId="5BD7A08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崔雪冰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 办事处副主任</w:t>
      </w:r>
    </w:p>
    <w:p w14:paraId="5139C32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张力文 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农业农村办负责人</w:t>
      </w:r>
    </w:p>
    <w:p w14:paraId="2B8257A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            高  雪  农业农村办职员</w:t>
      </w:r>
    </w:p>
    <w:p w14:paraId="166CCD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唐延磊  农业农村办职员</w:t>
      </w:r>
    </w:p>
    <w:p w14:paraId="3350BB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            管荣波  森工社区书记</w:t>
      </w:r>
    </w:p>
    <w:p w14:paraId="558650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 xml:space="preserve">             何兆花  东兴村书记       </w:t>
      </w:r>
    </w:p>
    <w:p w14:paraId="5494DDF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领导小组下设办公室，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崔雪冰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同志兼任办公室主任，成员由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秦伟、高雪、唐延磊、何兆花、管荣波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等同志组成。领导小组办公室负责全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街道河道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监管网格化服务管理实施过程中的日常工作和问题。</w:t>
      </w:r>
    </w:p>
    <w:p w14:paraId="27C9071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shd w:val="clear" w:fill="FFFFFF"/>
        </w:rPr>
        <w:t>网格划分及职责分工</w:t>
      </w:r>
    </w:p>
    <w:p w14:paraId="77B163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  <w:t>（一）乡级网格</w:t>
      </w:r>
    </w:p>
    <w:p w14:paraId="61C4FFD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原则上按县级网格内行政区划，以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乡镇（街道）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为单元划定为乡级网格区域，责任主体为乡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（街道办事处）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，责任人为乡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（街道办事处）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主要责任人。具体职责：1.配合县级网格全面排查各类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安全隐患，及时上报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监管网格化管理相关信息；2.负责整合本级承担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保护工作职责的机构力量，建立村级网格监管工作组，每个工作组监管人员不少于1人，承担本辖区日常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保护监管检查、巡查，发现问题、接到投诉举报及时调查了解，协调处理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信访投诉、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污染纠纷案件，发现违法排污问题及时制止，及时向负责该网格的县监管工作组报告。</w:t>
      </w:r>
    </w:p>
    <w:p w14:paraId="7E1541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  <w:t>（二）村级网格</w:t>
      </w:r>
    </w:p>
    <w:p w14:paraId="06A1D1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依托现有的基层网格化社会管理体系，原则上按乡级网格内行政区域划定为村级网格。每个村级网格作为一个监管细胞单元，责任主体为各村村委会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（社区居委会）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，责任人为各村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（社区）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支部书记和村主任。工作职责：建立乡级网格与村级网格的联动机制，发挥村级网格日常了解、巡查、协调、自治监督和及时制止、向乡级网格报告违法排污行为以及群众投诉举报的作用，及时发现并制止违法排污和破坏生态环境的行为。</w:t>
      </w:r>
    </w:p>
    <w:p w14:paraId="1168F5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  <w:t>（三）网格构成</w:t>
      </w:r>
    </w:p>
    <w:p w14:paraId="4C5DC1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shd w:val="clear" w:fill="FFFFFF"/>
        </w:rPr>
        <w:t>根据</w:t>
      </w:r>
      <w:r>
        <w:rPr>
          <w:rFonts w:hint="eastAsia" w:ascii="宋体" w:hAnsi="宋体" w:eastAsia="宋体" w:cs="宋体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宋体" w:hAnsi="宋体" w:eastAsia="宋体" w:cs="宋体"/>
          <w:sz w:val="32"/>
          <w:szCs w:val="32"/>
          <w:shd w:val="clear" w:fill="FFFFFF"/>
        </w:rPr>
        <w:t>实际情况，将网格做如下划分：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1248"/>
        <w:gridCol w:w="1591"/>
        <w:gridCol w:w="2839"/>
      </w:tblGrid>
      <w:tr w14:paraId="7BF3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A03E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微软雅黑" w:hAnsi="微软雅黑" w:eastAsia="微软雅黑" w:cs="微软雅黑"/>
                <w:sz w:val="32"/>
                <w:szCs w:val="32"/>
                <w:shd w:val="clear" w:fill="FFFFFF"/>
              </w:rPr>
              <w:t>乡级网格</w:t>
            </w:r>
          </w:p>
        </w:tc>
        <w:tc>
          <w:tcPr>
            <w:tcW w:w="44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E38C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</w:rPr>
              <w:t>主要责任人</w:t>
            </w:r>
          </w:p>
        </w:tc>
      </w:tr>
      <w:tr w14:paraId="79A9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86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B0F8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  <w:t>临江市森工街道办事处</w:t>
            </w:r>
          </w:p>
        </w:tc>
        <w:tc>
          <w:tcPr>
            <w:tcW w:w="44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07E1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  <w:t>孙凤海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</w:rPr>
              <w:t>（党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  <w:t>工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</w:rPr>
              <w:t>委书记）</w:t>
            </w:r>
          </w:p>
        </w:tc>
      </w:tr>
      <w:tr w14:paraId="5DD0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086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08E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64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44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590A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  <w:t>李鑫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  <w:t>办事处主任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</w:rPr>
              <w:t>）</w:t>
            </w:r>
          </w:p>
        </w:tc>
      </w:tr>
      <w:tr w14:paraId="1EF4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60CA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</w:rPr>
              <w:t>村级网格</w:t>
            </w:r>
          </w:p>
        </w:tc>
        <w:tc>
          <w:tcPr>
            <w:tcW w:w="2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6522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</w:rPr>
              <w:t>主要责任人</w:t>
            </w:r>
          </w:p>
        </w:tc>
        <w:tc>
          <w:tcPr>
            <w:tcW w:w="28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1ACA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</w:rPr>
              <w:t>乡级监管责任人</w:t>
            </w:r>
          </w:p>
        </w:tc>
      </w:tr>
      <w:tr w14:paraId="5161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7C59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  <w:t>森工街道东兴村</w:t>
            </w:r>
          </w:p>
        </w:tc>
        <w:tc>
          <w:tcPr>
            <w:tcW w:w="2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FC62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  <w:t>何兆花</w:t>
            </w:r>
          </w:p>
        </w:tc>
        <w:tc>
          <w:tcPr>
            <w:tcW w:w="28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2542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val="en-US" w:eastAsia="zh-CN"/>
              </w:rPr>
              <w:t>张力文</w:t>
            </w:r>
          </w:p>
        </w:tc>
      </w:tr>
      <w:tr w14:paraId="4CAA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15C9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  <w:t>森工街道森工社区</w:t>
            </w:r>
          </w:p>
        </w:tc>
        <w:tc>
          <w:tcPr>
            <w:tcW w:w="2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155A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  <w:t>管荣波</w:t>
            </w:r>
          </w:p>
        </w:tc>
        <w:tc>
          <w:tcPr>
            <w:tcW w:w="28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9FDA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shd w:val="clear" w:fill="FFFFFF"/>
                <w:lang w:eastAsia="zh-CN"/>
              </w:rPr>
              <w:t>崔雪冰</w:t>
            </w:r>
          </w:p>
        </w:tc>
      </w:tr>
    </w:tbl>
    <w:p w14:paraId="3B1FCD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六、网格监管运行监督</w:t>
      </w:r>
    </w:p>
    <w:p w14:paraId="7383D78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  <w:t>（一）落实网格监管工作责任</w:t>
      </w:r>
    </w:p>
    <w:p w14:paraId="7FFCE22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建立网格内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保护监管“五定”机制，即对网格内所有污染源实行定区域、定人员、定职责、定任务、定奖惩的“五定”监管，确保网格边界清晰、责任主体明确、目标任务具体、考核评价客观，相关内容应向社会公开公示；网格内各职能部门之间要加强协调，密切配合，建立联动机制，认真履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保护监管职责。</w:t>
      </w:r>
    </w:p>
    <w:p w14:paraId="4C8057B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  <w:t>（二）明确网格工作重点</w:t>
      </w:r>
    </w:p>
    <w:p w14:paraId="1A1D80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shd w:val="clear" w:fill="FFFFFF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是加强日常巡查检查，网格责任人员要对辖区内所有排污企业、生态环境、信访案件、污染纠纷、环境安全隐患、违法建设项目、饮用水源地、自然保护区、畜禽养殖污染等定期进行巡查和监督，及时发现和制止违法行为，并向上级网格报告；二是及时调查处理，网格责任主体或相关部门接到违法行为的报告后，及时进行调查处理；三是强化沟通反馈，做好上下级网格责任主体间信息沟通。</w:t>
      </w:r>
    </w:p>
    <w:p w14:paraId="3D1F5F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  <w:t>（三）加强网格绩效考评</w:t>
      </w:r>
    </w:p>
    <w:p w14:paraId="260F14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一是加强上级监督，上级网格要督查下级网格的日常运行情况，列入考核评价内容，不断完善和优化网格化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保护监管体系；二是定期考核评价，各级网格每年对本级网格运行情况进行自评，上级网格对下级网格进行考核评价，研究改进措施，评价结果逐级上报。</w:t>
      </w:r>
    </w:p>
    <w:p w14:paraId="74ED444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七、工作要求</w:t>
      </w:r>
    </w:p>
    <w:p w14:paraId="6DF657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  <w:t>（一）加强组织领导</w:t>
      </w:r>
    </w:p>
    <w:p w14:paraId="70702D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shd w:val="clear" w:fill="FFFFFF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村、各相关职能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要高度重视，严格按照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监管网格化管理的总体要求和工作目标，成立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监管网格化管理工作领导小组，负责组织推进辖区内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监管网格化管理建立和相关工作的落实，督促指导相关部门落实网格内的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监管职责；村、各相关部门依据法律法规和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监管职责的规定，按照“属地管理”原则，要认真履行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保护监管责任，各司其职，各负其责，协调联动，密切配合，形成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监管的合力；各村、各相关部门要保障经费投入，要将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监管网格化管理工作经费列入财政预算，保证日常工作的正常开展。</w:t>
      </w:r>
    </w:p>
    <w:p w14:paraId="4469C66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  <w:t>（二）健全工作制度</w:t>
      </w:r>
    </w:p>
    <w:p w14:paraId="339B52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一要建立网格化管理制度，明确网格责任主体，细化巡查报告、调查处理、沟通反馈的具体要求和完成时限，制定工作流程，明确相关部门在网格化中的职能，出台考核评价办法及奖惩措施，保障网格的高效运转；二要建立联合执法制度，有效解决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保护重点、难点、热点问题，完善移交移送制度，有效提高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保护监管效能；三要建立信息公开和信息报告制度，及时公布网格化管理运行、网格的职责和责任人员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，以及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各个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监管事项的落实等情况。</w:t>
      </w:r>
    </w:p>
    <w:p w14:paraId="1537EA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  <w:t>（三）强化责任追究</w:t>
      </w:r>
    </w:p>
    <w:p w14:paraId="14E730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一要严格排污者主体责任，对违法排污单位要依法严肃查处，涉嫌环境犯罪的，要及时移送司法机关侦办；二要强化网格责任人和监管人员的监管责任，对失职渎职、未履行或不认真履行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监管职责，不依法查处环境违法行为，或者对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执法工作推诿扯皮，造成严重后果的，依法依纪实施问责；三要按照权责一致、能力与责任相匹配等原则，实事求是健全网格监管责任追究机制，科学合理界定追责情形与免责情形，确立尽职免责的监管规范，既要防止网格责任不清，也要防止网格责任无限过度，保护和调动网格执法主体积极性，确保网格监管持续规范、有效、到位。</w:t>
      </w:r>
    </w:p>
    <w:p w14:paraId="340399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fill="FFFFFF"/>
        </w:rPr>
        <w:t>（四）积极探索创新</w:t>
      </w:r>
    </w:p>
    <w:p w14:paraId="0CDBBF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积极支持基层网格吸纳有能力、有热情的村民成为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监管协管员或志愿者，参与网格化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监管工作。在实施网格化管理过程中，发现问题要及时梳理，认真总结工作中好经验、好做法，积极探索完善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河道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监管网格化管理的新模式。</w:t>
      </w:r>
    </w:p>
    <w:p w14:paraId="071091CA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MTY5ZWUyZDJiZjBkMWIzZGRiMTVjYjMyNWFmYjUifQ=="/>
  </w:docVars>
  <w:rsids>
    <w:rsidRoot w:val="667E6646"/>
    <w:rsid w:val="15BE100D"/>
    <w:rsid w:val="667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2784</Words>
  <Characters>2786</Characters>
  <Lines>0</Lines>
  <Paragraphs>0</Paragraphs>
  <TotalTime>1</TotalTime>
  <ScaleCrop>false</ScaleCrop>
  <LinksUpToDate>false</LinksUpToDate>
  <CharactersWithSpaces>2881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2024-06-17T02:24:00Z</dcterms:created>
  <dc:creator>Serendipity</dc:creator>
  <cp:lastModifiedBy>Serendipity</cp:lastModifiedBy>
  <dcterms:modified xsi:type="dcterms:W3CDTF">2024-06-24T02:00:09Z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CCCFA300C8B54E199574405A0D775967_11</vt:lpwstr>
  </property>
</Properties>
</file>