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firstLine="0" w:firstLineChars="0"/>
        <w:rPr>
          <w:rFonts w:ascii="Times New Roman" w:hAnsi="宋体" w:eastAsia="宋体" w:cs="Times New Roman"/>
          <w:b/>
          <w:sz w:val="48"/>
          <w:szCs w:val="48"/>
        </w:rPr>
      </w:pPr>
      <w:bookmarkStart w:id="78" w:name="_GoBack"/>
      <w:bookmarkEnd w:id="78"/>
    </w:p>
    <w:p>
      <w:pPr>
        <w:spacing w:line="480" w:lineRule="auto"/>
        <w:ind w:firstLine="0" w:firstLineChars="0"/>
        <w:rPr>
          <w:rFonts w:ascii="Times New Roman" w:hAnsi="宋体" w:eastAsia="宋体" w:cs="Times New Roman"/>
          <w:b/>
          <w:sz w:val="48"/>
          <w:szCs w:val="48"/>
        </w:rPr>
      </w:pPr>
    </w:p>
    <w:p>
      <w:pPr>
        <w:spacing w:line="480" w:lineRule="auto"/>
        <w:ind w:firstLine="0" w:firstLineChars="0"/>
        <w:rPr>
          <w:rFonts w:ascii="Times New Roman" w:hAnsi="宋体" w:eastAsia="宋体" w:cs="Times New Roman"/>
          <w:b/>
          <w:sz w:val="48"/>
          <w:szCs w:val="48"/>
        </w:rPr>
      </w:pPr>
    </w:p>
    <w:p>
      <w:pPr>
        <w:spacing w:line="760" w:lineRule="exact"/>
        <w:ind w:firstLine="0" w:firstLineChars="0"/>
        <w:jc w:val="center"/>
        <w:rPr>
          <w:rFonts w:ascii="华文中宋" w:hAnsi="华文中宋" w:eastAsia="华文中宋" w:cs="Times New Roman"/>
          <w:b/>
          <w:spacing w:val="40"/>
          <w:sz w:val="52"/>
          <w:szCs w:val="52"/>
          <w:lang w:val="zh-CN"/>
        </w:rPr>
      </w:pPr>
      <w:r>
        <w:rPr>
          <w:rFonts w:hint="eastAsia" w:ascii="华文中宋" w:hAnsi="华文中宋" w:eastAsia="华文中宋" w:cs="Times New Roman"/>
          <w:b/>
          <w:spacing w:val="40"/>
          <w:sz w:val="52"/>
          <w:szCs w:val="52"/>
          <w:lang w:val="zh-CN"/>
        </w:rPr>
        <w:t>临江市</w:t>
      </w:r>
      <w:r>
        <w:rPr>
          <w:rFonts w:ascii="华文中宋" w:hAnsi="华文中宋" w:eastAsia="华文中宋" w:cs="Times New Roman"/>
          <w:b/>
          <w:spacing w:val="40"/>
          <w:sz w:val="52"/>
          <w:szCs w:val="52"/>
          <w:lang w:val="zh-CN"/>
        </w:rPr>
        <w:t>矿产资源</w:t>
      </w:r>
      <w:r>
        <w:rPr>
          <w:rFonts w:hint="eastAsia" w:ascii="华文中宋" w:hAnsi="华文中宋" w:eastAsia="华文中宋" w:cs="Times New Roman"/>
          <w:b/>
          <w:spacing w:val="40"/>
          <w:sz w:val="52"/>
          <w:szCs w:val="52"/>
          <w:lang w:val="zh-CN"/>
        </w:rPr>
        <w:t>总体</w:t>
      </w:r>
      <w:r>
        <w:rPr>
          <w:rFonts w:ascii="华文中宋" w:hAnsi="华文中宋" w:eastAsia="华文中宋" w:cs="Times New Roman"/>
          <w:b/>
          <w:spacing w:val="40"/>
          <w:sz w:val="52"/>
          <w:szCs w:val="52"/>
          <w:lang w:val="zh-CN"/>
        </w:rPr>
        <w:t>规划</w:t>
      </w:r>
    </w:p>
    <w:p>
      <w:pPr>
        <w:spacing w:line="760" w:lineRule="exact"/>
        <w:ind w:firstLine="0" w:firstLineChars="0"/>
        <w:jc w:val="center"/>
        <w:rPr>
          <w:rFonts w:ascii="Times New Roman" w:hAnsi="Times New Roman" w:eastAsia="华文中宋" w:cs="Times New Roman"/>
          <w:sz w:val="44"/>
          <w:szCs w:val="44"/>
          <w:lang w:val="zh-CN"/>
        </w:rPr>
      </w:pPr>
      <w:r>
        <w:rPr>
          <w:rFonts w:ascii="Times New Roman" w:hAnsi="Times New Roman" w:eastAsia="华文中宋" w:cs="Times New Roman"/>
          <w:sz w:val="44"/>
          <w:szCs w:val="44"/>
          <w:lang w:val="zh-CN"/>
        </w:rPr>
        <w:t>（2021-2025年）</w:t>
      </w:r>
    </w:p>
    <w:p>
      <w:pPr>
        <w:spacing w:line="760" w:lineRule="exact"/>
        <w:ind w:firstLine="0" w:firstLineChars="0"/>
        <w:jc w:val="center"/>
        <w:rPr>
          <w:rFonts w:ascii="Times New Roman" w:hAnsi="Times New Roman" w:eastAsia="华文中宋" w:cs="Times New Roman"/>
          <w:sz w:val="44"/>
          <w:szCs w:val="44"/>
          <w:lang w:val="zh-CN"/>
        </w:rPr>
      </w:pPr>
      <w:r>
        <w:rPr>
          <w:rFonts w:hint="eastAsia" w:ascii="Times New Roman" w:hAnsi="Times New Roman" w:eastAsia="华文中宋" w:cs="Times New Roman"/>
          <w:sz w:val="44"/>
          <w:szCs w:val="44"/>
          <w:lang w:val="zh-CN"/>
        </w:rPr>
        <w:t>（送审稿）</w:t>
      </w: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560" w:firstLineChars="200"/>
        <w:rPr>
          <w:rFonts w:ascii="Times New Roman" w:hAnsi="Times New Roman" w:eastAsia="宋体" w:cs="Times New Roman"/>
          <w:sz w:val="28"/>
        </w:rPr>
      </w:pPr>
    </w:p>
    <w:p>
      <w:pPr>
        <w:spacing w:line="360" w:lineRule="auto"/>
        <w:ind w:firstLine="198" w:firstLineChars="62"/>
        <w:rPr>
          <w:rFonts w:ascii="Times New Roman" w:hAnsi="Times New Roman" w:eastAsia="宋体" w:cs="Times New Roman"/>
          <w:sz w:val="32"/>
          <w:szCs w:val="32"/>
        </w:rPr>
      </w:pPr>
    </w:p>
    <w:p>
      <w:pPr>
        <w:spacing w:line="360" w:lineRule="auto"/>
        <w:ind w:firstLine="0" w:firstLineChars="0"/>
        <w:jc w:val="center"/>
        <w:rPr>
          <w:rFonts w:ascii="Times New Roman" w:hAnsi="Times New Roman" w:eastAsia="宋体" w:cs="Times New Roman"/>
          <w:b/>
          <w:sz w:val="32"/>
          <w:szCs w:val="32"/>
        </w:rPr>
      </w:pPr>
      <w:r>
        <w:rPr>
          <w:rFonts w:ascii="Times New Roman" w:hAnsi="Times New Roman" w:eastAsia="宋体" w:cs="Times New Roman"/>
          <w:b/>
          <w:sz w:val="32"/>
          <w:szCs w:val="32"/>
        </w:rPr>
        <w:t>二〇二</w:t>
      </w:r>
      <w:r>
        <w:rPr>
          <w:rFonts w:hint="eastAsia" w:ascii="Times New Roman" w:hAnsi="Times New Roman" w:eastAsia="宋体" w:cs="Times New Roman"/>
          <w:b/>
          <w:sz w:val="32"/>
          <w:szCs w:val="32"/>
        </w:rPr>
        <w:t>三</w:t>
      </w:r>
      <w:r>
        <w:rPr>
          <w:rFonts w:ascii="Times New Roman" w:hAnsi="Times New Roman" w:eastAsia="宋体" w:cs="Times New Roman"/>
          <w:b/>
          <w:sz w:val="32"/>
          <w:szCs w:val="32"/>
        </w:rPr>
        <w:t>年</w:t>
      </w:r>
      <w:r>
        <w:rPr>
          <w:rFonts w:hint="eastAsia" w:ascii="Times New Roman" w:hAnsi="Times New Roman" w:eastAsia="宋体" w:cs="Times New Roman"/>
          <w:b/>
          <w:sz w:val="32"/>
          <w:szCs w:val="32"/>
        </w:rPr>
        <w:t>二</w:t>
      </w:r>
      <w:r>
        <w:rPr>
          <w:rFonts w:ascii="Times New Roman" w:hAnsi="Times New Roman" w:eastAsia="宋体" w:cs="Times New Roman"/>
          <w:b/>
          <w:sz w:val="32"/>
          <w:szCs w:val="32"/>
        </w:rPr>
        <w:t>月</w:t>
      </w:r>
    </w:p>
    <w:p>
      <w:pPr>
        <w:ind w:firstLine="560"/>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spacing w:line="360" w:lineRule="auto"/>
        <w:ind w:firstLine="0" w:firstLineChars="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目录</w:t>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TOC \o "1-2" \h \z \u </w:instrText>
      </w:r>
      <w:r>
        <w:rPr>
          <w:rFonts w:ascii="Calibri" w:hAnsi="Calibri" w:eastAsia="宋体" w:cs="Calibri"/>
          <w:b/>
          <w:bCs/>
          <w:caps/>
          <w:kern w:val="2"/>
          <w:sz w:val="20"/>
          <w:szCs w:val="20"/>
          <w:lang w:val="en-US" w:eastAsia="zh-CN" w:bidi="ar-SA"/>
        </w:rPr>
        <w:fldChar w:fldCharType="separate"/>
      </w: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"_Toc129074184"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总则</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_Toc129074184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1</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"_Toc129074185"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第一章</w:t>
      </w:r>
      <w:r>
        <w:rPr>
          <w:rFonts w:ascii="黑体" w:hAnsi="黑体" w:eastAsia="黑体" w:cs="Times New Roman"/>
          <w:b/>
          <w:bCs/>
          <w:caps/>
          <w:color w:val="0000FF"/>
          <w:kern w:val="2"/>
          <w:sz w:val="20"/>
          <w:szCs w:val="20"/>
          <w:u w:val="single"/>
          <w:lang w:val="en-US" w:eastAsia="zh-CN" w:bidi="ar-SA"/>
        </w:rPr>
        <w:t xml:space="preserve"> </w:t>
      </w:r>
      <w:r>
        <w:rPr>
          <w:rFonts w:hint="eastAsia" w:ascii="黑体" w:hAnsi="黑体" w:eastAsia="黑体" w:cs="Times New Roman"/>
          <w:b/>
          <w:bCs/>
          <w:caps/>
          <w:color w:val="0000FF"/>
          <w:kern w:val="2"/>
          <w:sz w:val="20"/>
          <w:szCs w:val="20"/>
          <w:u w:val="single"/>
          <w:lang w:val="en-US" w:eastAsia="zh-CN" w:bidi="ar-SA"/>
        </w:rPr>
        <w:t>现状与形势</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_Toc129074185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2</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"_Toc129074186"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第一节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经济社会发展状况</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_Toc129074186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"_Toc129074187"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第二节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矿产资源概况及主要特点</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_Toc129074187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"_Toc129074188"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第三节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上一轮规划实施成效</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_Toc129074188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4</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"_Toc129074189"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第四节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矿业发展现状及存在问题</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_Toc129074189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5</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"_Toc129074190"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第五节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形势与要求</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_Toc129074190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7</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"_Toc129074191"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第二章</w:t>
      </w:r>
      <w:r>
        <w:rPr>
          <w:rFonts w:ascii="黑体" w:hAnsi="黑体" w:eastAsia="黑体" w:cs="Times New Roman"/>
          <w:b/>
          <w:bCs/>
          <w:caps/>
          <w:color w:val="0000FF"/>
          <w:kern w:val="2"/>
          <w:sz w:val="20"/>
          <w:szCs w:val="20"/>
          <w:u w:val="single"/>
          <w:lang w:val="en-US" w:eastAsia="zh-CN" w:bidi="ar-SA"/>
        </w:rPr>
        <w:t xml:space="preserve"> </w:t>
      </w:r>
      <w:r>
        <w:rPr>
          <w:rFonts w:hint="eastAsia" w:ascii="黑体" w:hAnsi="黑体" w:eastAsia="黑体" w:cs="Times New Roman"/>
          <w:b/>
          <w:bCs/>
          <w:caps/>
          <w:color w:val="0000FF"/>
          <w:kern w:val="2"/>
          <w:sz w:val="20"/>
          <w:szCs w:val="20"/>
          <w:u w:val="single"/>
          <w:lang w:val="en-US" w:eastAsia="zh-CN" w:bidi="ar-SA"/>
        </w:rPr>
        <w:t>指导原则和目标</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_Toc129074191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8</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"_Toc129074192"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第一节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指导思想</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_Toc129074192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8</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"_Toc129074193"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第二节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基本原则</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_Toc129074193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8</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"_Toc129074194"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第三节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规划目标</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_Toc129074194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9</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"_Toc129074195"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第三章</w:t>
      </w:r>
      <w:r>
        <w:rPr>
          <w:rFonts w:ascii="黑体" w:hAnsi="黑体" w:eastAsia="黑体" w:cs="Times New Roman"/>
          <w:b/>
          <w:bCs/>
          <w:caps/>
          <w:color w:val="0000FF"/>
          <w:kern w:val="2"/>
          <w:sz w:val="20"/>
          <w:szCs w:val="20"/>
          <w:u w:val="single"/>
          <w:lang w:val="en-US" w:eastAsia="zh-CN" w:bidi="ar-SA"/>
        </w:rPr>
        <w:t xml:space="preserve"> </w:t>
      </w:r>
      <w:r>
        <w:rPr>
          <w:rFonts w:hint="eastAsia" w:ascii="黑体" w:hAnsi="黑体" w:eastAsia="黑体" w:cs="Times New Roman"/>
          <w:b/>
          <w:bCs/>
          <w:caps/>
          <w:color w:val="0000FF"/>
          <w:kern w:val="2"/>
          <w:sz w:val="20"/>
          <w:szCs w:val="20"/>
          <w:u w:val="single"/>
          <w:lang w:val="en-US" w:eastAsia="zh-CN" w:bidi="ar-SA"/>
        </w:rPr>
        <w:t>矿产勘查开发与保护布局</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_Toc129074195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12</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"_Toc129074196"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第一节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矿产资源勘查开采调控方向</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_Toc129074196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12</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"_Toc129074197"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第二节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矿产资源产业重点发展区域</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_Toc129074197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12</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"_Toc129074198"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第三节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勘查开采与保护工作布局</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_Toc129074198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13</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"_Toc129074199"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第四章</w:t>
      </w:r>
      <w:r>
        <w:rPr>
          <w:rFonts w:ascii="黑体" w:hAnsi="黑体" w:eastAsia="黑体" w:cs="Times New Roman"/>
          <w:b/>
          <w:bCs/>
          <w:caps/>
          <w:color w:val="0000FF"/>
          <w:kern w:val="2"/>
          <w:sz w:val="20"/>
          <w:szCs w:val="20"/>
          <w:u w:val="single"/>
          <w:lang w:val="en-US" w:eastAsia="zh-CN" w:bidi="ar-SA"/>
        </w:rPr>
        <w:t xml:space="preserve"> </w:t>
      </w:r>
      <w:r>
        <w:rPr>
          <w:rFonts w:hint="eastAsia" w:ascii="黑体" w:hAnsi="黑体" w:eastAsia="黑体" w:cs="Times New Roman"/>
          <w:b/>
          <w:bCs/>
          <w:caps/>
          <w:color w:val="0000FF"/>
          <w:kern w:val="2"/>
          <w:sz w:val="20"/>
          <w:szCs w:val="20"/>
          <w:u w:val="single"/>
          <w:lang w:val="en-US" w:eastAsia="zh-CN" w:bidi="ar-SA"/>
        </w:rPr>
        <w:t>矿产资源勘查开发利用与保护</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_Toc129074199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16</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"_Toc129074200"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第一节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合理确定开发强度</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_Toc129074200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16</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"_Toc129074201"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第二节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优化开发利用结构</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_Toc129074201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16</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"_Toc129074202"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第四节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严格规划准入管理</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_Toc129074202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19</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"_Toc129074203"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第五章</w:t>
      </w:r>
      <w:r>
        <w:rPr>
          <w:rFonts w:ascii="黑体" w:hAnsi="黑体" w:eastAsia="黑体" w:cs="Times New Roman"/>
          <w:b/>
          <w:bCs/>
          <w:caps/>
          <w:color w:val="0000FF"/>
          <w:kern w:val="2"/>
          <w:sz w:val="20"/>
          <w:szCs w:val="20"/>
          <w:u w:val="single"/>
          <w:lang w:val="en-US" w:eastAsia="zh-CN" w:bidi="ar-SA"/>
        </w:rPr>
        <w:t xml:space="preserve"> </w:t>
      </w:r>
      <w:r>
        <w:rPr>
          <w:rFonts w:hint="eastAsia" w:ascii="黑体" w:hAnsi="黑体" w:eastAsia="黑体" w:cs="Times New Roman"/>
          <w:b/>
          <w:bCs/>
          <w:caps/>
          <w:color w:val="0000FF"/>
          <w:kern w:val="2"/>
          <w:sz w:val="20"/>
          <w:szCs w:val="20"/>
          <w:u w:val="single"/>
          <w:lang w:val="en-US" w:eastAsia="zh-CN" w:bidi="ar-SA"/>
        </w:rPr>
        <w:t>绿色矿山建设和矿区生态保护</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_Toc129074203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21</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"_Toc129074204"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第一节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稳步推进绿色矿山建设</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_Toc129074204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21</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"_Toc129074205"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第二节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加强矿区生态保护修复</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_Toc129074205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22</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"_Toc129074206"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第六章</w:t>
      </w:r>
      <w:r>
        <w:rPr>
          <w:rFonts w:ascii="黑体" w:hAnsi="黑体" w:eastAsia="黑体" w:cs="Times New Roman"/>
          <w:b/>
          <w:bCs/>
          <w:caps/>
          <w:color w:val="0000FF"/>
          <w:kern w:val="2"/>
          <w:sz w:val="20"/>
          <w:szCs w:val="20"/>
          <w:u w:val="single"/>
          <w:lang w:val="en-US" w:eastAsia="zh-CN" w:bidi="ar-SA"/>
        </w:rPr>
        <w:t xml:space="preserve">  </w:t>
      </w:r>
      <w:r>
        <w:rPr>
          <w:rFonts w:hint="eastAsia" w:ascii="黑体" w:hAnsi="黑体" w:eastAsia="黑体" w:cs="Times New Roman"/>
          <w:b/>
          <w:bCs/>
          <w:caps/>
          <w:color w:val="0000FF"/>
          <w:kern w:val="2"/>
          <w:sz w:val="20"/>
          <w:szCs w:val="20"/>
          <w:u w:val="single"/>
          <w:lang w:val="en-US" w:eastAsia="zh-CN" w:bidi="ar-SA"/>
        </w:rPr>
        <w:t>重点项目</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_Toc129074206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24</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"_Toc129074207"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bCs/>
          <w:smallCaps/>
          <w:color w:val="0000FF"/>
          <w:kern w:val="0"/>
          <w:sz w:val="20"/>
          <w:szCs w:val="20"/>
          <w:u w:val="single"/>
          <w:lang w:val="en-US" w:eastAsia="zh-CN" w:bidi="ar-SA"/>
        </w:rPr>
        <w:t>第一节</w:t>
      </w:r>
      <w:r>
        <w:rPr>
          <w:rFonts w:ascii="华文中宋" w:hAnsi="华文中宋" w:eastAsia="华文中宋" w:cs="Times New Roman"/>
          <w:bCs/>
          <w:smallCaps/>
          <w:color w:val="0000FF"/>
          <w:kern w:val="0"/>
          <w:sz w:val="20"/>
          <w:szCs w:val="20"/>
          <w:u w:val="single"/>
          <w:lang w:val="en-US" w:eastAsia="zh-CN" w:bidi="ar-SA"/>
        </w:rPr>
        <w:t xml:space="preserve"> </w:t>
      </w:r>
      <w:r>
        <w:rPr>
          <w:rFonts w:hint="eastAsia" w:ascii="华文中宋" w:hAnsi="华文中宋" w:eastAsia="华文中宋" w:cs="Times New Roman"/>
          <w:bCs/>
          <w:smallCaps/>
          <w:color w:val="0000FF"/>
          <w:kern w:val="0"/>
          <w:sz w:val="20"/>
          <w:szCs w:val="20"/>
          <w:u w:val="single"/>
          <w:lang w:val="en-US" w:eastAsia="zh-CN" w:bidi="ar-SA"/>
        </w:rPr>
        <w:t>矿产资源勘查工程</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_Toc129074207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24</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"_Toc129074208"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bCs/>
          <w:smallCaps/>
          <w:color w:val="0000FF"/>
          <w:kern w:val="0"/>
          <w:sz w:val="20"/>
          <w:szCs w:val="20"/>
          <w:u w:val="single"/>
          <w:lang w:val="en-US" w:eastAsia="zh-CN" w:bidi="ar-SA"/>
        </w:rPr>
        <w:t>第二节</w:t>
      </w:r>
      <w:r>
        <w:rPr>
          <w:rFonts w:ascii="华文中宋" w:hAnsi="华文中宋" w:eastAsia="华文中宋" w:cs="Times New Roman"/>
          <w:bCs/>
          <w:smallCaps/>
          <w:color w:val="0000FF"/>
          <w:kern w:val="0"/>
          <w:sz w:val="20"/>
          <w:szCs w:val="20"/>
          <w:u w:val="single"/>
          <w:lang w:val="en-US" w:eastAsia="zh-CN" w:bidi="ar-SA"/>
        </w:rPr>
        <w:t xml:space="preserve"> </w:t>
      </w:r>
      <w:r>
        <w:rPr>
          <w:rFonts w:hint="eastAsia" w:ascii="华文中宋" w:hAnsi="华文中宋" w:eastAsia="华文中宋" w:cs="Times New Roman"/>
          <w:bCs/>
          <w:smallCaps/>
          <w:color w:val="0000FF"/>
          <w:kern w:val="0"/>
          <w:sz w:val="20"/>
          <w:szCs w:val="20"/>
          <w:u w:val="single"/>
          <w:lang w:val="en-US" w:eastAsia="zh-CN" w:bidi="ar-SA"/>
        </w:rPr>
        <w:t>矿产资源节约与利用工程</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_Toc129074208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24</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Times New Roman"/>
          <w:b/>
          <w:bCs/>
          <w:caps/>
          <w:kern w:val="2"/>
          <w:sz w:val="21"/>
          <w:szCs w:val="22"/>
          <w:lang w:val="en-US" w:eastAsia="zh-CN" w:bidi="ar-SA"/>
        </w:rPr>
      </w:pPr>
      <w:r>
        <w:rPr>
          <w:rFonts w:ascii="Calibri" w:hAnsi="Calibri" w:eastAsia="宋体" w:cs="Calibri"/>
          <w:b/>
          <w:bCs/>
          <w:caps/>
          <w:kern w:val="2"/>
          <w:sz w:val="20"/>
          <w:szCs w:val="20"/>
          <w:lang w:val="en-US" w:eastAsia="zh-CN" w:bidi="ar-SA"/>
        </w:rPr>
        <w:fldChar w:fldCharType="begin"/>
      </w:r>
      <w:r>
        <w:rPr>
          <w:rFonts w:ascii="Calibri" w:hAnsi="Calibri" w:eastAsia="宋体" w:cs="Calibri"/>
          <w:b/>
          <w:bCs/>
          <w:caps/>
          <w:kern w:val="2"/>
          <w:sz w:val="20"/>
          <w:szCs w:val="20"/>
          <w:lang w:val="en-US" w:eastAsia="zh-CN" w:bidi="ar-SA"/>
        </w:rPr>
        <w:instrText xml:space="preserve"> HYPERLINK \l "_Toc129074209" </w:instrText>
      </w:r>
      <w:r>
        <w:rPr>
          <w:rFonts w:ascii="Calibri" w:hAnsi="Calibri" w:eastAsia="宋体" w:cs="Calibri"/>
          <w:b/>
          <w:bCs/>
          <w:caps/>
          <w:kern w:val="2"/>
          <w:sz w:val="20"/>
          <w:szCs w:val="20"/>
          <w:lang w:val="en-US" w:eastAsia="zh-CN" w:bidi="ar-SA"/>
        </w:rPr>
        <w:fldChar w:fldCharType="separate"/>
      </w:r>
      <w:r>
        <w:rPr>
          <w:rFonts w:hint="eastAsia" w:ascii="黑体" w:hAnsi="黑体" w:eastAsia="黑体" w:cs="Times New Roman"/>
          <w:b/>
          <w:bCs/>
          <w:caps/>
          <w:color w:val="0000FF"/>
          <w:kern w:val="2"/>
          <w:sz w:val="20"/>
          <w:szCs w:val="20"/>
          <w:u w:val="single"/>
          <w:lang w:val="en-US" w:eastAsia="zh-CN" w:bidi="ar-SA"/>
        </w:rPr>
        <w:t>第七章</w:t>
      </w:r>
      <w:r>
        <w:rPr>
          <w:rFonts w:ascii="黑体" w:hAnsi="黑体" w:eastAsia="黑体" w:cs="Times New Roman"/>
          <w:b/>
          <w:bCs/>
          <w:caps/>
          <w:color w:val="0000FF"/>
          <w:kern w:val="2"/>
          <w:sz w:val="20"/>
          <w:szCs w:val="20"/>
          <w:u w:val="single"/>
          <w:lang w:val="en-US" w:eastAsia="zh-CN" w:bidi="ar-SA"/>
        </w:rPr>
        <w:t xml:space="preserve"> </w:t>
      </w:r>
      <w:r>
        <w:rPr>
          <w:rFonts w:hint="eastAsia" w:ascii="黑体" w:hAnsi="黑体" w:eastAsia="黑体" w:cs="Times New Roman"/>
          <w:b/>
          <w:bCs/>
          <w:caps/>
          <w:color w:val="0000FF"/>
          <w:kern w:val="2"/>
          <w:sz w:val="20"/>
          <w:szCs w:val="20"/>
          <w:u w:val="single"/>
          <w:lang w:val="en-US" w:eastAsia="zh-CN" w:bidi="ar-SA"/>
        </w:rPr>
        <w:t>规划保障措施</w:t>
      </w:r>
      <w:r>
        <w:rPr>
          <w:rFonts w:ascii="Calibri" w:hAnsi="Calibri" w:eastAsia="宋体" w:cs="Calibri"/>
          <w:b/>
          <w:bCs/>
          <w:caps/>
          <w:kern w:val="2"/>
          <w:sz w:val="20"/>
          <w:szCs w:val="20"/>
          <w:lang w:val="en-US" w:eastAsia="zh-CN" w:bidi="ar-SA"/>
        </w:rPr>
        <w:tab/>
      </w:r>
      <w:r>
        <w:rPr>
          <w:rFonts w:ascii="Calibri" w:hAnsi="Calibri" w:eastAsia="宋体" w:cs="Times New Roman"/>
          <w:b/>
          <w:bCs/>
          <w:caps/>
          <w:color w:val="0000FF"/>
          <w:kern w:val="2"/>
          <w:sz w:val="20"/>
          <w:szCs w:val="20"/>
          <w:u w:val="single"/>
          <w:lang w:val="en-US" w:eastAsia="zh-CN" w:bidi="ar-SA"/>
        </w:rPr>
        <w:fldChar w:fldCharType="begin"/>
      </w:r>
      <w:r>
        <w:rPr>
          <w:rFonts w:ascii="Calibri" w:hAnsi="Calibri" w:eastAsia="宋体" w:cs="Calibri"/>
          <w:b/>
          <w:bCs/>
          <w:caps/>
          <w:kern w:val="2"/>
          <w:sz w:val="20"/>
          <w:szCs w:val="20"/>
          <w:lang w:val="en-US" w:eastAsia="zh-CN" w:bidi="ar-SA"/>
        </w:rPr>
        <w:instrText xml:space="preserve"> PAGEREF _Toc129074209 \h </w:instrText>
      </w:r>
      <w:r>
        <w:rPr>
          <w:rFonts w:ascii="Calibri" w:hAnsi="Calibri" w:eastAsia="宋体" w:cs="Times New Roman"/>
          <w:b/>
          <w:bCs/>
          <w:caps/>
          <w:color w:val="0000FF"/>
          <w:kern w:val="2"/>
          <w:sz w:val="20"/>
          <w:szCs w:val="20"/>
          <w:u w:val="single"/>
          <w:lang w:val="en-US" w:eastAsia="zh-CN" w:bidi="ar-SA"/>
        </w:rPr>
        <w:fldChar w:fldCharType="separate"/>
      </w:r>
      <w:r>
        <w:rPr>
          <w:rFonts w:ascii="Calibri" w:hAnsi="Calibri" w:eastAsia="宋体" w:cs="Calibri"/>
          <w:b/>
          <w:bCs/>
          <w:caps/>
          <w:kern w:val="2"/>
          <w:sz w:val="20"/>
          <w:szCs w:val="20"/>
          <w:lang w:val="en-US" w:eastAsia="zh-CN" w:bidi="ar-SA"/>
        </w:rPr>
        <w:t>25</w:t>
      </w:r>
      <w:r>
        <w:rPr>
          <w:rFonts w:ascii="Calibri" w:hAnsi="Calibri" w:eastAsia="宋体" w:cs="Times New Roman"/>
          <w:b/>
          <w:bCs/>
          <w:caps/>
          <w:color w:val="0000FF"/>
          <w:kern w:val="2"/>
          <w:sz w:val="20"/>
          <w:szCs w:val="20"/>
          <w:u w:val="single"/>
          <w:lang w:val="en-US" w:eastAsia="zh-CN" w:bidi="ar-SA"/>
        </w:rPr>
        <w:fldChar w:fldCharType="end"/>
      </w:r>
      <w:r>
        <w:rPr>
          <w:rFonts w:ascii="Calibri" w:hAnsi="Calibri" w:eastAsia="宋体" w:cs="Times New Roman"/>
          <w:b/>
          <w:bCs/>
          <w: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"_Toc129074210"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第一节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落实规划实施目标责任考核制度</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_Toc129074210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25</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"_Toc129074211"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第二节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健全完善规划实施评估调整机制</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_Toc129074211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25</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"_Toc129074212"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第三节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切实加强规划实施情况监督检查</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_Toc129074212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25</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line="276" w:lineRule="auto"/>
        <w:ind w:firstLine="426" w:firstLineChars="213"/>
        <w:jc w:val="both"/>
        <w:rPr>
          <w:rFonts w:ascii="Calibri" w:hAnsi="Calibri" w:eastAsia="宋体" w:cs="Times New Roman"/>
          <w:smallCaps w:val="0"/>
          <w:kern w:val="2"/>
          <w:sz w:val="21"/>
          <w:szCs w:val="22"/>
          <w:lang w:val="en-US" w:eastAsia="zh-CN" w:bidi="ar-SA"/>
        </w:rPr>
      </w:pPr>
      <w:r>
        <w:rPr>
          <w:rFonts w:ascii="Calibri" w:hAnsi="Calibri" w:eastAsia="宋体" w:cs="Calibri"/>
          <w:smallCaps/>
          <w:kern w:val="2"/>
          <w:sz w:val="20"/>
          <w:szCs w:val="20"/>
          <w:lang w:val="en-US" w:eastAsia="zh-CN" w:bidi="ar-SA"/>
        </w:rPr>
        <w:fldChar w:fldCharType="begin"/>
      </w:r>
      <w:r>
        <w:rPr>
          <w:rFonts w:ascii="Calibri" w:hAnsi="Calibri" w:eastAsia="宋体" w:cs="Calibri"/>
          <w:smallCaps/>
          <w:kern w:val="2"/>
          <w:sz w:val="20"/>
          <w:szCs w:val="20"/>
          <w:lang w:val="en-US" w:eastAsia="zh-CN" w:bidi="ar-SA"/>
        </w:rPr>
        <w:instrText xml:space="preserve"> HYPERLINK \l "_Toc129074213" </w:instrText>
      </w:r>
      <w:r>
        <w:rPr>
          <w:rFonts w:ascii="Calibri" w:hAnsi="Calibri" w:eastAsia="宋体" w:cs="Calibri"/>
          <w:smallCaps/>
          <w:kern w:val="2"/>
          <w:sz w:val="20"/>
          <w:szCs w:val="20"/>
          <w:lang w:val="en-US" w:eastAsia="zh-CN" w:bidi="ar-SA"/>
        </w:rPr>
        <w:fldChar w:fldCharType="separate"/>
      </w:r>
      <w:r>
        <w:rPr>
          <w:rFonts w:hint="eastAsia" w:ascii="华文中宋" w:hAnsi="华文中宋" w:eastAsia="华文中宋" w:cs="Times New Roman"/>
          <w:smallCaps/>
          <w:color w:val="0000FF"/>
          <w:kern w:val="0"/>
          <w:sz w:val="20"/>
          <w:szCs w:val="20"/>
          <w:u w:val="single"/>
          <w:lang w:val="en-US" w:eastAsia="zh-CN" w:bidi="ar-SA"/>
        </w:rPr>
        <w:t>第四节</w:t>
      </w:r>
      <w:r>
        <w:rPr>
          <w:rFonts w:ascii="华文中宋" w:hAnsi="华文中宋" w:eastAsia="华文中宋" w:cs="Times New Roman"/>
          <w:smallCaps/>
          <w:color w:val="0000FF"/>
          <w:kern w:val="0"/>
          <w:sz w:val="20"/>
          <w:szCs w:val="20"/>
          <w:u w:val="single"/>
          <w:lang w:val="en-US" w:eastAsia="zh-CN" w:bidi="ar-SA"/>
        </w:rPr>
        <w:t xml:space="preserve"> </w:t>
      </w:r>
      <w:r>
        <w:rPr>
          <w:rFonts w:hint="eastAsia" w:ascii="华文中宋" w:hAnsi="华文中宋" w:eastAsia="华文中宋" w:cs="Times New Roman"/>
          <w:smallCaps/>
          <w:color w:val="0000FF"/>
          <w:kern w:val="0"/>
          <w:sz w:val="20"/>
          <w:szCs w:val="20"/>
          <w:u w:val="single"/>
          <w:lang w:val="en-US" w:eastAsia="zh-CN" w:bidi="ar-SA"/>
        </w:rPr>
        <w:t>进一步提高规划管理信息化水平</w:t>
      </w:r>
      <w:r>
        <w:rPr>
          <w:rFonts w:ascii="Calibri" w:hAnsi="Calibri" w:eastAsia="宋体" w:cs="Calibri"/>
          <w:smallCaps/>
          <w:kern w:val="2"/>
          <w:sz w:val="20"/>
          <w:szCs w:val="20"/>
          <w:lang w:val="en-US" w:eastAsia="zh-CN" w:bidi="ar-SA"/>
        </w:rPr>
        <w:tab/>
      </w:r>
      <w:r>
        <w:rPr>
          <w:rFonts w:ascii="Calibri" w:hAnsi="Calibri" w:eastAsia="宋体" w:cs="Times New Roman"/>
          <w:smallCaps/>
          <w:color w:val="0000FF"/>
          <w:kern w:val="2"/>
          <w:sz w:val="20"/>
          <w:szCs w:val="20"/>
          <w:u w:val="single"/>
          <w:lang w:val="en-US" w:eastAsia="zh-CN" w:bidi="ar-SA"/>
        </w:rPr>
        <w:fldChar w:fldCharType="begin"/>
      </w:r>
      <w:r>
        <w:rPr>
          <w:rFonts w:ascii="Calibri" w:hAnsi="Calibri" w:eastAsia="宋体" w:cs="Calibri"/>
          <w:smallCaps/>
          <w:kern w:val="2"/>
          <w:sz w:val="20"/>
          <w:szCs w:val="20"/>
          <w:lang w:val="en-US" w:eastAsia="zh-CN" w:bidi="ar-SA"/>
        </w:rPr>
        <w:instrText xml:space="preserve"> PAGEREF _Toc129074213 \h </w:instrText>
      </w:r>
      <w:r>
        <w:rPr>
          <w:rFonts w:ascii="Calibri" w:hAnsi="Calibri" w:eastAsia="宋体" w:cs="Times New Roman"/>
          <w:smallCaps/>
          <w:color w:val="0000FF"/>
          <w:kern w:val="2"/>
          <w:sz w:val="20"/>
          <w:szCs w:val="20"/>
          <w:u w:val="single"/>
          <w:lang w:val="en-US" w:eastAsia="zh-CN" w:bidi="ar-SA"/>
        </w:rPr>
        <w:fldChar w:fldCharType="separate"/>
      </w:r>
      <w:r>
        <w:rPr>
          <w:rFonts w:ascii="Calibri" w:hAnsi="Calibri" w:eastAsia="宋体" w:cs="Calibri"/>
          <w:smallCaps/>
          <w:kern w:val="2"/>
          <w:sz w:val="20"/>
          <w:szCs w:val="20"/>
          <w:lang w:val="en-US" w:eastAsia="zh-CN" w:bidi="ar-SA"/>
        </w:rPr>
        <w:t>26</w:t>
      </w:r>
      <w:r>
        <w:rPr>
          <w:rFonts w:ascii="Calibri" w:hAnsi="Calibri" w:eastAsia="宋体" w:cs="Times New Roman"/>
          <w:smallCaps/>
          <w:color w:val="0000FF"/>
          <w:kern w:val="2"/>
          <w:sz w:val="20"/>
          <w:szCs w:val="20"/>
          <w:u w:val="single"/>
          <w:lang w:val="en-US" w:eastAsia="zh-CN" w:bidi="ar-SA"/>
        </w:rPr>
        <w:fldChar w:fldCharType="end"/>
      </w:r>
      <w:r>
        <w:rPr>
          <w:rFonts w:ascii="Calibri" w:hAnsi="Calibri" w:eastAsia="宋体" w:cs="Times New Roman"/>
          <w:smallCaps/>
          <w:color w:val="0000FF"/>
          <w:kern w:val="2"/>
          <w:sz w:val="20"/>
          <w:szCs w:val="20"/>
          <w:u w:val="single"/>
          <w:lang w:val="en-US" w:eastAsia="zh-CN" w:bidi="ar-SA"/>
        </w:rPr>
        <w:fldChar w:fldCharType="end"/>
      </w:r>
    </w:p>
    <w:p>
      <w:pPr>
        <w:widowControl w:val="0"/>
        <w:tabs>
          <w:tab w:val="right" w:leader="middleDot" w:pos="8296"/>
        </w:tabs>
        <w:spacing w:before="120" w:after="120" w:line="276" w:lineRule="auto"/>
        <w:ind w:firstLine="0" w:firstLineChars="0"/>
        <w:jc w:val="left"/>
        <w:rPr>
          <w:rFonts w:ascii="Calibri" w:hAnsi="Calibri" w:eastAsia="宋体" w:cs="Calibri"/>
          <w:b/>
          <w:bCs/>
          <w:caps/>
          <w:kern w:val="2"/>
          <w:sz w:val="22"/>
          <w:szCs w:val="20"/>
          <w:lang w:val="en-US" w:eastAsia="zh-CN" w:bidi="ar-SA"/>
        </w:rPr>
      </w:pPr>
      <w:r>
        <w:rPr>
          <w:rFonts w:ascii="Calibri" w:hAnsi="Calibri" w:eastAsia="宋体" w:cs="Calibri"/>
          <w:b/>
          <w:bCs/>
          <w:caps/>
          <w:kern w:val="2"/>
          <w:sz w:val="20"/>
          <w:szCs w:val="20"/>
          <w:lang w:val="en-US" w:eastAsia="zh-CN" w:bidi="ar-SA"/>
        </w:rPr>
        <w:fldChar w:fldCharType="end"/>
      </w:r>
    </w:p>
    <w:p>
      <w:pPr>
        <w:ind w:firstLine="0" w:firstLineChars="0"/>
        <w:rPr>
          <w:sz w:val="36"/>
        </w:rPr>
        <w:sectPr>
          <w:pgSz w:w="11906" w:h="16838"/>
          <w:pgMar w:top="1440" w:right="1800" w:bottom="1440" w:left="1800" w:header="851" w:footer="992" w:gutter="0"/>
          <w:cols w:space="425" w:num="1"/>
          <w:docGrid w:type="lines" w:linePitch="312" w:charSpace="0"/>
        </w:sectPr>
      </w:pPr>
    </w:p>
    <w:p>
      <w:pPr>
        <w:spacing w:line="360" w:lineRule="auto"/>
        <w:ind w:firstLine="0" w:firstLineChars="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附图目录</w:t>
      </w:r>
    </w:p>
    <w:p>
      <w:pPr>
        <w:spacing w:line="360" w:lineRule="auto"/>
        <w:ind w:firstLine="0" w:firstLineChars="0"/>
        <w:rPr>
          <w:rFonts w:ascii="Times New Roman" w:hAnsi="Times New Roman" w:eastAsia="宋体" w:cs="Times New Roman"/>
          <w:sz w:val="28"/>
        </w:rPr>
      </w:pPr>
      <w:r>
        <w:rPr>
          <w:rFonts w:hint="eastAsia" w:ascii="Times New Roman" w:hAnsi="Times New Roman" w:eastAsia="宋体" w:cs="Times New Roman"/>
          <w:sz w:val="28"/>
        </w:rPr>
        <w:t>附图1：临江市矿产资源分布图</w:t>
      </w:r>
    </w:p>
    <w:p>
      <w:pPr>
        <w:spacing w:line="360" w:lineRule="auto"/>
        <w:ind w:firstLine="0" w:firstLineChars="0"/>
        <w:rPr>
          <w:rFonts w:ascii="Times New Roman" w:hAnsi="Times New Roman" w:eastAsia="宋体" w:cs="Times New Roman"/>
          <w:sz w:val="28"/>
        </w:rPr>
      </w:pPr>
      <w:r>
        <w:rPr>
          <w:rFonts w:hint="eastAsia" w:ascii="Times New Roman" w:hAnsi="Times New Roman" w:eastAsia="宋体" w:cs="Times New Roman"/>
          <w:sz w:val="28"/>
        </w:rPr>
        <w:t>附图2：临江市矿产资源勘查开发利用现状图</w:t>
      </w:r>
    </w:p>
    <w:p>
      <w:pPr>
        <w:spacing w:line="360" w:lineRule="auto"/>
        <w:ind w:firstLine="0" w:firstLineChars="0"/>
        <w:rPr>
          <w:rFonts w:ascii="Times New Roman" w:hAnsi="Times New Roman" w:eastAsia="宋体" w:cs="Times New Roman"/>
          <w:sz w:val="28"/>
        </w:rPr>
      </w:pPr>
      <w:r>
        <w:rPr>
          <w:rFonts w:hint="eastAsia" w:ascii="Times New Roman" w:hAnsi="Times New Roman" w:eastAsia="宋体" w:cs="Times New Roman"/>
          <w:sz w:val="28"/>
        </w:rPr>
        <w:t>附图3：临江市矿产资源勘查规划图</w:t>
      </w:r>
    </w:p>
    <w:p>
      <w:pPr>
        <w:spacing w:line="360" w:lineRule="auto"/>
        <w:ind w:firstLine="0" w:firstLineChars="0"/>
        <w:rPr>
          <w:rFonts w:ascii="Times New Roman" w:hAnsi="Times New Roman" w:eastAsia="宋体" w:cs="Times New Roman"/>
          <w:sz w:val="28"/>
        </w:rPr>
      </w:pPr>
      <w:r>
        <w:rPr>
          <w:rFonts w:hint="eastAsia" w:ascii="Times New Roman" w:hAnsi="Times New Roman" w:eastAsia="宋体" w:cs="Times New Roman"/>
          <w:sz w:val="28"/>
        </w:rPr>
        <w:t>附图4：临江市矿产资源开采规划图</w:t>
      </w:r>
    </w:p>
    <w:p>
      <w:pPr>
        <w:spacing w:line="360" w:lineRule="auto"/>
        <w:ind w:firstLine="0" w:firstLineChars="0"/>
        <w:rPr>
          <w:rFonts w:ascii="Times New Roman" w:hAnsi="Times New Roman" w:eastAsia="宋体" w:cs="Times New Roman"/>
          <w:sz w:val="28"/>
        </w:rPr>
      </w:pPr>
    </w:p>
    <w:p>
      <w:pPr>
        <w:spacing w:line="360" w:lineRule="auto"/>
        <w:ind w:firstLine="0" w:firstLineChars="0"/>
        <w:rPr>
          <w:rFonts w:ascii="Times New Roman" w:hAnsi="Times New Roman" w:eastAsia="宋体" w:cs="Times New Roman"/>
          <w:sz w:val="28"/>
        </w:rPr>
      </w:pPr>
    </w:p>
    <w:p>
      <w:pPr>
        <w:spacing w:line="360" w:lineRule="auto"/>
        <w:ind w:firstLine="0" w:firstLineChars="0"/>
        <w:rPr>
          <w:rFonts w:ascii="Times New Roman" w:hAnsi="Times New Roman" w:eastAsia="宋体" w:cs="Times New Roman"/>
          <w:sz w:val="28"/>
        </w:rPr>
      </w:pPr>
    </w:p>
    <w:p>
      <w:pPr>
        <w:spacing w:line="360" w:lineRule="auto"/>
        <w:ind w:firstLine="0" w:firstLineChars="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附表目录</w:t>
      </w:r>
    </w:p>
    <w:p>
      <w:pPr>
        <w:spacing w:line="360" w:lineRule="auto"/>
        <w:ind w:firstLine="0" w:firstLineChars="0"/>
        <w:rPr>
          <w:rFonts w:ascii="Times New Roman" w:hAnsi="Times New Roman" w:eastAsia="宋体" w:cs="Times New Roman"/>
          <w:color w:val="000000"/>
          <w:sz w:val="28"/>
        </w:rPr>
      </w:pPr>
      <w:r>
        <w:rPr>
          <w:rFonts w:hint="eastAsia" w:ascii="Times New Roman" w:hAnsi="Times New Roman" w:eastAsia="宋体" w:cs="Times New Roman"/>
          <w:color w:val="000000"/>
          <w:sz w:val="28"/>
        </w:rPr>
        <w:t>附表1：临江市矿产资源重点勘查区表</w:t>
      </w:r>
    </w:p>
    <w:p>
      <w:pPr>
        <w:spacing w:line="360" w:lineRule="auto"/>
        <w:ind w:firstLine="0" w:firstLineChars="0"/>
        <w:rPr>
          <w:rFonts w:ascii="Times New Roman" w:hAnsi="Times New Roman" w:eastAsia="宋体" w:cs="Times New Roman"/>
          <w:color w:val="000000"/>
          <w:sz w:val="28"/>
        </w:rPr>
      </w:pPr>
      <w:r>
        <w:rPr>
          <w:rFonts w:hint="eastAsia" w:ascii="Times New Roman" w:hAnsi="Times New Roman" w:eastAsia="宋体" w:cs="Times New Roman"/>
          <w:color w:val="000000"/>
          <w:sz w:val="28"/>
        </w:rPr>
        <w:t>附表2：临江市勘查规划区块表</w:t>
      </w:r>
    </w:p>
    <w:p>
      <w:pPr>
        <w:spacing w:line="360" w:lineRule="auto"/>
        <w:ind w:firstLine="0" w:firstLineChars="0"/>
        <w:rPr>
          <w:rFonts w:ascii="Times New Roman" w:hAnsi="Times New Roman" w:eastAsia="宋体" w:cs="Times New Roman"/>
          <w:color w:val="000000"/>
          <w:sz w:val="28"/>
        </w:rPr>
      </w:pPr>
      <w:r>
        <w:rPr>
          <w:rFonts w:hint="eastAsia" w:ascii="Times New Roman" w:hAnsi="Times New Roman" w:eastAsia="宋体" w:cs="Times New Roman"/>
          <w:color w:val="000000"/>
          <w:sz w:val="28"/>
        </w:rPr>
        <w:t>附表3：临江市矿产资源重点开采区表</w:t>
      </w:r>
    </w:p>
    <w:p>
      <w:pPr>
        <w:spacing w:line="360" w:lineRule="auto"/>
        <w:ind w:firstLine="0" w:firstLineChars="0"/>
        <w:rPr>
          <w:rFonts w:ascii="Times New Roman" w:hAnsi="Times New Roman" w:eastAsia="宋体" w:cs="Times New Roman"/>
          <w:color w:val="000000"/>
          <w:sz w:val="28"/>
        </w:rPr>
      </w:pPr>
      <w:r>
        <w:rPr>
          <w:rFonts w:hint="eastAsia" w:ascii="Times New Roman" w:hAnsi="Times New Roman" w:eastAsia="宋体" w:cs="Times New Roman"/>
          <w:color w:val="000000"/>
          <w:sz w:val="28"/>
        </w:rPr>
        <w:t>附表4：临江市开采规划区块表</w:t>
      </w:r>
    </w:p>
    <w:p>
      <w:pPr>
        <w:spacing w:line="360" w:lineRule="auto"/>
        <w:ind w:firstLine="0" w:firstLineChars="0"/>
        <w:rPr>
          <w:rFonts w:ascii="Times New Roman" w:hAnsi="Times New Roman" w:eastAsia="宋体" w:cs="Times New Roman"/>
          <w:color w:val="000000"/>
          <w:sz w:val="28"/>
        </w:rPr>
      </w:pPr>
      <w:r>
        <w:rPr>
          <w:rFonts w:hint="eastAsia" w:ascii="Times New Roman" w:hAnsi="Times New Roman" w:eastAsia="宋体" w:cs="Times New Roman"/>
          <w:color w:val="000000"/>
          <w:sz w:val="28"/>
        </w:rPr>
        <w:t>附表5：临江市重点矿种矿山最低开采规模规划表</w:t>
      </w:r>
    </w:p>
    <w:p>
      <w:pPr>
        <w:ind w:firstLine="0" w:firstLineChars="0"/>
        <w:sectPr>
          <w:pgSz w:w="11906" w:h="16838"/>
          <w:pgMar w:top="1440" w:right="1800" w:bottom="1440" w:left="1800" w:header="851" w:footer="992" w:gutter="0"/>
          <w:cols w:space="425" w:num="1"/>
          <w:docGrid w:type="lines" w:linePitch="312" w:charSpace="0"/>
        </w:sectPr>
      </w:pPr>
    </w:p>
    <w:p>
      <w:pPr>
        <w:pageBreakBefore/>
        <w:spacing w:beforeLines="50" w:afterLines="50" w:line="600" w:lineRule="exact"/>
        <w:ind w:firstLine="0" w:firstLineChars="0"/>
        <w:jc w:val="center"/>
        <w:outlineLvl w:val="0"/>
        <w:rPr>
          <w:rFonts w:ascii="黑体" w:hAnsi="黑体" w:eastAsia="黑体" w:cs="Times New Roman"/>
          <w:b/>
          <w:bCs/>
          <w:color w:val="000000"/>
          <w:sz w:val="36"/>
          <w:szCs w:val="36"/>
        </w:rPr>
      </w:pPr>
      <w:bookmarkStart w:id="0" w:name="_Toc129074184"/>
      <w:bookmarkStart w:id="1" w:name="_Hlk101957605"/>
      <w:r>
        <w:rPr>
          <w:rFonts w:hint="eastAsia" w:ascii="黑体" w:hAnsi="黑体" w:eastAsia="黑体" w:cs="Times New Roman"/>
          <w:b/>
          <w:bCs/>
          <w:color w:val="000000"/>
          <w:sz w:val="36"/>
          <w:szCs w:val="36"/>
        </w:rPr>
        <w:t>总则</w:t>
      </w:r>
      <w:bookmarkEnd w:id="0"/>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为统筹部署临江市“十四五”时期矿产资源勘查、开发利用与保护工作，按照《自然资源部关于全面开展矿产资源规划（2021-2025年）编制工作的通知》和《吉林省自然资源厅关于做好矿产资源规划（2021-2025年）编制工作的通知》等要求，依据《中华人民共和国矿产资源法》《矿产资源规划编制实施办法》《白山市矿产资源总体规划（2021-2025年）》《临江市国民经济和社会发展第十四个五年规划及2035年远景目标纲要》《临江市国土空间规划</w:t>
      </w:r>
      <w:r>
        <w:rPr>
          <w:rFonts w:ascii="仿宋" w:hAnsi="仿宋" w:eastAsia="仿宋" w:cs="Times New Roman"/>
          <w:sz w:val="30"/>
          <w:szCs w:val="30"/>
        </w:rPr>
        <w:t>（20</w:t>
      </w:r>
      <w:r>
        <w:rPr>
          <w:rFonts w:hint="eastAsia" w:ascii="仿宋" w:hAnsi="仿宋" w:eastAsia="仿宋" w:cs="Times New Roman"/>
          <w:sz w:val="30"/>
          <w:szCs w:val="30"/>
        </w:rPr>
        <w:t>21-</w:t>
      </w:r>
      <w:r>
        <w:rPr>
          <w:rFonts w:ascii="仿宋" w:hAnsi="仿宋" w:eastAsia="仿宋" w:cs="Times New Roman"/>
          <w:sz w:val="30"/>
          <w:szCs w:val="30"/>
        </w:rPr>
        <w:t>20</w:t>
      </w:r>
      <w:r>
        <w:rPr>
          <w:rFonts w:hint="eastAsia" w:ascii="仿宋" w:hAnsi="仿宋" w:eastAsia="仿宋" w:cs="Times New Roman"/>
          <w:sz w:val="30"/>
          <w:szCs w:val="30"/>
        </w:rPr>
        <w:t>35</w:t>
      </w:r>
      <w:r>
        <w:rPr>
          <w:rFonts w:ascii="仿宋" w:hAnsi="仿宋" w:eastAsia="仿宋" w:cs="Times New Roman"/>
          <w:sz w:val="30"/>
          <w:szCs w:val="30"/>
        </w:rPr>
        <w:t>年）</w:t>
      </w:r>
      <w:r>
        <w:rPr>
          <w:rFonts w:hint="eastAsia" w:ascii="仿宋" w:hAnsi="仿宋" w:eastAsia="仿宋" w:cs="Times New Roman"/>
          <w:sz w:val="30"/>
          <w:szCs w:val="30"/>
        </w:rPr>
        <w:t>》和</w:t>
      </w:r>
      <w:r>
        <w:rPr>
          <w:rFonts w:ascii="仿宋" w:hAnsi="仿宋" w:eastAsia="仿宋" w:cs="Times New Roman"/>
          <w:sz w:val="30"/>
          <w:szCs w:val="30"/>
        </w:rPr>
        <w:t>《市县级矿产资源总体规划编制要点</w:t>
      </w:r>
      <w:r>
        <w:rPr>
          <w:rFonts w:ascii="仿宋" w:hAnsi="仿宋" w:eastAsia="仿宋" w:cs="Times New Roman"/>
          <w:color w:val="000000"/>
          <w:sz w:val="30"/>
          <w:szCs w:val="30"/>
        </w:rPr>
        <w:t>》</w:t>
      </w:r>
      <w:r>
        <w:rPr>
          <w:rFonts w:hint="eastAsia" w:ascii="仿宋" w:hAnsi="仿宋" w:eastAsia="仿宋" w:cs="Times New Roman"/>
          <w:sz w:val="30"/>
          <w:szCs w:val="30"/>
        </w:rPr>
        <w:t>等法律法规、规范性文件和《临江市矿产资源规划（2016-2020年）》，结合相关产业政策和技术标准，编制《临江市矿产资源总体规划（2021-2025年）》（以下简称《规划》）。</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《规划》是</w:t>
      </w:r>
      <w:r>
        <w:rPr>
          <w:rFonts w:ascii="仿宋" w:hAnsi="仿宋" w:eastAsia="仿宋" w:cs="Times New Roman"/>
          <w:sz w:val="30"/>
          <w:szCs w:val="30"/>
        </w:rPr>
        <w:t>矿产资源规划</w:t>
      </w:r>
      <w:r>
        <w:rPr>
          <w:rFonts w:hint="eastAsia" w:ascii="仿宋" w:hAnsi="仿宋" w:eastAsia="仿宋" w:cs="Times New Roman"/>
          <w:sz w:val="30"/>
          <w:szCs w:val="30"/>
        </w:rPr>
        <w:t>体系的重要组成部分，是临江市加强和改善矿产资源宏观管理的重要手段，是依法审批和监督管理地质勘查、矿产资源开发利用和保护活动的重要依据。涉及矿产资源开发活动的相关行业规划，应当与《规划》做好衔接。</w:t>
      </w:r>
    </w:p>
    <w:p>
      <w:pPr>
        <w:spacing w:line="600" w:lineRule="exact"/>
        <w:ind w:firstLine="600" w:firstLineChars="200"/>
        <w:rPr>
          <w:rFonts w:ascii="仿宋" w:hAnsi="仿宋" w:eastAsia="仿宋" w:cs="Times New Roman"/>
          <w:sz w:val="30"/>
          <w:szCs w:val="30"/>
        </w:rPr>
      </w:pPr>
      <w:r>
        <w:rPr>
          <w:rFonts w:ascii="仿宋" w:hAnsi="仿宋" w:eastAsia="仿宋" w:cs="Times New Roman"/>
          <w:sz w:val="30"/>
          <w:szCs w:val="30"/>
        </w:rPr>
        <w:t>《规划》适用于</w:t>
      </w:r>
      <w:r>
        <w:rPr>
          <w:rFonts w:hint="eastAsia" w:ascii="仿宋" w:hAnsi="仿宋" w:eastAsia="仿宋" w:cs="Times New Roman"/>
          <w:sz w:val="30"/>
          <w:szCs w:val="30"/>
        </w:rPr>
        <w:t>临江市</w:t>
      </w:r>
      <w:r>
        <w:rPr>
          <w:rFonts w:ascii="仿宋" w:hAnsi="仿宋" w:eastAsia="仿宋" w:cs="Times New Roman"/>
          <w:sz w:val="30"/>
          <w:szCs w:val="30"/>
        </w:rPr>
        <w:t>所辖行政区域。</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《规划》以2020年为基期，以2025年为目标年，展望至2035年。</w:t>
      </w:r>
    </w:p>
    <w:p>
      <w:pPr>
        <w:spacing w:line="600" w:lineRule="exact"/>
        <w:ind w:firstLine="600" w:firstLineChars="200"/>
        <w:rPr>
          <w:rFonts w:ascii="仿宋" w:hAnsi="仿宋" w:eastAsia="仿宋" w:cs="Times New Roman"/>
          <w:color w:val="FF0000"/>
          <w:sz w:val="30"/>
          <w:szCs w:val="30"/>
        </w:rPr>
      </w:pPr>
    </w:p>
    <w:bookmarkEnd w:id="1"/>
    <w:p>
      <w:pPr>
        <w:pageBreakBefore/>
        <w:spacing w:beforeLines="50" w:afterLines="50" w:line="600" w:lineRule="exact"/>
        <w:ind w:firstLine="0" w:firstLineChars="0"/>
        <w:jc w:val="center"/>
        <w:outlineLvl w:val="0"/>
        <w:rPr>
          <w:rFonts w:ascii="黑体" w:hAnsi="黑体" w:eastAsia="黑体" w:cs="Times New Roman"/>
          <w:b/>
          <w:bCs/>
          <w:color w:val="000000"/>
          <w:sz w:val="36"/>
          <w:szCs w:val="36"/>
        </w:rPr>
      </w:pPr>
      <w:bookmarkStart w:id="2" w:name="_Toc68596429"/>
      <w:bookmarkStart w:id="3" w:name="_Toc129074185"/>
      <w:r>
        <w:rPr>
          <w:rFonts w:hint="eastAsia" w:ascii="黑体" w:hAnsi="黑体" w:eastAsia="黑体" w:cs="Times New Roman"/>
          <w:b/>
          <w:bCs/>
          <w:color w:val="000000"/>
          <w:sz w:val="36"/>
          <w:szCs w:val="36"/>
        </w:rPr>
        <w:t>第一章 现状与形势</w:t>
      </w:r>
      <w:bookmarkEnd w:id="2"/>
      <w:bookmarkEnd w:id="3"/>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4" w:name="_Toc68596430"/>
      <w:bookmarkStart w:id="5" w:name="_Toc129074186"/>
      <w:r>
        <w:rPr>
          <w:rFonts w:hint="eastAsia" w:ascii="华文中宋" w:hAnsi="华文中宋" w:eastAsia="华文中宋" w:cs="Times New Roman"/>
          <w:b w:val="0"/>
          <w:bCs/>
          <w:kern w:val="0"/>
          <w:sz w:val="32"/>
          <w:szCs w:val="32"/>
          <w:lang w:val="en-US" w:eastAsia="zh-CN" w:bidi="ar-SA"/>
        </w:rPr>
        <w:t>第一节</w:t>
      </w:r>
      <w:bookmarkEnd w:id="4"/>
      <w:r>
        <w:rPr>
          <w:rFonts w:hint="eastAsia" w:ascii="华文中宋" w:hAnsi="华文中宋" w:eastAsia="华文中宋" w:cs="Times New Roman"/>
          <w:b w:val="0"/>
          <w:bCs/>
          <w:kern w:val="0"/>
          <w:sz w:val="32"/>
          <w:szCs w:val="32"/>
          <w:lang w:val="en-US" w:eastAsia="zh-CN" w:bidi="ar-SA"/>
        </w:rPr>
        <w:t xml:space="preserve"> 经济社会发展状况</w:t>
      </w:r>
      <w:bookmarkEnd w:id="5"/>
    </w:p>
    <w:p>
      <w:pPr>
        <w:spacing w:line="600" w:lineRule="exact"/>
        <w:ind w:firstLine="600" w:firstLineChars="200"/>
        <w:jc w:val="left"/>
        <w:rPr>
          <w:rFonts w:ascii="仿宋" w:hAnsi="仿宋" w:eastAsia="仿宋" w:cs="Times New Roman"/>
          <w:color w:val="FF0000"/>
          <w:sz w:val="30"/>
          <w:szCs w:val="30"/>
        </w:rPr>
      </w:pPr>
      <w:r>
        <w:rPr>
          <w:rFonts w:hint="eastAsia" w:ascii="仿宋" w:hAnsi="仿宋" w:eastAsia="仿宋" w:cs="Times New Roman"/>
          <w:sz w:val="30"/>
          <w:szCs w:val="30"/>
        </w:rPr>
        <w:t>临江市位于吉林省东南部，长白山腹地，鸭绿江中上游，地处东经126°33′－127°49′、北纬41°31′－42°04′之间。东与长白朝鲜族自治县毗邻，西与浑江区接壤，北与江源区和抚松县交界，南与朝鲜民主主义人民共和国隔江相望。</w:t>
      </w:r>
      <w:r>
        <w:rPr>
          <w:rFonts w:hint="eastAsia" w:ascii="仿宋" w:hAnsi="仿宋" w:eastAsia="仿宋" w:cs="Times New Roman"/>
          <w:color w:val="000000"/>
          <w:sz w:val="30"/>
          <w:szCs w:val="30"/>
        </w:rPr>
        <w:t>临江市现</w:t>
      </w:r>
      <w:r>
        <w:rPr>
          <w:rFonts w:hint="eastAsia" w:ascii="仿宋" w:hAnsi="仿宋" w:eastAsia="仿宋" w:cs="Times New Roman"/>
          <w:sz w:val="30"/>
          <w:szCs w:val="30"/>
        </w:rPr>
        <w:t>辖7个乡镇、6个街道、70个行政村，幅员面积3027平方千米，总人口15.0万人，其中城镇人口10.0万人，乡村人口5.0万人</w:t>
      </w:r>
      <w:r>
        <w:rPr>
          <w:rFonts w:hint="eastAsia" w:ascii="仿宋" w:hAnsi="仿宋" w:eastAsia="仿宋" w:cs="Times New Roman"/>
          <w:color w:val="000000"/>
          <w:sz w:val="30"/>
          <w:szCs w:val="30"/>
        </w:rPr>
        <w:t>。</w:t>
      </w:r>
      <w:r>
        <w:rPr>
          <w:rFonts w:ascii="仿宋" w:hAnsi="仿宋" w:eastAsia="仿宋" w:cs="Times New Roman"/>
          <w:kern w:val="0"/>
          <w:sz w:val="30"/>
          <w:szCs w:val="30"/>
        </w:rPr>
        <w:t>2020</w:t>
      </w:r>
      <w:r>
        <w:rPr>
          <w:rFonts w:hint="eastAsia" w:ascii="仿宋" w:hAnsi="仿宋" w:eastAsia="仿宋" w:cs="Times New Roman"/>
          <w:kern w:val="0"/>
          <w:sz w:val="30"/>
          <w:szCs w:val="30"/>
        </w:rPr>
        <w:t>年</w:t>
      </w:r>
      <w:r>
        <w:rPr>
          <w:rFonts w:hint="eastAsia" w:ascii="仿宋" w:hAnsi="仿宋" w:eastAsia="仿宋" w:cs="Times New Roman"/>
          <w:color w:val="000000"/>
          <w:kern w:val="0"/>
          <w:sz w:val="30"/>
          <w:szCs w:val="30"/>
        </w:rPr>
        <w:t>实现</w:t>
      </w:r>
      <w:r>
        <w:rPr>
          <w:rFonts w:hint="eastAsia" w:ascii="仿宋" w:hAnsi="仿宋" w:eastAsia="仿宋" w:cs="Times New Roman"/>
          <w:kern w:val="0"/>
          <w:sz w:val="30"/>
          <w:szCs w:val="30"/>
        </w:rPr>
        <w:t>地区生产总值</w:t>
      </w:r>
      <w:r>
        <w:rPr>
          <w:rFonts w:hint="eastAsia" w:ascii="仿宋" w:hAnsi="仿宋" w:eastAsia="仿宋" w:cs="Times New Roman"/>
          <w:sz w:val="30"/>
          <w:szCs w:val="30"/>
        </w:rPr>
        <w:t>78.02</w:t>
      </w:r>
      <w:r>
        <w:rPr>
          <w:rFonts w:hint="eastAsia" w:ascii="仿宋" w:hAnsi="仿宋" w:eastAsia="仿宋" w:cs="Times New Roman"/>
          <w:kern w:val="0"/>
          <w:sz w:val="30"/>
          <w:szCs w:val="30"/>
        </w:rPr>
        <w:t>亿元，其中</w:t>
      </w:r>
      <w:r>
        <w:rPr>
          <w:rFonts w:hint="eastAsia" w:ascii="仿宋" w:hAnsi="仿宋" w:eastAsia="仿宋" w:cs="Times New Roman"/>
          <w:color w:val="000000"/>
          <w:kern w:val="0"/>
          <w:sz w:val="30"/>
          <w:szCs w:val="30"/>
        </w:rPr>
        <w:t>矿</w:t>
      </w:r>
      <w:r>
        <w:rPr>
          <w:rFonts w:hint="eastAsia" w:ascii="仿宋" w:hAnsi="仿宋" w:eastAsia="仿宋" w:cs="Times New Roman"/>
          <w:kern w:val="0"/>
          <w:sz w:val="30"/>
          <w:szCs w:val="30"/>
        </w:rPr>
        <w:t>业总产值</w:t>
      </w:r>
      <w:r>
        <w:rPr>
          <w:rFonts w:hint="eastAsia" w:ascii="仿宋" w:hAnsi="仿宋" w:eastAsia="仿宋" w:cs="Times New Roman"/>
          <w:sz w:val="30"/>
          <w:szCs w:val="30"/>
        </w:rPr>
        <w:t>3.2</w:t>
      </w:r>
      <w:r>
        <w:rPr>
          <w:rFonts w:hint="eastAsia" w:ascii="仿宋" w:hAnsi="仿宋" w:eastAsia="仿宋" w:cs="Times New Roman"/>
          <w:kern w:val="0"/>
          <w:sz w:val="30"/>
          <w:szCs w:val="30"/>
        </w:rPr>
        <w:t>亿元，占白山市矿业产值的10.87%</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6" w:name="_Toc129074187"/>
      <w:r>
        <w:rPr>
          <w:rFonts w:hint="eastAsia" w:ascii="华文中宋" w:hAnsi="华文中宋" w:eastAsia="华文中宋" w:cs="Times New Roman"/>
          <w:b w:val="0"/>
          <w:bCs/>
          <w:kern w:val="0"/>
          <w:sz w:val="32"/>
          <w:szCs w:val="32"/>
          <w:lang w:val="en-US" w:eastAsia="zh-CN" w:bidi="ar-SA"/>
        </w:rPr>
        <w:t>第二节 矿产资源概况及主要特点</w:t>
      </w:r>
      <w:bookmarkEnd w:id="6"/>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一、矿产资源种类</w:t>
      </w:r>
    </w:p>
    <w:p>
      <w:pPr>
        <w:spacing w:line="600" w:lineRule="exact"/>
        <w:ind w:firstLine="600" w:firstLineChars="200"/>
        <w:jc w:val="left"/>
        <w:rPr>
          <w:rFonts w:ascii="仿宋" w:hAnsi="仿宋" w:eastAsia="仿宋" w:cs="Times New Roman"/>
          <w:sz w:val="30"/>
          <w:szCs w:val="30"/>
        </w:rPr>
      </w:pPr>
      <w:r>
        <w:rPr>
          <w:rFonts w:hint="eastAsia" w:ascii="仿宋" w:hAnsi="仿宋" w:eastAsia="仿宋" w:cs="Times New Roman"/>
          <w:sz w:val="30"/>
          <w:szCs w:val="30"/>
        </w:rPr>
        <w:t>截止2020年底，临江市共发现各类矿产38种（以亚矿种为基本统计单位），包括能源矿产2种、金属矿产16种、非金属矿产19种、水气矿产1种，其中查明资源储量矿产29种，列入吉林省矿产资源储量表矿产19种（见专栏1）。锰、砷、重稀土矿、镉矿在白山市是唯一有查明资源储量地区。铁、金、镁、硅藻土、矿泉水等矿产为临江市优势矿产。</w:t>
      </w:r>
    </w:p>
    <w:tbl>
      <w:tblPr>
        <w:tblStyle w:val="2"/>
        <w:tblW w:w="8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559"/>
        <w:gridCol w:w="709"/>
        <w:gridCol w:w="3260"/>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330" w:type="dxa"/>
            <w:gridSpan w:val="5"/>
            <w:shd w:val="clear" w:color="auto" w:fill="auto"/>
            <w:vAlign w:val="center"/>
          </w:tcPr>
          <w:p>
            <w:pPr>
              <w:widowControl/>
              <w:adjustRightInd w:val="0"/>
              <w:spacing w:line="240" w:lineRule="auto"/>
              <w:ind w:firstLine="0" w:firstLineChars="0"/>
              <w:jc w:val="center"/>
              <w:rPr>
                <w:rFonts w:ascii="宋体" w:hAnsi="宋体" w:eastAsia="宋体" w:cs="Times New Roman"/>
                <w:sz w:val="18"/>
                <w:szCs w:val="18"/>
              </w:rPr>
            </w:pPr>
            <w:r>
              <w:rPr>
                <w:rFonts w:ascii="宋体" w:hAnsi="宋体" w:eastAsia="宋体" w:cs="Times New Roman"/>
                <w:kern w:val="0"/>
                <w:sz w:val="21"/>
              </w:rPr>
              <w:t>专栏1  临江市已发现矿产种类一览表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997" w:type="dxa"/>
            <w:gridSpan w:val="2"/>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矿产类别</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数量</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color w:val="000000"/>
                <w:sz w:val="21"/>
                <w:szCs w:val="21"/>
              </w:rPr>
              <w:t>查明资源储量的矿产</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color w:val="000000"/>
                <w:sz w:val="21"/>
                <w:szCs w:val="21"/>
              </w:rPr>
              <w:t>未查明资源储量的矿产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97" w:type="dxa"/>
            <w:gridSpan w:val="2"/>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能源矿产</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
                <w:bCs/>
                <w:color w:val="000000"/>
                <w:sz w:val="21"/>
                <w:szCs w:val="21"/>
              </w:rPr>
              <w:t>煤、</w:t>
            </w:r>
            <w:r>
              <w:rPr>
                <w:rFonts w:ascii="Times New Roman" w:hAnsi="宋体" w:eastAsia="宋体" w:cs="Times New Roman"/>
                <w:bCs/>
                <w:sz w:val="21"/>
                <w:szCs w:val="21"/>
              </w:rPr>
              <w:t>地热</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38" w:type="dxa"/>
            <w:vMerge w:val="restart"/>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金</w:t>
            </w:r>
          </w:p>
          <w:p>
            <w:pPr>
              <w:adjustRightInd w:val="0"/>
              <w:snapToGrid w:val="0"/>
              <w:spacing w:line="2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属</w:t>
            </w:r>
          </w:p>
          <w:p>
            <w:pPr>
              <w:adjustRightInd w:val="0"/>
              <w:snapToGrid w:val="0"/>
              <w:spacing w:line="2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矿</w:t>
            </w:r>
          </w:p>
          <w:p>
            <w:pPr>
              <w:adjustRightInd w:val="0"/>
              <w:snapToGrid w:val="0"/>
              <w:spacing w:line="2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产</w:t>
            </w:r>
          </w:p>
        </w:tc>
        <w:tc>
          <w:tcPr>
            <w:tcW w:w="155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黑色金属</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
                <w:bCs/>
                <w:sz w:val="21"/>
                <w:szCs w:val="21"/>
              </w:rPr>
            </w:pPr>
            <w:r>
              <w:rPr>
                <w:rFonts w:ascii="Times New Roman" w:hAnsi="宋体" w:eastAsia="宋体" w:cs="Times New Roman"/>
                <w:b/>
                <w:bCs/>
                <w:sz w:val="21"/>
                <w:szCs w:val="21"/>
              </w:rPr>
              <w:t>铁、锰</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38" w:type="dxa"/>
            <w:vMerge w:val="continue"/>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p>
        </w:tc>
        <w:tc>
          <w:tcPr>
            <w:tcW w:w="155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有色金属</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Times New Roman" w:eastAsia="宋体" w:cs="Times New Roman"/>
                <w:bCs/>
                <w:sz w:val="21"/>
                <w:szCs w:val="21"/>
              </w:rPr>
              <w:t>8</w:t>
            </w:r>
          </w:p>
        </w:tc>
        <w:tc>
          <w:tcPr>
            <w:tcW w:w="3260" w:type="dxa"/>
            <w:shd w:val="clear" w:color="auto" w:fill="auto"/>
            <w:vAlign w:val="center"/>
          </w:tcPr>
          <w:p>
            <w:pPr>
              <w:adjustRightInd w:val="0"/>
              <w:snapToGrid w:val="0"/>
              <w:spacing w:line="240" w:lineRule="auto"/>
              <w:ind w:firstLine="0" w:firstLineChars="0"/>
              <w:jc w:val="center"/>
              <w:rPr>
                <w:rFonts w:ascii="Times New Roman" w:hAnsi="Times New Roman" w:eastAsia="宋体" w:cs="Times New Roman"/>
                <w:b/>
                <w:sz w:val="21"/>
                <w:szCs w:val="21"/>
              </w:rPr>
            </w:pPr>
            <w:r>
              <w:rPr>
                <w:rFonts w:ascii="Times New Roman" w:hAnsi="Times New Roman" w:eastAsia="宋体" w:cs="Times New Roman"/>
                <w:b/>
                <w:color w:val="000000"/>
                <w:sz w:val="21"/>
                <w:szCs w:val="21"/>
              </w:rPr>
              <w:t>铜、铅、锌、镍、钴、钼、锑、镁</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38" w:type="dxa"/>
            <w:vMerge w:val="continue"/>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p>
        </w:tc>
        <w:tc>
          <w:tcPr>
            <w:tcW w:w="155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贵金属</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
                <w:bCs/>
                <w:sz w:val="21"/>
                <w:szCs w:val="21"/>
              </w:rPr>
            </w:pPr>
            <w:r>
              <w:rPr>
                <w:rFonts w:ascii="Times New Roman" w:hAnsi="宋体" w:eastAsia="宋体" w:cs="Times New Roman"/>
                <w:b/>
                <w:bCs/>
                <w:sz w:val="21"/>
                <w:szCs w:val="21"/>
              </w:rPr>
              <w:t>金、银</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438" w:type="dxa"/>
            <w:vMerge w:val="continue"/>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p>
        </w:tc>
        <w:tc>
          <w:tcPr>
            <w:tcW w:w="1559" w:type="dxa"/>
            <w:shd w:val="clear" w:color="auto" w:fill="auto"/>
            <w:vAlign w:val="center"/>
          </w:tcPr>
          <w:p>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稀有稀土及分散元素</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Times New Roman" w:eastAsia="宋体" w:cs="Times New Roman"/>
                <w:bCs/>
                <w:sz w:val="21"/>
                <w:szCs w:val="21"/>
              </w:rPr>
              <w:t>4</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
                <w:bCs/>
                <w:sz w:val="21"/>
                <w:szCs w:val="21"/>
              </w:rPr>
            </w:pPr>
            <w:r>
              <w:rPr>
                <w:rFonts w:ascii="Times New Roman" w:hAnsi="宋体" w:eastAsia="宋体" w:cs="Times New Roman"/>
                <w:b/>
                <w:bCs/>
                <w:sz w:val="21"/>
                <w:szCs w:val="21"/>
              </w:rPr>
              <w:t>重稀土氧化物、镉</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铌、钽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38" w:type="dxa"/>
            <w:vMerge w:val="restart"/>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非</w:t>
            </w:r>
          </w:p>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金</w:t>
            </w:r>
          </w:p>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属</w:t>
            </w:r>
          </w:p>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矿</w:t>
            </w:r>
          </w:p>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产</w:t>
            </w:r>
          </w:p>
        </w:tc>
        <w:tc>
          <w:tcPr>
            <w:tcW w:w="155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冶金辅助原料</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
                <w:bCs/>
                <w:sz w:val="21"/>
                <w:szCs w:val="21"/>
              </w:rPr>
            </w:pPr>
            <w:r>
              <w:rPr>
                <w:rFonts w:ascii="Times New Roman" w:hAnsi="宋体" w:eastAsia="宋体" w:cs="Times New Roman"/>
                <w:b/>
                <w:bCs/>
                <w:sz w:val="21"/>
                <w:szCs w:val="21"/>
              </w:rPr>
              <w:t>熔剂用灰岩</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000000"/>
                <w:sz w:val="21"/>
                <w:szCs w:val="21"/>
              </w:rPr>
            </w:pPr>
            <w:r>
              <w:rPr>
                <w:rFonts w:ascii="Times New Roman" w:hAnsi="宋体" w:eastAsia="宋体" w:cs="Times New Roman"/>
                <w:bCs/>
                <w:color w:val="000000"/>
                <w:sz w:val="21"/>
                <w:szCs w:val="21"/>
              </w:rPr>
              <w:t>脉石英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438" w:type="dxa"/>
            <w:vMerge w:val="continue"/>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p>
        </w:tc>
        <w:tc>
          <w:tcPr>
            <w:tcW w:w="1559" w:type="dxa"/>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化工原料</w:t>
            </w:r>
          </w:p>
        </w:tc>
        <w:tc>
          <w:tcPr>
            <w:tcW w:w="709" w:type="dxa"/>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b/>
                <w:sz w:val="21"/>
                <w:szCs w:val="21"/>
              </w:rPr>
              <w:t>硫铁矿</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exact"/>
          <w:jc w:val="center"/>
        </w:trPr>
        <w:tc>
          <w:tcPr>
            <w:tcW w:w="438" w:type="dxa"/>
            <w:vMerge w:val="continue"/>
            <w:shd w:val="clear" w:color="auto" w:fill="auto"/>
            <w:vAlign w:val="center"/>
          </w:tcPr>
          <w:p>
            <w:pPr>
              <w:adjustRightInd w:val="0"/>
              <w:snapToGrid w:val="0"/>
              <w:spacing w:line="260" w:lineRule="exact"/>
              <w:ind w:firstLine="0" w:firstLineChars="0"/>
              <w:jc w:val="center"/>
              <w:rPr>
                <w:rFonts w:ascii="Times New Roman" w:hAnsi="Times New Roman" w:eastAsia="宋体" w:cs="Times New Roman"/>
                <w:sz w:val="21"/>
                <w:szCs w:val="21"/>
              </w:rPr>
            </w:pPr>
          </w:p>
        </w:tc>
        <w:tc>
          <w:tcPr>
            <w:tcW w:w="1559" w:type="dxa"/>
            <w:shd w:val="clear" w:color="auto" w:fill="auto"/>
            <w:vAlign w:val="center"/>
          </w:tcPr>
          <w:p>
            <w:pPr>
              <w:adjustRightInd w:val="0"/>
              <w:snapToGrid w:val="0"/>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建材及其</w:t>
            </w:r>
          </w:p>
          <w:p>
            <w:pPr>
              <w:adjustRightInd w:val="0"/>
              <w:snapToGrid w:val="0"/>
              <w:spacing w:line="260" w:lineRule="exact"/>
              <w:ind w:firstLine="0" w:firstLineChars="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它非金属</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sz w:val="21"/>
                <w:szCs w:val="21"/>
              </w:rPr>
              <w:t>1</w:t>
            </w:r>
            <w:r>
              <w:rPr>
                <w:rFonts w:hint="eastAsia" w:ascii="Times New Roman" w:hAnsi="Times New Roman" w:eastAsia="宋体" w:cs="Times New Roman"/>
                <w:sz w:val="21"/>
                <w:szCs w:val="21"/>
              </w:rPr>
              <w:t>6</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Times New Roman" w:eastAsia="宋体" w:cs="Times New Roman"/>
                <w:b/>
                <w:color w:val="000000"/>
                <w:sz w:val="21"/>
                <w:szCs w:val="21"/>
              </w:rPr>
              <w:t>硅藻土、砷、</w:t>
            </w:r>
            <w:r>
              <w:rPr>
                <w:rFonts w:ascii="Times New Roman" w:hAnsi="Times New Roman" w:eastAsia="宋体" w:cs="Times New Roman"/>
                <w:color w:val="000000"/>
                <w:sz w:val="21"/>
                <w:szCs w:val="21"/>
              </w:rPr>
              <w:t>水泥用灰岩、制灰用灰岩、建筑用砂、砖瓦用粘土、建筑用安山岩、建筑用花岗岩、建筑石料用灰岩</w:t>
            </w:r>
            <w:r>
              <w:rPr>
                <w:rFonts w:hint="eastAsia" w:ascii="Times New Roman" w:hAnsi="Times New Roman" w:eastAsia="宋体" w:cs="Times New Roman"/>
                <w:sz w:val="21"/>
                <w:szCs w:val="21"/>
              </w:rPr>
              <w:t>、建筑用砂岩</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饰面用花岗岩、饰面用玄武岩、透闪石、伊利石粘土、玻璃用砂岩</w:t>
            </w:r>
            <w:r>
              <w:rPr>
                <w:rFonts w:hint="eastAsia" w:ascii="Times New Roman" w:hAnsi="Times New Roman" w:eastAsia="宋体" w:cs="Times New Roman"/>
                <w:color w:val="000000"/>
                <w:sz w:val="21"/>
                <w:szCs w:val="21"/>
              </w:rPr>
              <w:t>、建筑用大理岩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exact"/>
          <w:jc w:val="center"/>
        </w:trPr>
        <w:tc>
          <w:tcPr>
            <w:tcW w:w="1997" w:type="dxa"/>
            <w:gridSpan w:val="2"/>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水</w:t>
            </w:r>
            <w:r>
              <w:rPr>
                <w:rFonts w:hint="eastAsia" w:ascii="Times New Roman" w:hAnsi="宋体" w:eastAsia="宋体" w:cs="Times New Roman"/>
                <w:bCs/>
                <w:sz w:val="21"/>
                <w:szCs w:val="21"/>
              </w:rPr>
              <w:t>气</w:t>
            </w:r>
            <w:r>
              <w:rPr>
                <w:rFonts w:ascii="Times New Roman" w:hAnsi="宋体" w:eastAsia="宋体" w:cs="Times New Roman"/>
                <w:bCs/>
                <w:sz w:val="21"/>
                <w:szCs w:val="21"/>
              </w:rPr>
              <w:t>矿产</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矿泉水</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1997" w:type="dxa"/>
            <w:gridSpan w:val="2"/>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ascii="Times New Roman" w:hAnsi="宋体" w:eastAsia="宋体" w:cs="Times New Roman"/>
                <w:bCs/>
                <w:sz w:val="21"/>
                <w:szCs w:val="21"/>
              </w:rPr>
              <w:t>合</w:t>
            </w:r>
            <w:r>
              <w:rPr>
                <w:rFonts w:ascii="Times New Roman" w:hAnsi="Times New Roman" w:eastAsia="宋体" w:cs="Times New Roman"/>
                <w:bCs/>
                <w:sz w:val="21"/>
                <w:szCs w:val="21"/>
              </w:rPr>
              <w:t xml:space="preserve"> </w:t>
            </w:r>
            <w:r>
              <w:rPr>
                <w:rFonts w:ascii="Times New Roman" w:hAnsi="宋体" w:eastAsia="宋体" w:cs="Times New Roman"/>
                <w:bCs/>
                <w:sz w:val="21"/>
                <w:szCs w:val="21"/>
              </w:rPr>
              <w:t>计</w:t>
            </w:r>
          </w:p>
        </w:tc>
        <w:tc>
          <w:tcPr>
            <w:tcW w:w="709" w:type="dxa"/>
            <w:shd w:val="clear" w:color="auto" w:fill="auto"/>
            <w:vAlign w:val="center"/>
          </w:tcPr>
          <w:p>
            <w:pPr>
              <w:spacing w:line="240" w:lineRule="auto"/>
              <w:ind w:firstLine="0" w:firstLineChars="0"/>
              <w:jc w:val="center"/>
              <w:rPr>
                <w:rFonts w:ascii="Times New Roman" w:hAnsi="Times New Roman" w:eastAsia="宋体" w:cs="Times New Roman"/>
                <w:bCs/>
                <w:sz w:val="21"/>
                <w:szCs w:val="21"/>
              </w:rPr>
            </w:pPr>
            <w:r>
              <w:rPr>
                <w:rFonts w:hint="eastAsia" w:ascii="Times New Roman" w:hAnsi="Times New Roman" w:eastAsia="宋体" w:cs="Times New Roman"/>
                <w:bCs/>
                <w:sz w:val="21"/>
                <w:szCs w:val="21"/>
              </w:rPr>
              <w:t>38</w:t>
            </w:r>
          </w:p>
        </w:tc>
        <w:tc>
          <w:tcPr>
            <w:tcW w:w="3260" w:type="dxa"/>
            <w:shd w:val="clear" w:color="auto" w:fill="auto"/>
            <w:vAlign w:val="center"/>
          </w:tcPr>
          <w:p>
            <w:pPr>
              <w:spacing w:line="240" w:lineRule="auto"/>
              <w:ind w:firstLine="0" w:firstLineChars="0"/>
              <w:jc w:val="center"/>
              <w:rPr>
                <w:rFonts w:ascii="Times New Roman" w:hAnsi="Times New Roman" w:eastAsia="宋体" w:cs="Times New Roman"/>
                <w:b/>
                <w:bCs/>
                <w:sz w:val="21"/>
                <w:szCs w:val="21"/>
              </w:rPr>
            </w:pPr>
            <w:r>
              <w:rPr>
                <w:rFonts w:ascii="Times New Roman" w:hAnsi="Times New Roman" w:eastAsia="宋体" w:cs="Times New Roman"/>
                <w:bCs/>
                <w:sz w:val="21"/>
                <w:szCs w:val="21"/>
              </w:rPr>
              <w:t>2</w:t>
            </w:r>
            <w:r>
              <w:rPr>
                <w:rFonts w:hint="eastAsia" w:ascii="Times New Roman" w:hAnsi="Times New Roman" w:eastAsia="宋体" w:cs="Times New Roman"/>
                <w:bCs/>
                <w:sz w:val="21"/>
                <w:szCs w:val="21"/>
              </w:rPr>
              <w:t>9</w:t>
            </w:r>
            <w:r>
              <w:rPr>
                <w:rFonts w:ascii="Times New Roman" w:hAnsi="宋体" w:eastAsia="宋体" w:cs="Times New Roman"/>
                <w:bCs/>
                <w:sz w:val="21"/>
                <w:szCs w:val="21"/>
              </w:rPr>
              <w:t>（列入储量表</w:t>
            </w:r>
            <w:r>
              <w:rPr>
                <w:rFonts w:hint="eastAsia" w:ascii="Times New Roman" w:hAnsi="Times New Roman" w:eastAsia="宋体" w:cs="Times New Roman"/>
                <w:bCs/>
                <w:sz w:val="21"/>
                <w:szCs w:val="21"/>
              </w:rPr>
              <w:t>19</w:t>
            </w:r>
            <w:r>
              <w:rPr>
                <w:rFonts w:ascii="Times New Roman" w:hAnsi="宋体" w:eastAsia="宋体" w:cs="Times New Roman"/>
                <w:bCs/>
                <w:sz w:val="21"/>
                <w:szCs w:val="21"/>
              </w:rPr>
              <w:t>种）</w:t>
            </w:r>
          </w:p>
        </w:tc>
        <w:tc>
          <w:tcPr>
            <w:tcW w:w="2364" w:type="dxa"/>
            <w:shd w:val="clear" w:color="auto" w:fill="auto"/>
            <w:vAlign w:val="center"/>
          </w:tcPr>
          <w:p>
            <w:pPr>
              <w:spacing w:line="240" w:lineRule="auto"/>
              <w:ind w:firstLine="0" w:firstLineChars="0"/>
              <w:jc w:val="center"/>
              <w:rPr>
                <w:rFonts w:ascii="Times New Roman" w:hAnsi="Times New Roman" w:eastAsia="宋体" w:cs="Times New Roman"/>
                <w:bCs/>
                <w:color w:val="000000"/>
                <w:sz w:val="21"/>
                <w:szCs w:val="21"/>
              </w:rPr>
            </w:pPr>
            <w:r>
              <w:rPr>
                <w:rFonts w:hint="eastAsia" w:ascii="Times New Roman" w:hAnsi="Times New Roman" w:eastAsia="宋体" w:cs="Times New Roman"/>
                <w:bCs/>
                <w:color w:val="000000"/>
                <w:sz w:val="21"/>
                <w:szCs w:val="21"/>
              </w:rPr>
              <w:t>9</w:t>
            </w:r>
          </w:p>
        </w:tc>
      </w:tr>
    </w:tbl>
    <w:p>
      <w:pPr>
        <w:widowControl/>
        <w:spacing w:line="240" w:lineRule="exact"/>
        <w:ind w:right="100" w:firstLine="0" w:firstLineChars="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注：加粗部分为列入吉林省矿产资源储量表矿产</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二、</w:t>
      </w:r>
      <w:r>
        <w:rPr>
          <w:rFonts w:ascii="Times New Roman" w:hAnsi="Times New Roman" w:eastAsia="黑体" w:cs="Times New Roman"/>
          <w:b w:val="0"/>
          <w:bCs w:val="0"/>
          <w:w w:val="98"/>
          <w:kern w:val="2"/>
          <w:sz w:val="30"/>
          <w:szCs w:val="30"/>
          <w:lang w:val="en-US" w:eastAsia="zh-CN" w:bidi="ar-SA"/>
        </w:rPr>
        <w:t>矿产资源基本特点</w:t>
      </w:r>
    </w:p>
    <w:p>
      <w:pPr>
        <w:spacing w:line="600" w:lineRule="exact"/>
        <w:ind w:firstLine="602" w:firstLineChars="200"/>
        <w:rPr>
          <w:rFonts w:ascii="仿宋" w:hAnsi="仿宋" w:eastAsia="仿宋" w:cs="Times New Roman"/>
          <w:sz w:val="30"/>
          <w:szCs w:val="30"/>
        </w:rPr>
      </w:pPr>
      <w:r>
        <w:rPr>
          <w:rFonts w:ascii="Times New Roman" w:hAnsi="Times New Roman" w:eastAsia="楷体_GB2312" w:cs="Times New Roman"/>
          <w:b/>
          <w:sz w:val="30"/>
          <w:szCs w:val="30"/>
        </w:rPr>
        <w:t>主要矿产分布地域</w:t>
      </w:r>
      <w:r>
        <w:rPr>
          <w:rFonts w:hint="eastAsia" w:ascii="Times New Roman" w:hAnsi="Times New Roman" w:eastAsia="楷体_GB2312" w:cs="Times New Roman"/>
          <w:b/>
          <w:sz w:val="30"/>
          <w:szCs w:val="30"/>
        </w:rPr>
        <w:t>特征。</w:t>
      </w:r>
      <w:r>
        <w:rPr>
          <w:rFonts w:hint="eastAsia" w:ascii="仿宋" w:hAnsi="仿宋" w:eastAsia="仿宋" w:cs="Times New Roman"/>
          <w:sz w:val="30"/>
          <w:szCs w:val="30"/>
        </w:rPr>
        <w:t>临江市受成矿地质条件、控矿因素影响，主要矿产地域分布集中，煤炭主要分布在四道沟镇大湖村；镁矿（炼镁用白云岩）主要分布在花山、闹枝、桦树、苇沙河；铁矿主要分布在大栗子-苇沙河，少量分布在六道沟镇乱泥塘；金、银、铜、镍、钴等矿产主要分布在苇沙河镇和大湖街道；硅藻土矿主要分布在六道沟镇双山子－错草顶子。</w:t>
      </w:r>
    </w:p>
    <w:p>
      <w:pPr>
        <w:widowControl/>
        <w:spacing w:line="600" w:lineRule="exact"/>
        <w:ind w:firstLine="602" w:firstLineChars="200"/>
        <w:jc w:val="left"/>
        <w:rPr>
          <w:rFonts w:ascii="仿宋" w:hAnsi="仿宋" w:eastAsia="仿宋" w:cs="Times New Roman"/>
          <w:sz w:val="30"/>
          <w:szCs w:val="30"/>
        </w:rPr>
      </w:pPr>
      <w:r>
        <w:rPr>
          <w:rFonts w:hint="eastAsia" w:ascii="Times New Roman" w:hAnsi="Times New Roman" w:eastAsia="楷体_GB2312" w:cs="Times New Roman"/>
          <w:b/>
          <w:sz w:val="30"/>
          <w:szCs w:val="30"/>
        </w:rPr>
        <w:t>小型矿床多、共（伴）生矿床多，矿石质量优劣不一。</w:t>
      </w:r>
      <w:r>
        <w:rPr>
          <w:rFonts w:hint="eastAsia" w:ascii="仿宋" w:hAnsi="仿宋" w:eastAsia="仿宋" w:cs="Times New Roman"/>
          <w:sz w:val="30"/>
          <w:szCs w:val="30"/>
        </w:rPr>
        <w:t>临江市上表矿区总数97处，除28处中型矿区外，其余皆为小型。金属矿产多为共（伴）生矿床，如铅锌共生，铜钴共生（伴生镍）；金矿大部分为难选矿石；大栗子铁矿品位高，以富矿为主，“临江式铁矿（又称羚羊铁）”品级差，组分杂；硅藻土质量好，享誉中外。</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7" w:name="_Toc68596431"/>
      <w:bookmarkStart w:id="8" w:name="_Toc129074188"/>
      <w:r>
        <w:rPr>
          <w:rFonts w:hint="eastAsia" w:ascii="华文中宋" w:hAnsi="华文中宋" w:eastAsia="华文中宋" w:cs="Times New Roman"/>
          <w:b w:val="0"/>
          <w:bCs/>
          <w:kern w:val="0"/>
          <w:sz w:val="32"/>
          <w:szCs w:val="32"/>
          <w:lang w:val="en-US" w:eastAsia="zh-CN" w:bidi="ar-SA"/>
        </w:rPr>
        <w:t xml:space="preserve">第三节 </w:t>
      </w:r>
      <w:bookmarkEnd w:id="7"/>
      <w:r>
        <w:rPr>
          <w:rFonts w:hint="eastAsia" w:ascii="华文中宋" w:hAnsi="华文中宋" w:eastAsia="华文中宋" w:cs="Times New Roman"/>
          <w:b w:val="0"/>
          <w:bCs/>
          <w:kern w:val="0"/>
          <w:sz w:val="32"/>
          <w:szCs w:val="32"/>
          <w:lang w:val="en-US" w:eastAsia="zh-CN" w:bidi="ar-SA"/>
        </w:rPr>
        <w:t>上一轮规划实施成效</w:t>
      </w:r>
      <w:bookmarkEnd w:id="8"/>
    </w:p>
    <w:p>
      <w:pPr>
        <w:spacing w:line="360" w:lineRule="auto"/>
        <w:ind w:firstLine="600" w:firstLineChars="200"/>
        <w:rPr>
          <w:rFonts w:ascii="仿宋" w:hAnsi="仿宋" w:eastAsia="仿宋" w:cs="Times New Roman"/>
          <w:sz w:val="30"/>
          <w:szCs w:val="30"/>
        </w:rPr>
      </w:pPr>
      <w:bookmarkStart w:id="9" w:name="_Hlk101961783"/>
      <w:r>
        <w:rPr>
          <w:rFonts w:hint="eastAsia" w:ascii="仿宋" w:hAnsi="仿宋" w:eastAsia="仿宋" w:cs="Times New Roman"/>
          <w:sz w:val="30"/>
          <w:szCs w:val="30"/>
        </w:rPr>
        <w:t>上一轮规划实施以来，充分发挥了规划的宏观调控和指导性作用，各项工作取得显著成效，为全市矿业经济发展做出了积极贡献。</w:t>
      </w:r>
    </w:p>
    <w:bookmarkEnd w:id="9"/>
    <w:p>
      <w:pPr>
        <w:spacing w:line="360" w:lineRule="auto"/>
        <w:ind w:firstLine="562" w:firstLineChars="200"/>
        <w:rPr>
          <w:rFonts w:ascii="仿宋" w:hAnsi="仿宋" w:eastAsia="仿宋" w:cs="Times New Roman"/>
          <w:sz w:val="30"/>
          <w:szCs w:val="30"/>
        </w:rPr>
      </w:pPr>
      <w:r>
        <w:rPr>
          <w:rFonts w:hint="eastAsia" w:ascii="Times New Roman" w:hAnsi="Times New Roman" w:eastAsia="宋体" w:cs="Times New Roman"/>
          <w:b/>
          <w:bCs/>
          <w:sz w:val="28"/>
        </w:rPr>
        <w:t>矿产资源勘查成果显著。</w:t>
      </w:r>
      <w:r>
        <w:rPr>
          <w:rFonts w:hint="eastAsia" w:ascii="仿宋" w:hAnsi="仿宋" w:eastAsia="仿宋" w:cs="Times New Roman"/>
          <w:sz w:val="30"/>
          <w:szCs w:val="30"/>
        </w:rPr>
        <w:t>临江市累计投入各类地质</w:t>
      </w:r>
      <w:r>
        <w:rPr>
          <w:rFonts w:hint="eastAsia" w:ascii="仿宋" w:hAnsi="仿宋" w:eastAsia="仿宋" w:cs="Times New Roman"/>
          <w:color w:val="000000"/>
          <w:sz w:val="30"/>
          <w:szCs w:val="30"/>
        </w:rPr>
        <w:t>勘查资金0.34亿元</w:t>
      </w:r>
      <w:r>
        <w:rPr>
          <w:rFonts w:hint="eastAsia" w:ascii="仿宋" w:hAnsi="仿宋" w:eastAsia="仿宋" w:cs="Times New Roman"/>
          <w:sz w:val="30"/>
          <w:szCs w:val="30"/>
        </w:rPr>
        <w:t>，主要投向矿种为铁、金、铅、锌及硅藻土，取得了较大的找矿成果，新发现中型矿产地4处，小型2处，超额完成了三轮规划指标，</w:t>
      </w:r>
      <w:r>
        <w:rPr>
          <w:rFonts w:hint="eastAsia" w:ascii="仿宋" w:hAnsi="仿宋" w:eastAsia="仿宋" w:cs="Times New Roman"/>
          <w:color w:val="000000"/>
          <w:sz w:val="30"/>
          <w:szCs w:val="30"/>
        </w:rPr>
        <w:t>新增金矿2860千克、银矿257吨、铁矿8456千吨、铅矿36354吨、锌矿45699吨</w:t>
      </w:r>
      <w:r>
        <w:rPr>
          <w:rFonts w:hint="eastAsia" w:ascii="仿宋" w:hAnsi="仿宋" w:eastAsia="仿宋" w:cs="Times New Roman"/>
          <w:sz w:val="30"/>
          <w:szCs w:val="30"/>
        </w:rPr>
        <w:t>、</w:t>
      </w:r>
      <w:r>
        <w:rPr>
          <w:rFonts w:hint="eastAsia" w:ascii="仿宋" w:hAnsi="仿宋" w:eastAsia="仿宋" w:cs="Times New Roman"/>
          <w:color w:val="000000"/>
          <w:sz w:val="30"/>
          <w:szCs w:val="30"/>
        </w:rPr>
        <w:t>镉矿</w:t>
      </w:r>
      <w:r>
        <w:rPr>
          <w:rFonts w:hint="eastAsia" w:ascii="仿宋" w:hAnsi="仿宋" w:eastAsia="仿宋" w:cs="Times New Roman"/>
          <w:sz w:val="30"/>
          <w:szCs w:val="30"/>
        </w:rPr>
        <w:t>366吨</w:t>
      </w:r>
      <w:r>
        <w:rPr>
          <w:rFonts w:hint="eastAsia" w:ascii="仿宋" w:hAnsi="仿宋" w:eastAsia="仿宋" w:cs="Times New Roman"/>
          <w:color w:val="000000"/>
          <w:sz w:val="30"/>
          <w:szCs w:val="30"/>
        </w:rPr>
        <w:t>、砷矿341千吨、硫铁矿</w:t>
      </w:r>
      <w:r>
        <w:rPr>
          <w:rFonts w:hint="eastAsia" w:ascii="仿宋" w:hAnsi="仿宋" w:eastAsia="仿宋" w:cs="Times New Roman"/>
          <w:sz w:val="30"/>
          <w:szCs w:val="30"/>
        </w:rPr>
        <w:t>1526千吨、</w:t>
      </w:r>
      <w:r>
        <w:rPr>
          <w:rFonts w:hint="eastAsia" w:ascii="仿宋" w:hAnsi="仿宋" w:eastAsia="仿宋" w:cs="Times New Roman"/>
          <w:color w:val="000000"/>
          <w:sz w:val="30"/>
          <w:szCs w:val="30"/>
        </w:rPr>
        <w:t>硅藻土矿28506千吨。</w:t>
      </w:r>
      <w:r>
        <w:rPr>
          <w:rFonts w:hint="eastAsia" w:ascii="仿宋" w:hAnsi="仿宋" w:eastAsia="仿宋" w:cs="Times New Roman"/>
          <w:sz w:val="30"/>
          <w:szCs w:val="30"/>
        </w:rPr>
        <w:t>经储量核实新增金矿210千克、银矿3吨、砷矿166千吨。</w:t>
      </w:r>
    </w:p>
    <w:p>
      <w:pPr>
        <w:spacing w:line="360" w:lineRule="auto"/>
        <w:ind w:firstLine="562" w:firstLineChars="200"/>
        <w:rPr>
          <w:rFonts w:ascii="仿宋" w:hAnsi="仿宋" w:eastAsia="仿宋" w:cs="Times New Roman"/>
          <w:b/>
          <w:bCs/>
          <w:sz w:val="30"/>
          <w:szCs w:val="30"/>
        </w:rPr>
      </w:pPr>
      <w:bookmarkStart w:id="10" w:name="_Hlk101961973"/>
      <w:r>
        <w:rPr>
          <w:rFonts w:hint="eastAsia" w:ascii="Times New Roman" w:hAnsi="Times New Roman" w:eastAsia="宋体" w:cs="Times New Roman"/>
          <w:b/>
          <w:bCs/>
          <w:sz w:val="28"/>
        </w:rPr>
        <w:t>矿业转型升级持续推进。</w:t>
      </w:r>
      <w:r>
        <w:rPr>
          <w:rFonts w:hint="eastAsia" w:ascii="仿宋" w:hAnsi="仿宋" w:eastAsia="仿宋" w:cs="Times New Roman"/>
          <w:sz w:val="30"/>
          <w:szCs w:val="30"/>
        </w:rPr>
        <w:t>依法有序退出一批产能低下、破坏环境的矿山，</w:t>
      </w:r>
      <w:bookmarkStart w:id="11" w:name="_Hlk101954284"/>
      <w:r>
        <w:rPr>
          <w:rFonts w:hint="eastAsia" w:ascii="仿宋" w:hAnsi="仿宋" w:eastAsia="仿宋" w:cs="Times New Roman"/>
          <w:sz w:val="30"/>
          <w:szCs w:val="30"/>
        </w:rPr>
        <w:t>积极推进矿山整合</w:t>
      </w:r>
      <w:bookmarkEnd w:id="11"/>
      <w:r>
        <w:rPr>
          <w:rFonts w:hint="eastAsia" w:ascii="仿宋" w:hAnsi="仿宋" w:eastAsia="仿宋" w:cs="Times New Roman"/>
          <w:sz w:val="30"/>
          <w:szCs w:val="30"/>
        </w:rPr>
        <w:t>，超额完成了三轮规划矿山数量指标，临江市持证矿山数由2015年的</w:t>
      </w:r>
      <w:r>
        <w:rPr>
          <w:rFonts w:ascii="仿宋" w:hAnsi="仿宋" w:eastAsia="仿宋" w:cs="Times New Roman"/>
          <w:sz w:val="30"/>
          <w:szCs w:val="30"/>
        </w:rPr>
        <w:t>4</w:t>
      </w:r>
      <w:r>
        <w:rPr>
          <w:rFonts w:hint="eastAsia" w:ascii="仿宋" w:hAnsi="仿宋" w:eastAsia="仿宋" w:cs="Times New Roman"/>
          <w:sz w:val="30"/>
          <w:szCs w:val="30"/>
        </w:rPr>
        <w:t>2家减至2020年的33家，中型及以上矿山20家，占比60.61%，矿山规模结构进一步优化。</w:t>
      </w:r>
    </w:p>
    <w:bookmarkEnd w:id="10"/>
    <w:p>
      <w:pPr>
        <w:spacing w:line="360" w:lineRule="auto"/>
        <w:ind w:firstLine="562" w:firstLineChars="200"/>
        <w:rPr>
          <w:rFonts w:ascii="仿宋" w:hAnsi="仿宋" w:eastAsia="仿宋" w:cs="Times New Roman"/>
          <w:color w:val="000000"/>
          <w:sz w:val="30"/>
          <w:szCs w:val="30"/>
        </w:rPr>
      </w:pPr>
      <w:bookmarkStart w:id="12" w:name="_Hlk101962265"/>
      <w:r>
        <w:rPr>
          <w:rFonts w:hint="eastAsia" w:ascii="Times New Roman" w:hAnsi="Times New Roman" w:eastAsia="宋体" w:cs="Times New Roman"/>
          <w:b/>
          <w:bCs/>
          <w:sz w:val="28"/>
        </w:rPr>
        <w:t>矿山生态环境明显改善</w:t>
      </w:r>
      <w:r>
        <w:rPr>
          <w:rFonts w:hint="eastAsia" w:ascii="Times New Roman" w:hAnsi="Times New Roman" w:eastAsia="宋体" w:cs="Times New Roman"/>
          <w:sz w:val="28"/>
        </w:rPr>
        <w:t>。</w:t>
      </w:r>
      <w:r>
        <w:rPr>
          <w:rFonts w:hint="eastAsia" w:ascii="仿宋" w:hAnsi="仿宋" w:eastAsia="仿宋" w:cs="Times New Roman"/>
          <w:color w:val="000000"/>
          <w:sz w:val="30"/>
          <w:szCs w:val="30"/>
        </w:rPr>
        <w:t>全面实行矿山地质环境治理恢复基金制度。</w:t>
      </w:r>
      <w:r>
        <w:rPr>
          <w:rFonts w:hint="eastAsia" w:ascii="仿宋" w:hAnsi="仿宋" w:eastAsia="仿宋" w:cs="Times New Roman"/>
          <w:sz w:val="30"/>
          <w:szCs w:val="30"/>
        </w:rPr>
        <w:t>切实督促生产矿山依法履行了矿山地质环境保护和土地复垦义务，较大的改善了生产矿山生态环境。积极筹措治理资金，制定分期治理计划，共计投入治理资金约1971.69万元，</w:t>
      </w:r>
      <w:r>
        <w:rPr>
          <w:rFonts w:hint="eastAsia" w:ascii="仿宋" w:hAnsi="仿宋" w:eastAsia="仿宋" w:cs="Times New Roman"/>
          <w:color w:val="000000"/>
          <w:sz w:val="30"/>
          <w:szCs w:val="30"/>
        </w:rPr>
        <w:t>治理恢复面积1.25公顷，</w:t>
      </w:r>
      <w:r>
        <w:rPr>
          <w:rFonts w:hint="eastAsia" w:ascii="仿宋" w:hAnsi="仿宋" w:eastAsia="仿宋" w:cs="Times New Roman"/>
          <w:sz w:val="30"/>
          <w:szCs w:val="30"/>
        </w:rPr>
        <w:t>重点开展了大栗子铁矿老矿区矿山地质环境治理工程等4个项目（见专栏2）。逐步解决历史遗留和废弃闭坑</w:t>
      </w:r>
      <w:r>
        <w:rPr>
          <w:rFonts w:ascii="仿宋" w:hAnsi="仿宋" w:eastAsia="仿宋" w:cs="Times New Roman"/>
          <w:sz w:val="30"/>
          <w:szCs w:val="30"/>
        </w:rPr>
        <w:t>矿</w:t>
      </w:r>
      <w:r>
        <w:rPr>
          <w:rFonts w:hint="eastAsia" w:ascii="仿宋" w:hAnsi="仿宋" w:eastAsia="仿宋" w:cs="Times New Roman"/>
          <w:sz w:val="30"/>
          <w:szCs w:val="30"/>
        </w:rPr>
        <w:t>山的地质环境问题</w:t>
      </w:r>
      <w:r>
        <w:rPr>
          <w:rFonts w:ascii="仿宋" w:hAnsi="仿宋" w:eastAsia="仿宋" w:cs="Times New Roman"/>
          <w:sz w:val="30"/>
          <w:szCs w:val="30"/>
        </w:rPr>
        <w:t>，</w:t>
      </w:r>
      <w:r>
        <w:rPr>
          <w:rFonts w:hint="eastAsia" w:ascii="仿宋" w:hAnsi="仿宋" w:eastAsia="仿宋" w:cs="Times New Roman"/>
          <w:sz w:val="30"/>
          <w:szCs w:val="30"/>
        </w:rPr>
        <w:t>给</w:t>
      </w:r>
      <w:r>
        <w:rPr>
          <w:rFonts w:ascii="仿宋" w:hAnsi="仿宋" w:eastAsia="仿宋" w:cs="Times New Roman"/>
          <w:sz w:val="30"/>
          <w:szCs w:val="30"/>
        </w:rPr>
        <w:t>附近居民</w:t>
      </w:r>
      <w:r>
        <w:rPr>
          <w:rFonts w:hint="eastAsia" w:ascii="仿宋" w:hAnsi="仿宋" w:eastAsia="仿宋" w:cs="Times New Roman"/>
          <w:sz w:val="30"/>
          <w:szCs w:val="30"/>
        </w:rPr>
        <w:t>营造了</w:t>
      </w:r>
      <w:r>
        <w:rPr>
          <w:rFonts w:ascii="仿宋" w:hAnsi="仿宋" w:eastAsia="仿宋" w:cs="Times New Roman"/>
          <w:sz w:val="30"/>
          <w:szCs w:val="30"/>
        </w:rPr>
        <w:t>安全</w:t>
      </w:r>
      <w:r>
        <w:rPr>
          <w:rFonts w:hint="eastAsia" w:ascii="仿宋" w:hAnsi="仿宋" w:eastAsia="仿宋" w:cs="Times New Roman"/>
          <w:sz w:val="30"/>
          <w:szCs w:val="30"/>
        </w:rPr>
        <w:t>良好的</w:t>
      </w:r>
      <w:r>
        <w:rPr>
          <w:rFonts w:ascii="仿宋" w:hAnsi="仿宋" w:eastAsia="仿宋" w:cs="Times New Roman"/>
          <w:sz w:val="30"/>
          <w:szCs w:val="30"/>
        </w:rPr>
        <w:t>生态环境。</w:t>
      </w:r>
      <w:bookmarkEnd w:id="12"/>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40"/>
        <w:gridCol w:w="3995"/>
        <w:gridCol w:w="1310"/>
        <w:gridCol w:w="21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8522" w:type="dxa"/>
            <w:gridSpan w:val="4"/>
            <w:vAlign w:val="center"/>
          </w:tcPr>
          <w:p>
            <w:pPr>
              <w:spacing w:line="240" w:lineRule="auto"/>
              <w:ind w:firstLine="0" w:firstLineChars="0"/>
              <w:jc w:val="center"/>
              <w:rPr>
                <w:rFonts w:ascii="宋体" w:hAnsi="宋体" w:eastAsia="宋体" w:cs="Times New Roman"/>
                <w:kern w:val="0"/>
                <w:sz w:val="21"/>
              </w:rPr>
            </w:pPr>
            <w:r>
              <w:rPr>
                <w:rFonts w:ascii="宋体" w:hAnsi="宋体" w:eastAsia="宋体" w:cs="Times New Roman"/>
                <w:kern w:val="0"/>
                <w:sz w:val="21"/>
              </w:rPr>
              <w:t>专栏</w:t>
            </w:r>
            <w:r>
              <w:rPr>
                <w:rFonts w:hint="eastAsia" w:ascii="宋体" w:hAnsi="宋体" w:eastAsia="宋体" w:cs="Times New Roman"/>
                <w:kern w:val="0"/>
                <w:sz w:val="21"/>
              </w:rPr>
              <w:t>2</w:t>
            </w:r>
            <w:r>
              <w:rPr>
                <w:rFonts w:hint="eastAsia" w:ascii="仿宋" w:hAnsi="仿宋" w:eastAsia="仿宋" w:cs="Times New Roman"/>
                <w:kern w:val="0"/>
                <w:sz w:val="30"/>
                <w:szCs w:val="30"/>
              </w:rPr>
              <w:t xml:space="preserve">  </w:t>
            </w:r>
            <w:r>
              <w:rPr>
                <w:rFonts w:hint="eastAsia" w:ascii="宋体" w:hAnsi="宋体" w:eastAsia="宋体" w:cs="Times New Roman"/>
                <w:kern w:val="0"/>
                <w:sz w:val="21"/>
              </w:rPr>
              <w:t>临江市2015-2020年矿山地质环境保护与恢复治理工程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序号</w:t>
            </w:r>
          </w:p>
        </w:tc>
        <w:tc>
          <w:tcPr>
            <w:tcW w:w="3995"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项目名称</w:t>
            </w:r>
          </w:p>
        </w:tc>
        <w:tc>
          <w:tcPr>
            <w:tcW w:w="131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立项时间</w:t>
            </w:r>
          </w:p>
        </w:tc>
        <w:tc>
          <w:tcPr>
            <w:tcW w:w="2177"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进展情况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1</w:t>
            </w:r>
          </w:p>
        </w:tc>
        <w:tc>
          <w:tcPr>
            <w:tcW w:w="3995"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吉林省大栗子铁矿老矿区“矿山复绿”治理工程</w:t>
            </w:r>
          </w:p>
        </w:tc>
        <w:tc>
          <w:tcPr>
            <w:tcW w:w="131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2016年</w:t>
            </w:r>
          </w:p>
        </w:tc>
        <w:tc>
          <w:tcPr>
            <w:tcW w:w="2177"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2021年10月竣工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w:t>
            </w:r>
          </w:p>
        </w:tc>
        <w:tc>
          <w:tcPr>
            <w:tcW w:w="3995"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临江市白云岩矿矿山环境恢复治理工程</w:t>
            </w:r>
          </w:p>
        </w:tc>
        <w:tc>
          <w:tcPr>
            <w:tcW w:w="131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2019年</w:t>
            </w:r>
          </w:p>
        </w:tc>
        <w:tc>
          <w:tcPr>
            <w:tcW w:w="2177"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2021年10月竣工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3</w:t>
            </w:r>
          </w:p>
        </w:tc>
        <w:tc>
          <w:tcPr>
            <w:tcW w:w="3995"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临江市花山镇花山村采石场矿山环境恢复治理工程</w:t>
            </w:r>
          </w:p>
        </w:tc>
        <w:tc>
          <w:tcPr>
            <w:tcW w:w="131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2019年</w:t>
            </w:r>
          </w:p>
        </w:tc>
        <w:tc>
          <w:tcPr>
            <w:tcW w:w="2177"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2021年10月竣工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4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4</w:t>
            </w:r>
          </w:p>
        </w:tc>
        <w:tc>
          <w:tcPr>
            <w:tcW w:w="3995"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临江市铅锌矿矿山地质环境治理工程</w:t>
            </w:r>
          </w:p>
        </w:tc>
        <w:tc>
          <w:tcPr>
            <w:tcW w:w="1310"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2017年</w:t>
            </w:r>
          </w:p>
        </w:tc>
        <w:tc>
          <w:tcPr>
            <w:tcW w:w="2177" w:type="dxa"/>
            <w:vAlign w:val="center"/>
          </w:tcPr>
          <w:p>
            <w:pPr>
              <w:spacing w:line="240" w:lineRule="auto"/>
              <w:ind w:firstLine="0" w:firstLineChars="0"/>
              <w:jc w:val="center"/>
              <w:rPr>
                <w:rFonts w:ascii="Times New Roman" w:hAnsi="宋体" w:eastAsia="宋体" w:cs="Times New Roman"/>
                <w:kern w:val="0"/>
                <w:sz w:val="21"/>
                <w:szCs w:val="21"/>
              </w:rPr>
            </w:pPr>
            <w:r>
              <w:rPr>
                <w:rFonts w:hint="eastAsia" w:ascii="Times New Roman" w:hAnsi="宋体" w:eastAsia="宋体" w:cs="Times New Roman"/>
                <w:kern w:val="0"/>
                <w:sz w:val="21"/>
                <w:szCs w:val="21"/>
              </w:rPr>
              <w:t>正在治理中</w:t>
            </w:r>
          </w:p>
        </w:tc>
      </w:tr>
    </w:tbl>
    <w:p>
      <w:pPr>
        <w:spacing w:line="600" w:lineRule="exact"/>
        <w:ind w:firstLine="602" w:firstLineChars="200"/>
        <w:rPr>
          <w:rFonts w:ascii="仿宋" w:hAnsi="仿宋" w:eastAsia="仿宋" w:cs="Times New Roman"/>
          <w:sz w:val="30"/>
          <w:szCs w:val="30"/>
        </w:rPr>
      </w:pPr>
      <w:r>
        <w:rPr>
          <w:rFonts w:hint="eastAsia" w:ascii="Times New Roman" w:hAnsi="Times New Roman" w:eastAsia="楷体_GB2312" w:cs="Times New Roman"/>
          <w:b/>
          <w:sz w:val="30"/>
          <w:szCs w:val="30"/>
        </w:rPr>
        <w:t>矿政管理工作不断加强。</w:t>
      </w:r>
      <w:r>
        <w:rPr>
          <w:rFonts w:hint="eastAsia" w:ascii="仿宋" w:hAnsi="仿宋" w:eastAsia="仿宋" w:cs="Times New Roman"/>
          <w:sz w:val="30"/>
          <w:szCs w:val="30"/>
        </w:rPr>
        <w:t>深化“放管服”改革，加强规划实施监督体系建设，严格依据规划颁发矿业权许可证。全面实行矿业权人勘查开采信息公示制度。</w:t>
      </w:r>
      <w:r>
        <w:rPr>
          <w:rFonts w:ascii="Times New Roman" w:hAnsi="Times New Roman" w:eastAsia="仿宋" w:cs="Times New Roman"/>
          <w:sz w:val="30"/>
          <w:szCs w:val="30"/>
        </w:rPr>
        <w:t>生产矿山年度储量动态监测达到100%。矿业权人勘查开采信息公示率为100%。完成了矿山环境治理恢复保证金存储向建立矿山环境治理恢复基金的制度转化。</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13" w:name="_Toc129074189"/>
      <w:r>
        <w:rPr>
          <w:rFonts w:hint="eastAsia" w:ascii="华文中宋" w:hAnsi="华文中宋" w:eastAsia="华文中宋" w:cs="Times New Roman"/>
          <w:b w:val="0"/>
          <w:bCs/>
          <w:kern w:val="0"/>
          <w:sz w:val="32"/>
          <w:szCs w:val="32"/>
          <w:lang w:val="en-US" w:eastAsia="zh-CN" w:bidi="ar-SA"/>
        </w:rPr>
        <w:t>第四节 矿业发展现状及存在问题</w:t>
      </w:r>
      <w:bookmarkEnd w:id="13"/>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一、矿业发展现状</w:t>
      </w:r>
    </w:p>
    <w:p>
      <w:pPr>
        <w:spacing w:line="60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（一）矿产资源调查评价与勘查现状</w:t>
      </w:r>
    </w:p>
    <w:p>
      <w:pPr>
        <w:spacing w:line="6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截止2020年底，</w:t>
      </w:r>
      <w:r>
        <w:rPr>
          <w:rFonts w:hint="eastAsia" w:ascii="Times New Roman" w:hAnsi="Times New Roman" w:eastAsia="仿宋" w:cs="Times New Roman"/>
          <w:sz w:val="30"/>
          <w:szCs w:val="30"/>
        </w:rPr>
        <w:t>临江</w:t>
      </w:r>
      <w:r>
        <w:rPr>
          <w:rFonts w:ascii="Times New Roman" w:hAnsi="Times New Roman" w:eastAsia="仿宋" w:cs="Times New Roman"/>
          <w:sz w:val="30"/>
          <w:szCs w:val="30"/>
        </w:rPr>
        <w:t>市已全面完成了1/100万区域地质调查和重力调查，1/20万区域地质调查、区域重力调查、水系沉积物测量、自然重砂及1/10万航空磁测；完成1/5万区域地质调查</w:t>
      </w:r>
      <w:r>
        <w:rPr>
          <w:rFonts w:hint="eastAsia" w:ascii="Times New Roman" w:hAnsi="Times New Roman" w:eastAsia="仿宋" w:cs="Times New Roman"/>
          <w:sz w:val="30"/>
          <w:szCs w:val="30"/>
        </w:rPr>
        <w:t>3</w:t>
      </w:r>
      <w:r>
        <w:rPr>
          <w:rFonts w:ascii="Times New Roman" w:hAnsi="Times New Roman" w:eastAsia="仿宋" w:cs="Times New Roman"/>
          <w:sz w:val="30"/>
          <w:szCs w:val="30"/>
        </w:rPr>
        <w:t>幅、</w:t>
      </w:r>
      <w:r>
        <w:rPr>
          <w:rFonts w:hint="eastAsia" w:ascii="Times New Roman" w:hAnsi="Times New Roman" w:eastAsia="仿宋" w:cs="Times New Roman"/>
          <w:sz w:val="30"/>
          <w:szCs w:val="30"/>
        </w:rPr>
        <w:t>完成1：5万矿产远景调查5</w:t>
      </w:r>
      <w:r>
        <w:rPr>
          <w:rFonts w:ascii="Times New Roman" w:hAnsi="Times New Roman" w:eastAsia="仿宋" w:cs="Times New Roman"/>
          <w:sz w:val="30"/>
          <w:szCs w:val="30"/>
        </w:rPr>
        <w:t>幅。</w:t>
      </w:r>
    </w:p>
    <w:p>
      <w:pPr>
        <w:spacing w:line="600" w:lineRule="exact"/>
        <w:ind w:firstLine="600" w:firstLineChars="200"/>
        <w:rPr>
          <w:rFonts w:ascii="Times New Roman" w:hAnsi="Times New Roman" w:eastAsia="仿宋" w:cs="Times New Roman"/>
          <w:sz w:val="30"/>
          <w:szCs w:val="30"/>
        </w:rPr>
      </w:pPr>
      <w:r>
        <w:rPr>
          <w:rFonts w:ascii="Times New Roman" w:hAnsi="Times New Roman" w:eastAsia="仿宋" w:cs="Times New Roman"/>
          <w:sz w:val="30"/>
          <w:szCs w:val="30"/>
        </w:rPr>
        <w:t>截止2020年底，全市共有有效探矿权</w:t>
      </w:r>
      <w:r>
        <w:rPr>
          <w:rFonts w:hint="eastAsia" w:ascii="Times New Roman" w:hAnsi="Times New Roman" w:eastAsia="仿宋" w:cs="Times New Roman"/>
          <w:sz w:val="30"/>
          <w:szCs w:val="30"/>
        </w:rPr>
        <w:t>31</w:t>
      </w:r>
      <w:r>
        <w:rPr>
          <w:rFonts w:ascii="Times New Roman" w:hAnsi="Times New Roman" w:eastAsia="仿宋" w:cs="Times New Roman"/>
          <w:sz w:val="30"/>
          <w:szCs w:val="30"/>
        </w:rPr>
        <w:t>个，其中</w:t>
      </w:r>
      <w:r>
        <w:rPr>
          <w:rFonts w:hint="eastAsia" w:ascii="Times New Roman" w:hAnsi="Times New Roman" w:eastAsia="仿宋" w:cs="Times New Roman"/>
          <w:sz w:val="30"/>
          <w:szCs w:val="30"/>
        </w:rPr>
        <w:t>能源矿查1个（油页岩）、金属矿产22个（金矿9个、铅矿4个、铁矿5个、银矿2个、多金属2个）、非金属矿产8个（硅藻土8个）。勘查区总面积476.46平方千米，其中勘查程度达到详查及以上的项目24个，占比77.42%。</w:t>
      </w:r>
    </w:p>
    <w:p>
      <w:pPr>
        <w:spacing w:line="360" w:lineRule="auto"/>
        <w:ind w:firstLine="600" w:firstLineChars="200"/>
        <w:rPr>
          <w:rFonts w:ascii="仿宋" w:hAnsi="仿宋" w:eastAsia="仿宋" w:cs="Times New Roman"/>
          <w:sz w:val="30"/>
          <w:szCs w:val="30"/>
        </w:rPr>
      </w:pPr>
      <w:r>
        <w:rPr>
          <w:rFonts w:hint="eastAsia" w:ascii="Times New Roman" w:hAnsi="Times New Roman" w:eastAsia="楷体_GB2312" w:cs="Times New Roman"/>
          <w:sz w:val="30"/>
          <w:szCs w:val="30"/>
        </w:rPr>
        <w:t>（二）矿产资源开发利用现状</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截至2020年底，临江市共有矿山33个，其中大型2个，中型18个，小型13个</w:t>
      </w:r>
      <w:r>
        <w:rPr>
          <w:rFonts w:ascii="仿宋" w:hAnsi="仿宋" w:eastAsia="仿宋" w:cs="Times New Roman"/>
          <w:color w:val="000000"/>
          <w:sz w:val="30"/>
          <w:szCs w:val="30"/>
        </w:rPr>
        <w:t>，大中型矿山占比</w:t>
      </w:r>
      <w:r>
        <w:rPr>
          <w:rFonts w:hint="eastAsia" w:ascii="仿宋" w:hAnsi="仿宋" w:eastAsia="仿宋" w:cs="Times New Roman"/>
          <w:color w:val="000000"/>
          <w:sz w:val="30"/>
          <w:szCs w:val="30"/>
        </w:rPr>
        <w:t>60.61</w:t>
      </w:r>
      <w:r>
        <w:rPr>
          <w:rFonts w:ascii="仿宋" w:hAnsi="仿宋" w:eastAsia="仿宋" w:cs="Times New Roman"/>
          <w:color w:val="000000"/>
          <w:sz w:val="30"/>
          <w:szCs w:val="30"/>
        </w:rPr>
        <w:t>%</w:t>
      </w:r>
      <w:r>
        <w:rPr>
          <w:rFonts w:hint="eastAsia" w:ascii="仿宋" w:hAnsi="仿宋" w:eastAsia="仿宋" w:cs="Times New Roman"/>
          <w:sz w:val="30"/>
          <w:szCs w:val="30"/>
        </w:rPr>
        <w:t>。按开采矿种分为煤1个、铁8个、金1个、铜1个、硅藻土16个、冶金用白云岩1个、水泥用石灰岩1个、建筑石料用灰岩2个、建筑用砂岩1个、砖瓦用粘土1个；按开采方式分为露天开采矿山6个、地下开采矿山27个；按生产状态分为在建矿山10个、正在开采矿山11个、停采矿山12个。</w:t>
      </w:r>
      <w:r>
        <w:rPr>
          <w:rFonts w:ascii="仿宋" w:hAnsi="仿宋" w:eastAsia="仿宋" w:cs="Times New Roman"/>
          <w:sz w:val="30"/>
          <w:szCs w:val="30"/>
        </w:rPr>
        <w:t xml:space="preserve"> </w:t>
      </w:r>
    </w:p>
    <w:p>
      <w:pPr>
        <w:spacing w:line="600" w:lineRule="exact"/>
        <w:ind w:firstLine="600" w:firstLineChars="200"/>
        <w:rPr>
          <w:rFonts w:ascii="Times New Roman" w:hAnsi="Times New Roman" w:eastAsia="楷体_GB2312" w:cs="Times New Roman"/>
          <w:sz w:val="30"/>
          <w:szCs w:val="30"/>
        </w:rPr>
      </w:pPr>
      <w:bookmarkStart w:id="14" w:name="_Hlk69908213"/>
      <w:bookmarkStart w:id="15" w:name="_Hlk101778188"/>
      <w:r>
        <w:rPr>
          <w:rFonts w:hint="eastAsia" w:ascii="Times New Roman" w:hAnsi="Times New Roman" w:eastAsia="楷体_GB2312" w:cs="Times New Roman"/>
          <w:sz w:val="30"/>
          <w:szCs w:val="30"/>
        </w:rPr>
        <w:t>（三）矿区生态保护修复现状</w:t>
      </w:r>
    </w:p>
    <w:p>
      <w:pPr>
        <w:spacing w:line="360" w:lineRule="auto"/>
        <w:ind w:firstLine="600" w:firstLineChars="200"/>
        <w:rPr>
          <w:rFonts w:ascii="仿宋" w:hAnsi="仿宋" w:eastAsia="仿宋" w:cs="Times New Roman"/>
          <w:color w:val="000000"/>
          <w:sz w:val="30"/>
          <w:szCs w:val="30"/>
        </w:rPr>
      </w:pPr>
      <w:r>
        <w:rPr>
          <w:rFonts w:hint="eastAsia" w:ascii="仿宋" w:hAnsi="仿宋" w:eastAsia="仿宋" w:cs="Times New Roman"/>
          <w:sz w:val="30"/>
          <w:szCs w:val="30"/>
        </w:rPr>
        <w:t>截至2</w:t>
      </w:r>
      <w:r>
        <w:rPr>
          <w:rFonts w:ascii="仿宋" w:hAnsi="仿宋" w:eastAsia="仿宋" w:cs="Times New Roman"/>
          <w:sz w:val="30"/>
          <w:szCs w:val="30"/>
        </w:rPr>
        <w:t>020</w:t>
      </w:r>
      <w:r>
        <w:rPr>
          <w:rFonts w:hint="eastAsia" w:ascii="仿宋" w:hAnsi="仿宋" w:eastAsia="仿宋" w:cs="Times New Roman"/>
          <w:sz w:val="30"/>
          <w:szCs w:val="30"/>
        </w:rPr>
        <w:t>年底，</w:t>
      </w:r>
      <w:r>
        <w:rPr>
          <w:rFonts w:hint="eastAsia" w:ascii="仿宋" w:hAnsi="仿宋" w:eastAsia="仿宋" w:cs="Times New Roman"/>
          <w:color w:val="000000"/>
          <w:sz w:val="30"/>
          <w:szCs w:val="30"/>
        </w:rPr>
        <w:t>临江市矿山使用土地面积355.05公顷，应恢复治理面积223.38公顷，累计已治理恢复的面积5.79公顷。</w:t>
      </w:r>
      <w:r>
        <w:rPr>
          <w:rFonts w:hint="eastAsia" w:ascii="仿宋" w:hAnsi="仿宋" w:eastAsia="仿宋" w:cs="Times New Roman"/>
          <w:sz w:val="30"/>
          <w:szCs w:val="30"/>
        </w:rPr>
        <w:t>累计投入矿山地质环境治理恢复资金3147.69万元，治理恢复面积7.3153公顷，治理恢复矿山数6个，全部为历史遗留矿山。</w:t>
      </w:r>
    </w:p>
    <w:p>
      <w:pPr>
        <w:spacing w:line="360" w:lineRule="auto"/>
        <w:ind w:firstLine="600" w:firstLineChars="200"/>
        <w:rPr>
          <w:rFonts w:ascii="仿宋" w:hAnsi="仿宋" w:eastAsia="仿宋" w:cs="Times New Roman"/>
          <w:color w:val="000000"/>
          <w:sz w:val="30"/>
          <w:szCs w:val="30"/>
        </w:rPr>
      </w:pPr>
      <w:r>
        <w:rPr>
          <w:rFonts w:hint="eastAsia" w:ascii="仿宋" w:hAnsi="仿宋" w:eastAsia="仿宋" w:cs="Times New Roman"/>
          <w:color w:val="000000"/>
          <w:sz w:val="30"/>
          <w:szCs w:val="30"/>
        </w:rPr>
        <w:t>落实企业矿山环境治理恢复责任改革要求，</w:t>
      </w:r>
      <w:r>
        <w:rPr>
          <w:rFonts w:hint="eastAsia" w:ascii="仿宋" w:hAnsi="仿宋" w:eastAsia="仿宋" w:cs="Times New Roman"/>
          <w:sz w:val="30"/>
          <w:szCs w:val="30"/>
        </w:rPr>
        <w:t>截至2</w:t>
      </w:r>
      <w:r>
        <w:rPr>
          <w:rFonts w:ascii="仿宋" w:hAnsi="仿宋" w:eastAsia="仿宋" w:cs="Times New Roman"/>
          <w:sz w:val="30"/>
          <w:szCs w:val="30"/>
        </w:rPr>
        <w:t>020</w:t>
      </w:r>
      <w:r>
        <w:rPr>
          <w:rFonts w:hint="eastAsia" w:ascii="仿宋" w:hAnsi="仿宋" w:eastAsia="仿宋" w:cs="Times New Roman"/>
          <w:sz w:val="30"/>
          <w:szCs w:val="30"/>
        </w:rPr>
        <w:t>年末，</w:t>
      </w:r>
      <w:r>
        <w:rPr>
          <w:rFonts w:hint="eastAsia" w:ascii="仿宋" w:hAnsi="仿宋" w:eastAsia="仿宋" w:cs="Times New Roman"/>
          <w:color w:val="000000"/>
          <w:sz w:val="30"/>
          <w:szCs w:val="30"/>
        </w:rPr>
        <w:t>返还存</w:t>
      </w:r>
      <w:r>
        <w:rPr>
          <w:rFonts w:hint="eastAsia" w:ascii="仿宋" w:hAnsi="仿宋" w:eastAsia="仿宋" w:cs="Times New Roman"/>
          <w:sz w:val="30"/>
          <w:szCs w:val="30"/>
        </w:rPr>
        <w:t>贮</w:t>
      </w:r>
      <w:r>
        <w:rPr>
          <w:rFonts w:hint="eastAsia" w:ascii="仿宋" w:hAnsi="仿宋" w:eastAsia="仿宋" w:cs="Times New Roman"/>
          <w:color w:val="000000"/>
          <w:sz w:val="30"/>
          <w:szCs w:val="30"/>
        </w:rPr>
        <w:t>在账户中的矿山地质环境治理恢复保证金1483.56万元。</w:t>
      </w:r>
    </w:p>
    <w:p>
      <w:pPr>
        <w:spacing w:line="360" w:lineRule="auto"/>
        <w:ind w:firstLine="548" w:firstLineChars="200"/>
        <w:rPr>
          <w:rFonts w:ascii="仿宋" w:hAnsi="仿宋" w:eastAsia="仿宋" w:cs="Times New Roman"/>
          <w:color w:val="000000"/>
          <w:sz w:val="30"/>
          <w:szCs w:val="30"/>
        </w:rPr>
      </w:pPr>
      <w:r>
        <w:rPr>
          <w:rFonts w:hint="eastAsia" w:ascii="Times New Roman" w:hAnsi="Times New Roman" w:eastAsia="黑体" w:cs="Times New Roman"/>
          <w:w w:val="98"/>
          <w:sz w:val="28"/>
          <w:szCs w:val="30"/>
        </w:rPr>
        <w:t>二、存在的问题</w:t>
      </w:r>
    </w:p>
    <w:bookmarkEnd w:id="14"/>
    <w:bookmarkEnd w:id="15"/>
    <w:p>
      <w:pPr>
        <w:spacing w:line="360" w:lineRule="auto"/>
        <w:ind w:firstLine="600" w:firstLineChars="200"/>
        <w:rPr>
          <w:rFonts w:ascii="仿宋" w:hAnsi="仿宋" w:eastAsia="仿宋" w:cs="Times New Roman"/>
          <w:sz w:val="30"/>
          <w:szCs w:val="30"/>
        </w:rPr>
      </w:pPr>
      <w:r>
        <w:rPr>
          <w:rFonts w:hint="eastAsia" w:ascii="仿宋" w:hAnsi="仿宋" w:eastAsia="仿宋" w:cs="Times New Roman"/>
          <w:color w:val="000000"/>
          <w:sz w:val="30"/>
          <w:szCs w:val="30"/>
        </w:rPr>
        <w:t>1：5万区域地质矿产调查仍有空白区，重要成矿区带尚未形成全覆盖；1:5万地质矿产调查未达到上轮规划预期指标。矿业市场活力不足，地质勘查投入逐年下降。</w:t>
      </w:r>
      <w:r>
        <w:rPr>
          <w:rFonts w:ascii="仿宋" w:hAnsi="仿宋" w:eastAsia="仿宋" w:cs="Times New Roman"/>
          <w:color w:val="000000"/>
          <w:sz w:val="30"/>
          <w:szCs w:val="30"/>
        </w:rPr>
        <w:t>矿业高质量发展有待加强</w:t>
      </w:r>
      <w:r>
        <w:rPr>
          <w:rFonts w:hint="eastAsia" w:ascii="仿宋" w:hAnsi="仿宋" w:eastAsia="仿宋" w:cs="Times New Roman"/>
          <w:color w:val="000000"/>
          <w:sz w:val="30"/>
          <w:szCs w:val="30"/>
        </w:rPr>
        <w:t>，</w:t>
      </w:r>
      <w:r>
        <w:rPr>
          <w:rFonts w:hint="eastAsia" w:ascii="仿宋" w:hAnsi="仿宋" w:eastAsia="仿宋" w:cs="Times New Roman"/>
          <w:sz w:val="30"/>
          <w:szCs w:val="30"/>
        </w:rPr>
        <w:t>矿产资源开发综合利用水平偏低，部分矿山企业设备陈旧、技术落后、生产方式粗放，开发利用深度和广度不够，制约了矿业经济的可持续发展。绿色矿业发展进展缓慢。</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16" w:name="_Toc68596432"/>
      <w:bookmarkStart w:id="17" w:name="_Toc129074190"/>
      <w:r>
        <w:rPr>
          <w:rFonts w:hint="eastAsia" w:ascii="华文中宋" w:hAnsi="华文中宋" w:eastAsia="华文中宋" w:cs="Times New Roman"/>
          <w:b w:val="0"/>
          <w:bCs/>
          <w:kern w:val="0"/>
          <w:sz w:val="32"/>
          <w:szCs w:val="32"/>
          <w:lang w:val="en-US" w:eastAsia="zh-CN" w:bidi="ar-SA"/>
        </w:rPr>
        <w:t>第五节 形势</w:t>
      </w:r>
      <w:bookmarkEnd w:id="16"/>
      <w:r>
        <w:rPr>
          <w:rFonts w:hint="eastAsia" w:ascii="华文中宋" w:hAnsi="华文中宋" w:eastAsia="华文中宋" w:cs="Times New Roman"/>
          <w:b w:val="0"/>
          <w:bCs/>
          <w:kern w:val="0"/>
          <w:sz w:val="32"/>
          <w:szCs w:val="32"/>
          <w:lang w:val="en-US" w:eastAsia="zh-CN" w:bidi="ar-SA"/>
        </w:rPr>
        <w:t>与要求</w:t>
      </w:r>
      <w:bookmarkEnd w:id="17"/>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bookmarkStart w:id="18" w:name="_Hlk101964934"/>
      <w:r>
        <w:rPr>
          <w:rFonts w:hint="eastAsia" w:ascii="Times New Roman" w:hAnsi="Times New Roman" w:eastAsia="黑体" w:cs="Times New Roman"/>
          <w:b w:val="0"/>
          <w:bCs w:val="0"/>
          <w:w w:val="98"/>
          <w:kern w:val="2"/>
          <w:sz w:val="30"/>
          <w:szCs w:val="30"/>
          <w:lang w:val="en-US" w:eastAsia="zh-CN" w:bidi="ar-SA"/>
        </w:rPr>
        <w:t>一、面临形势</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十四五”时期是临江市“一核、一带、两轴、多节点”发展格局构建的重要时期。敦白、沈白高铁、东北边境风景道和白山临江高速将相继建成，临江将打破交通区位“瓶颈”，进入“高速时代”，“大交通”体系日益完善，对外互联互通通道将更加畅通，为临江实现开放合作及联动发展提供了通道机遇。</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从吉林省和白山市近期出台的相关政策文件来看，矿产资源产业支撑经济社会发展的基本面没有变，白山市产业结构布局优化调整，基础设施建设等领域对矿产资源的刚性需求依然旺盛。但由于生态环境保护约束日益趋紧，矿产资源勘查开发空间有限，</w:t>
      </w:r>
      <w:r>
        <w:rPr>
          <w:rFonts w:ascii="仿宋" w:hAnsi="仿宋" w:eastAsia="仿宋" w:cs="Times New Roman"/>
          <w:sz w:val="30"/>
          <w:szCs w:val="30"/>
        </w:rPr>
        <w:t>碳达峰与碳中和目标对矿产资源的开发利用提出了更高的要求等影响，使</w:t>
      </w:r>
      <w:r>
        <w:rPr>
          <w:rFonts w:hint="eastAsia" w:ascii="仿宋" w:hAnsi="仿宋" w:eastAsia="仿宋" w:cs="Times New Roman"/>
          <w:sz w:val="30"/>
          <w:szCs w:val="30"/>
        </w:rPr>
        <w:t>临江市</w:t>
      </w:r>
      <w:r>
        <w:rPr>
          <w:rFonts w:ascii="仿宋" w:hAnsi="仿宋" w:eastAsia="仿宋" w:cs="Times New Roman"/>
          <w:sz w:val="30"/>
          <w:szCs w:val="30"/>
        </w:rPr>
        <w:t>在</w:t>
      </w:r>
      <w:r>
        <w:rPr>
          <w:rFonts w:hint="eastAsia" w:ascii="仿宋" w:hAnsi="仿宋" w:eastAsia="仿宋" w:cs="Times New Roman"/>
          <w:sz w:val="30"/>
          <w:szCs w:val="30"/>
        </w:rPr>
        <w:t>矿业领域生态文明建设、矿业高质量发展、深化矿产资源管理改革等方面面临着严峻挑战。</w:t>
      </w:r>
    </w:p>
    <w:p>
      <w:pPr>
        <w:keepNext/>
        <w:keepLines/>
        <w:widowControl w:val="0"/>
        <w:spacing w:line="600" w:lineRule="exact"/>
        <w:ind w:firstLine="600" w:firstLineChars="200"/>
        <w:jc w:val="both"/>
        <w:outlineLvl w:val="2"/>
        <w:rPr>
          <w:rFonts w:ascii="Times New Roman" w:hAnsi="Times New Roman" w:eastAsia="黑体" w:cs="Times New Roman"/>
          <w:b w:val="0"/>
          <w:bCs w:val="0"/>
          <w:kern w:val="2"/>
          <w:sz w:val="30"/>
          <w:szCs w:val="30"/>
          <w:lang w:val="en-US" w:eastAsia="zh-CN" w:bidi="ar-SA"/>
        </w:rPr>
      </w:pPr>
      <w:r>
        <w:rPr>
          <w:rFonts w:hint="eastAsia" w:ascii="Times New Roman" w:hAnsi="Times New Roman" w:eastAsia="黑体" w:cs="Times New Roman"/>
          <w:b w:val="0"/>
          <w:bCs w:val="0"/>
          <w:kern w:val="2"/>
          <w:sz w:val="30"/>
          <w:szCs w:val="30"/>
          <w:lang w:val="en-US" w:eastAsia="zh-CN" w:bidi="ar-SA"/>
        </w:rPr>
        <w:t>二、规划要求</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根据当前矿业发展形势，规划期内临江市要优化资源开发结构布局，加强重要尤其是战略性矿产资源勘查力度，强化资源保障能力，提高资源开发利用效率。推进绿色勘查，加快绿色矿山建设，保护矿区生态环境，实现矿产资源可持续开发利用。要全面深化矿产资源管理改革，全面落实治理体系和治理能力现代化新要求。实现资源效益、环境效益、经济效益和社会效益的和谐统一。</w:t>
      </w:r>
      <w:bookmarkEnd w:id="18"/>
    </w:p>
    <w:p>
      <w:pPr>
        <w:pageBreakBefore/>
        <w:spacing w:beforeLines="50" w:afterLines="50" w:line="600" w:lineRule="exact"/>
        <w:ind w:firstLine="0" w:firstLineChars="0"/>
        <w:jc w:val="center"/>
        <w:outlineLvl w:val="0"/>
        <w:rPr>
          <w:rFonts w:ascii="黑体" w:hAnsi="黑体" w:eastAsia="黑体" w:cs="Times New Roman"/>
          <w:b/>
          <w:bCs/>
          <w:color w:val="000000"/>
          <w:sz w:val="36"/>
          <w:szCs w:val="36"/>
        </w:rPr>
      </w:pPr>
      <w:bookmarkStart w:id="19" w:name="_Toc68596433"/>
      <w:bookmarkStart w:id="20" w:name="_Toc129074191"/>
      <w:r>
        <w:rPr>
          <w:rFonts w:hint="eastAsia" w:ascii="黑体" w:hAnsi="黑体" w:eastAsia="黑体" w:cs="Times New Roman"/>
          <w:b/>
          <w:bCs/>
          <w:color w:val="000000"/>
          <w:sz w:val="36"/>
          <w:szCs w:val="36"/>
        </w:rPr>
        <w:t>第二章 指导原则和目标</w:t>
      </w:r>
      <w:bookmarkEnd w:id="19"/>
      <w:bookmarkEnd w:id="20"/>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21" w:name="_Toc129074192"/>
      <w:bookmarkStart w:id="22" w:name="_Toc68596434"/>
      <w:bookmarkStart w:id="23" w:name="_Hlk101965100"/>
      <w:r>
        <w:rPr>
          <w:rFonts w:hint="eastAsia" w:ascii="华文中宋" w:hAnsi="华文中宋" w:eastAsia="华文中宋" w:cs="Times New Roman"/>
          <w:b w:val="0"/>
          <w:bCs/>
          <w:kern w:val="0"/>
          <w:sz w:val="32"/>
          <w:szCs w:val="32"/>
          <w:lang w:val="en-US" w:eastAsia="zh-CN" w:bidi="ar-SA"/>
        </w:rPr>
        <w:t>第一节 指导思想</w:t>
      </w:r>
      <w:bookmarkEnd w:id="21"/>
      <w:bookmarkEnd w:id="22"/>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以习近平新时代中国特色社会主义思想为指导，坚持习近平生态文明思想，全面贯彻党的二十大精神，贯彻落实习近平总书记视察吉林重要讲话重要指示精神，立足新发展阶段，贯彻新发展理念，构建新发展格局。坚持“生态立市、工业强市、开放活市、文旅兴市、品牌塑市”，实施“五三一”发展战略，坚持服务于生态安全和资源安全两个大局，进一步提高矿产</w:t>
      </w:r>
      <w:r>
        <w:rPr>
          <w:rFonts w:ascii="仿宋" w:hAnsi="仿宋" w:eastAsia="仿宋" w:cs="Times New Roman"/>
          <w:sz w:val="30"/>
          <w:szCs w:val="30"/>
        </w:rPr>
        <w:t>资源供给能力，优化资源开发保护格局，强化资源高效合理利用，推进矿业绿色发展，</w:t>
      </w:r>
      <w:r>
        <w:rPr>
          <w:rFonts w:hint="eastAsia" w:ascii="仿宋" w:hAnsi="仿宋" w:eastAsia="仿宋" w:cs="Times New Roman"/>
          <w:sz w:val="30"/>
          <w:szCs w:val="30"/>
        </w:rPr>
        <w:t>为临江市新型城镇化建设提供坚实矿业支撑。</w:t>
      </w:r>
    </w:p>
    <w:bookmarkEnd w:id="23"/>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24" w:name="_Toc68596435"/>
      <w:bookmarkStart w:id="25" w:name="_Toc129074193"/>
      <w:bookmarkStart w:id="26" w:name="_Hlk101965180"/>
      <w:r>
        <w:rPr>
          <w:rFonts w:hint="eastAsia" w:ascii="华文中宋" w:hAnsi="华文中宋" w:eastAsia="华文中宋" w:cs="Times New Roman"/>
          <w:b w:val="0"/>
          <w:bCs/>
          <w:kern w:val="0"/>
          <w:sz w:val="32"/>
          <w:szCs w:val="32"/>
          <w:lang w:val="en-US" w:eastAsia="zh-CN" w:bidi="ar-SA"/>
        </w:rPr>
        <w:t>第二节 基本原则</w:t>
      </w:r>
      <w:bookmarkEnd w:id="24"/>
      <w:bookmarkEnd w:id="25"/>
    </w:p>
    <w:p>
      <w:pPr>
        <w:spacing w:line="600" w:lineRule="exact"/>
        <w:ind w:firstLine="602" w:firstLineChars="200"/>
        <w:rPr>
          <w:rFonts w:ascii="仿宋" w:hAnsi="仿宋" w:eastAsia="仿宋" w:cs="Times New Roman"/>
          <w:sz w:val="30"/>
          <w:szCs w:val="30"/>
        </w:rPr>
      </w:pPr>
      <w:r>
        <w:rPr>
          <w:rFonts w:ascii="Times New Roman" w:hAnsi="Times New Roman" w:eastAsia="楷体_GB2312" w:cs="Times New Roman"/>
          <w:b/>
          <w:sz w:val="30"/>
          <w:szCs w:val="30"/>
        </w:rPr>
        <w:t>坚持资源开发与经济发展相结合。</w:t>
      </w:r>
      <w:r>
        <w:rPr>
          <w:rFonts w:hint="eastAsia" w:ascii="仿宋" w:hAnsi="仿宋" w:eastAsia="仿宋" w:cs="Times New Roman"/>
          <w:sz w:val="30"/>
          <w:szCs w:val="30"/>
        </w:rPr>
        <w:t>积极改善矿业发展环境，着力突出区域重点矿种和重点矿区，因地制宜，统筹规划，以矿业开发服务地方经济建设为出发点，打造具有区域特色的矿业经济体系，促进矿业经济可持续发展。</w:t>
      </w:r>
    </w:p>
    <w:p>
      <w:pPr>
        <w:spacing w:line="600" w:lineRule="exact"/>
        <w:ind w:firstLine="602" w:firstLineChars="200"/>
        <w:rPr>
          <w:rFonts w:ascii="仿宋" w:hAnsi="仿宋" w:eastAsia="仿宋" w:cs="Times New Roman"/>
          <w:sz w:val="30"/>
          <w:szCs w:val="30"/>
        </w:rPr>
      </w:pPr>
      <w:r>
        <w:rPr>
          <w:rFonts w:ascii="Times New Roman" w:hAnsi="Times New Roman" w:eastAsia="楷体_GB2312" w:cs="Times New Roman"/>
          <w:b/>
          <w:sz w:val="30"/>
          <w:szCs w:val="30"/>
        </w:rPr>
        <w:t>坚持资源保护与合理利用相统一。</w:t>
      </w:r>
      <w:r>
        <w:rPr>
          <w:rFonts w:ascii="仿宋" w:hAnsi="仿宋" w:eastAsia="仿宋" w:cs="Times New Roman"/>
          <w:sz w:val="30"/>
          <w:szCs w:val="30"/>
        </w:rPr>
        <w:t>优化调整矿产开发利用结构，合理调控资源开发利用强度，加强科技创新，推广应用先进适用技术，推动资源节约集约高效利用，促进</w:t>
      </w:r>
      <w:r>
        <w:rPr>
          <w:rFonts w:hint="eastAsia" w:ascii="仿宋" w:hAnsi="仿宋" w:eastAsia="仿宋" w:cs="Times New Roman"/>
          <w:sz w:val="30"/>
          <w:szCs w:val="30"/>
        </w:rPr>
        <w:t>资源科学开发、有序开发和综合开发。</w:t>
      </w:r>
    </w:p>
    <w:p>
      <w:pPr>
        <w:widowControl/>
        <w:shd w:val="clear" w:color="auto" w:fill="FFFFFF"/>
        <w:spacing w:line="600" w:lineRule="exact"/>
        <w:ind w:firstLine="602" w:firstLineChars="200"/>
        <w:rPr>
          <w:rFonts w:ascii="仿宋" w:hAnsi="仿宋" w:eastAsia="仿宋" w:cs="Times New Roman"/>
          <w:sz w:val="30"/>
          <w:szCs w:val="30"/>
        </w:rPr>
      </w:pPr>
      <w:r>
        <w:rPr>
          <w:rFonts w:ascii="Times New Roman" w:hAnsi="Times New Roman" w:eastAsia="楷体_GB2312" w:cs="Times New Roman"/>
          <w:b/>
          <w:sz w:val="30"/>
          <w:szCs w:val="30"/>
        </w:rPr>
        <w:t>坚持资源开发与环境保护相协调。</w:t>
      </w:r>
      <w:r>
        <w:rPr>
          <w:rFonts w:hint="eastAsia" w:ascii="仿宋" w:hAnsi="仿宋" w:eastAsia="仿宋" w:cs="Times New Roman"/>
          <w:sz w:val="30"/>
          <w:szCs w:val="30"/>
        </w:rPr>
        <w:t>深入贯彻“绿水青山就是金山银山”的发展理念，强化资源开发监管力度，积极推进绿色勘查，加快绿色矿山建设，加强矿区生态保护修复，着力构建绿色矿业发展新格局。</w:t>
      </w:r>
    </w:p>
    <w:p>
      <w:pPr>
        <w:widowControl/>
        <w:shd w:val="clear" w:color="auto" w:fill="FFFFFF"/>
        <w:spacing w:line="600" w:lineRule="exact"/>
        <w:ind w:firstLine="602" w:firstLineChars="200"/>
        <w:rPr>
          <w:rFonts w:ascii="仿宋" w:hAnsi="仿宋" w:eastAsia="仿宋" w:cs="Times New Roman"/>
          <w:sz w:val="30"/>
          <w:szCs w:val="30"/>
        </w:rPr>
      </w:pPr>
      <w:r>
        <w:rPr>
          <w:rFonts w:hint="eastAsia" w:ascii="Times New Roman" w:hAnsi="Times New Roman" w:eastAsia="楷体_GB2312" w:cs="Times New Roman"/>
          <w:b/>
          <w:bCs/>
          <w:sz w:val="30"/>
          <w:szCs w:val="30"/>
        </w:rPr>
        <w:t>坚持资源管理与改革创新相衔接。</w:t>
      </w:r>
      <w:r>
        <w:rPr>
          <w:rFonts w:hint="eastAsia" w:ascii="仿宋" w:hAnsi="仿宋" w:eastAsia="仿宋" w:cs="Times New Roman"/>
          <w:sz w:val="30"/>
          <w:szCs w:val="30"/>
        </w:rPr>
        <w:t>持续深化“放管服”改革，推进矿产资源管理领域创新，不断改进监管思路，充分发挥市场配置资源的决定性作用，切实提升矿产资源管理现代化水平，促进矿业高质量发展。</w:t>
      </w:r>
    </w:p>
    <w:bookmarkEnd w:id="26"/>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27" w:name="_Toc68596436"/>
      <w:bookmarkStart w:id="28" w:name="_Toc129074194"/>
      <w:r>
        <w:rPr>
          <w:rFonts w:hint="eastAsia" w:ascii="华文中宋" w:hAnsi="华文中宋" w:eastAsia="华文中宋" w:cs="Times New Roman"/>
          <w:b w:val="0"/>
          <w:bCs/>
          <w:kern w:val="0"/>
          <w:sz w:val="32"/>
          <w:szCs w:val="32"/>
          <w:lang w:val="en-US" w:eastAsia="zh-CN" w:bidi="ar-SA"/>
        </w:rPr>
        <w:t>第三节 规划目标</w:t>
      </w:r>
      <w:bookmarkEnd w:id="27"/>
      <w:bookmarkEnd w:id="28"/>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bookmarkStart w:id="29" w:name="_Hlk101965251"/>
      <w:r>
        <w:rPr>
          <w:rFonts w:hint="eastAsia" w:ascii="Times New Roman" w:hAnsi="Times New Roman" w:eastAsia="黑体" w:cs="Times New Roman"/>
          <w:b w:val="0"/>
          <w:bCs w:val="0"/>
          <w:w w:val="98"/>
          <w:kern w:val="2"/>
          <w:sz w:val="30"/>
          <w:szCs w:val="30"/>
          <w:lang w:val="en-US" w:eastAsia="zh-CN" w:bidi="ar-SA"/>
        </w:rPr>
        <w:t>一、2025年规划目标</w:t>
      </w:r>
    </w:p>
    <w:p>
      <w:pPr>
        <w:spacing w:line="360" w:lineRule="auto"/>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矿业经济目标：</w:t>
      </w:r>
      <w:r>
        <w:rPr>
          <w:rFonts w:hint="eastAsia" w:ascii="仿宋" w:hAnsi="仿宋" w:eastAsia="仿宋" w:cs="Times New Roman"/>
          <w:sz w:val="30"/>
          <w:szCs w:val="30"/>
        </w:rPr>
        <w:t>铁、硅藻土等优势矿产的矿业产值得以提升，对临江市经济发展的贡献更加稳固；地热、矿泉水资源的开发利用成为矿业经济新的增长点。到2025年，矿业年产值力争达到3.5亿元。</w:t>
      </w:r>
    </w:p>
    <w:p>
      <w:pPr>
        <w:spacing w:line="360" w:lineRule="auto"/>
        <w:ind w:firstLine="602" w:firstLineChars="200"/>
        <w:rPr>
          <w:rFonts w:ascii="仿宋" w:hAnsi="仿宋" w:eastAsia="仿宋" w:cs="Times New Roman"/>
          <w:color w:val="000000"/>
          <w:sz w:val="30"/>
          <w:szCs w:val="30"/>
        </w:rPr>
      </w:pPr>
      <w:r>
        <w:rPr>
          <w:rFonts w:hint="eastAsia" w:ascii="Times New Roman" w:hAnsi="Times New Roman" w:eastAsia="楷体_GB2312" w:cs="Times New Roman"/>
          <w:b/>
          <w:sz w:val="30"/>
          <w:szCs w:val="30"/>
        </w:rPr>
        <w:t>矿产资源勘查目标：</w:t>
      </w:r>
      <w:r>
        <w:rPr>
          <w:rFonts w:hint="eastAsia" w:ascii="仿宋" w:hAnsi="仿宋" w:eastAsia="仿宋" w:cs="Times New Roman"/>
          <w:sz w:val="30"/>
          <w:szCs w:val="30"/>
        </w:rPr>
        <w:t>重点加强地热、铅、锌、金、矿泉水等矿产资源勘查工作，力争新发现大中型矿产地1处，实现找矿突破。</w:t>
      </w:r>
    </w:p>
    <w:p>
      <w:pPr>
        <w:spacing w:line="600" w:lineRule="exact"/>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矿产资源开采与保护目标：</w:t>
      </w:r>
      <w:r>
        <w:rPr>
          <w:rFonts w:hint="eastAsia" w:ascii="仿宋" w:hAnsi="仿宋" w:eastAsia="仿宋" w:cs="Times New Roman"/>
          <w:sz w:val="30"/>
          <w:szCs w:val="30"/>
        </w:rPr>
        <w:t>合理调控铁矿、硅藻土、建筑用砂岩、建筑用石料矿产年开采总量，与临江市经济社会发展需求相适应。其中铁矿年开采量控制在80万吨以内、硅藻土年开采量控制在28万吨以内，建筑用砂岩控制在20万立方米以内，建筑用石料年开采量控制在170万立方米以内。</w:t>
      </w:r>
    </w:p>
    <w:p>
      <w:pPr>
        <w:spacing w:line="360" w:lineRule="auto"/>
        <w:ind w:firstLine="602" w:firstLineChars="200"/>
        <w:rPr>
          <w:rFonts w:ascii="仿宋" w:hAnsi="仿宋" w:eastAsia="仿宋" w:cs="Times New Roman"/>
          <w:sz w:val="30"/>
          <w:szCs w:val="30"/>
        </w:rPr>
      </w:pPr>
      <w:r>
        <w:rPr>
          <w:rFonts w:hint="eastAsia" w:ascii="Times New Roman" w:hAnsi="Times New Roman" w:eastAsia="楷体_GB2312" w:cs="Times New Roman"/>
          <w:b/>
          <w:sz w:val="30"/>
          <w:szCs w:val="30"/>
        </w:rPr>
        <w:t>矿业高质量发展目标：</w:t>
      </w:r>
      <w:r>
        <w:rPr>
          <w:rFonts w:hint="eastAsia" w:ascii="仿宋" w:hAnsi="仿宋" w:eastAsia="仿宋" w:cs="Times New Roman"/>
          <w:sz w:val="30"/>
          <w:szCs w:val="30"/>
        </w:rPr>
        <w:t>确定煤炭、地热、铁矿、金矿、硅藻土、建筑用砂岩、建筑用石料、矿泉水等重点矿种矿山最低开采规模，矿山总数量控制在50个以内，大中型矿山比例达到62%，促进矿山结构调整和优化，矿山开采“三率”指标不低于全省平均水平，推动矿业绿色高质量发展。</w:t>
      </w:r>
    </w:p>
    <w:p>
      <w:pPr>
        <w:spacing w:line="600" w:lineRule="exact"/>
        <w:ind w:firstLine="602" w:firstLineChars="200"/>
        <w:rPr>
          <w:rFonts w:ascii="仿宋" w:hAnsi="仿宋" w:eastAsia="仿宋" w:cs="Times New Roman"/>
          <w:sz w:val="30"/>
          <w:szCs w:val="30"/>
        </w:rPr>
      </w:pPr>
      <w:r>
        <w:rPr>
          <w:rFonts w:hint="eastAsia" w:ascii="Times New Roman" w:hAnsi="Times New Roman" w:eastAsia="楷体_GB2312" w:cs="Times New Roman"/>
          <w:b/>
          <w:sz w:val="30"/>
          <w:szCs w:val="30"/>
        </w:rPr>
        <w:t>绿色矿山建设与矿区生态保护修复目标：</w:t>
      </w:r>
      <w:r>
        <w:rPr>
          <w:rFonts w:ascii="仿宋" w:hAnsi="仿宋" w:eastAsia="仿宋" w:cs="Times New Roman"/>
          <w:sz w:val="30"/>
          <w:szCs w:val="30"/>
        </w:rPr>
        <w:t>推进绿色矿山建设，鼓励智能矿山建设，促进矿产资源节约集约高效利用。</w:t>
      </w:r>
      <w:r>
        <w:rPr>
          <w:rFonts w:hint="eastAsia" w:ascii="仿宋" w:hAnsi="仿宋" w:eastAsia="仿宋" w:cs="Times New Roman"/>
          <w:sz w:val="30"/>
          <w:szCs w:val="30"/>
        </w:rPr>
        <w:t>落实主体责任，加强矿区生态环境修复，生产矿山不产生新的矿山地质环境问题。</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规划主要指标见专栏3。</w:t>
      </w:r>
    </w:p>
    <w:tbl>
      <w:tblPr>
        <w:tblStyle w:val="2"/>
        <w:tblpPr w:leftFromText="180" w:rightFromText="180" w:vertAnchor="text" w:horzAnchor="margin" w:tblpXSpec="center" w:tblpY="116"/>
        <w:tblW w:w="8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587"/>
        <w:gridCol w:w="1429"/>
        <w:gridCol w:w="1370"/>
        <w:gridCol w:w="1428"/>
        <w:gridCol w:w="1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526" w:type="dxa"/>
            <w:gridSpan w:val="6"/>
            <w:shd w:val="clear" w:color="auto" w:fill="auto"/>
            <w:vAlign w:val="center"/>
          </w:tcPr>
          <w:p>
            <w:pPr>
              <w:widowControl/>
              <w:adjustRightInd w:val="0"/>
              <w:spacing w:line="240" w:lineRule="auto"/>
              <w:ind w:firstLine="0" w:firstLineChars="0"/>
              <w:jc w:val="center"/>
              <w:rPr>
                <w:rFonts w:ascii="宋体" w:hAnsi="宋体" w:eastAsia="宋体" w:cs="Times New Roman"/>
                <w:sz w:val="21"/>
                <w:szCs w:val="21"/>
              </w:rPr>
            </w:pPr>
            <w:r>
              <w:rPr>
                <w:rFonts w:ascii="宋体" w:hAnsi="宋体" w:eastAsia="宋体" w:cs="Times New Roman"/>
                <w:kern w:val="0"/>
                <w:sz w:val="21"/>
                <w:szCs w:val="21"/>
              </w:rPr>
              <w:t>专栏</w:t>
            </w:r>
            <w:r>
              <w:rPr>
                <w:rFonts w:hint="eastAsia" w:ascii="宋体" w:hAnsi="宋体" w:eastAsia="宋体" w:cs="Times New Roman"/>
                <w:kern w:val="0"/>
                <w:sz w:val="21"/>
                <w:szCs w:val="21"/>
              </w:rPr>
              <w:t>3</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规划主要指标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exact"/>
        </w:trPr>
        <w:tc>
          <w:tcPr>
            <w:tcW w:w="1503"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指标类别</w:t>
            </w:r>
          </w:p>
        </w:tc>
        <w:tc>
          <w:tcPr>
            <w:tcW w:w="3016" w:type="dxa"/>
            <w:gridSpan w:val="2"/>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指标名称</w:t>
            </w:r>
          </w:p>
        </w:tc>
        <w:tc>
          <w:tcPr>
            <w:tcW w:w="1370"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单位</w:t>
            </w:r>
          </w:p>
        </w:tc>
        <w:tc>
          <w:tcPr>
            <w:tcW w:w="1428"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指标值</w:t>
            </w:r>
          </w:p>
        </w:tc>
        <w:tc>
          <w:tcPr>
            <w:tcW w:w="12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503"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矿业经济</w:t>
            </w:r>
          </w:p>
        </w:tc>
        <w:tc>
          <w:tcPr>
            <w:tcW w:w="3016" w:type="dxa"/>
            <w:gridSpan w:val="2"/>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矿业产值</w:t>
            </w:r>
          </w:p>
        </w:tc>
        <w:tc>
          <w:tcPr>
            <w:tcW w:w="1370"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亿元</w:t>
            </w:r>
          </w:p>
        </w:tc>
        <w:tc>
          <w:tcPr>
            <w:tcW w:w="1428"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3.5</w:t>
            </w:r>
          </w:p>
        </w:tc>
        <w:tc>
          <w:tcPr>
            <w:tcW w:w="120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503" w:type="dxa"/>
            <w:vMerge w:val="restart"/>
            <w:shd w:val="clear" w:color="auto" w:fill="auto"/>
            <w:vAlign w:val="center"/>
          </w:tcPr>
          <w:p>
            <w:pPr>
              <w:spacing w:line="36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矿产资源勘查</w:t>
            </w:r>
          </w:p>
        </w:tc>
        <w:tc>
          <w:tcPr>
            <w:tcW w:w="3016" w:type="dxa"/>
            <w:gridSpan w:val="2"/>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cs="宋体"/>
                <w:kern w:val="0"/>
                <w:sz w:val="21"/>
                <w:szCs w:val="21"/>
              </w:rPr>
              <w:t>新发现</w:t>
            </w:r>
            <w:r>
              <w:rPr>
                <w:rFonts w:hint="eastAsia" w:ascii="宋体" w:hAnsi="宋体" w:eastAsia="宋体" w:cs="宋体"/>
                <w:kern w:val="0"/>
                <w:sz w:val="21"/>
                <w:szCs w:val="21"/>
              </w:rPr>
              <w:t>（</w:t>
            </w:r>
            <w:r>
              <w:rPr>
                <w:rFonts w:ascii="宋体" w:hAnsi="宋体" w:eastAsia="宋体" w:cs="宋体"/>
                <w:kern w:val="0"/>
                <w:sz w:val="21"/>
                <w:szCs w:val="21"/>
              </w:rPr>
              <w:t>大中型</w:t>
            </w:r>
            <w:r>
              <w:rPr>
                <w:rFonts w:hint="eastAsia" w:ascii="宋体" w:hAnsi="宋体" w:eastAsia="宋体" w:cs="宋体"/>
                <w:kern w:val="0"/>
                <w:sz w:val="21"/>
                <w:szCs w:val="21"/>
              </w:rPr>
              <w:t>）</w:t>
            </w:r>
            <w:r>
              <w:rPr>
                <w:rFonts w:ascii="宋体" w:hAnsi="宋体" w:eastAsia="宋体" w:cs="宋体"/>
                <w:kern w:val="0"/>
                <w:sz w:val="21"/>
                <w:szCs w:val="21"/>
              </w:rPr>
              <w:t>矿产地</w:t>
            </w:r>
          </w:p>
        </w:tc>
        <w:tc>
          <w:tcPr>
            <w:tcW w:w="1370"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cs="宋体"/>
                <w:kern w:val="0"/>
                <w:sz w:val="21"/>
                <w:szCs w:val="21"/>
              </w:rPr>
              <w:t>处</w:t>
            </w:r>
          </w:p>
        </w:tc>
        <w:tc>
          <w:tcPr>
            <w:tcW w:w="1428" w:type="dxa"/>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cs="宋体"/>
                <w:kern w:val="0"/>
                <w:sz w:val="21"/>
                <w:szCs w:val="21"/>
              </w:rPr>
              <w:t>1</w:t>
            </w:r>
          </w:p>
        </w:tc>
        <w:tc>
          <w:tcPr>
            <w:tcW w:w="1209" w:type="dxa"/>
            <w:shd w:val="clear" w:color="auto" w:fill="auto"/>
            <w:vAlign w:val="center"/>
          </w:tcPr>
          <w:p>
            <w:pPr>
              <w:widowControl/>
              <w:spacing w:line="240" w:lineRule="auto"/>
              <w:ind w:firstLine="0" w:firstLineChars="0"/>
              <w:jc w:val="center"/>
              <w:rPr>
                <w:rFonts w:ascii="宋体" w:hAnsi="宋体" w:eastAsia="宋体" w:cs="宋体"/>
                <w:color w:val="FF0000"/>
                <w:kern w:val="0"/>
                <w:sz w:val="21"/>
                <w:szCs w:val="21"/>
              </w:rPr>
            </w:pPr>
            <w:r>
              <w:rPr>
                <w:rFonts w:hint="eastAsia" w:ascii="宋体" w:hAnsi="宋体" w:eastAsia="宋体" w:cs="宋体"/>
                <w:kern w:val="0"/>
                <w:sz w:val="21"/>
                <w:szCs w:val="21"/>
              </w:rPr>
              <w:t>约束</w:t>
            </w:r>
            <w:r>
              <w:rPr>
                <w:rFonts w:ascii="宋体" w:hAnsi="宋体" w:eastAsia="宋体" w:cs="宋体"/>
                <w:kern w:val="0"/>
                <w:sz w:val="21"/>
                <w:szCs w:val="21"/>
              </w:rPr>
              <w:t>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restart"/>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新增资源量</w:t>
            </w:r>
          </w:p>
        </w:tc>
        <w:tc>
          <w:tcPr>
            <w:tcW w:w="142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铅</w:t>
            </w:r>
            <w:r>
              <w:rPr>
                <w:rFonts w:ascii="Times New Roman" w:hAnsi="宋体" w:eastAsia="宋体" w:cs="Times New Roman"/>
                <w:sz w:val="21"/>
                <w:szCs w:val="21"/>
              </w:rPr>
              <w:t>矿</w:t>
            </w:r>
          </w:p>
        </w:tc>
        <w:tc>
          <w:tcPr>
            <w:tcW w:w="1370"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金属</w:t>
            </w:r>
            <w:r>
              <w:rPr>
                <w:rFonts w:ascii="Times New Roman" w:hAnsi="宋体" w:eastAsia="宋体" w:cs="Times New Roman"/>
                <w:sz w:val="21"/>
                <w:szCs w:val="21"/>
              </w:rPr>
              <w:t>万吨</w:t>
            </w:r>
          </w:p>
        </w:tc>
        <w:tc>
          <w:tcPr>
            <w:tcW w:w="1428"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0.7</w:t>
            </w:r>
          </w:p>
        </w:tc>
        <w:tc>
          <w:tcPr>
            <w:tcW w:w="12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42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锌</w:t>
            </w:r>
            <w:r>
              <w:rPr>
                <w:rFonts w:ascii="Times New Roman" w:hAnsi="宋体" w:eastAsia="宋体" w:cs="Times New Roman"/>
                <w:sz w:val="21"/>
                <w:szCs w:val="21"/>
              </w:rPr>
              <w:t>矿</w:t>
            </w:r>
          </w:p>
        </w:tc>
        <w:tc>
          <w:tcPr>
            <w:tcW w:w="1370"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宋体" w:eastAsia="宋体" w:cs="Times New Roman"/>
                <w:sz w:val="21"/>
                <w:szCs w:val="21"/>
              </w:rPr>
              <w:t>金属</w:t>
            </w:r>
            <w:r>
              <w:rPr>
                <w:rFonts w:ascii="Times New Roman" w:hAnsi="宋体" w:eastAsia="宋体" w:cs="Times New Roman"/>
                <w:sz w:val="21"/>
                <w:szCs w:val="21"/>
              </w:rPr>
              <w:t>万吨</w:t>
            </w:r>
          </w:p>
        </w:tc>
        <w:tc>
          <w:tcPr>
            <w:tcW w:w="1428"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1</w:t>
            </w:r>
          </w:p>
        </w:tc>
        <w:tc>
          <w:tcPr>
            <w:tcW w:w="12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42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金矿</w:t>
            </w:r>
          </w:p>
        </w:tc>
        <w:tc>
          <w:tcPr>
            <w:tcW w:w="1370" w:type="dxa"/>
            <w:shd w:val="clear" w:color="auto" w:fill="auto"/>
            <w:vAlign w:val="center"/>
          </w:tcPr>
          <w:p>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金吨</w:t>
            </w:r>
          </w:p>
        </w:tc>
        <w:tc>
          <w:tcPr>
            <w:tcW w:w="1428" w:type="dxa"/>
            <w:shd w:val="clear" w:color="auto" w:fill="auto"/>
            <w:vAlign w:val="center"/>
          </w:tcPr>
          <w:p>
            <w:pPr>
              <w:tabs>
                <w:tab w:val="center" w:pos="4153"/>
                <w:tab w:val="right" w:pos="8306"/>
              </w:tabs>
              <w:autoSpaceDE w:val="0"/>
              <w:autoSpaceDN w:val="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0.4</w:t>
            </w:r>
          </w:p>
        </w:tc>
        <w:tc>
          <w:tcPr>
            <w:tcW w:w="12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42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硅藻土</w:t>
            </w:r>
          </w:p>
        </w:tc>
        <w:tc>
          <w:tcPr>
            <w:tcW w:w="1370" w:type="dxa"/>
            <w:shd w:val="clear" w:color="auto" w:fill="auto"/>
            <w:vAlign w:val="center"/>
          </w:tcPr>
          <w:p>
            <w:pPr>
              <w:adjustRightInd w:val="0"/>
              <w:snapToGrid w:val="0"/>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矿石</w:t>
            </w:r>
            <w:r>
              <w:rPr>
                <w:rFonts w:hint="eastAsia" w:ascii="Times New Roman" w:hAnsi="宋体" w:eastAsia="宋体" w:cs="Times New Roman"/>
                <w:sz w:val="21"/>
                <w:szCs w:val="21"/>
              </w:rPr>
              <w:t>万</w:t>
            </w:r>
            <w:r>
              <w:rPr>
                <w:rFonts w:ascii="Times New Roman" w:hAnsi="宋体" w:eastAsia="宋体" w:cs="Times New Roman"/>
                <w:sz w:val="21"/>
                <w:szCs w:val="21"/>
              </w:rPr>
              <w:t>吨</w:t>
            </w:r>
          </w:p>
        </w:tc>
        <w:tc>
          <w:tcPr>
            <w:tcW w:w="1428" w:type="dxa"/>
            <w:shd w:val="clear" w:color="auto" w:fill="auto"/>
            <w:vAlign w:val="center"/>
          </w:tcPr>
          <w:p>
            <w:pPr>
              <w:tabs>
                <w:tab w:val="center" w:pos="4153"/>
                <w:tab w:val="right" w:pos="8306"/>
              </w:tabs>
              <w:autoSpaceDE w:val="0"/>
              <w:autoSpaceDN w:val="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200</w:t>
            </w:r>
          </w:p>
        </w:tc>
        <w:tc>
          <w:tcPr>
            <w:tcW w:w="12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42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矿泉水</w:t>
            </w:r>
          </w:p>
        </w:tc>
        <w:tc>
          <w:tcPr>
            <w:tcW w:w="1370" w:type="dxa"/>
            <w:shd w:val="clear" w:color="auto" w:fill="auto"/>
            <w:vAlign w:val="center"/>
          </w:tcPr>
          <w:p>
            <w:pPr>
              <w:adjustRightInd w:val="0"/>
              <w:snapToGrid w:val="0"/>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立方米/日</w:t>
            </w:r>
          </w:p>
        </w:tc>
        <w:tc>
          <w:tcPr>
            <w:tcW w:w="1428" w:type="dxa"/>
            <w:shd w:val="clear" w:color="auto" w:fill="auto"/>
            <w:vAlign w:val="center"/>
          </w:tcPr>
          <w:p>
            <w:pPr>
              <w:tabs>
                <w:tab w:val="center" w:pos="4153"/>
                <w:tab w:val="right" w:pos="8306"/>
              </w:tabs>
              <w:autoSpaceDE w:val="0"/>
              <w:autoSpaceDN w:val="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500</w:t>
            </w:r>
          </w:p>
        </w:tc>
        <w:tc>
          <w:tcPr>
            <w:tcW w:w="120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6" w:hRule="exact"/>
        </w:trPr>
        <w:tc>
          <w:tcPr>
            <w:tcW w:w="1503" w:type="dxa"/>
            <w:vMerge w:val="restart"/>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矿产资源合理开发利用与保护</w:t>
            </w:r>
          </w:p>
        </w:tc>
        <w:tc>
          <w:tcPr>
            <w:tcW w:w="1587" w:type="dxa"/>
            <w:vMerge w:val="restart"/>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宋体" w:hAnsi="宋体" w:eastAsia="宋体" w:cs="宋体"/>
                <w:kern w:val="0"/>
                <w:sz w:val="21"/>
                <w:szCs w:val="21"/>
              </w:rPr>
              <w:t>重要矿产资源年开采量</w:t>
            </w:r>
          </w:p>
        </w:tc>
        <w:tc>
          <w:tcPr>
            <w:tcW w:w="142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铁矿</w:t>
            </w:r>
          </w:p>
        </w:tc>
        <w:tc>
          <w:tcPr>
            <w:tcW w:w="1370"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矿石万吨</w:t>
            </w:r>
          </w:p>
        </w:tc>
        <w:tc>
          <w:tcPr>
            <w:tcW w:w="1428"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80</w:t>
            </w:r>
          </w:p>
        </w:tc>
        <w:tc>
          <w:tcPr>
            <w:tcW w:w="12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42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硅藻土</w:t>
            </w:r>
          </w:p>
        </w:tc>
        <w:tc>
          <w:tcPr>
            <w:tcW w:w="1370"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矿石万吨</w:t>
            </w:r>
          </w:p>
        </w:tc>
        <w:tc>
          <w:tcPr>
            <w:tcW w:w="1428"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28</w:t>
            </w:r>
          </w:p>
        </w:tc>
        <w:tc>
          <w:tcPr>
            <w:tcW w:w="1209" w:type="dxa"/>
            <w:shd w:val="clear" w:color="auto" w:fill="auto"/>
            <w:vAlign w:val="center"/>
          </w:tcPr>
          <w:p>
            <w:pPr>
              <w:spacing w:line="240" w:lineRule="auto"/>
              <w:ind w:firstLine="0" w:firstLineChars="0"/>
              <w:jc w:val="center"/>
              <w:rPr>
                <w:rFonts w:ascii="Times New Roman" w:hAnsi="Times New Roman"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42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建筑用砂岩</w:t>
            </w:r>
          </w:p>
        </w:tc>
        <w:tc>
          <w:tcPr>
            <w:tcW w:w="1370"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万立方米</w:t>
            </w:r>
            <w:r>
              <w:rPr>
                <w:rFonts w:hint="eastAsia" w:ascii="Times New Roman" w:hAnsi="宋体" w:eastAsia="宋体" w:cs="Times New Roman"/>
                <w:sz w:val="21"/>
                <w:szCs w:val="21"/>
              </w:rPr>
              <w:t>/年</w:t>
            </w:r>
          </w:p>
        </w:tc>
        <w:tc>
          <w:tcPr>
            <w:tcW w:w="1428"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20</w:t>
            </w:r>
          </w:p>
        </w:tc>
        <w:tc>
          <w:tcPr>
            <w:tcW w:w="120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587"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142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建筑用石料</w:t>
            </w:r>
          </w:p>
        </w:tc>
        <w:tc>
          <w:tcPr>
            <w:tcW w:w="1370"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万立方米</w:t>
            </w:r>
            <w:r>
              <w:rPr>
                <w:rFonts w:hint="eastAsia" w:ascii="Times New Roman" w:hAnsi="宋体" w:eastAsia="宋体" w:cs="Times New Roman"/>
                <w:sz w:val="21"/>
                <w:szCs w:val="21"/>
              </w:rPr>
              <w:t>/年</w:t>
            </w:r>
          </w:p>
        </w:tc>
        <w:tc>
          <w:tcPr>
            <w:tcW w:w="1428"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170</w:t>
            </w:r>
          </w:p>
        </w:tc>
        <w:tc>
          <w:tcPr>
            <w:tcW w:w="120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6"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3016" w:type="dxa"/>
            <w:gridSpan w:val="2"/>
            <w:shd w:val="clear" w:color="auto" w:fill="auto"/>
            <w:vAlign w:val="center"/>
          </w:tcPr>
          <w:p>
            <w:pPr>
              <w:widowControl/>
              <w:spacing w:line="240" w:lineRule="auto"/>
              <w:ind w:firstLine="0" w:firstLineChars="0"/>
              <w:jc w:val="center"/>
              <w:rPr>
                <w:rFonts w:ascii="宋体" w:hAnsi="宋体" w:eastAsia="宋体" w:cs="宋体"/>
                <w:kern w:val="0"/>
                <w:sz w:val="21"/>
                <w:szCs w:val="21"/>
              </w:rPr>
            </w:pPr>
            <w:r>
              <w:rPr>
                <w:rFonts w:ascii="宋体" w:hAnsi="宋体" w:eastAsia="宋体" w:cs="宋体"/>
                <w:kern w:val="0"/>
                <w:sz w:val="21"/>
                <w:szCs w:val="21"/>
              </w:rPr>
              <w:t>矿山数量</w:t>
            </w:r>
          </w:p>
        </w:tc>
        <w:tc>
          <w:tcPr>
            <w:tcW w:w="1370" w:type="dxa"/>
            <w:shd w:val="clear" w:color="auto" w:fill="auto"/>
            <w:vAlign w:val="center"/>
          </w:tcPr>
          <w:p>
            <w:pPr>
              <w:adjustRightInd w:val="0"/>
              <w:snapToGrid w:val="0"/>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个</w:t>
            </w:r>
          </w:p>
        </w:tc>
        <w:tc>
          <w:tcPr>
            <w:tcW w:w="1428" w:type="dxa"/>
            <w:shd w:val="clear" w:color="auto" w:fill="auto"/>
            <w:vAlign w:val="center"/>
          </w:tcPr>
          <w:p>
            <w:pPr>
              <w:tabs>
                <w:tab w:val="center" w:pos="4153"/>
                <w:tab w:val="right" w:pos="8306"/>
              </w:tabs>
              <w:autoSpaceDE w:val="0"/>
              <w:autoSpaceDN w:val="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50</w:t>
            </w:r>
          </w:p>
        </w:tc>
        <w:tc>
          <w:tcPr>
            <w:tcW w:w="120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exact"/>
        </w:trPr>
        <w:tc>
          <w:tcPr>
            <w:tcW w:w="1503" w:type="dxa"/>
            <w:vMerge w:val="continue"/>
            <w:shd w:val="clear" w:color="auto" w:fill="auto"/>
            <w:vAlign w:val="center"/>
          </w:tcPr>
          <w:p>
            <w:pPr>
              <w:spacing w:line="240" w:lineRule="auto"/>
              <w:ind w:firstLine="0" w:firstLineChars="0"/>
              <w:jc w:val="center"/>
              <w:rPr>
                <w:rFonts w:ascii="Times New Roman" w:hAnsi="Times New Roman" w:eastAsia="宋体" w:cs="Times New Roman"/>
                <w:sz w:val="21"/>
                <w:szCs w:val="21"/>
              </w:rPr>
            </w:pPr>
          </w:p>
        </w:tc>
        <w:tc>
          <w:tcPr>
            <w:tcW w:w="3016" w:type="dxa"/>
            <w:gridSpan w:val="2"/>
            <w:shd w:val="clear" w:color="auto" w:fill="auto"/>
            <w:vAlign w:val="center"/>
          </w:tcPr>
          <w:p>
            <w:pPr>
              <w:spacing w:line="240" w:lineRule="auto"/>
              <w:ind w:firstLine="0" w:firstLineChars="0"/>
              <w:jc w:val="center"/>
              <w:rPr>
                <w:rFonts w:ascii="宋体" w:hAnsi="宋体" w:eastAsia="宋体" w:cs="宋体"/>
                <w:kern w:val="0"/>
                <w:sz w:val="21"/>
                <w:szCs w:val="21"/>
              </w:rPr>
            </w:pPr>
            <w:r>
              <w:rPr>
                <w:rFonts w:ascii="宋体" w:hAnsi="宋体" w:eastAsia="宋体" w:cs="宋体"/>
                <w:kern w:val="0"/>
                <w:sz w:val="21"/>
                <w:szCs w:val="21"/>
              </w:rPr>
              <w:t>大中型矿山比例</w:t>
            </w:r>
          </w:p>
        </w:tc>
        <w:tc>
          <w:tcPr>
            <w:tcW w:w="1370" w:type="dxa"/>
            <w:shd w:val="clear" w:color="auto" w:fill="auto"/>
            <w:vAlign w:val="center"/>
          </w:tcPr>
          <w:p>
            <w:pPr>
              <w:adjustRightInd w:val="0"/>
              <w:snapToGrid w:val="0"/>
              <w:spacing w:line="240" w:lineRule="auto"/>
              <w:ind w:firstLine="0" w:firstLineChars="0"/>
              <w:jc w:val="center"/>
              <w:rPr>
                <w:rFonts w:ascii="Times New Roman" w:hAnsi="宋体" w:eastAsia="宋体" w:cs="Times New Roman"/>
                <w:sz w:val="21"/>
                <w:szCs w:val="21"/>
              </w:rPr>
            </w:pPr>
            <w:r>
              <w:rPr>
                <w:rFonts w:hint="eastAsia" w:ascii="Times New Roman" w:hAnsi="宋体" w:eastAsia="宋体" w:cs="Times New Roman"/>
                <w:sz w:val="21"/>
                <w:szCs w:val="21"/>
              </w:rPr>
              <w:t>%</w:t>
            </w:r>
          </w:p>
        </w:tc>
        <w:tc>
          <w:tcPr>
            <w:tcW w:w="1428" w:type="dxa"/>
            <w:shd w:val="clear" w:color="auto" w:fill="auto"/>
            <w:vAlign w:val="center"/>
          </w:tcPr>
          <w:p>
            <w:pPr>
              <w:tabs>
                <w:tab w:val="center" w:pos="4153"/>
                <w:tab w:val="right" w:pos="8306"/>
              </w:tabs>
              <w:autoSpaceDE w:val="0"/>
              <w:autoSpaceDN w:val="0"/>
              <w:adjustRightInd w:val="0"/>
              <w:snapToGrid w:val="0"/>
              <w:spacing w:line="240" w:lineRule="auto"/>
              <w:ind w:firstLine="0" w:firstLineChars="0"/>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62</w:t>
            </w:r>
          </w:p>
        </w:tc>
        <w:tc>
          <w:tcPr>
            <w:tcW w:w="1209" w:type="dxa"/>
            <w:shd w:val="clear" w:color="auto" w:fill="auto"/>
            <w:vAlign w:val="center"/>
          </w:tcPr>
          <w:p>
            <w:pPr>
              <w:spacing w:line="240" w:lineRule="auto"/>
              <w:ind w:firstLine="0" w:firstLineChars="0"/>
              <w:jc w:val="center"/>
              <w:rPr>
                <w:rFonts w:ascii="Times New Roman" w:hAnsi="宋体" w:eastAsia="宋体" w:cs="Times New Roman"/>
                <w:sz w:val="21"/>
                <w:szCs w:val="21"/>
              </w:rPr>
            </w:pPr>
            <w:r>
              <w:rPr>
                <w:rFonts w:ascii="Times New Roman" w:hAnsi="宋体" w:eastAsia="宋体" w:cs="Times New Roman"/>
                <w:sz w:val="21"/>
                <w:szCs w:val="21"/>
              </w:rPr>
              <w:t>预期性</w:t>
            </w:r>
          </w:p>
        </w:tc>
      </w:tr>
      <w:bookmarkEnd w:id="29"/>
    </w:tbl>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二、2035年展望</w:t>
      </w:r>
    </w:p>
    <w:p>
      <w:pPr>
        <w:spacing w:line="360" w:lineRule="auto"/>
        <w:ind w:firstLine="600" w:firstLineChars="200"/>
        <w:rPr>
          <w:rFonts w:ascii="仿宋" w:hAnsi="仿宋" w:eastAsia="仿宋" w:cs="Times New Roman"/>
          <w:sz w:val="30"/>
          <w:szCs w:val="30"/>
        </w:rPr>
      </w:pPr>
      <w:bookmarkStart w:id="30" w:name="_Hlk101965823"/>
      <w:r>
        <w:rPr>
          <w:rFonts w:hint="eastAsia" w:ascii="仿宋" w:hAnsi="仿宋" w:eastAsia="仿宋" w:cs="Times New Roman"/>
          <w:sz w:val="30"/>
          <w:szCs w:val="30"/>
        </w:rPr>
        <w:t>到2035年，矿业经济稳中向好，矿产资源勘查开发布局更加合理，矿产资源保障程度和供给能力进一步提升；矿产资源配置更加规范合理，矿产资源开发利用效率进一步提高</w:t>
      </w:r>
      <w:bookmarkEnd w:id="30"/>
      <w:r>
        <w:rPr>
          <w:rFonts w:hint="eastAsia" w:ascii="仿宋" w:hAnsi="仿宋" w:eastAsia="仿宋" w:cs="Times New Roman"/>
          <w:sz w:val="30"/>
          <w:szCs w:val="30"/>
        </w:rPr>
        <w:t>；绿色勘查开采方式基本普及，矿产资源勘查开发与生态环境保护协调发展；矿产资源管理体系和监督体系更趋完善，科技创新助力矿业实现高质量发展。</w:t>
      </w:r>
    </w:p>
    <w:p>
      <w:pPr>
        <w:pageBreakBefore/>
        <w:spacing w:beforeLines="50" w:afterLines="50" w:line="600" w:lineRule="exact"/>
        <w:ind w:firstLine="0" w:firstLineChars="0"/>
        <w:jc w:val="center"/>
        <w:outlineLvl w:val="0"/>
        <w:rPr>
          <w:rFonts w:ascii="黑体" w:hAnsi="黑体" w:eastAsia="黑体" w:cs="Times New Roman"/>
          <w:b/>
          <w:bCs/>
          <w:color w:val="000000"/>
          <w:sz w:val="36"/>
          <w:szCs w:val="36"/>
        </w:rPr>
      </w:pPr>
      <w:bookmarkStart w:id="31" w:name="_Toc129074195"/>
      <w:bookmarkStart w:id="32" w:name="_Toc68596437"/>
      <w:r>
        <w:rPr>
          <w:rFonts w:hint="eastAsia" w:ascii="黑体" w:hAnsi="黑体" w:eastAsia="黑体" w:cs="Times New Roman"/>
          <w:b/>
          <w:bCs/>
          <w:color w:val="000000"/>
          <w:sz w:val="36"/>
          <w:szCs w:val="36"/>
        </w:rPr>
        <w:t>第三章 矿产勘查开发与保护布局</w:t>
      </w:r>
      <w:bookmarkEnd w:id="31"/>
      <w:bookmarkEnd w:id="32"/>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33" w:name="_Toc114606030"/>
      <w:bookmarkStart w:id="34" w:name="_Toc129074196"/>
      <w:bookmarkStart w:id="35" w:name="_Toc68596438"/>
      <w:r>
        <w:rPr>
          <w:rFonts w:hint="eastAsia" w:ascii="华文中宋" w:hAnsi="华文中宋" w:eastAsia="华文中宋" w:cs="Times New Roman"/>
          <w:b w:val="0"/>
          <w:bCs/>
          <w:kern w:val="0"/>
          <w:sz w:val="32"/>
          <w:szCs w:val="32"/>
          <w:lang w:val="en-US" w:eastAsia="zh-CN" w:bidi="ar-SA"/>
        </w:rPr>
        <w:t>第一节 矿产资源勘查开采调控方向</w:t>
      </w:r>
      <w:bookmarkEnd w:id="33"/>
      <w:bookmarkEnd w:id="34"/>
    </w:p>
    <w:p>
      <w:pPr>
        <w:spacing w:line="360" w:lineRule="auto"/>
        <w:ind w:firstLine="600" w:firstLineChars="200"/>
        <w:rPr>
          <w:rFonts w:ascii="仿宋" w:hAnsi="仿宋" w:eastAsia="仿宋" w:cs="Times New Roman"/>
          <w:color w:val="FF0000"/>
          <w:sz w:val="30"/>
          <w:szCs w:val="30"/>
        </w:rPr>
      </w:pPr>
      <w:r>
        <w:rPr>
          <w:rFonts w:hint="eastAsia" w:ascii="仿宋" w:hAnsi="仿宋" w:eastAsia="仿宋" w:cs="Times New Roman"/>
          <w:sz w:val="30"/>
          <w:szCs w:val="30"/>
        </w:rPr>
        <w:t>落实上级规划的管控要求，根据经济发展对矿产的需求，结合临江市矿产资源找矿潜力，规划期内重点勘查矿种：地热、铅、锌、金、矿泉水等矿种；重点开采矿种：煤、铁、硅藻土等矿种；限制勘查硅藻土，限制开采普通类型矿泉水；禁止开采砂金、可耕地的砖瓦用粘土等矿种。</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36" w:name="_Toc129074197"/>
      <w:bookmarkStart w:id="37" w:name="_Toc114606031"/>
      <w:r>
        <w:rPr>
          <w:rFonts w:hint="eastAsia" w:ascii="华文中宋" w:hAnsi="华文中宋" w:eastAsia="华文中宋" w:cs="Times New Roman"/>
          <w:b w:val="0"/>
          <w:bCs/>
          <w:kern w:val="0"/>
          <w:sz w:val="32"/>
          <w:szCs w:val="32"/>
          <w:lang w:val="en-US" w:eastAsia="zh-CN" w:bidi="ar-SA"/>
        </w:rPr>
        <w:t>第二节 矿产资源产业重点发展区域</w:t>
      </w:r>
      <w:bookmarkEnd w:id="36"/>
      <w:bookmarkEnd w:id="37"/>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根据临江市矿产资源禀赋条件、开发利用现状和生态环境承载能力，结合吉林省勘查开采重点工作区域，落实白山市划定的矿产资源产业重点发展区域（见专栏4）。</w:t>
      </w:r>
    </w:p>
    <w:tbl>
      <w:tblPr>
        <w:tblStyle w:val="3"/>
        <w:tblW w:w="83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8"/>
        <w:gridCol w:w="1271"/>
        <w:gridCol w:w="1516"/>
        <w:gridCol w:w="1476"/>
        <w:gridCol w:w="34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jc w:val="center"/>
        </w:trPr>
        <w:tc>
          <w:tcPr>
            <w:tcW w:w="8393" w:type="dxa"/>
            <w:gridSpan w:val="5"/>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专栏4  矿产资源产业重点发展区域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7" w:hRule="atLeast"/>
          <w:jc w:val="center"/>
        </w:trPr>
        <w:tc>
          <w:tcPr>
            <w:tcW w:w="698" w:type="dxa"/>
            <w:vAlign w:val="center"/>
          </w:tcPr>
          <w:p>
            <w:pPr>
              <w:spacing w:line="240" w:lineRule="exact"/>
              <w:ind w:firstLine="0" w:firstLineChars="0"/>
              <w:jc w:val="center"/>
              <w:rPr>
                <w:rFonts w:ascii="仿宋" w:hAnsi="仿宋" w:eastAsia="仿宋" w:cs="Times New Roman"/>
                <w:kern w:val="0"/>
                <w:sz w:val="21"/>
                <w:szCs w:val="21"/>
              </w:rPr>
            </w:pPr>
            <w:r>
              <w:rPr>
                <w:rFonts w:hint="eastAsia" w:ascii="仿宋" w:hAnsi="仿宋" w:eastAsia="仿宋" w:cs="Times New Roman"/>
                <w:kern w:val="0"/>
                <w:sz w:val="21"/>
                <w:szCs w:val="21"/>
              </w:rPr>
              <w:t>序号</w:t>
            </w:r>
          </w:p>
        </w:tc>
        <w:tc>
          <w:tcPr>
            <w:tcW w:w="1271" w:type="dxa"/>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名称</w:t>
            </w:r>
          </w:p>
        </w:tc>
        <w:tc>
          <w:tcPr>
            <w:tcW w:w="1516" w:type="dxa"/>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所在行政区</w:t>
            </w:r>
          </w:p>
        </w:tc>
        <w:tc>
          <w:tcPr>
            <w:tcW w:w="1476" w:type="dxa"/>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保有资源量</w:t>
            </w:r>
          </w:p>
        </w:tc>
        <w:tc>
          <w:tcPr>
            <w:tcW w:w="3432" w:type="dxa"/>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规划措施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98" w:type="dxa"/>
            <w:vAlign w:val="center"/>
          </w:tcPr>
          <w:p>
            <w:pPr>
              <w:spacing w:line="240" w:lineRule="exact"/>
              <w:ind w:firstLine="0" w:firstLineChars="0"/>
              <w:jc w:val="center"/>
              <w:rPr>
                <w:rFonts w:ascii="宋体" w:hAnsi="宋体" w:eastAsia="宋体" w:cs="Times New Roman"/>
                <w:kern w:val="0"/>
                <w:sz w:val="21"/>
                <w:szCs w:val="21"/>
              </w:rPr>
            </w:pPr>
            <w:r>
              <w:rPr>
                <w:rFonts w:ascii="宋体" w:hAnsi="宋体" w:eastAsia="宋体" w:cs="Times New Roman"/>
                <w:kern w:val="0"/>
                <w:sz w:val="21"/>
                <w:szCs w:val="21"/>
              </w:rPr>
              <w:t>1</w:t>
            </w:r>
          </w:p>
        </w:tc>
        <w:tc>
          <w:tcPr>
            <w:tcW w:w="1271" w:type="dxa"/>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临江硅藻土矿产资源产业重点发展区域</w:t>
            </w:r>
          </w:p>
        </w:tc>
        <w:tc>
          <w:tcPr>
            <w:tcW w:w="1516" w:type="dxa"/>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临江市</w:t>
            </w:r>
          </w:p>
        </w:tc>
        <w:tc>
          <w:tcPr>
            <w:tcW w:w="1476" w:type="dxa"/>
            <w:vAlign w:val="center"/>
          </w:tcPr>
          <w:p>
            <w:pPr>
              <w:spacing w:line="240" w:lineRule="exact"/>
              <w:ind w:firstLine="0" w:firstLineChars="0"/>
              <w:jc w:val="center"/>
              <w:rPr>
                <w:rFonts w:ascii="宋体" w:hAnsi="宋体" w:eastAsia="宋体" w:cs="Times New Roman"/>
                <w:kern w:val="0"/>
                <w:sz w:val="21"/>
                <w:szCs w:val="21"/>
              </w:rPr>
            </w:pPr>
            <w:r>
              <w:rPr>
                <w:rFonts w:hint="eastAsia" w:ascii="宋体" w:hAnsi="宋体" w:eastAsia="宋体" w:cs="Times New Roman"/>
                <w:kern w:val="0"/>
                <w:sz w:val="21"/>
                <w:szCs w:val="21"/>
              </w:rPr>
              <w:t>矿石 千吨;111581.90</w:t>
            </w:r>
          </w:p>
        </w:tc>
        <w:tc>
          <w:tcPr>
            <w:tcW w:w="3432" w:type="dxa"/>
            <w:vAlign w:val="center"/>
          </w:tcPr>
          <w:p>
            <w:pPr>
              <w:spacing w:line="240" w:lineRule="exact"/>
              <w:ind w:firstLine="0" w:firstLineChars="0"/>
              <w:jc w:val="center"/>
              <w:rPr>
                <w:rFonts w:ascii="宋体" w:hAnsi="宋体" w:eastAsia="宋体" w:cs="Times New Roman"/>
                <w:kern w:val="0"/>
                <w:sz w:val="21"/>
                <w:szCs w:val="21"/>
              </w:rPr>
            </w:pPr>
            <w:r>
              <w:rPr>
                <w:rFonts w:ascii="宋体" w:hAnsi="宋体" w:eastAsia="宋体" w:cs="Times New Roman"/>
                <w:kern w:val="0"/>
                <w:sz w:val="21"/>
                <w:szCs w:val="21"/>
              </w:rPr>
              <w:t>大力发展硅藻土产业，按照</w:t>
            </w:r>
            <w:r>
              <w:rPr>
                <w:rFonts w:hint="eastAsia" w:ascii="宋体" w:hAnsi="宋体" w:eastAsia="宋体" w:cs="Times New Roman"/>
                <w:kern w:val="0"/>
                <w:sz w:val="21"/>
                <w:szCs w:val="21"/>
              </w:rPr>
              <w:t>“</w:t>
            </w:r>
            <w:r>
              <w:rPr>
                <w:rFonts w:ascii="宋体" w:hAnsi="宋体" w:eastAsia="宋体" w:cs="Times New Roman"/>
                <w:kern w:val="0"/>
                <w:sz w:val="21"/>
                <w:szCs w:val="21"/>
              </w:rPr>
              <w:t>调整、改造、精深、升级</w:t>
            </w:r>
            <w:r>
              <w:rPr>
                <w:rFonts w:hint="eastAsia" w:ascii="宋体" w:hAnsi="宋体" w:eastAsia="宋体" w:cs="Times New Roman"/>
                <w:kern w:val="0"/>
                <w:sz w:val="21"/>
                <w:szCs w:val="21"/>
              </w:rPr>
              <w:t>”</w:t>
            </w:r>
            <w:r>
              <w:rPr>
                <w:rFonts w:ascii="宋体" w:hAnsi="宋体" w:eastAsia="宋体" w:cs="Times New Roman"/>
                <w:kern w:val="0"/>
                <w:sz w:val="21"/>
                <w:szCs w:val="21"/>
              </w:rPr>
              <w:t>的发展思路，鼓励资源整合，强化科研攻关，延伸产业链条，加快培育以硅藻土为代表的矿产新材料产业集群，建设亚洲硅藻土之都、东北重要矿产新材料基地。</w:t>
            </w:r>
          </w:p>
        </w:tc>
      </w:tr>
      <w:bookmarkEnd w:id="35"/>
    </w:tbl>
    <w:p>
      <w:pPr>
        <w:spacing w:line="360" w:lineRule="auto"/>
        <w:ind w:firstLine="600" w:firstLineChars="200"/>
        <w:rPr>
          <w:rFonts w:ascii="Times New Roman" w:hAnsi="Times New Roman" w:eastAsia="宋体" w:cs="Times New Roman"/>
          <w:kern w:val="0"/>
          <w:sz w:val="28"/>
        </w:rPr>
      </w:pPr>
      <w:bookmarkStart w:id="38" w:name="_Toc68596439"/>
      <w:r>
        <w:rPr>
          <w:rFonts w:hint="eastAsia" w:ascii="仿宋" w:hAnsi="仿宋" w:eastAsia="仿宋" w:cs="Times New Roman"/>
          <w:sz w:val="30"/>
          <w:szCs w:val="30"/>
        </w:rPr>
        <w:t>矿产资源产业重点发展区域内，依托优势资源，鼓励企业引进先进生产技术，加大产业转型升级力度，促进资源节约集约高效利用；条件具备时，重点发展区域可建设工业园区，营造产业聚集、协作创新的集中发展平台。规划期内，力争充分发挥资源产业重点发展区域内的资源优势，带动区域经济协调发展。</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39" w:name="_Toc129074198"/>
      <w:r>
        <w:rPr>
          <w:rFonts w:hint="eastAsia" w:ascii="华文中宋" w:hAnsi="华文中宋" w:eastAsia="华文中宋" w:cs="Times New Roman"/>
          <w:b w:val="0"/>
          <w:bCs/>
          <w:kern w:val="0"/>
          <w:sz w:val="32"/>
          <w:szCs w:val="32"/>
          <w:lang w:val="en-US" w:eastAsia="zh-CN" w:bidi="ar-SA"/>
        </w:rPr>
        <w:t xml:space="preserve">第三节 </w:t>
      </w:r>
      <w:bookmarkEnd w:id="38"/>
      <w:r>
        <w:rPr>
          <w:rFonts w:hint="eastAsia" w:ascii="华文中宋" w:hAnsi="华文中宋" w:eastAsia="华文中宋" w:cs="Times New Roman"/>
          <w:b w:val="0"/>
          <w:bCs/>
          <w:color w:val="000000"/>
          <w:kern w:val="0"/>
          <w:sz w:val="32"/>
          <w:szCs w:val="32"/>
          <w:lang w:val="en-US" w:eastAsia="zh-CN" w:bidi="ar-SA"/>
        </w:rPr>
        <w:t>勘查开采与保护布局</w:t>
      </w:r>
      <w:bookmarkEnd w:id="39"/>
    </w:p>
    <w:p>
      <w:pPr>
        <w:spacing w:line="600" w:lineRule="exact"/>
        <w:ind w:firstLine="600" w:firstLineChars="200"/>
        <w:rPr>
          <w:rFonts w:ascii="Times New Roman" w:hAnsi="Times New Roman" w:eastAsia="黑体" w:cs="Times New Roman"/>
          <w:b/>
          <w:bCs/>
          <w:w w:val="98"/>
          <w:sz w:val="28"/>
          <w:szCs w:val="30"/>
        </w:rPr>
      </w:pPr>
      <w:r>
        <w:rPr>
          <w:rFonts w:hint="eastAsia" w:ascii="仿宋" w:hAnsi="仿宋" w:eastAsia="仿宋" w:cs="Times New Roman"/>
          <w:sz w:val="30"/>
          <w:szCs w:val="30"/>
        </w:rPr>
        <w:t>严格落实国土空间规划和“三线一单”生态环境分区管控方案有关要求，科学划定矿产资源勘查重点区域和勘查开采规划区块，作为正确引导各类矿产资源勘查开发资金投入和相关政策支持的重点目标。</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一、勘查开采工作布局</w:t>
      </w:r>
    </w:p>
    <w:p>
      <w:pPr>
        <w:spacing w:line="360" w:lineRule="auto"/>
        <w:ind w:firstLine="602" w:firstLineChars="200"/>
        <w:rPr>
          <w:rFonts w:ascii="仿宋" w:hAnsi="仿宋" w:eastAsia="仿宋" w:cs="Times New Roman"/>
          <w:sz w:val="30"/>
          <w:szCs w:val="30"/>
        </w:rPr>
      </w:pPr>
      <w:r>
        <w:rPr>
          <w:rFonts w:hint="eastAsia" w:ascii="Times New Roman" w:hAnsi="Times New Roman" w:eastAsia="楷体_GB2312" w:cs="Times New Roman"/>
          <w:b/>
          <w:sz w:val="30"/>
          <w:szCs w:val="30"/>
        </w:rPr>
        <w:t>重点勘查区。</w:t>
      </w:r>
      <w:r>
        <w:rPr>
          <w:rFonts w:hint="eastAsia" w:ascii="仿宋" w:hAnsi="仿宋" w:eastAsia="仿宋" w:cs="Times New Roman"/>
          <w:sz w:val="30"/>
          <w:szCs w:val="30"/>
        </w:rPr>
        <w:t>落实上级规划划定的重点勘查区3个，位于苇沙河镇、花山镇、六道沟镇、大栗子街道、新市街道等地，总面积642.80平方千米（见专栏5）。</w:t>
      </w:r>
    </w:p>
    <w:tbl>
      <w:tblPr>
        <w:tblStyle w:val="2"/>
        <w:tblW w:w="8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673"/>
        <w:gridCol w:w="2245"/>
        <w:gridCol w:w="1417"/>
        <w:gridCol w:w="1122"/>
        <w:gridCol w:w="992"/>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53" w:hRule="exact"/>
          <w:jc w:val="center"/>
        </w:trPr>
        <w:tc>
          <w:tcPr>
            <w:tcW w:w="8446" w:type="dxa"/>
            <w:gridSpan w:val="6"/>
            <w:shd w:val="clear" w:color="auto" w:fill="FFFFFF"/>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专栏</w:t>
            </w:r>
            <w:r>
              <w:rPr>
                <w:rFonts w:hint="eastAsia" w:ascii="宋体" w:hAnsi="宋体" w:eastAsia="宋体" w:cs="Times New Roman"/>
                <w:sz w:val="21"/>
                <w:szCs w:val="21"/>
              </w:rPr>
              <w:t>5</w:t>
            </w:r>
            <w:r>
              <w:rPr>
                <w:rFonts w:ascii="宋体" w:hAnsi="宋体" w:eastAsia="宋体" w:cs="Times New Roman"/>
                <w:sz w:val="21"/>
                <w:szCs w:val="21"/>
              </w:rPr>
              <w:t xml:space="preserve">  重点勘查区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605" w:hRule="exact"/>
          <w:jc w:val="center"/>
        </w:trPr>
        <w:tc>
          <w:tcPr>
            <w:tcW w:w="673"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序号</w:t>
            </w:r>
          </w:p>
        </w:tc>
        <w:tc>
          <w:tcPr>
            <w:tcW w:w="2245"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名称</w:t>
            </w:r>
          </w:p>
        </w:tc>
        <w:tc>
          <w:tcPr>
            <w:tcW w:w="141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所在行政区</w:t>
            </w:r>
          </w:p>
        </w:tc>
        <w:tc>
          <w:tcPr>
            <w:tcW w:w="1122"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勘查矿种</w:t>
            </w:r>
          </w:p>
        </w:tc>
        <w:tc>
          <w:tcPr>
            <w:tcW w:w="992"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面积</w:t>
            </w:r>
            <w:r>
              <w:rPr>
                <w:rFonts w:ascii="宋体" w:hAnsi="宋体" w:eastAsia="宋体" w:cs="Times New Roman"/>
                <w:sz w:val="21"/>
                <w:szCs w:val="21"/>
              </w:rPr>
              <w:t>（</w:t>
            </w:r>
            <w:r>
              <w:rPr>
                <w:rFonts w:hint="eastAsia" w:ascii="宋体" w:hAnsi="宋体" w:eastAsia="宋体" w:cs="Times New Roman"/>
                <w:sz w:val="21"/>
                <w:szCs w:val="21"/>
              </w:rPr>
              <w:t>平方千米</w:t>
            </w:r>
            <w:r>
              <w:rPr>
                <w:rFonts w:ascii="宋体" w:hAnsi="宋体" w:eastAsia="宋体" w:cs="Times New Roman"/>
                <w:sz w:val="21"/>
                <w:szCs w:val="21"/>
              </w:rPr>
              <w:t>）</w:t>
            </w:r>
          </w:p>
        </w:tc>
        <w:tc>
          <w:tcPr>
            <w:tcW w:w="199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隶属</w:t>
            </w:r>
            <w:r>
              <w:rPr>
                <w:rFonts w:hint="eastAsia" w:ascii="宋体" w:hAnsi="宋体" w:eastAsia="宋体" w:cs="Times New Roman"/>
                <w:sz w:val="21"/>
                <w:szCs w:val="21"/>
              </w:rPr>
              <w:t>上级规划名称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828" w:hRule="exact"/>
          <w:jc w:val="center"/>
        </w:trPr>
        <w:tc>
          <w:tcPr>
            <w:tcW w:w="673"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1</w:t>
            </w:r>
          </w:p>
        </w:tc>
        <w:tc>
          <w:tcPr>
            <w:tcW w:w="2245"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吉林省临江市老岭金矿重点勘查区</w:t>
            </w:r>
          </w:p>
        </w:tc>
        <w:tc>
          <w:tcPr>
            <w:tcW w:w="141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苇沙河镇;花山镇</w:t>
            </w:r>
          </w:p>
        </w:tc>
        <w:tc>
          <w:tcPr>
            <w:tcW w:w="1122" w:type="dxa"/>
            <w:shd w:val="clear" w:color="auto" w:fill="FFFFFF"/>
            <w:vAlign w:val="center"/>
          </w:tcPr>
          <w:p>
            <w:pPr>
              <w:spacing w:line="240" w:lineRule="exact"/>
              <w:ind w:firstLine="31" w:firstLineChars="15"/>
              <w:jc w:val="center"/>
              <w:rPr>
                <w:rFonts w:ascii="宋体" w:hAnsi="宋体" w:eastAsia="宋体" w:cs="Times New Roman"/>
                <w:sz w:val="21"/>
                <w:szCs w:val="21"/>
              </w:rPr>
            </w:pPr>
            <w:r>
              <w:rPr>
                <w:rFonts w:hint="eastAsia" w:ascii="宋体" w:hAnsi="宋体" w:eastAsia="宋体" w:cs="Times New Roman"/>
                <w:sz w:val="21"/>
                <w:szCs w:val="21"/>
              </w:rPr>
              <w:t>金矿</w:t>
            </w:r>
          </w:p>
        </w:tc>
        <w:tc>
          <w:tcPr>
            <w:tcW w:w="992"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 xml:space="preserve">280.29 </w:t>
            </w:r>
          </w:p>
        </w:tc>
        <w:tc>
          <w:tcPr>
            <w:tcW w:w="199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吉林省白山市老岭金矿重点勘查区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2" w:hRule="exact"/>
          <w:jc w:val="center"/>
        </w:trPr>
        <w:tc>
          <w:tcPr>
            <w:tcW w:w="673"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2</w:t>
            </w:r>
          </w:p>
        </w:tc>
        <w:tc>
          <w:tcPr>
            <w:tcW w:w="2245"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吉林临江六道沟金、铜矿重点勘查区</w:t>
            </w:r>
          </w:p>
        </w:tc>
        <w:tc>
          <w:tcPr>
            <w:tcW w:w="141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六道沟镇</w:t>
            </w:r>
          </w:p>
        </w:tc>
        <w:tc>
          <w:tcPr>
            <w:tcW w:w="1122" w:type="dxa"/>
            <w:shd w:val="clear" w:color="auto" w:fill="FFFFFF"/>
            <w:vAlign w:val="center"/>
          </w:tcPr>
          <w:p>
            <w:pPr>
              <w:spacing w:line="240" w:lineRule="exact"/>
              <w:ind w:firstLine="31" w:firstLineChars="15"/>
              <w:jc w:val="center"/>
              <w:rPr>
                <w:rFonts w:ascii="宋体" w:hAnsi="宋体" w:eastAsia="宋体" w:cs="Times New Roman"/>
                <w:sz w:val="21"/>
                <w:szCs w:val="21"/>
              </w:rPr>
            </w:pPr>
            <w:r>
              <w:rPr>
                <w:rFonts w:hint="eastAsia" w:ascii="宋体" w:hAnsi="宋体" w:eastAsia="宋体" w:cs="Times New Roman"/>
                <w:sz w:val="21"/>
                <w:szCs w:val="21"/>
              </w:rPr>
              <w:t>金矿;铜矿</w:t>
            </w:r>
          </w:p>
        </w:tc>
        <w:tc>
          <w:tcPr>
            <w:tcW w:w="992"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277.05</w:t>
            </w:r>
          </w:p>
        </w:tc>
        <w:tc>
          <w:tcPr>
            <w:tcW w:w="199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吉林临江六道沟金、铜矿重点勘查区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82" w:hRule="exact"/>
          <w:jc w:val="center"/>
        </w:trPr>
        <w:tc>
          <w:tcPr>
            <w:tcW w:w="673"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3</w:t>
            </w:r>
          </w:p>
        </w:tc>
        <w:tc>
          <w:tcPr>
            <w:tcW w:w="2245"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吉林临江大栗子铅、锌矿重点勘查区</w:t>
            </w:r>
          </w:p>
        </w:tc>
        <w:tc>
          <w:tcPr>
            <w:tcW w:w="141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大栗子街道;苇沙河镇;新市街道</w:t>
            </w:r>
          </w:p>
        </w:tc>
        <w:tc>
          <w:tcPr>
            <w:tcW w:w="1122" w:type="dxa"/>
            <w:shd w:val="clear" w:color="auto" w:fill="FFFFFF"/>
            <w:vAlign w:val="center"/>
          </w:tcPr>
          <w:p>
            <w:pPr>
              <w:spacing w:line="240" w:lineRule="exact"/>
              <w:ind w:firstLine="31" w:firstLineChars="15"/>
              <w:jc w:val="center"/>
              <w:rPr>
                <w:rFonts w:ascii="宋体" w:hAnsi="宋体" w:eastAsia="宋体" w:cs="Times New Roman"/>
                <w:sz w:val="21"/>
                <w:szCs w:val="21"/>
              </w:rPr>
            </w:pPr>
            <w:r>
              <w:rPr>
                <w:rFonts w:hint="eastAsia" w:ascii="宋体" w:hAnsi="宋体" w:eastAsia="宋体" w:cs="Times New Roman"/>
                <w:sz w:val="21"/>
                <w:szCs w:val="21"/>
              </w:rPr>
              <w:t>铅矿;锌矿</w:t>
            </w:r>
          </w:p>
        </w:tc>
        <w:tc>
          <w:tcPr>
            <w:tcW w:w="992"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85.46</w:t>
            </w:r>
          </w:p>
        </w:tc>
        <w:tc>
          <w:tcPr>
            <w:tcW w:w="1997" w:type="dxa"/>
            <w:shd w:val="clear" w:color="auto" w:fill="FFFFFF"/>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吉林临江大栗子铅、锌矿重点勘查区</w:t>
            </w:r>
          </w:p>
        </w:tc>
      </w:tr>
    </w:tbl>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重点勘查区内，优先安排战略性矿产、优势矿产和大中型矿山深部和近外围资源勘查项目；统筹加大资金投入力度，积极引导社会资金开展商业性矿产勘查，促进找矿重大突破；鼓励实施绿色勘查，引导技术创新，加强新方法新技术的应用；实施综合勘查、综合评价，落实勘查准入、退出机制，提升勘查效果。</w:t>
      </w:r>
    </w:p>
    <w:p>
      <w:pPr>
        <w:spacing w:line="600" w:lineRule="exact"/>
        <w:ind w:firstLine="602" w:firstLineChars="200"/>
        <w:rPr>
          <w:rFonts w:ascii="仿宋" w:hAnsi="仿宋" w:eastAsia="仿宋" w:cs="Times New Roman"/>
          <w:sz w:val="30"/>
          <w:szCs w:val="30"/>
        </w:rPr>
      </w:pPr>
      <w:r>
        <w:rPr>
          <w:rFonts w:hint="eastAsia" w:ascii="Times New Roman" w:hAnsi="Times New Roman" w:eastAsia="楷体_GB2312" w:cs="Times New Roman"/>
          <w:b/>
          <w:sz w:val="30"/>
          <w:szCs w:val="30"/>
        </w:rPr>
        <w:t>重点开采区。</w:t>
      </w:r>
      <w:r>
        <w:rPr>
          <w:rFonts w:hint="eastAsia" w:ascii="仿宋" w:hAnsi="仿宋" w:eastAsia="仿宋" w:cs="Times New Roman"/>
          <w:sz w:val="30"/>
          <w:szCs w:val="30"/>
        </w:rPr>
        <w:t>落实上级规划划定的3个重点开采区（见专栏6），主要是铁、硅藻土、地热等矿产资源布集中，开发前景优势明显，具备规模化经营，能够为经济社会发展起到重要支撑作用的区域。</w:t>
      </w:r>
    </w:p>
    <w:tbl>
      <w:tblPr>
        <w:tblStyle w:val="2"/>
        <w:tblW w:w="8427" w:type="dxa"/>
        <w:jc w:val="center"/>
        <w:tblLayout w:type="fixed"/>
        <w:tblCellMar>
          <w:top w:w="0" w:type="dxa"/>
          <w:left w:w="108" w:type="dxa"/>
          <w:bottom w:w="0" w:type="dxa"/>
          <w:right w:w="108" w:type="dxa"/>
        </w:tblCellMar>
      </w:tblPr>
      <w:tblGrid>
        <w:gridCol w:w="770"/>
        <w:gridCol w:w="1985"/>
        <w:gridCol w:w="1417"/>
        <w:gridCol w:w="1134"/>
        <w:gridCol w:w="992"/>
        <w:gridCol w:w="2129"/>
      </w:tblGrid>
      <w:tr>
        <w:tblPrEx>
          <w:tblCellMar>
            <w:top w:w="0" w:type="dxa"/>
            <w:left w:w="108" w:type="dxa"/>
            <w:bottom w:w="0" w:type="dxa"/>
            <w:right w:w="108" w:type="dxa"/>
          </w:tblCellMar>
        </w:tblPrEx>
        <w:trPr>
          <w:trHeight w:val="547" w:hRule="exact"/>
          <w:jc w:val="center"/>
        </w:trPr>
        <w:tc>
          <w:tcPr>
            <w:tcW w:w="8427" w:type="dxa"/>
            <w:gridSpan w:val="6"/>
            <w:tcBorders>
              <w:top w:val="single" w:color="auto" w:sz="4" w:space="0"/>
              <w:left w:val="single" w:color="auto" w:sz="4" w:space="0"/>
              <w:bottom w:val="single" w:color="auto" w:sz="4" w:space="0"/>
              <w:right w:val="single" w:color="auto" w:sz="4" w:space="0"/>
            </w:tcBorders>
            <w:vAlign w:val="center"/>
          </w:tcPr>
          <w:p>
            <w:pPr>
              <w:spacing w:line="340" w:lineRule="exact"/>
              <w:ind w:firstLine="0" w:firstLineChars="0"/>
              <w:jc w:val="center"/>
              <w:rPr>
                <w:rFonts w:ascii="宋体" w:hAnsi="宋体" w:eastAsia="宋体" w:cs="Times New Roman"/>
                <w:kern w:val="0"/>
                <w:sz w:val="21"/>
                <w:szCs w:val="21"/>
              </w:rPr>
            </w:pPr>
            <w:r>
              <w:rPr>
                <w:rFonts w:ascii="宋体" w:hAnsi="宋体" w:eastAsia="宋体" w:cs="Times New Roman"/>
                <w:kern w:val="0"/>
                <w:sz w:val="21"/>
                <w:szCs w:val="21"/>
              </w:rPr>
              <w:t>专栏</w:t>
            </w:r>
            <w:r>
              <w:rPr>
                <w:rFonts w:hint="eastAsia" w:ascii="宋体" w:hAnsi="宋体" w:eastAsia="宋体" w:cs="Times New Roman"/>
                <w:kern w:val="0"/>
                <w:sz w:val="21"/>
                <w:szCs w:val="21"/>
              </w:rPr>
              <w:t xml:space="preserve">6  </w:t>
            </w:r>
            <w:r>
              <w:rPr>
                <w:rFonts w:ascii="宋体" w:hAnsi="宋体" w:eastAsia="宋体" w:cs="Times New Roman"/>
                <w:kern w:val="0"/>
                <w:sz w:val="21"/>
                <w:szCs w:val="21"/>
              </w:rPr>
              <w:t>重点开采区</w:t>
            </w:r>
          </w:p>
        </w:tc>
      </w:tr>
      <w:tr>
        <w:tblPrEx>
          <w:tblCellMar>
            <w:top w:w="0" w:type="dxa"/>
            <w:left w:w="108" w:type="dxa"/>
            <w:bottom w:w="0" w:type="dxa"/>
            <w:right w:w="108" w:type="dxa"/>
          </w:tblCellMar>
        </w:tblPrEx>
        <w:trPr>
          <w:trHeight w:val="547" w:hRule="exact"/>
          <w:jc w:val="center"/>
        </w:trPr>
        <w:tc>
          <w:tcPr>
            <w:tcW w:w="770" w:type="dxa"/>
            <w:tcBorders>
              <w:top w:val="nil"/>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序号</w:t>
            </w:r>
          </w:p>
        </w:tc>
        <w:tc>
          <w:tcPr>
            <w:tcW w:w="1985" w:type="dxa"/>
            <w:tcBorders>
              <w:top w:val="nil"/>
              <w:left w:val="nil"/>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名称</w:t>
            </w:r>
          </w:p>
        </w:tc>
        <w:tc>
          <w:tcPr>
            <w:tcW w:w="141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所在行政区</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开采矿种</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面积</w:t>
            </w:r>
            <w:r>
              <w:rPr>
                <w:rFonts w:ascii="宋体" w:hAnsi="宋体" w:eastAsia="宋体" w:cs="Times New Roman"/>
                <w:sz w:val="21"/>
                <w:szCs w:val="21"/>
              </w:rPr>
              <w:t>（</w:t>
            </w:r>
            <w:r>
              <w:rPr>
                <w:rFonts w:hint="eastAsia" w:ascii="宋体" w:hAnsi="宋体" w:eastAsia="宋体" w:cs="Times New Roman"/>
                <w:sz w:val="21"/>
                <w:szCs w:val="21"/>
              </w:rPr>
              <w:t>平方千米</w:t>
            </w:r>
            <w:r>
              <w:rPr>
                <w:rFonts w:ascii="宋体" w:hAnsi="宋体" w:eastAsia="宋体" w:cs="Times New Roman"/>
                <w:sz w:val="21"/>
                <w:szCs w:val="21"/>
              </w:rPr>
              <w:t>）</w:t>
            </w:r>
          </w:p>
        </w:tc>
        <w:tc>
          <w:tcPr>
            <w:tcW w:w="212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ascii="宋体" w:hAnsi="宋体" w:eastAsia="宋体" w:cs="Times New Roman"/>
                <w:sz w:val="21"/>
                <w:szCs w:val="21"/>
              </w:rPr>
              <w:t>隶属上级规划名称</w:t>
            </w:r>
          </w:p>
        </w:tc>
      </w:tr>
      <w:tr>
        <w:tblPrEx>
          <w:tblCellMar>
            <w:top w:w="0" w:type="dxa"/>
            <w:left w:w="108" w:type="dxa"/>
            <w:bottom w:w="0" w:type="dxa"/>
            <w:right w:w="108" w:type="dxa"/>
          </w:tblCellMar>
        </w:tblPrEx>
        <w:trPr>
          <w:trHeight w:val="964" w:hRule="exact"/>
          <w:jc w:val="center"/>
        </w:trPr>
        <w:tc>
          <w:tcPr>
            <w:tcW w:w="770" w:type="dxa"/>
            <w:tcBorders>
              <w:top w:val="nil"/>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1</w:t>
            </w:r>
          </w:p>
        </w:tc>
        <w:tc>
          <w:tcPr>
            <w:tcW w:w="1985" w:type="dxa"/>
            <w:tcBorders>
              <w:top w:val="nil"/>
              <w:left w:val="nil"/>
              <w:bottom w:val="single" w:color="auto" w:sz="4" w:space="0"/>
              <w:right w:val="single" w:color="auto" w:sz="4" w:space="0"/>
            </w:tcBorders>
            <w:shd w:val="clear" w:color="auto" w:fill="auto"/>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临江大栗子铁矿重点开采区</w:t>
            </w:r>
          </w:p>
        </w:tc>
        <w:tc>
          <w:tcPr>
            <w:tcW w:w="141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大栗子街道;苇沙河镇;新市街道</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铁矿</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79.36</w:t>
            </w:r>
          </w:p>
        </w:tc>
        <w:tc>
          <w:tcPr>
            <w:tcW w:w="212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临江大栗子铁矿重点开采区</w:t>
            </w:r>
          </w:p>
        </w:tc>
      </w:tr>
      <w:tr>
        <w:tblPrEx>
          <w:tblCellMar>
            <w:top w:w="0" w:type="dxa"/>
            <w:left w:w="108" w:type="dxa"/>
            <w:bottom w:w="0" w:type="dxa"/>
            <w:right w:w="108" w:type="dxa"/>
          </w:tblCellMar>
        </w:tblPrEx>
        <w:trPr>
          <w:trHeight w:val="992" w:hRule="exact"/>
          <w:jc w:val="center"/>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2</w:t>
            </w: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临江硅藻土矿重点开采区</w:t>
            </w:r>
          </w:p>
        </w:tc>
        <w:tc>
          <w:tcPr>
            <w:tcW w:w="141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六道沟镇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硅藻土</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234.99</w:t>
            </w:r>
          </w:p>
        </w:tc>
        <w:tc>
          <w:tcPr>
            <w:tcW w:w="212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临江-长白硅藻土矿重点开采区</w:t>
            </w:r>
          </w:p>
        </w:tc>
      </w:tr>
      <w:tr>
        <w:tblPrEx>
          <w:tblCellMar>
            <w:top w:w="0" w:type="dxa"/>
            <w:left w:w="108" w:type="dxa"/>
            <w:bottom w:w="0" w:type="dxa"/>
            <w:right w:w="108" w:type="dxa"/>
          </w:tblCellMar>
        </w:tblPrEx>
        <w:trPr>
          <w:trHeight w:val="992" w:hRule="exact"/>
          <w:jc w:val="center"/>
        </w:trPr>
        <w:tc>
          <w:tcPr>
            <w:tcW w:w="77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3</w:t>
            </w:r>
          </w:p>
        </w:tc>
        <w:tc>
          <w:tcPr>
            <w:tcW w:w="1985" w:type="dxa"/>
            <w:tcBorders>
              <w:top w:val="single" w:color="auto" w:sz="4" w:space="0"/>
              <w:left w:val="nil"/>
              <w:bottom w:val="single" w:color="auto" w:sz="4" w:space="0"/>
              <w:right w:val="single" w:color="auto" w:sz="4" w:space="0"/>
            </w:tcBorders>
            <w:shd w:val="clear" w:color="auto" w:fill="auto"/>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临江老三队地热重点开采区</w:t>
            </w:r>
          </w:p>
        </w:tc>
        <w:tc>
          <w:tcPr>
            <w:tcW w:w="1417" w:type="dxa"/>
            <w:tcBorders>
              <w:top w:val="single" w:color="auto" w:sz="4" w:space="0"/>
              <w:left w:val="nil"/>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花山镇</w:t>
            </w:r>
          </w:p>
        </w:tc>
        <w:tc>
          <w:tcPr>
            <w:tcW w:w="113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地热</w:t>
            </w:r>
          </w:p>
        </w:tc>
        <w:tc>
          <w:tcPr>
            <w:tcW w:w="99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35.31</w:t>
            </w:r>
          </w:p>
        </w:tc>
        <w:tc>
          <w:tcPr>
            <w:tcW w:w="212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临江老三队地热重点开采区</w:t>
            </w:r>
          </w:p>
        </w:tc>
      </w:tr>
    </w:tbl>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重点开采区内，统筹安排</w:t>
      </w:r>
      <w:r>
        <w:rPr>
          <w:rFonts w:ascii="仿宋" w:hAnsi="仿宋" w:eastAsia="仿宋" w:cs="Times New Roman"/>
          <w:sz w:val="30"/>
          <w:szCs w:val="30"/>
        </w:rPr>
        <w:t>矿产资源开采活动</w:t>
      </w:r>
      <w:r>
        <w:rPr>
          <w:rFonts w:hint="eastAsia" w:ascii="仿宋" w:hAnsi="仿宋" w:eastAsia="仿宋" w:cs="Times New Roman"/>
          <w:sz w:val="30"/>
          <w:szCs w:val="30"/>
        </w:rPr>
        <w:t>，严格</w:t>
      </w:r>
      <w:r>
        <w:rPr>
          <w:rFonts w:ascii="仿宋" w:hAnsi="仿宋" w:eastAsia="仿宋" w:cs="Times New Roman"/>
          <w:sz w:val="30"/>
          <w:szCs w:val="30"/>
        </w:rPr>
        <w:t>执行矿山开采规模准入标准，</w:t>
      </w:r>
      <w:r>
        <w:rPr>
          <w:rFonts w:hint="eastAsia" w:ascii="仿宋" w:hAnsi="仿宋" w:eastAsia="仿宋" w:cs="Times New Roman"/>
          <w:sz w:val="30"/>
          <w:szCs w:val="30"/>
        </w:rPr>
        <w:t>依法</w:t>
      </w:r>
      <w:r>
        <w:rPr>
          <w:rFonts w:ascii="仿宋" w:hAnsi="仿宋" w:eastAsia="仿宋" w:cs="Times New Roman"/>
          <w:sz w:val="30"/>
          <w:szCs w:val="30"/>
        </w:rPr>
        <w:t>做好矿产资源开发整合；</w:t>
      </w:r>
      <w:r>
        <w:rPr>
          <w:rFonts w:hint="eastAsia" w:ascii="仿宋" w:hAnsi="仿宋" w:eastAsia="仿宋" w:cs="Times New Roman"/>
          <w:sz w:val="30"/>
          <w:szCs w:val="30"/>
        </w:rPr>
        <w:t>引导</w:t>
      </w:r>
      <w:r>
        <w:rPr>
          <w:rFonts w:ascii="仿宋" w:hAnsi="仿宋" w:eastAsia="仿宋" w:cs="Times New Roman"/>
          <w:sz w:val="30"/>
          <w:szCs w:val="30"/>
        </w:rPr>
        <w:t>资源向大中型矿山企业</w:t>
      </w:r>
      <w:r>
        <w:rPr>
          <w:rFonts w:hint="eastAsia" w:ascii="仿宋" w:hAnsi="仿宋" w:eastAsia="仿宋" w:cs="Times New Roman"/>
          <w:sz w:val="30"/>
          <w:szCs w:val="30"/>
        </w:rPr>
        <w:t>集中</w:t>
      </w:r>
      <w:r>
        <w:rPr>
          <w:rFonts w:ascii="仿宋" w:hAnsi="仿宋" w:eastAsia="仿宋" w:cs="Times New Roman"/>
          <w:sz w:val="30"/>
          <w:szCs w:val="30"/>
        </w:rPr>
        <w:t>，优先保障大中型矿山</w:t>
      </w:r>
      <w:r>
        <w:rPr>
          <w:rFonts w:hint="eastAsia" w:ascii="仿宋" w:hAnsi="仿宋" w:eastAsia="仿宋" w:cs="Times New Roman"/>
          <w:sz w:val="30"/>
          <w:szCs w:val="30"/>
        </w:rPr>
        <w:t>改扩建</w:t>
      </w:r>
      <w:r>
        <w:rPr>
          <w:rFonts w:ascii="仿宋" w:hAnsi="仿宋" w:eastAsia="仿宋" w:cs="Times New Roman"/>
          <w:sz w:val="30"/>
          <w:szCs w:val="30"/>
        </w:rPr>
        <w:t>过程中的合理用矿、用地等需求；</w:t>
      </w:r>
      <w:r>
        <w:rPr>
          <w:rFonts w:hint="eastAsia" w:ascii="仿宋" w:hAnsi="仿宋" w:eastAsia="仿宋" w:cs="Times New Roman"/>
          <w:sz w:val="30"/>
          <w:szCs w:val="30"/>
        </w:rPr>
        <w:t>推广应用先进适用技术，提高资源综合利用水平，形成一批</w:t>
      </w:r>
      <w:r>
        <w:rPr>
          <w:rFonts w:ascii="仿宋" w:hAnsi="仿宋" w:eastAsia="仿宋" w:cs="Times New Roman"/>
          <w:sz w:val="30"/>
          <w:szCs w:val="30"/>
        </w:rPr>
        <w:t>稳定供给和创新开发模式的矿产资源开发基地，</w:t>
      </w:r>
      <w:r>
        <w:rPr>
          <w:rFonts w:hint="eastAsia" w:ascii="仿宋" w:hAnsi="仿宋" w:eastAsia="仿宋" w:cs="Times New Roman"/>
          <w:sz w:val="30"/>
          <w:szCs w:val="30"/>
        </w:rPr>
        <w:t>保障经济社会发展需求。</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二、勘查开采规划区块布局</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规划期内，</w:t>
      </w:r>
      <w:r>
        <w:rPr>
          <w:rFonts w:ascii="仿宋" w:hAnsi="仿宋" w:eastAsia="仿宋" w:cs="Times New Roman"/>
          <w:sz w:val="30"/>
          <w:szCs w:val="30"/>
        </w:rPr>
        <w:t>为合理部署矿产资源勘查</w:t>
      </w:r>
      <w:r>
        <w:rPr>
          <w:rFonts w:hint="eastAsia" w:ascii="仿宋" w:hAnsi="仿宋" w:eastAsia="仿宋" w:cs="Times New Roman"/>
          <w:sz w:val="30"/>
          <w:szCs w:val="30"/>
        </w:rPr>
        <w:t>开发</w:t>
      </w:r>
      <w:r>
        <w:rPr>
          <w:rFonts w:ascii="仿宋" w:hAnsi="仿宋" w:eastAsia="仿宋" w:cs="Times New Roman"/>
          <w:sz w:val="30"/>
          <w:szCs w:val="30"/>
        </w:rPr>
        <w:t>工作，优化资源配置，促进</w:t>
      </w:r>
      <w:r>
        <w:rPr>
          <w:rFonts w:hint="eastAsia" w:ascii="仿宋" w:hAnsi="仿宋" w:eastAsia="仿宋" w:cs="Times New Roman"/>
          <w:sz w:val="30"/>
          <w:szCs w:val="30"/>
        </w:rPr>
        <w:t>勘查开采与保护</w:t>
      </w:r>
      <w:r>
        <w:rPr>
          <w:rFonts w:ascii="仿宋" w:hAnsi="仿宋" w:eastAsia="仿宋" w:cs="Times New Roman"/>
          <w:sz w:val="30"/>
          <w:szCs w:val="30"/>
        </w:rPr>
        <w:t>布局，</w:t>
      </w:r>
      <w:r>
        <w:rPr>
          <w:rFonts w:hint="eastAsia" w:ascii="仿宋" w:hAnsi="仿宋" w:eastAsia="仿宋" w:cs="Times New Roman"/>
          <w:sz w:val="30"/>
          <w:szCs w:val="30"/>
        </w:rPr>
        <w:t>发挥规划空间管制依据作用，</w:t>
      </w:r>
      <w:r>
        <w:rPr>
          <w:rFonts w:ascii="仿宋" w:hAnsi="仿宋" w:eastAsia="仿宋" w:cs="Times New Roman"/>
          <w:sz w:val="30"/>
          <w:szCs w:val="30"/>
        </w:rPr>
        <w:t>全面</w:t>
      </w:r>
      <w:r>
        <w:rPr>
          <w:rFonts w:hint="eastAsia" w:ascii="仿宋" w:hAnsi="仿宋" w:eastAsia="仿宋" w:cs="Times New Roman"/>
          <w:sz w:val="30"/>
          <w:szCs w:val="30"/>
        </w:rPr>
        <w:t>落实上级规划，并合理划定本级勘查开采规划区块。</w:t>
      </w:r>
    </w:p>
    <w:p>
      <w:pPr>
        <w:spacing w:line="60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（一）勘查规划区块</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全面落实上级规划划定的12个勘查规划区块，涉及矿种为地热、铁矿、铅矿、金矿、矿泉水。本级划定1个勘查规划区块，矿种为水泥用灰岩。勘查规划区块总面积为41.13平方千米。</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加强勘查规划区块管理，进一步优化矿产资源勘查结构布局，保障战略性矿产和紧缺矿产及我市优势矿产的地质勘查，满足经济社会发展对矿产资源的需求。合理安排区块投放总量和投放时序，一个勘查规划区块原则上只设置一个勘查主体。</w:t>
      </w:r>
    </w:p>
    <w:p>
      <w:pPr>
        <w:spacing w:line="60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（二）开采规划区块</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落实上级规划划定的1个煤炭开采规划区块。本级划定10个开采规划区块，开采主矿种为硅藻土、建筑用玄武岩、建筑石料用灰岩、建筑用砂岩、白云岩、建筑用大理岩。开采规划区块总面积为4.39平方千米。</w:t>
      </w:r>
    </w:p>
    <w:p>
      <w:pPr>
        <w:spacing w:line="360" w:lineRule="auto"/>
        <w:ind w:firstLine="600" w:firstLineChars="200"/>
        <w:rPr>
          <w:rFonts w:ascii="仿宋" w:hAnsi="仿宋" w:eastAsia="仿宋" w:cs="Times New Roman"/>
          <w:sz w:val="30"/>
          <w:szCs w:val="30"/>
        </w:rPr>
      </w:pPr>
      <w:r>
        <w:rPr>
          <w:rFonts w:hint="eastAsia" w:ascii="仿宋" w:hAnsi="仿宋" w:eastAsia="仿宋" w:cs="Times New Roman"/>
          <w:sz w:val="30"/>
          <w:szCs w:val="30"/>
        </w:rPr>
        <w:t>加强开采规划区块管理，按照“规划管控、市场配置、权责一致”的要求，健全完善审查机制，合理配置资源，优化开发布局；优先对大中型矿产地投放采矿权；投放采矿权时，应以批复的开采规划区块为依据，对已设探矿权符合探转采要求的，在设置采矿权时视为符合规划。原则上一个开采规划区块对应一个开采主体，严禁将矿产地化大为小和分割出让。</w:t>
      </w:r>
    </w:p>
    <w:p>
      <w:pPr>
        <w:pageBreakBefore/>
        <w:spacing w:beforeLines="50" w:afterLines="50" w:line="600" w:lineRule="exact"/>
        <w:ind w:firstLine="0" w:firstLineChars="0"/>
        <w:jc w:val="center"/>
        <w:outlineLvl w:val="0"/>
        <w:rPr>
          <w:rFonts w:ascii="黑体" w:hAnsi="黑体" w:eastAsia="黑体" w:cs="Times New Roman"/>
          <w:b/>
          <w:bCs/>
          <w:color w:val="000000"/>
          <w:sz w:val="36"/>
          <w:szCs w:val="36"/>
        </w:rPr>
      </w:pPr>
      <w:bookmarkStart w:id="40" w:name="_Toc68596441"/>
      <w:bookmarkStart w:id="41" w:name="_Toc129074199"/>
      <w:r>
        <w:rPr>
          <w:rFonts w:hint="eastAsia" w:ascii="黑体" w:hAnsi="黑体" w:eastAsia="黑体" w:cs="Times New Roman"/>
          <w:b/>
          <w:bCs/>
          <w:color w:val="000000"/>
          <w:sz w:val="36"/>
          <w:szCs w:val="36"/>
        </w:rPr>
        <w:t>第四章 矿产资源勘查开发利用与保护</w:t>
      </w:r>
      <w:bookmarkEnd w:id="40"/>
      <w:bookmarkEnd w:id="41"/>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42" w:name="_Toc68596442"/>
      <w:bookmarkStart w:id="43" w:name="_Toc129074200"/>
      <w:r>
        <w:rPr>
          <w:rFonts w:hint="eastAsia" w:ascii="华文中宋" w:hAnsi="华文中宋" w:eastAsia="华文中宋" w:cs="Times New Roman"/>
          <w:b w:val="0"/>
          <w:bCs/>
          <w:kern w:val="0"/>
          <w:sz w:val="32"/>
          <w:szCs w:val="32"/>
          <w:lang w:val="en-US" w:eastAsia="zh-CN" w:bidi="ar-SA"/>
        </w:rPr>
        <w:t>第一节 合理确定开发强度</w:t>
      </w:r>
      <w:bookmarkEnd w:id="42"/>
      <w:bookmarkEnd w:id="43"/>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一、开采总量控制</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分解落实上级规划确定的煤炭开采总量调控指标。根据矿产资源特点、市场条件和经济社会发展需求，规划期内对本级审批发证的建筑用砂岩和建筑用石料等矿产实施开采总量调控（见专栏</w:t>
      </w:r>
      <w:r>
        <w:rPr>
          <w:rFonts w:ascii="仿宋" w:hAnsi="仿宋" w:eastAsia="仿宋" w:cs="Times New Roman"/>
          <w:sz w:val="30"/>
          <w:szCs w:val="30"/>
        </w:rPr>
        <w:t>3</w:t>
      </w:r>
      <w:r>
        <w:rPr>
          <w:rFonts w:hint="eastAsia" w:ascii="仿宋" w:hAnsi="仿宋" w:eastAsia="仿宋" w:cs="Times New Roman"/>
          <w:sz w:val="30"/>
          <w:szCs w:val="30"/>
        </w:rPr>
        <w:t>）。通过总量调控指导采矿权合理有序投放，并根据调控指标加强监管，健全完善矿山储量动态监测机制，遏制盲目扩大生产规模导致的恶性竞争，充分发挥规划调控作用，实现资源合理开发高效利用。</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二、矿山数量控制</w:t>
      </w:r>
    </w:p>
    <w:p>
      <w:pPr>
        <w:spacing w:line="360" w:lineRule="auto"/>
        <w:ind w:firstLine="600" w:firstLineChars="200"/>
        <w:rPr>
          <w:rFonts w:ascii="Times New Roman" w:hAnsi="Times New Roman" w:eastAsia="宋体" w:cs="Times New Roman"/>
          <w:sz w:val="28"/>
        </w:rPr>
      </w:pPr>
      <w:r>
        <w:rPr>
          <w:rFonts w:hint="eastAsia" w:ascii="仿宋" w:hAnsi="仿宋" w:eastAsia="仿宋" w:cs="Times New Roman"/>
          <w:sz w:val="30"/>
          <w:szCs w:val="30"/>
        </w:rPr>
        <w:t>严格控制临江市矿山数量，坚持减少数量和提升质量并重。</w:t>
      </w:r>
      <w:r>
        <w:rPr>
          <w:rFonts w:ascii="仿宋" w:hAnsi="仿宋" w:eastAsia="仿宋" w:cs="Times New Roman"/>
          <w:sz w:val="30"/>
          <w:szCs w:val="30"/>
        </w:rPr>
        <w:t>逐步关停大矿小采、生产规模低下、工艺设备陈旧的生产矿山。</w:t>
      </w:r>
      <w:r>
        <w:rPr>
          <w:rFonts w:hint="eastAsia" w:ascii="仿宋" w:hAnsi="仿宋" w:eastAsia="仿宋" w:cs="Times New Roman"/>
          <w:sz w:val="30"/>
          <w:szCs w:val="30"/>
        </w:rPr>
        <w:t>通过提升矿产资源产业重点发展区域矿山企业规模化水平，推进矿山企业规模化、集约化经营，全市矿山到2025年矿山总数控制在50个以内。</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44" w:name="_Toc129074201"/>
      <w:bookmarkStart w:id="45" w:name="_Toc68596443"/>
      <w:r>
        <w:rPr>
          <w:rFonts w:hint="eastAsia" w:ascii="华文中宋" w:hAnsi="华文中宋" w:eastAsia="华文中宋" w:cs="Times New Roman"/>
          <w:b w:val="0"/>
          <w:bCs/>
          <w:kern w:val="0"/>
          <w:sz w:val="32"/>
          <w:szCs w:val="32"/>
          <w:lang w:val="en-US" w:eastAsia="zh-CN" w:bidi="ar-SA"/>
        </w:rPr>
        <w:t>第二节 优化开发利用结构</w:t>
      </w:r>
      <w:bookmarkEnd w:id="44"/>
      <w:bookmarkEnd w:id="45"/>
    </w:p>
    <w:p>
      <w:pPr>
        <w:keepNext/>
        <w:keepLines/>
        <w:widowControl w:val="0"/>
        <w:spacing w:line="600" w:lineRule="exact"/>
        <w:ind w:firstLine="588" w:firstLineChars="200"/>
        <w:jc w:val="both"/>
        <w:outlineLvl w:val="2"/>
        <w:rPr>
          <w:rFonts w:ascii="Times New Roman" w:hAnsi="Times New Roman" w:eastAsia="楷体_GB2312" w:cs="Times New Roman"/>
          <w:b/>
          <w:bCs/>
          <w:kern w:val="2"/>
          <w:sz w:val="30"/>
          <w:szCs w:val="30"/>
          <w:lang w:val="en-US" w:eastAsia="zh-CN" w:bidi="ar-SA"/>
        </w:rPr>
      </w:pPr>
      <w:r>
        <w:rPr>
          <w:rFonts w:hint="eastAsia" w:ascii="Times New Roman" w:hAnsi="Times New Roman" w:eastAsia="黑体" w:cs="Times New Roman"/>
          <w:b w:val="0"/>
          <w:bCs w:val="0"/>
          <w:w w:val="98"/>
          <w:kern w:val="2"/>
          <w:sz w:val="30"/>
          <w:szCs w:val="30"/>
          <w:lang w:val="en-US" w:eastAsia="zh-CN" w:bidi="ar-SA"/>
        </w:rPr>
        <w:t>一、确定矿山最低开采规模</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按照矿山开采规模和矿床（区）储量规模相适应的原则，结合临江市的产业政策，确定本级出让登记矿山最低开采规模，其它矿种生产规模严格执行国家、吉林省和白山市确定的最低开采规模（见专栏7）。</w:t>
      </w:r>
    </w:p>
    <w:tbl>
      <w:tblPr>
        <w:tblStyle w:val="2"/>
        <w:tblW w:w="8342" w:type="dxa"/>
        <w:tblInd w:w="0" w:type="dxa"/>
        <w:tblLayout w:type="fixed"/>
        <w:tblCellMar>
          <w:top w:w="15" w:type="dxa"/>
          <w:left w:w="15" w:type="dxa"/>
          <w:bottom w:w="15" w:type="dxa"/>
          <w:right w:w="15" w:type="dxa"/>
        </w:tblCellMar>
      </w:tblPr>
      <w:tblGrid>
        <w:gridCol w:w="992"/>
        <w:gridCol w:w="2628"/>
        <w:gridCol w:w="1258"/>
        <w:gridCol w:w="1199"/>
        <w:gridCol w:w="1086"/>
        <w:gridCol w:w="1179"/>
      </w:tblGrid>
      <w:tr>
        <w:tblPrEx>
          <w:tblCellMar>
            <w:top w:w="15" w:type="dxa"/>
            <w:left w:w="15" w:type="dxa"/>
            <w:bottom w:w="15" w:type="dxa"/>
            <w:right w:w="15" w:type="dxa"/>
          </w:tblCellMar>
        </w:tblPrEx>
        <w:trPr>
          <w:trHeight w:val="567" w:hRule="exact"/>
        </w:trPr>
        <w:tc>
          <w:tcPr>
            <w:tcW w:w="8342" w:type="dxa"/>
            <w:gridSpan w:val="6"/>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sz w:val="24"/>
              </w:rPr>
            </w:pPr>
            <w:r>
              <w:rPr>
                <w:rFonts w:ascii="仿宋" w:hAnsi="仿宋" w:eastAsia="仿宋" w:cs="Times New Roman"/>
                <w:kern w:val="0"/>
                <w:sz w:val="24"/>
              </w:rPr>
              <w:t>专栏</w:t>
            </w:r>
            <w:r>
              <w:rPr>
                <w:rFonts w:hint="eastAsia" w:ascii="仿宋" w:hAnsi="仿宋" w:eastAsia="仿宋" w:cs="Times New Roman"/>
                <w:kern w:val="0"/>
                <w:sz w:val="24"/>
              </w:rPr>
              <w:t>7</w:t>
            </w:r>
            <w:r>
              <w:rPr>
                <w:rFonts w:ascii="仿宋" w:hAnsi="仿宋" w:eastAsia="仿宋" w:cs="Times New Roman"/>
                <w:kern w:val="0"/>
                <w:sz w:val="24"/>
              </w:rPr>
              <w:t xml:space="preserve">  重点矿种矿山最低开采规模</w:t>
            </w:r>
          </w:p>
        </w:tc>
      </w:tr>
      <w:tr>
        <w:tblPrEx>
          <w:tblCellMar>
            <w:top w:w="15" w:type="dxa"/>
            <w:left w:w="15" w:type="dxa"/>
            <w:bottom w:w="15" w:type="dxa"/>
            <w:right w:w="15" w:type="dxa"/>
          </w:tblCellMar>
        </w:tblPrEx>
        <w:trPr>
          <w:trHeight w:val="454" w:hRule="exact"/>
        </w:trPr>
        <w:tc>
          <w:tcPr>
            <w:tcW w:w="992" w:type="dxa"/>
            <w:vMerge w:val="restart"/>
            <w:tcBorders>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序号</w:t>
            </w:r>
          </w:p>
        </w:tc>
        <w:tc>
          <w:tcPr>
            <w:tcW w:w="2628" w:type="dxa"/>
            <w:vMerge w:val="restart"/>
            <w:tcBorders>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矿种名称</w:t>
            </w:r>
          </w:p>
        </w:tc>
        <w:tc>
          <w:tcPr>
            <w:tcW w:w="1258" w:type="dxa"/>
            <w:vMerge w:val="restart"/>
            <w:tcBorders>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单位/年</w:t>
            </w:r>
          </w:p>
        </w:tc>
        <w:tc>
          <w:tcPr>
            <w:tcW w:w="3464"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最低开采规模</w:t>
            </w:r>
          </w:p>
        </w:tc>
      </w:tr>
      <w:tr>
        <w:tblPrEx>
          <w:tblCellMar>
            <w:top w:w="15" w:type="dxa"/>
            <w:left w:w="15" w:type="dxa"/>
            <w:bottom w:w="15" w:type="dxa"/>
            <w:right w:w="15" w:type="dxa"/>
          </w:tblCellMar>
        </w:tblPrEx>
        <w:trPr>
          <w:trHeight w:val="454" w:hRule="exact"/>
        </w:trPr>
        <w:tc>
          <w:tcPr>
            <w:tcW w:w="992"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p>
        </w:tc>
        <w:tc>
          <w:tcPr>
            <w:tcW w:w="2628"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p>
        </w:tc>
        <w:tc>
          <w:tcPr>
            <w:tcW w:w="1258" w:type="dxa"/>
            <w:vMerge w:val="continue"/>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大型</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中型</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小型</w:t>
            </w:r>
          </w:p>
        </w:tc>
      </w:tr>
      <w:tr>
        <w:tblPrEx>
          <w:tblCellMar>
            <w:top w:w="15" w:type="dxa"/>
            <w:left w:w="15" w:type="dxa"/>
            <w:bottom w:w="15" w:type="dxa"/>
            <w:right w:w="15" w:type="dxa"/>
          </w:tblCellMar>
        </w:tblPrEx>
        <w:trPr>
          <w:trHeight w:val="454" w:hRule="exact"/>
        </w:trPr>
        <w:tc>
          <w:tcPr>
            <w:tcW w:w="992" w:type="dxa"/>
            <w:tcBorders>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1</w:t>
            </w:r>
          </w:p>
        </w:tc>
        <w:tc>
          <w:tcPr>
            <w:tcW w:w="2628"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r>
              <w:rPr>
                <w:rFonts w:ascii="仿宋" w:hAnsi="仿宋" w:eastAsia="仿宋" w:cs="Times New Roman"/>
                <w:kern w:val="0"/>
                <w:sz w:val="21"/>
                <w:szCs w:val="21"/>
              </w:rPr>
              <w:t>煤</w:t>
            </w:r>
          </w:p>
        </w:tc>
        <w:tc>
          <w:tcPr>
            <w:tcW w:w="1258" w:type="dxa"/>
            <w:tcBorders>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r>
              <w:rPr>
                <w:rFonts w:ascii="仿宋" w:hAnsi="仿宋" w:eastAsia="仿宋" w:cs="Times New Roman"/>
                <w:kern w:val="0"/>
                <w:sz w:val="21"/>
                <w:szCs w:val="21"/>
              </w:rPr>
              <w:t>原煤万吨</w:t>
            </w:r>
          </w:p>
        </w:tc>
        <w:tc>
          <w:tcPr>
            <w:tcW w:w="119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r>
              <w:rPr>
                <w:rFonts w:hint="eastAsia" w:ascii="仿宋" w:hAnsi="仿宋" w:eastAsia="仿宋" w:cs="Times New Roman"/>
                <w:kern w:val="0"/>
                <w:sz w:val="21"/>
                <w:szCs w:val="21"/>
              </w:rPr>
              <w:t>120</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r>
              <w:rPr>
                <w:rFonts w:hint="eastAsia" w:ascii="仿宋" w:hAnsi="仿宋" w:eastAsia="仿宋" w:cs="Times New Roman"/>
                <w:kern w:val="0"/>
                <w:sz w:val="21"/>
                <w:szCs w:val="21"/>
              </w:rPr>
              <w:t>60</w:t>
            </w:r>
          </w:p>
        </w:tc>
        <w:tc>
          <w:tcPr>
            <w:tcW w:w="117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240" w:lineRule="auto"/>
              <w:ind w:firstLine="0" w:firstLineChars="0"/>
              <w:jc w:val="center"/>
              <w:rPr>
                <w:rFonts w:ascii="Times New Roman" w:hAnsi="Times New Roman" w:eastAsia="宋体" w:cs="Times New Roman"/>
                <w:sz w:val="24"/>
              </w:rPr>
            </w:pPr>
            <w:r>
              <w:rPr>
                <w:rFonts w:hint="eastAsia" w:ascii="宋体" w:hAnsi="宋体" w:eastAsia="宋体" w:cs="宋体"/>
                <w:sz w:val="24"/>
              </w:rPr>
              <w:t>-</w:t>
            </w:r>
          </w:p>
        </w:tc>
      </w:tr>
      <w:tr>
        <w:tblPrEx>
          <w:tblCellMar>
            <w:top w:w="15" w:type="dxa"/>
            <w:left w:w="15" w:type="dxa"/>
            <w:bottom w:w="15" w:type="dxa"/>
            <w:right w:w="15" w:type="dxa"/>
          </w:tblCellMar>
        </w:tblPrEx>
        <w:trPr>
          <w:trHeight w:val="454" w:hRule="exac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2</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铁（地下）</w:t>
            </w:r>
          </w:p>
        </w:tc>
        <w:tc>
          <w:tcPr>
            <w:tcW w:w="1258"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r>
              <w:rPr>
                <w:rFonts w:ascii="仿宋" w:hAnsi="仿宋" w:eastAsia="仿宋" w:cs="Times New Roman"/>
                <w:kern w:val="0"/>
                <w:sz w:val="21"/>
                <w:szCs w:val="21"/>
              </w:rPr>
              <w:t>矿石万吨</w:t>
            </w:r>
          </w:p>
        </w:tc>
        <w:tc>
          <w:tcPr>
            <w:tcW w:w="1199"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r>
              <w:rPr>
                <w:rFonts w:hint="eastAsia" w:ascii="仿宋" w:hAnsi="仿宋" w:eastAsia="仿宋" w:cs="Times New Roman"/>
                <w:kern w:val="0"/>
                <w:sz w:val="21"/>
                <w:szCs w:val="21"/>
              </w:rPr>
              <w:t>100</w:t>
            </w:r>
          </w:p>
        </w:tc>
        <w:tc>
          <w:tcPr>
            <w:tcW w:w="1086" w:type="dxa"/>
            <w:tcBorders>
              <w:top w:val="single" w:color="000000" w:sz="4" w:space="0"/>
              <w:left w:val="single" w:color="000000" w:sz="4" w:space="0"/>
              <w:bottom w:val="single" w:color="000000" w:sz="4" w:space="0"/>
              <w:right w:val="single" w:color="000000" w:sz="4" w:space="0"/>
            </w:tcBorders>
            <w:vAlign w:val="center"/>
          </w:tcPr>
          <w:p>
            <w:pPr>
              <w:spacing w:line="240" w:lineRule="auto"/>
              <w:ind w:firstLine="0" w:firstLineChars="0"/>
              <w:jc w:val="center"/>
              <w:rPr>
                <w:rFonts w:ascii="仿宋" w:hAnsi="仿宋" w:eastAsia="仿宋" w:cs="Times New Roman"/>
                <w:kern w:val="0"/>
                <w:sz w:val="21"/>
                <w:szCs w:val="21"/>
              </w:rPr>
            </w:pPr>
            <w:r>
              <w:rPr>
                <w:rFonts w:hint="eastAsia" w:ascii="仿宋" w:hAnsi="仿宋" w:eastAsia="仿宋" w:cs="Times New Roman"/>
                <w:kern w:val="0"/>
                <w:sz w:val="21"/>
                <w:szCs w:val="21"/>
              </w:rPr>
              <w:t>30</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r>
      <w:tr>
        <w:tblPrEx>
          <w:tblCellMar>
            <w:top w:w="15" w:type="dxa"/>
            <w:left w:w="15" w:type="dxa"/>
            <w:bottom w:w="15" w:type="dxa"/>
            <w:right w:w="15" w:type="dxa"/>
          </w:tblCellMar>
        </w:tblPrEx>
        <w:trPr>
          <w:trHeight w:val="454" w:hRule="exac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3</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金</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矿石万吨</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15</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6</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3</w:t>
            </w:r>
          </w:p>
        </w:tc>
      </w:tr>
      <w:tr>
        <w:tblPrEx>
          <w:tblCellMar>
            <w:top w:w="15" w:type="dxa"/>
            <w:left w:w="15" w:type="dxa"/>
            <w:bottom w:w="15" w:type="dxa"/>
            <w:right w:w="15" w:type="dxa"/>
          </w:tblCellMar>
        </w:tblPrEx>
        <w:trPr>
          <w:trHeight w:val="454" w:hRule="exac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4</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硅藻土</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矿石万吨</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15</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10</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5</w:t>
            </w:r>
          </w:p>
        </w:tc>
      </w:tr>
      <w:tr>
        <w:tblPrEx>
          <w:tblCellMar>
            <w:top w:w="15" w:type="dxa"/>
            <w:left w:w="15" w:type="dxa"/>
            <w:bottom w:w="15" w:type="dxa"/>
            <w:right w:w="15" w:type="dxa"/>
          </w:tblCellMar>
        </w:tblPrEx>
        <w:trPr>
          <w:trHeight w:val="454" w:hRule="exac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5</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建筑用砂岩</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矿石万吨</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30</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10</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1</w:t>
            </w:r>
          </w:p>
        </w:tc>
      </w:tr>
      <w:tr>
        <w:tblPrEx>
          <w:tblCellMar>
            <w:top w:w="15" w:type="dxa"/>
            <w:left w:w="15" w:type="dxa"/>
            <w:bottom w:w="15" w:type="dxa"/>
            <w:right w:w="15" w:type="dxa"/>
          </w:tblCellMar>
        </w:tblPrEx>
        <w:trPr>
          <w:trHeight w:val="454" w:hRule="exac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6</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建筑用石料</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万立方米</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1</w:t>
            </w:r>
            <w:r>
              <w:rPr>
                <w:rFonts w:ascii="仿宋" w:hAnsi="仿宋" w:eastAsia="仿宋" w:cs="Times New Roman"/>
                <w:kern w:val="0"/>
                <w:sz w:val="21"/>
                <w:szCs w:val="21"/>
              </w:rPr>
              <w:t>0</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w:t>
            </w:r>
          </w:p>
        </w:tc>
      </w:tr>
      <w:tr>
        <w:tblPrEx>
          <w:tblCellMar>
            <w:top w:w="15" w:type="dxa"/>
            <w:left w:w="15" w:type="dxa"/>
            <w:bottom w:w="15" w:type="dxa"/>
            <w:right w:w="15" w:type="dxa"/>
          </w:tblCellMar>
        </w:tblPrEx>
        <w:trPr>
          <w:trHeight w:val="454" w:hRule="exact"/>
        </w:trPr>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hint="eastAsia" w:ascii="仿宋" w:hAnsi="仿宋" w:eastAsia="仿宋" w:cs="Times New Roman"/>
                <w:kern w:val="0"/>
                <w:sz w:val="21"/>
                <w:szCs w:val="21"/>
              </w:rPr>
              <w:t>7</w:t>
            </w:r>
          </w:p>
        </w:tc>
        <w:tc>
          <w:tcPr>
            <w:tcW w:w="262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矿泉水</w:t>
            </w:r>
          </w:p>
        </w:tc>
        <w:tc>
          <w:tcPr>
            <w:tcW w:w="1258"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万吨</w:t>
            </w:r>
          </w:p>
        </w:tc>
        <w:tc>
          <w:tcPr>
            <w:tcW w:w="119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20</w:t>
            </w:r>
          </w:p>
        </w:tc>
        <w:tc>
          <w:tcPr>
            <w:tcW w:w="108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10</w:t>
            </w:r>
          </w:p>
        </w:tc>
        <w:tc>
          <w:tcPr>
            <w:tcW w:w="11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auto"/>
              <w:ind w:firstLine="0" w:firstLineChars="0"/>
              <w:jc w:val="center"/>
              <w:textAlignment w:val="center"/>
              <w:rPr>
                <w:rFonts w:ascii="仿宋" w:hAnsi="仿宋" w:eastAsia="仿宋" w:cs="Times New Roman"/>
                <w:kern w:val="0"/>
                <w:sz w:val="21"/>
                <w:szCs w:val="21"/>
              </w:rPr>
            </w:pPr>
            <w:r>
              <w:rPr>
                <w:rFonts w:ascii="仿宋" w:hAnsi="仿宋" w:eastAsia="仿宋" w:cs="Times New Roman"/>
                <w:kern w:val="0"/>
                <w:sz w:val="21"/>
                <w:szCs w:val="21"/>
              </w:rPr>
              <w:t>5</w:t>
            </w:r>
          </w:p>
        </w:tc>
      </w:tr>
    </w:tbl>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按照上级规划部署要求，煤炭</w:t>
      </w:r>
      <w:r>
        <w:rPr>
          <w:rFonts w:ascii="仿宋" w:hAnsi="仿宋" w:eastAsia="仿宋" w:cs="Times New Roman"/>
          <w:sz w:val="30"/>
          <w:szCs w:val="30"/>
        </w:rPr>
        <w:t>技改提能矿山不得</w:t>
      </w:r>
      <w:r>
        <w:rPr>
          <w:rFonts w:hint="eastAsia" w:ascii="仿宋" w:hAnsi="仿宋" w:eastAsia="仿宋" w:cs="Times New Roman"/>
          <w:sz w:val="30"/>
          <w:szCs w:val="30"/>
        </w:rPr>
        <w:t>低于30万吨/年。不再新建</w:t>
      </w:r>
      <w:r>
        <w:rPr>
          <w:rFonts w:ascii="仿宋" w:hAnsi="仿宋" w:eastAsia="仿宋" w:cs="Times New Roman"/>
          <w:sz w:val="30"/>
          <w:szCs w:val="30"/>
        </w:rPr>
        <w:t>30</w:t>
      </w:r>
      <w:r>
        <w:rPr>
          <w:rFonts w:hint="eastAsia" w:ascii="仿宋" w:hAnsi="仿宋" w:eastAsia="仿宋" w:cs="Times New Roman"/>
          <w:sz w:val="30"/>
          <w:szCs w:val="30"/>
        </w:rPr>
        <w:t>万吨</w:t>
      </w:r>
      <w:r>
        <w:rPr>
          <w:rFonts w:ascii="仿宋" w:hAnsi="仿宋" w:eastAsia="仿宋" w:cs="Times New Roman"/>
          <w:sz w:val="30"/>
          <w:szCs w:val="30"/>
        </w:rPr>
        <w:t>/</w:t>
      </w:r>
      <w:r>
        <w:rPr>
          <w:rFonts w:hint="eastAsia" w:ascii="仿宋" w:hAnsi="仿宋" w:eastAsia="仿宋" w:cs="Times New Roman"/>
          <w:sz w:val="30"/>
          <w:szCs w:val="30"/>
        </w:rPr>
        <w:t>年以下露天开采铁矿、</w:t>
      </w:r>
      <w:r>
        <w:rPr>
          <w:rFonts w:ascii="仿宋" w:hAnsi="仿宋" w:eastAsia="仿宋" w:cs="Times New Roman"/>
          <w:sz w:val="30"/>
          <w:szCs w:val="30"/>
        </w:rPr>
        <w:t>10</w:t>
      </w:r>
      <w:r>
        <w:rPr>
          <w:rFonts w:hint="eastAsia" w:ascii="仿宋" w:hAnsi="仿宋" w:eastAsia="仿宋" w:cs="Times New Roman"/>
          <w:sz w:val="30"/>
          <w:szCs w:val="30"/>
        </w:rPr>
        <w:t>万吨</w:t>
      </w:r>
      <w:r>
        <w:rPr>
          <w:rFonts w:ascii="仿宋" w:hAnsi="仿宋" w:eastAsia="仿宋" w:cs="Times New Roman"/>
          <w:sz w:val="30"/>
          <w:szCs w:val="30"/>
        </w:rPr>
        <w:t>/</w:t>
      </w:r>
      <w:r>
        <w:rPr>
          <w:rFonts w:hint="eastAsia" w:ascii="仿宋" w:hAnsi="仿宋" w:eastAsia="仿宋" w:cs="Times New Roman"/>
          <w:sz w:val="30"/>
          <w:szCs w:val="30"/>
        </w:rPr>
        <w:t>年以下地下开采铁矿。不再新建日处理岩金矿石</w:t>
      </w:r>
      <w:r>
        <w:rPr>
          <w:rFonts w:ascii="仿宋" w:hAnsi="仿宋" w:eastAsia="仿宋" w:cs="Times New Roman"/>
          <w:sz w:val="30"/>
          <w:szCs w:val="30"/>
        </w:rPr>
        <w:t>300</w:t>
      </w:r>
      <w:r>
        <w:rPr>
          <w:rFonts w:hint="eastAsia" w:ascii="仿宋" w:hAnsi="仿宋" w:eastAsia="仿宋" w:cs="Times New Roman"/>
          <w:sz w:val="30"/>
          <w:szCs w:val="30"/>
        </w:rPr>
        <w:t>吨以下的露天开采项目，</w:t>
      </w:r>
      <w:r>
        <w:rPr>
          <w:rFonts w:ascii="仿宋" w:hAnsi="仿宋" w:eastAsia="仿宋" w:cs="Times New Roman"/>
          <w:sz w:val="30"/>
          <w:szCs w:val="30"/>
        </w:rPr>
        <w:t>100</w:t>
      </w:r>
      <w:r>
        <w:rPr>
          <w:rFonts w:hint="eastAsia" w:ascii="仿宋" w:hAnsi="仿宋" w:eastAsia="仿宋" w:cs="Times New Roman"/>
          <w:sz w:val="30"/>
          <w:szCs w:val="30"/>
        </w:rPr>
        <w:t>吨以下的地下开采项目。硅藻土新建矿山最低开采规模原则上不得低于5万吨/年。建筑用石料新建矿山最低开采规模原则上不得低于</w:t>
      </w:r>
      <w:r>
        <w:rPr>
          <w:rFonts w:ascii="仿宋" w:hAnsi="仿宋" w:eastAsia="仿宋" w:cs="Times New Roman"/>
          <w:sz w:val="30"/>
          <w:szCs w:val="30"/>
        </w:rPr>
        <w:t>30</w:t>
      </w:r>
      <w:r>
        <w:rPr>
          <w:rFonts w:hint="eastAsia" w:ascii="仿宋" w:hAnsi="仿宋" w:eastAsia="仿宋" w:cs="Times New Roman"/>
          <w:sz w:val="30"/>
          <w:szCs w:val="30"/>
        </w:rPr>
        <w:t>万立方米/年，保障能源、交通、水利等重大基础建设项目或</w:t>
      </w:r>
      <w:r>
        <w:rPr>
          <w:rFonts w:ascii="仿宋" w:hAnsi="仿宋" w:eastAsia="仿宋" w:cs="Times New Roman"/>
          <w:sz w:val="30"/>
          <w:szCs w:val="30"/>
        </w:rPr>
        <w:t>边远地区</w:t>
      </w:r>
      <w:r>
        <w:rPr>
          <w:rFonts w:hint="eastAsia" w:ascii="仿宋" w:hAnsi="仿宋" w:eastAsia="仿宋" w:cs="Times New Roman"/>
          <w:sz w:val="30"/>
          <w:szCs w:val="30"/>
        </w:rPr>
        <w:t>的，最低开采规模不得低于10万立方米/年。矿泉水普通类型</w:t>
      </w:r>
      <w:r>
        <w:rPr>
          <w:rFonts w:ascii="仿宋" w:hAnsi="仿宋" w:eastAsia="仿宋" w:cs="Times New Roman"/>
          <w:sz w:val="30"/>
          <w:szCs w:val="30"/>
        </w:rPr>
        <w:t>新建矿山不得低于20万吨</w:t>
      </w:r>
      <w:r>
        <w:rPr>
          <w:rFonts w:hint="eastAsia" w:ascii="仿宋" w:hAnsi="仿宋" w:eastAsia="仿宋" w:cs="Times New Roman"/>
          <w:sz w:val="30"/>
          <w:szCs w:val="30"/>
        </w:rPr>
        <w:t>/年</w:t>
      </w:r>
      <w:r>
        <w:rPr>
          <w:rFonts w:ascii="仿宋" w:hAnsi="仿宋" w:eastAsia="仿宋" w:cs="Times New Roman"/>
          <w:sz w:val="30"/>
          <w:szCs w:val="30"/>
        </w:rPr>
        <w:t>，稀有类型新建矿山不得低于1万吨</w:t>
      </w:r>
      <w:r>
        <w:rPr>
          <w:rFonts w:hint="eastAsia" w:ascii="仿宋" w:hAnsi="仿宋" w:eastAsia="仿宋" w:cs="Times New Roman"/>
          <w:sz w:val="30"/>
          <w:szCs w:val="30"/>
        </w:rPr>
        <w:t>/年。</w:t>
      </w:r>
    </w:p>
    <w:p>
      <w:pPr>
        <w:spacing w:line="600" w:lineRule="exact"/>
        <w:ind w:firstLine="548" w:firstLineChars="200"/>
        <w:rPr>
          <w:rFonts w:ascii="Times New Roman" w:hAnsi="Times New Roman" w:eastAsia="楷体_GB2312" w:cs="Times New Roman"/>
          <w:sz w:val="28"/>
          <w:szCs w:val="30"/>
        </w:rPr>
      </w:pPr>
      <w:r>
        <w:rPr>
          <w:rFonts w:hint="eastAsia" w:ascii="Times New Roman" w:hAnsi="Times New Roman" w:eastAsia="黑体" w:cs="Times New Roman"/>
          <w:w w:val="98"/>
          <w:sz w:val="28"/>
          <w:szCs w:val="30"/>
        </w:rPr>
        <w:t>二、优化矿业规模结构</w:t>
      </w:r>
    </w:p>
    <w:p>
      <w:pPr>
        <w:spacing w:line="60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（一）调整矿山规模结构</w:t>
      </w:r>
    </w:p>
    <w:p>
      <w:pPr>
        <w:spacing w:line="600" w:lineRule="exact"/>
        <w:ind w:firstLine="600" w:firstLineChars="200"/>
        <w:rPr>
          <w:rFonts w:ascii="Times New Roman" w:hAnsi="Times New Roman" w:eastAsia="楷体_GB2312" w:cs="Times New Roman"/>
          <w:sz w:val="30"/>
          <w:szCs w:val="30"/>
        </w:rPr>
      </w:pPr>
      <w:r>
        <w:rPr>
          <w:rFonts w:hint="eastAsia" w:ascii="仿宋" w:hAnsi="仿宋" w:eastAsia="仿宋" w:cs="Times New Roman"/>
          <w:sz w:val="30"/>
          <w:szCs w:val="30"/>
        </w:rPr>
        <w:t>根据临江市矿产资源禀赋特点、现有矿山规模结构及矿业产业发展方向，规划期内，全市矿山数量控制在50个以内，大中型矿山比例62</w:t>
      </w:r>
      <w:r>
        <w:rPr>
          <w:rFonts w:ascii="仿宋" w:hAnsi="仿宋" w:eastAsia="仿宋" w:cs="Times New Roman"/>
          <w:sz w:val="30"/>
          <w:szCs w:val="30"/>
        </w:rPr>
        <w:t>%</w:t>
      </w:r>
      <w:r>
        <w:rPr>
          <w:rFonts w:hint="eastAsia" w:ascii="仿宋" w:hAnsi="仿宋" w:eastAsia="仿宋" w:cs="Times New Roman"/>
          <w:sz w:val="30"/>
          <w:szCs w:val="30"/>
        </w:rPr>
        <w:t>。</w:t>
      </w:r>
      <w:r>
        <w:rPr>
          <w:rFonts w:ascii="仿宋" w:hAnsi="仿宋" w:eastAsia="仿宋" w:cs="Times New Roman"/>
          <w:sz w:val="30"/>
          <w:szCs w:val="30"/>
        </w:rPr>
        <w:t>鼓励硅藻土</w:t>
      </w:r>
      <w:r>
        <w:rPr>
          <w:rFonts w:hint="eastAsia" w:ascii="仿宋" w:hAnsi="仿宋" w:eastAsia="仿宋" w:cs="Times New Roman"/>
          <w:sz w:val="30"/>
          <w:szCs w:val="30"/>
        </w:rPr>
        <w:t>资源</w:t>
      </w:r>
      <w:r>
        <w:rPr>
          <w:rFonts w:ascii="仿宋" w:hAnsi="仿宋" w:eastAsia="仿宋" w:cs="Times New Roman"/>
          <w:sz w:val="30"/>
          <w:szCs w:val="30"/>
        </w:rPr>
        <w:t>整合，破解低端产能过剩、恶性竞争等问题</w:t>
      </w:r>
      <w:r>
        <w:rPr>
          <w:rFonts w:hint="eastAsia" w:ascii="仿宋" w:hAnsi="仿宋" w:eastAsia="仿宋" w:cs="Times New Roman"/>
          <w:sz w:val="30"/>
          <w:szCs w:val="30"/>
        </w:rPr>
        <w:t>；严格控制建筑用石料新建矿山数量，推进矿产资源开发整合、兼并重组，提升</w:t>
      </w:r>
      <w:r>
        <w:rPr>
          <w:rFonts w:ascii="仿宋" w:hAnsi="仿宋" w:eastAsia="仿宋" w:cs="Times New Roman"/>
          <w:sz w:val="30"/>
          <w:szCs w:val="30"/>
        </w:rPr>
        <w:t>规模化、集约化水平，</w:t>
      </w:r>
      <w:r>
        <w:rPr>
          <w:rFonts w:hint="eastAsia" w:ascii="仿宋" w:hAnsi="仿宋" w:eastAsia="仿宋" w:cs="Times New Roman"/>
          <w:sz w:val="30"/>
          <w:szCs w:val="30"/>
        </w:rPr>
        <w:t>巩固市场供应。</w:t>
      </w:r>
    </w:p>
    <w:p>
      <w:pPr>
        <w:spacing w:line="600" w:lineRule="exact"/>
        <w:ind w:firstLine="600" w:firstLineChars="200"/>
        <w:rPr>
          <w:rFonts w:ascii="Times New Roman" w:hAnsi="Times New Roman" w:eastAsia="楷体_GB2312" w:cs="Times New Roman"/>
          <w:sz w:val="30"/>
          <w:szCs w:val="30"/>
        </w:rPr>
      </w:pPr>
      <w:r>
        <w:rPr>
          <w:rFonts w:hint="eastAsia" w:ascii="Times New Roman" w:hAnsi="Times New Roman" w:eastAsia="楷体_GB2312" w:cs="Times New Roman"/>
          <w:sz w:val="30"/>
          <w:szCs w:val="30"/>
        </w:rPr>
        <w:t>（二）优化矿产品结构</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加大供给侧结构性改革力度，以铁矿、硅藻土、建筑用石料类矿产为重点，鼓励矿山企业做好深入细致的市场调研，根据市场需求，加大科技投入，依靠科技进步与创新，发展资源综合利用和深加工产业，延长产业链，实现资源效益、社会效益、经济效益最大化，推动形成临江市特色的矿产资源开发新格局。</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铁矿：加快结构调整步伐，推动大栗子铁矿加速形成采选矿、精密及大型铸造件、汽车零部件的深加工产品链条，建成具有影响力的大型冶金铸造及装备铸件生产基地。</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硅藻土：围绕硅藻土环保建材、食品医药、催化剂、污水处理剂等领域，发展资源深加工产业，延伸产业链条，推广应用硅藻土精土负载纳米TiO</w:t>
      </w:r>
      <w:r>
        <w:rPr>
          <w:rFonts w:hint="eastAsia" w:ascii="仿宋" w:hAnsi="仿宋" w:eastAsia="仿宋" w:cs="Times New Roman"/>
          <w:sz w:val="30"/>
          <w:szCs w:val="30"/>
          <w:vertAlign w:val="subscript"/>
        </w:rPr>
        <w:t>2</w:t>
      </w:r>
      <w:r>
        <w:rPr>
          <w:rFonts w:hint="eastAsia" w:ascii="仿宋" w:hAnsi="仿宋" w:eastAsia="仿宋" w:cs="Times New Roman"/>
          <w:sz w:val="30"/>
          <w:szCs w:val="30"/>
        </w:rPr>
        <w:t>复合光催化材料等新技术，打造“中国</w:t>
      </w:r>
      <w:r>
        <w:rPr>
          <w:rFonts w:hint="eastAsia" w:ascii="宋体" w:hAnsi="宋体" w:eastAsia="宋体" w:cs="宋体"/>
          <w:sz w:val="30"/>
          <w:szCs w:val="30"/>
        </w:rPr>
        <w:t>•</w:t>
      </w:r>
      <w:r>
        <w:rPr>
          <w:rFonts w:hint="eastAsia" w:ascii="仿宋" w:hAnsi="仿宋" w:eastAsia="仿宋" w:cs="仿宋"/>
          <w:sz w:val="30"/>
          <w:szCs w:val="30"/>
        </w:rPr>
        <w:t>临江硅藻土系列品牌”，提高硅藻土产业竞争优势。</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建筑用石料：鼓励建筑用石料矿山企业改变简单、粗放的传统生产模式，使产品向多粒级骨料、机制砂、混凝土制品、建材构件系列等产品方向发展，形成相对完整的产业链。</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46" w:name="_Toc129074202"/>
      <w:bookmarkStart w:id="47" w:name="_Toc68596444"/>
      <w:r>
        <w:rPr>
          <w:rFonts w:hint="eastAsia" w:ascii="华文中宋" w:hAnsi="华文中宋" w:eastAsia="华文中宋" w:cs="Times New Roman"/>
          <w:b w:val="0"/>
          <w:bCs/>
          <w:kern w:val="0"/>
          <w:sz w:val="32"/>
          <w:szCs w:val="32"/>
          <w:lang w:val="en-US" w:eastAsia="zh-CN" w:bidi="ar-SA"/>
        </w:rPr>
        <w:t>第四节 严格规划准入管理</w:t>
      </w:r>
      <w:bookmarkEnd w:id="46"/>
      <w:bookmarkEnd w:id="47"/>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bookmarkStart w:id="48" w:name="_Hlk101982843"/>
      <w:r>
        <w:rPr>
          <w:rFonts w:ascii="Times New Roman" w:hAnsi="Times New Roman" w:eastAsia="黑体" w:cs="Times New Roman"/>
          <w:b w:val="0"/>
          <w:bCs w:val="0"/>
          <w:w w:val="98"/>
          <w:kern w:val="2"/>
          <w:sz w:val="30"/>
          <w:szCs w:val="30"/>
          <w:lang w:val="en-US" w:eastAsia="zh-CN" w:bidi="ar-SA"/>
        </w:rPr>
        <w:t>一、绿色勘查准入</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地质勘查项目工作前，应编制地质勘查工作实施方案，并按照绿色地质勘查工作规范要求，对地质勘查工作可能造成的生态环境影响进行评估分析，在工作实施方案中编制绿色勘查章节，明确项目绿色勘查工作的具体内容、技术要求和保障措施等。切实从源头抓起，实现对生态环境不利影响最小化。</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ascii="Times New Roman" w:hAnsi="Times New Roman" w:eastAsia="黑体" w:cs="Times New Roman"/>
          <w:b w:val="0"/>
          <w:bCs w:val="0"/>
          <w:w w:val="98"/>
          <w:kern w:val="2"/>
          <w:sz w:val="30"/>
          <w:szCs w:val="30"/>
          <w:lang w:val="en-US" w:eastAsia="zh-CN" w:bidi="ar-SA"/>
        </w:rPr>
        <w:t>二、矿山最低开采规模准入</w:t>
      </w:r>
    </w:p>
    <w:p>
      <w:pPr>
        <w:spacing w:line="600" w:lineRule="exact"/>
        <w:ind w:firstLine="600" w:firstLineChars="200"/>
        <w:rPr>
          <w:rFonts w:ascii="仿宋" w:hAnsi="仿宋" w:eastAsia="仿宋" w:cs="Times New Roman"/>
          <w:sz w:val="30"/>
          <w:szCs w:val="30"/>
        </w:rPr>
      </w:pPr>
      <w:r>
        <w:rPr>
          <w:rFonts w:hint="eastAsia" w:ascii="Times New Roman" w:hAnsi="仿宋" w:eastAsia="仿宋" w:cs="Times New Roman"/>
          <w:sz w:val="30"/>
          <w:szCs w:val="30"/>
        </w:rPr>
        <w:t>严格执行矿山最低开采规模条件，新建矿山生产规模必须严格按照规划确定的矿山最低开采规模要求，要将矿山开采规模与矿区储量规模相适应的原则落到实处，防止大矿小开、一矿多开，禁止超规模开采、越界开采，杜绝安全隐患，</w:t>
      </w:r>
      <w:r>
        <w:rPr>
          <w:rFonts w:ascii="Times New Roman" w:hAnsi="仿宋" w:eastAsia="仿宋" w:cs="Times New Roman"/>
          <w:sz w:val="30"/>
          <w:szCs w:val="30"/>
        </w:rPr>
        <w:t>促进资源规模化集约化利用。</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ascii="Times New Roman" w:hAnsi="Times New Roman" w:eastAsia="黑体" w:cs="Times New Roman"/>
          <w:b w:val="0"/>
          <w:bCs w:val="0"/>
          <w:w w:val="98"/>
          <w:kern w:val="2"/>
          <w:sz w:val="30"/>
          <w:szCs w:val="30"/>
          <w:lang w:val="en-US" w:eastAsia="zh-CN" w:bidi="ar-SA"/>
        </w:rPr>
        <w:t>三、开发利用水平准入</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加强矿产资源开发利用水平准入管理，新建矿山应编制矿产资源开发利用方案，并严格执行重要矿产资源合理开发利用“三率”最低指标要求，不得采用国家限制和淘汰的采选技术、工艺和设备，严格准入门槛，加强监督管理。地热、矿泉水开发利用应与环境保护、资源保护、城乡建设相协调，最大限度减少对自然环境的扰动，选择资源节约型、环境友好型开发利用方式。矿泉水开发利用严禁扩泉成井或凿井开采、矿泉水与地热严禁超采。</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ascii="Times New Roman" w:hAnsi="Times New Roman" w:eastAsia="黑体" w:cs="Times New Roman"/>
          <w:b w:val="0"/>
          <w:bCs w:val="0"/>
          <w:w w:val="98"/>
          <w:kern w:val="2"/>
          <w:sz w:val="30"/>
          <w:szCs w:val="30"/>
          <w:lang w:val="en-US" w:eastAsia="zh-CN" w:bidi="ar-SA"/>
        </w:rPr>
        <w:t>四、绿色矿山建设准入</w:t>
      </w:r>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新立采矿权出让，要在出让合同中明确绿色矿山建设的义务。 新建矿山必须按照有关规定进行矿产资源开发利用方案编制，因地制宜采取充填开采、保水开采、减沉开采等技术方法和节能减排绿色采选冶技术，做好绿色矿山建设的布局分区、绿色开采、综合利用和设备选型等前期工作，建立采前有规划、采中能控制、采后可恢复的绿色采矿体系。</w:t>
      </w:r>
    </w:p>
    <w:p>
      <w:pPr>
        <w:keepNext/>
        <w:keepLines/>
        <w:widowControl w:val="0"/>
        <w:spacing w:line="600" w:lineRule="exact"/>
        <w:ind w:firstLine="588" w:firstLineChars="200"/>
        <w:jc w:val="both"/>
        <w:outlineLvl w:val="2"/>
        <w:rPr>
          <w:rFonts w:ascii="Times New Roman" w:hAnsi="Times New Roman" w:eastAsia="黑体" w:cs="Times New Roman"/>
          <w:b w:val="0"/>
          <w:bCs w:val="0"/>
          <w:w w:val="98"/>
          <w:kern w:val="2"/>
          <w:sz w:val="30"/>
          <w:szCs w:val="30"/>
          <w:lang w:val="en-US" w:eastAsia="zh-CN" w:bidi="ar-SA"/>
        </w:rPr>
      </w:pPr>
      <w:r>
        <w:rPr>
          <w:rFonts w:ascii="Times New Roman" w:hAnsi="Times New Roman" w:eastAsia="黑体" w:cs="Times New Roman"/>
          <w:b w:val="0"/>
          <w:bCs w:val="0"/>
          <w:w w:val="98"/>
          <w:kern w:val="2"/>
          <w:sz w:val="30"/>
          <w:szCs w:val="30"/>
          <w:lang w:val="en-US" w:eastAsia="zh-CN" w:bidi="ar-SA"/>
        </w:rPr>
        <w:t>五、矿区生态保护修复准入</w:t>
      </w:r>
    </w:p>
    <w:bookmarkEnd w:id="48"/>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新建矿山应编制矿产资源开发利用方案和矿山地质环境保护与土地复垦方案，将矿区生态保护修复贯穿于矿山布局、设计、生产、闭坑全过程，形成“采前有规划、过程能控制、采后可修复”的准入制度，保障矿区生态环境得到有效保护和治理修复。</w:t>
      </w:r>
    </w:p>
    <w:p>
      <w:pPr>
        <w:spacing w:line="600" w:lineRule="exact"/>
        <w:ind w:firstLine="560" w:firstLineChars="200"/>
        <w:rPr>
          <w:rFonts w:ascii="Times New Roman" w:hAnsi="Times New Roman" w:eastAsia="宋体" w:cs="Times New Roman"/>
          <w:b/>
          <w:bCs/>
          <w:kern w:val="44"/>
          <w:sz w:val="36"/>
          <w:szCs w:val="44"/>
        </w:rPr>
      </w:pPr>
      <w:r>
        <w:rPr>
          <w:rFonts w:ascii="Times New Roman" w:hAnsi="Times New Roman" w:eastAsia="宋体" w:cs="Times New Roman"/>
          <w:sz w:val="28"/>
        </w:rPr>
        <w:br w:type="page"/>
      </w:r>
    </w:p>
    <w:p>
      <w:pPr>
        <w:pageBreakBefore/>
        <w:spacing w:beforeLines="50" w:afterLines="50" w:line="600" w:lineRule="exact"/>
        <w:ind w:firstLine="0" w:firstLineChars="0"/>
        <w:jc w:val="center"/>
        <w:outlineLvl w:val="0"/>
        <w:rPr>
          <w:rFonts w:ascii="黑体" w:hAnsi="黑体" w:eastAsia="黑体" w:cs="Times New Roman"/>
          <w:b/>
          <w:bCs/>
          <w:color w:val="000000"/>
          <w:sz w:val="36"/>
          <w:szCs w:val="36"/>
        </w:rPr>
      </w:pPr>
      <w:bookmarkStart w:id="49" w:name="_Toc68596446"/>
      <w:bookmarkStart w:id="50" w:name="_Toc129074203"/>
      <w:r>
        <w:rPr>
          <w:rFonts w:hint="eastAsia" w:ascii="黑体" w:hAnsi="黑体" w:eastAsia="黑体" w:cs="Times New Roman"/>
          <w:b/>
          <w:bCs/>
          <w:color w:val="000000"/>
          <w:sz w:val="36"/>
          <w:szCs w:val="36"/>
        </w:rPr>
        <w:t>第五章 绿色矿山建设和矿区生态保护</w:t>
      </w:r>
      <w:bookmarkEnd w:id="49"/>
      <w:bookmarkEnd w:id="50"/>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51" w:name="_Toc68596447"/>
      <w:bookmarkStart w:id="52" w:name="_Toc117025455"/>
      <w:bookmarkStart w:id="53" w:name="_Toc129074204"/>
      <w:r>
        <w:rPr>
          <w:rFonts w:hint="eastAsia" w:ascii="华文中宋" w:hAnsi="华文中宋" w:eastAsia="华文中宋" w:cs="Times New Roman"/>
          <w:b w:val="0"/>
          <w:bCs/>
          <w:kern w:val="0"/>
          <w:sz w:val="32"/>
          <w:szCs w:val="32"/>
          <w:lang w:val="en-US" w:eastAsia="zh-CN" w:bidi="ar-SA"/>
        </w:rPr>
        <w:t>第一节 稳步推进绿色矿山建设</w:t>
      </w:r>
      <w:bookmarkEnd w:id="51"/>
      <w:bookmarkEnd w:id="52"/>
      <w:bookmarkEnd w:id="53"/>
    </w:p>
    <w:p>
      <w:pPr>
        <w:snapToGrid w:val="0"/>
        <w:spacing w:line="600" w:lineRule="exact"/>
        <w:ind w:firstLine="602" w:firstLineChars="200"/>
        <w:rPr>
          <w:rFonts w:ascii="Times New Roman" w:hAnsi="Times New Roman" w:eastAsia="仿宋_GB2312" w:cs="Times New Roman"/>
          <w:b/>
          <w:sz w:val="30"/>
          <w:szCs w:val="30"/>
        </w:rPr>
      </w:pPr>
      <w:r>
        <w:rPr>
          <w:rFonts w:hint="eastAsia" w:ascii="Times New Roman" w:hAnsi="Times New Roman" w:eastAsia="楷体_GB2312" w:cs="Times New Roman"/>
          <w:b/>
          <w:sz w:val="30"/>
          <w:szCs w:val="30"/>
        </w:rPr>
        <w:t>明确绿色矿山建设总体思路。</w:t>
      </w:r>
      <w:r>
        <w:rPr>
          <w:rFonts w:hint="eastAsia" w:ascii="仿宋" w:hAnsi="仿宋" w:eastAsia="仿宋" w:cs="Times New Roman"/>
          <w:sz w:val="30"/>
          <w:szCs w:val="30"/>
        </w:rPr>
        <w:t>贯彻新发展理念，立足新发展阶段，从理念</w:t>
      </w:r>
      <w:r>
        <w:rPr>
          <w:rFonts w:ascii="仿宋" w:hAnsi="仿宋" w:eastAsia="仿宋" w:cs="Times New Roman"/>
          <w:sz w:val="30"/>
          <w:szCs w:val="30"/>
        </w:rPr>
        <w:t>、制度、</w:t>
      </w:r>
      <w:r>
        <w:rPr>
          <w:rFonts w:hint="eastAsia" w:ascii="仿宋" w:hAnsi="仿宋" w:eastAsia="仿宋" w:cs="Times New Roman"/>
          <w:sz w:val="30"/>
          <w:szCs w:val="30"/>
        </w:rPr>
        <w:t>技术</w:t>
      </w:r>
      <w:r>
        <w:rPr>
          <w:rFonts w:ascii="仿宋" w:hAnsi="仿宋" w:eastAsia="仿宋" w:cs="Times New Roman"/>
          <w:sz w:val="30"/>
          <w:szCs w:val="30"/>
        </w:rPr>
        <w:t>、监管</w:t>
      </w:r>
      <w:r>
        <w:rPr>
          <w:rFonts w:hint="eastAsia" w:ascii="仿宋" w:hAnsi="仿宋" w:eastAsia="仿宋" w:cs="Times New Roman"/>
          <w:sz w:val="30"/>
          <w:szCs w:val="30"/>
        </w:rPr>
        <w:t>四个</w:t>
      </w:r>
      <w:r>
        <w:rPr>
          <w:rFonts w:ascii="仿宋" w:hAnsi="仿宋" w:eastAsia="仿宋" w:cs="Times New Roman"/>
          <w:sz w:val="30"/>
          <w:szCs w:val="30"/>
        </w:rPr>
        <w:t>方面</w:t>
      </w:r>
      <w:r>
        <w:rPr>
          <w:rFonts w:hint="eastAsia" w:ascii="仿宋" w:hAnsi="仿宋" w:eastAsia="仿宋" w:cs="Times New Roman"/>
          <w:sz w:val="30"/>
          <w:szCs w:val="30"/>
        </w:rPr>
        <w:t>推动资源</w:t>
      </w:r>
      <w:r>
        <w:rPr>
          <w:rFonts w:ascii="仿宋" w:hAnsi="仿宋" w:eastAsia="仿宋" w:cs="Times New Roman"/>
          <w:sz w:val="30"/>
          <w:szCs w:val="30"/>
        </w:rPr>
        <w:t>绿色开采，按</w:t>
      </w:r>
      <w:r>
        <w:rPr>
          <w:rFonts w:hint="eastAsia" w:ascii="仿宋" w:hAnsi="仿宋" w:eastAsia="仿宋" w:cs="Times New Roman"/>
          <w:sz w:val="30"/>
          <w:szCs w:val="30"/>
        </w:rPr>
        <w:t>照“政府引导、企业主建、分类实施、全面推进”的原则，以资源利用、环境保护与节能减排作为绿色矿山建设的工作核心，创</w:t>
      </w:r>
      <w:r>
        <w:rPr>
          <w:rFonts w:ascii="仿宋" w:hAnsi="仿宋" w:eastAsia="仿宋" w:cs="Times New Roman"/>
          <w:sz w:val="30"/>
          <w:szCs w:val="30"/>
        </w:rPr>
        <w:t>新资源节约集约和循环利用，加快绿色环保技术工艺装备升级换代，加大矿山</w:t>
      </w:r>
      <w:r>
        <w:rPr>
          <w:rFonts w:hint="eastAsia" w:ascii="仿宋" w:hAnsi="仿宋" w:eastAsia="仿宋" w:cs="Times New Roman"/>
          <w:sz w:val="30"/>
          <w:szCs w:val="30"/>
        </w:rPr>
        <w:t>地质环境治理恢复与</w:t>
      </w:r>
      <w:r>
        <w:rPr>
          <w:rFonts w:ascii="仿宋" w:hAnsi="仿宋" w:eastAsia="仿宋" w:cs="Times New Roman"/>
          <w:sz w:val="30"/>
          <w:szCs w:val="30"/>
        </w:rPr>
        <w:t>土地复垦，推进矿区土地</w:t>
      </w:r>
      <w:r>
        <w:rPr>
          <w:rFonts w:hint="eastAsia" w:ascii="仿宋" w:hAnsi="仿宋" w:eastAsia="仿宋" w:cs="Times New Roman"/>
          <w:sz w:val="30"/>
          <w:szCs w:val="30"/>
        </w:rPr>
        <w:t>节约</w:t>
      </w:r>
      <w:r>
        <w:rPr>
          <w:rFonts w:ascii="仿宋" w:hAnsi="仿宋" w:eastAsia="仿宋" w:cs="Times New Roman"/>
          <w:sz w:val="30"/>
          <w:szCs w:val="30"/>
        </w:rPr>
        <w:t>集约利用和耕地保护，推动我市矿业持续健康发展</w:t>
      </w:r>
      <w:r>
        <w:rPr>
          <w:rFonts w:hint="eastAsia" w:ascii="仿宋" w:hAnsi="仿宋" w:eastAsia="仿宋" w:cs="Times New Roman"/>
          <w:sz w:val="30"/>
          <w:szCs w:val="30"/>
        </w:rPr>
        <w:t>。</w:t>
      </w:r>
    </w:p>
    <w:p>
      <w:pPr>
        <w:snapToGrid w:val="0"/>
        <w:spacing w:line="600" w:lineRule="exact"/>
        <w:ind w:firstLine="602" w:firstLineChars="200"/>
        <w:rPr>
          <w:rFonts w:ascii="仿宋" w:hAnsi="仿宋" w:eastAsia="仿宋" w:cs="Times New Roman"/>
          <w:sz w:val="30"/>
          <w:szCs w:val="30"/>
        </w:rPr>
      </w:pPr>
      <w:r>
        <w:rPr>
          <w:rFonts w:hint="eastAsia" w:ascii="楷体" w:hAnsi="楷体" w:eastAsia="楷体" w:cs="Times New Roman"/>
          <w:b/>
          <w:bCs/>
          <w:sz w:val="30"/>
          <w:szCs w:val="30"/>
        </w:rPr>
        <w:t>推进绿色矿山建设相关工作。</w:t>
      </w:r>
      <w:r>
        <w:rPr>
          <w:rFonts w:hint="eastAsia" w:ascii="仿宋" w:hAnsi="仿宋" w:eastAsia="仿宋" w:cs="Times New Roman"/>
          <w:sz w:val="30"/>
          <w:szCs w:val="30"/>
        </w:rPr>
        <w:t>将绿色</w:t>
      </w:r>
      <w:r>
        <w:rPr>
          <w:rFonts w:ascii="仿宋" w:hAnsi="仿宋" w:eastAsia="仿宋" w:cs="Times New Roman"/>
          <w:sz w:val="30"/>
          <w:szCs w:val="30"/>
        </w:rPr>
        <w:t>发展理念</w:t>
      </w:r>
      <w:r>
        <w:rPr>
          <w:rFonts w:hint="eastAsia" w:ascii="仿宋" w:hAnsi="仿宋" w:eastAsia="仿宋" w:cs="Times New Roman"/>
          <w:sz w:val="30"/>
          <w:szCs w:val="30"/>
        </w:rPr>
        <w:t>贯穿于矿产资源开发</w:t>
      </w:r>
      <w:r>
        <w:rPr>
          <w:rFonts w:ascii="仿宋" w:hAnsi="仿宋" w:eastAsia="仿宋" w:cs="Times New Roman"/>
          <w:sz w:val="30"/>
          <w:szCs w:val="30"/>
        </w:rPr>
        <w:t>利用与保护</w:t>
      </w:r>
      <w:r>
        <w:rPr>
          <w:rFonts w:hint="eastAsia" w:ascii="仿宋" w:hAnsi="仿宋" w:eastAsia="仿宋" w:cs="Times New Roman"/>
          <w:sz w:val="30"/>
          <w:szCs w:val="30"/>
        </w:rPr>
        <w:t>全</w:t>
      </w:r>
      <w:r>
        <w:rPr>
          <w:rFonts w:ascii="仿宋" w:hAnsi="仿宋" w:eastAsia="仿宋" w:cs="Times New Roman"/>
          <w:sz w:val="30"/>
          <w:szCs w:val="30"/>
        </w:rPr>
        <w:t>过程。</w:t>
      </w:r>
      <w:r>
        <w:rPr>
          <w:rFonts w:hint="eastAsia" w:ascii="仿宋" w:hAnsi="仿宋" w:eastAsia="仿宋" w:cs="Times New Roman"/>
          <w:sz w:val="30"/>
          <w:szCs w:val="30"/>
        </w:rPr>
        <w:t>严格新建矿山准入，将绿色矿山建设要求纳入采矿权出让公告，在矿山正式投产运行一段时间内及时完成验收。生产矿山要将创建绿色矿山作为努力的方向，鼓励编制绿色矿山建设实施方案，对照绿色矿山行业标准和评价指标，列出需要改进清单，明确改进期限，逐项逐步达到绿色矿山建设标准；对于剩余可采储量年限不足三年的生产矿山，要着重做好闭坑前的矿山环境恢复治理工作，确保生态修复到位。</w:t>
      </w:r>
    </w:p>
    <w:p>
      <w:pPr>
        <w:widowControl w:val="0"/>
        <w:spacing w:line="600" w:lineRule="exact"/>
        <w:ind w:firstLine="602" w:firstLineChars="200"/>
        <w:jc w:val="both"/>
        <w:rPr>
          <w:rFonts w:ascii="仿宋" w:hAnsi="仿宋" w:eastAsia="仿宋" w:cs="Times New Roman"/>
          <w:kern w:val="2"/>
          <w:sz w:val="30"/>
          <w:szCs w:val="30"/>
          <w:lang w:val="en-US" w:eastAsia="zh-CN" w:bidi="ar-SA"/>
        </w:rPr>
      </w:pPr>
      <w:r>
        <w:rPr>
          <w:rFonts w:ascii="楷体" w:hAnsi="楷体" w:eastAsia="楷体" w:cs="Times New Roman"/>
          <w:b/>
          <w:bCs/>
          <w:kern w:val="0"/>
          <w:sz w:val="30"/>
          <w:szCs w:val="30"/>
          <w:lang w:val="en-US" w:eastAsia="zh-CN" w:bidi="ar-SA"/>
        </w:rPr>
        <w:t>完善绿色矿山建设管理体系。</w:t>
      </w:r>
      <w:r>
        <w:rPr>
          <w:rFonts w:hint="eastAsia" w:ascii="仿宋" w:hAnsi="仿宋" w:eastAsia="仿宋" w:cs="Times New Roman"/>
          <w:kern w:val="0"/>
          <w:sz w:val="30"/>
          <w:szCs w:val="30"/>
          <w:lang w:val="en-US" w:eastAsia="zh-CN" w:bidi="ar-SA"/>
        </w:rPr>
        <w:t>贯彻绿色矿山</w:t>
      </w:r>
      <w:r>
        <w:rPr>
          <w:rFonts w:ascii="仿宋" w:hAnsi="仿宋" w:eastAsia="仿宋" w:cs="Times New Roman"/>
          <w:kern w:val="0"/>
          <w:sz w:val="30"/>
          <w:szCs w:val="30"/>
          <w:lang w:val="en-US" w:eastAsia="zh-CN" w:bidi="ar-SA"/>
        </w:rPr>
        <w:t>激励政策，对获得绿色矿山的企业，在用地、用矿、财税等方面给予政策支持。加强事中事后监管，</w:t>
      </w:r>
      <w:r>
        <w:rPr>
          <w:rFonts w:hint="eastAsia" w:ascii="仿宋" w:hAnsi="仿宋" w:eastAsia="仿宋" w:cs="Times New Roman"/>
          <w:kern w:val="0"/>
          <w:sz w:val="30"/>
          <w:szCs w:val="30"/>
          <w:lang w:val="en-US" w:eastAsia="zh-CN" w:bidi="ar-SA"/>
        </w:rPr>
        <w:t>按照“双随机、一公开”的原则，加大对已建成绿色矿山的监督抽查，对检查中</w:t>
      </w:r>
      <w:r>
        <w:rPr>
          <w:rFonts w:ascii="仿宋" w:hAnsi="仿宋" w:eastAsia="仿宋" w:cs="Times New Roman"/>
          <w:kern w:val="0"/>
          <w:sz w:val="30"/>
          <w:szCs w:val="30"/>
          <w:lang w:val="en-US" w:eastAsia="zh-CN" w:bidi="ar-SA"/>
        </w:rPr>
        <w:t>发现</w:t>
      </w:r>
      <w:r>
        <w:rPr>
          <w:rFonts w:hint="eastAsia" w:ascii="仿宋" w:hAnsi="仿宋" w:eastAsia="仿宋" w:cs="Times New Roman"/>
          <w:kern w:val="0"/>
          <w:sz w:val="30"/>
          <w:szCs w:val="30"/>
          <w:lang w:val="en-US" w:eastAsia="zh-CN" w:bidi="ar-SA"/>
        </w:rPr>
        <w:t>的</w:t>
      </w:r>
      <w:r>
        <w:rPr>
          <w:rFonts w:ascii="仿宋" w:hAnsi="仿宋" w:eastAsia="仿宋" w:cs="Times New Roman"/>
          <w:kern w:val="0"/>
          <w:sz w:val="30"/>
          <w:szCs w:val="30"/>
          <w:lang w:val="en-US" w:eastAsia="zh-CN" w:bidi="ar-SA"/>
        </w:rPr>
        <w:t>问题及时督促企业</w:t>
      </w:r>
      <w:r>
        <w:rPr>
          <w:rFonts w:hint="eastAsia" w:ascii="仿宋" w:hAnsi="仿宋" w:eastAsia="仿宋" w:cs="Times New Roman"/>
          <w:kern w:val="0"/>
          <w:sz w:val="30"/>
          <w:szCs w:val="30"/>
          <w:lang w:val="en-US" w:eastAsia="zh-CN" w:bidi="ar-SA"/>
        </w:rPr>
        <w:t>限期</w:t>
      </w:r>
      <w:r>
        <w:rPr>
          <w:rFonts w:ascii="仿宋" w:hAnsi="仿宋" w:eastAsia="仿宋" w:cs="Times New Roman"/>
          <w:kern w:val="0"/>
          <w:sz w:val="30"/>
          <w:szCs w:val="30"/>
          <w:lang w:val="en-US" w:eastAsia="zh-CN" w:bidi="ar-SA"/>
        </w:rPr>
        <w:t>整改，</w:t>
      </w:r>
      <w:r>
        <w:rPr>
          <w:rFonts w:hint="eastAsia" w:ascii="仿宋" w:hAnsi="仿宋" w:eastAsia="仿宋" w:cs="Times New Roman"/>
          <w:kern w:val="0"/>
          <w:sz w:val="30"/>
          <w:szCs w:val="30"/>
          <w:lang w:val="en-US" w:eastAsia="zh-CN" w:bidi="ar-SA"/>
        </w:rPr>
        <w:t>对整改后仍不合格的</w:t>
      </w:r>
      <w:r>
        <w:rPr>
          <w:rFonts w:ascii="仿宋" w:hAnsi="仿宋" w:eastAsia="仿宋" w:cs="Times New Roman"/>
          <w:kern w:val="0"/>
          <w:sz w:val="30"/>
          <w:szCs w:val="30"/>
          <w:lang w:val="en-US" w:eastAsia="zh-CN" w:bidi="ar-SA"/>
        </w:rPr>
        <w:t>，逐级上报</w:t>
      </w:r>
      <w:r>
        <w:rPr>
          <w:rFonts w:hint="eastAsia" w:ascii="仿宋" w:hAnsi="仿宋" w:eastAsia="仿宋" w:cs="Times New Roman"/>
          <w:kern w:val="0"/>
          <w:sz w:val="30"/>
          <w:szCs w:val="30"/>
          <w:lang w:val="en-US" w:eastAsia="zh-CN" w:bidi="ar-SA"/>
        </w:rPr>
        <w:t>从绿色矿山</w:t>
      </w:r>
      <w:r>
        <w:rPr>
          <w:rFonts w:ascii="仿宋" w:hAnsi="仿宋" w:eastAsia="仿宋" w:cs="Times New Roman"/>
          <w:kern w:val="0"/>
          <w:sz w:val="30"/>
          <w:szCs w:val="30"/>
          <w:lang w:val="en-US" w:eastAsia="zh-CN" w:bidi="ar-SA"/>
        </w:rPr>
        <w:t>名录</w:t>
      </w:r>
      <w:r>
        <w:rPr>
          <w:rFonts w:hint="eastAsia" w:ascii="仿宋" w:hAnsi="仿宋" w:eastAsia="仿宋" w:cs="Times New Roman"/>
          <w:kern w:val="0"/>
          <w:sz w:val="30"/>
          <w:szCs w:val="30"/>
          <w:lang w:val="en-US" w:eastAsia="zh-CN" w:bidi="ar-SA"/>
        </w:rPr>
        <w:t>库</w:t>
      </w:r>
      <w:r>
        <w:rPr>
          <w:rFonts w:ascii="仿宋" w:hAnsi="仿宋" w:eastAsia="仿宋" w:cs="Times New Roman"/>
          <w:kern w:val="0"/>
          <w:sz w:val="30"/>
          <w:szCs w:val="30"/>
          <w:lang w:val="en-US" w:eastAsia="zh-CN" w:bidi="ar-SA"/>
        </w:rPr>
        <w:t>中除名，不再享受相关优惠政策。</w:t>
      </w:r>
      <w:r>
        <w:rPr>
          <w:rFonts w:hint="eastAsia" w:ascii="仿宋" w:hAnsi="仿宋" w:eastAsia="仿宋" w:cs="Times New Roman"/>
          <w:kern w:val="0"/>
          <w:sz w:val="30"/>
          <w:szCs w:val="30"/>
          <w:lang w:val="en-US" w:eastAsia="zh-CN" w:bidi="ar-SA"/>
        </w:rPr>
        <w:t>充分运用政府网站等宣传平台加强绿色矿山建设宣传，加强绿色矿山政策解读，宣传典型经验做法、先进技术工艺，增强矿山绿色矿山企业的获得感和荣誉感。</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54" w:name="_Toc117025456"/>
      <w:bookmarkStart w:id="55" w:name="_Toc68596448"/>
      <w:bookmarkStart w:id="56" w:name="_Toc129074205"/>
      <w:r>
        <w:rPr>
          <w:rFonts w:hint="eastAsia" w:ascii="华文中宋" w:hAnsi="华文中宋" w:eastAsia="华文中宋" w:cs="Times New Roman"/>
          <w:b w:val="0"/>
          <w:bCs/>
          <w:kern w:val="0"/>
          <w:sz w:val="32"/>
          <w:szCs w:val="32"/>
          <w:lang w:val="en-US" w:eastAsia="zh-CN" w:bidi="ar-SA"/>
        </w:rPr>
        <w:t>第二节 加强矿区生态保护修复</w:t>
      </w:r>
      <w:bookmarkEnd w:id="54"/>
      <w:bookmarkEnd w:id="55"/>
      <w:bookmarkEnd w:id="56"/>
    </w:p>
    <w:p>
      <w:pPr>
        <w:snapToGrid w:val="0"/>
        <w:spacing w:line="600" w:lineRule="exact"/>
        <w:ind w:firstLine="602" w:firstLineChars="200"/>
        <w:rPr>
          <w:rFonts w:ascii="仿宋" w:hAnsi="仿宋" w:eastAsia="仿宋" w:cs="Times New Roman"/>
          <w:sz w:val="30"/>
          <w:szCs w:val="30"/>
        </w:rPr>
      </w:pPr>
      <w:r>
        <w:rPr>
          <w:rFonts w:ascii="Times New Roman" w:hAnsi="Times New Roman" w:eastAsia="楷体_GB2312" w:cs="Times New Roman"/>
          <w:b/>
          <w:sz w:val="30"/>
          <w:szCs w:val="30"/>
        </w:rPr>
        <w:t>严格新建矿山准入管理</w:t>
      </w:r>
      <w:r>
        <w:rPr>
          <w:rFonts w:ascii="Times New Roman" w:hAnsi="Times New Roman" w:eastAsia="楷体_GB2312" w:cs="Times New Roman"/>
          <w:b/>
          <w:bCs/>
          <w:sz w:val="30"/>
          <w:szCs w:val="30"/>
        </w:rPr>
        <w:t>。</w:t>
      </w:r>
      <w:r>
        <w:rPr>
          <w:rFonts w:hint="eastAsia" w:ascii="仿宋" w:hAnsi="仿宋" w:eastAsia="仿宋" w:cs="Times New Roman"/>
          <w:sz w:val="30"/>
          <w:szCs w:val="30"/>
        </w:rPr>
        <w:t>加强源头管理，采矿权申请人申请办理采矿许可证时，必须编制矿山地质环境保护与土地复垦方案，并通过相关部门的公示，制定年度实施计划。矿山企业要按照相关规定建立矿山地质环境治理恢复基金管理账户，足额提取治理恢复基金，计入企业成本，用于开展矿山地质环境保护和治理恢复，实现边开采、边保护、边治理，履行矿山生态保护修复义务。</w:t>
      </w:r>
    </w:p>
    <w:p>
      <w:pPr>
        <w:snapToGrid w:val="0"/>
        <w:spacing w:line="600" w:lineRule="exact"/>
        <w:ind w:firstLine="602" w:firstLineChars="200"/>
        <w:rPr>
          <w:rFonts w:ascii="仿宋" w:hAnsi="仿宋" w:eastAsia="仿宋" w:cs="Times New Roman"/>
          <w:sz w:val="30"/>
          <w:szCs w:val="30"/>
        </w:rPr>
      </w:pPr>
      <w:r>
        <w:rPr>
          <w:rFonts w:ascii="Times New Roman" w:hAnsi="Times New Roman" w:eastAsia="楷体_GB2312" w:cs="Times New Roman"/>
          <w:b/>
          <w:sz w:val="30"/>
          <w:szCs w:val="30"/>
        </w:rPr>
        <w:t>强化生产矿山过程监管。</w:t>
      </w:r>
      <w:r>
        <w:rPr>
          <w:rFonts w:hint="eastAsia" w:ascii="仿宋" w:hAnsi="仿宋" w:eastAsia="仿宋" w:cs="Times New Roman"/>
          <w:sz w:val="30"/>
          <w:szCs w:val="30"/>
        </w:rPr>
        <w:t>坚持“谁开发、谁保护，谁破坏、谁治理”的原则，落实生产矿山保护修复主体责任，生产矿山应按照矿山地质环境保护与土地复垦方案安排的任务和时序进行矿区生态修复，要及时掌握矿山地质环境损毁情况，采取有针对性的措施进行预防和治理，</w:t>
      </w:r>
      <w:r>
        <w:rPr>
          <w:rFonts w:ascii="仿宋" w:hAnsi="仿宋" w:eastAsia="仿宋" w:cs="Times New Roman"/>
          <w:sz w:val="30"/>
          <w:szCs w:val="30"/>
        </w:rPr>
        <w:t>做到不欠新账，还清旧账</w:t>
      </w:r>
      <w:r>
        <w:rPr>
          <w:rFonts w:hint="eastAsia" w:ascii="仿宋" w:hAnsi="仿宋" w:eastAsia="仿宋" w:cs="Times New Roman"/>
          <w:sz w:val="30"/>
          <w:szCs w:val="30"/>
        </w:rPr>
        <w:t>。开采规模、矿区范围、开采矿种、开采方式或服务年限发生变化的，采矿权人必须重新编制矿山地质环境保护与土地复垦方案。加强“三废”治理与环境监测。</w:t>
      </w:r>
    </w:p>
    <w:p>
      <w:pPr>
        <w:snapToGrid w:val="0"/>
        <w:spacing w:line="600" w:lineRule="exact"/>
        <w:ind w:firstLine="602" w:firstLineChars="200"/>
        <w:rPr>
          <w:rFonts w:ascii="仿宋" w:hAnsi="仿宋" w:eastAsia="仿宋" w:cs="Times New Roman"/>
          <w:sz w:val="30"/>
          <w:szCs w:val="30"/>
        </w:rPr>
      </w:pPr>
      <w:r>
        <w:rPr>
          <w:rFonts w:hint="eastAsia" w:ascii="Times New Roman" w:hAnsi="Times New Roman" w:eastAsia="楷体_GB2312" w:cs="Times New Roman"/>
          <w:b/>
          <w:sz w:val="30"/>
          <w:szCs w:val="30"/>
        </w:rPr>
        <w:t>合理开展生态保护修复工作。</w:t>
      </w:r>
      <w:r>
        <w:rPr>
          <w:rFonts w:hint="eastAsia" w:ascii="仿宋" w:hAnsi="仿宋" w:eastAsia="仿宋" w:cs="Times New Roman"/>
          <w:sz w:val="30"/>
          <w:szCs w:val="30"/>
        </w:rPr>
        <w:t>矿山企业开展修复工作前，要详细查明矿山生态环境要素特征及其叠加作用，</w:t>
      </w:r>
      <w:r>
        <w:rPr>
          <w:rFonts w:hint="eastAsia" w:ascii="仿宋" w:hAnsi="仿宋" w:eastAsia="仿宋" w:cs="Times New Roman"/>
          <w:kern w:val="0"/>
          <w:sz w:val="30"/>
          <w:szCs w:val="30"/>
        </w:rPr>
        <w:t>准确判定要素破坏方式与程度，选择适宜生态修复模式，制定修复方案，开展修复工程。统筹推进</w:t>
      </w:r>
      <w:r>
        <w:rPr>
          <w:rFonts w:hint="eastAsia" w:ascii="仿宋" w:hAnsi="仿宋" w:eastAsia="仿宋" w:cs="Times New Roman"/>
          <w:sz w:val="30"/>
          <w:szCs w:val="30"/>
        </w:rPr>
        <w:t>山水林田湖草系统保护与修复，加强生态系统原真性、完整性保护，强化生态环境综合治理，持续改善环境治理，贯穿矿山生态环境源头保护、开发过程生态环境监管和末端修复，实现资源开发与环境保护协调发展。</w:t>
      </w:r>
    </w:p>
    <w:p>
      <w:pPr>
        <w:snapToGrid w:val="0"/>
        <w:spacing w:line="600" w:lineRule="exact"/>
        <w:ind w:firstLine="602" w:firstLineChars="200"/>
        <w:rPr>
          <w:rFonts w:ascii="仿宋" w:hAnsi="仿宋" w:eastAsia="仿宋" w:cs="Times New Roman"/>
          <w:sz w:val="30"/>
          <w:szCs w:val="30"/>
        </w:rPr>
      </w:pPr>
      <w:r>
        <w:rPr>
          <w:rFonts w:hint="eastAsia" w:ascii="Times New Roman" w:hAnsi="Times New Roman" w:eastAsia="楷体_GB2312" w:cs="Times New Roman"/>
          <w:b/>
          <w:sz w:val="30"/>
          <w:szCs w:val="30"/>
        </w:rPr>
        <w:t>健全完善治理恢复基金制度。</w:t>
      </w:r>
      <w:r>
        <w:rPr>
          <w:rFonts w:hint="eastAsia" w:ascii="仿宋" w:hAnsi="仿宋" w:eastAsia="仿宋" w:cs="Times New Roman"/>
          <w:kern w:val="0"/>
          <w:sz w:val="30"/>
          <w:szCs w:val="30"/>
        </w:rPr>
        <w:t>不断完善矿山地质环境治理恢复基金制度，跟踪矿山地质环境治理恢复基金制度执行情况，抽查矿山企业基金的建立、提取、使用、公示情况，评估矿山环境治理恢复成效，针对存在的问题对矿山地质环境治理恢复基金制度提出合理建议及时进行完善，实现资源高效、绿色开发和矿区生态环境的整体保护和系统修复。</w:t>
      </w:r>
    </w:p>
    <w:p>
      <w:pPr>
        <w:snapToGrid w:val="0"/>
        <w:spacing w:line="600" w:lineRule="exact"/>
        <w:ind w:firstLine="602" w:firstLineChars="200"/>
        <w:rPr>
          <w:rFonts w:ascii="仿宋" w:hAnsi="仿宋" w:eastAsia="仿宋" w:cs="Times New Roman"/>
          <w:kern w:val="0"/>
          <w:sz w:val="30"/>
          <w:szCs w:val="30"/>
        </w:rPr>
      </w:pPr>
      <w:r>
        <w:rPr>
          <w:rFonts w:hint="eastAsia" w:ascii="Times New Roman" w:hAnsi="Times New Roman" w:eastAsia="楷体_GB2312" w:cs="Times New Roman"/>
          <w:b/>
          <w:sz w:val="30"/>
          <w:szCs w:val="30"/>
        </w:rPr>
        <w:t>健全完善</w:t>
      </w:r>
      <w:r>
        <w:rPr>
          <w:rFonts w:ascii="Times New Roman" w:hAnsi="Times New Roman" w:eastAsia="楷体_GB2312" w:cs="Times New Roman"/>
          <w:b/>
          <w:sz w:val="30"/>
          <w:szCs w:val="30"/>
        </w:rPr>
        <w:t>矿山环境治理体系。</w:t>
      </w:r>
      <w:r>
        <w:rPr>
          <w:rFonts w:hint="eastAsia" w:ascii="仿宋" w:hAnsi="仿宋" w:eastAsia="仿宋" w:cs="Times New Roman"/>
          <w:kern w:val="0"/>
          <w:sz w:val="30"/>
          <w:szCs w:val="30"/>
        </w:rPr>
        <w:t>健立完善矿山生态保护“源头预防、过程控制、损害赔偿、责任追究”的矿山地质环境管理制度体系，加强源头预防与事中事后监管，督促矿山企</w:t>
      </w:r>
      <w:r>
        <w:rPr>
          <w:rFonts w:ascii="仿宋" w:hAnsi="仿宋" w:eastAsia="仿宋" w:cs="Times New Roman"/>
          <w:kern w:val="0"/>
          <w:sz w:val="30"/>
          <w:szCs w:val="30"/>
        </w:rPr>
        <w:t>业切实履行矿山地质环境保护与土地复垦义务。</w:t>
      </w:r>
      <w:r>
        <w:rPr>
          <w:rFonts w:hint="eastAsia" w:ascii="仿宋" w:hAnsi="仿宋" w:eastAsia="仿宋" w:cs="Times New Roman"/>
          <w:sz w:val="30"/>
          <w:szCs w:val="30"/>
        </w:rPr>
        <w:t>强化</w:t>
      </w:r>
      <w:r>
        <w:rPr>
          <w:rFonts w:ascii="仿宋" w:hAnsi="仿宋" w:eastAsia="仿宋" w:cs="Times New Roman"/>
          <w:sz w:val="30"/>
          <w:szCs w:val="30"/>
        </w:rPr>
        <w:t>矿山地质环境治理恢复</w:t>
      </w:r>
      <w:r>
        <w:rPr>
          <w:rFonts w:hint="eastAsia" w:ascii="仿宋" w:hAnsi="仿宋" w:eastAsia="仿宋" w:cs="Times New Roman"/>
          <w:sz w:val="30"/>
          <w:szCs w:val="30"/>
        </w:rPr>
        <w:t>和土地复垦</w:t>
      </w:r>
      <w:r>
        <w:rPr>
          <w:rFonts w:ascii="仿宋" w:hAnsi="仿宋" w:eastAsia="仿宋" w:cs="Times New Roman"/>
          <w:sz w:val="30"/>
          <w:szCs w:val="30"/>
        </w:rPr>
        <w:t>基金的缴存、使用和监管，</w:t>
      </w:r>
      <w:r>
        <w:rPr>
          <w:rFonts w:hint="eastAsia" w:ascii="仿宋" w:hAnsi="仿宋" w:eastAsia="仿宋" w:cs="Times New Roman"/>
          <w:sz w:val="30"/>
          <w:szCs w:val="30"/>
        </w:rPr>
        <w:t>为</w:t>
      </w:r>
      <w:r>
        <w:rPr>
          <w:rFonts w:ascii="仿宋" w:hAnsi="仿宋" w:eastAsia="仿宋" w:cs="Times New Roman"/>
          <w:sz w:val="30"/>
          <w:szCs w:val="30"/>
        </w:rPr>
        <w:t>矿区生态修复提供资金保障，促进矿产资源开发和矿山</w:t>
      </w:r>
      <w:r>
        <w:rPr>
          <w:rFonts w:hint="eastAsia" w:ascii="仿宋" w:hAnsi="仿宋" w:eastAsia="仿宋" w:cs="Times New Roman"/>
          <w:sz w:val="30"/>
          <w:szCs w:val="30"/>
        </w:rPr>
        <w:t>生态</w:t>
      </w:r>
      <w:r>
        <w:rPr>
          <w:rFonts w:ascii="仿宋" w:hAnsi="仿宋" w:eastAsia="仿宋" w:cs="Times New Roman"/>
          <w:sz w:val="30"/>
          <w:szCs w:val="30"/>
        </w:rPr>
        <w:t>环境保护协调发展。</w:t>
      </w:r>
    </w:p>
    <w:p>
      <w:pPr>
        <w:pageBreakBefore/>
        <w:spacing w:beforeLines="50" w:afterLines="50" w:line="600" w:lineRule="exact"/>
        <w:ind w:firstLine="723" w:firstLineChars="200"/>
        <w:jc w:val="center"/>
        <w:outlineLvl w:val="0"/>
        <w:rPr>
          <w:rFonts w:ascii="黑体" w:hAnsi="黑体" w:eastAsia="黑体" w:cs="Times New Roman"/>
          <w:b/>
          <w:bCs/>
          <w:color w:val="000000"/>
          <w:sz w:val="36"/>
          <w:szCs w:val="36"/>
        </w:rPr>
      </w:pPr>
      <w:bookmarkStart w:id="57" w:name="_Toc129074206"/>
      <w:bookmarkStart w:id="58" w:name="_Toc120781071"/>
      <w:r>
        <w:rPr>
          <w:rFonts w:ascii="黑体" w:hAnsi="黑体" w:eastAsia="黑体" w:cs="Times New Roman"/>
          <w:b/>
          <w:bCs/>
          <w:color w:val="000000"/>
          <w:sz w:val="36"/>
          <w:szCs w:val="36"/>
        </w:rPr>
        <w:t>第六章  重点项目</w:t>
      </w:r>
      <w:bookmarkEnd w:id="57"/>
      <w:bookmarkEnd w:id="58"/>
    </w:p>
    <w:p>
      <w:pPr>
        <w:keepNext/>
        <w:keepLines/>
        <w:spacing w:beforeLines="50" w:afterLines="50" w:line="600" w:lineRule="exact"/>
        <w:ind w:firstLine="0" w:firstLineChars="0"/>
        <w:jc w:val="center"/>
        <w:outlineLvl w:val="1"/>
        <w:rPr>
          <w:rFonts w:ascii="华文中宋" w:hAnsi="华文中宋" w:eastAsia="华文中宋" w:cs="Times New Roman"/>
          <w:bCs/>
          <w:kern w:val="0"/>
          <w:sz w:val="32"/>
          <w:szCs w:val="32"/>
        </w:rPr>
      </w:pPr>
      <w:bookmarkStart w:id="59" w:name="_Toc120781073"/>
      <w:bookmarkStart w:id="60" w:name="_Toc129074207"/>
      <w:r>
        <w:rPr>
          <w:rFonts w:ascii="华文中宋" w:hAnsi="华文中宋" w:eastAsia="华文中宋" w:cs="Times New Roman"/>
          <w:bCs/>
          <w:kern w:val="0"/>
          <w:sz w:val="32"/>
          <w:szCs w:val="32"/>
        </w:rPr>
        <w:t>第</w:t>
      </w:r>
      <w:r>
        <w:rPr>
          <w:rFonts w:hint="eastAsia" w:ascii="华文中宋" w:hAnsi="华文中宋" w:eastAsia="华文中宋" w:cs="Times New Roman"/>
          <w:bCs/>
          <w:kern w:val="0"/>
          <w:sz w:val="32"/>
          <w:szCs w:val="32"/>
        </w:rPr>
        <w:t>一</w:t>
      </w:r>
      <w:r>
        <w:rPr>
          <w:rFonts w:ascii="华文中宋" w:hAnsi="华文中宋" w:eastAsia="华文中宋" w:cs="Times New Roman"/>
          <w:bCs/>
          <w:kern w:val="0"/>
          <w:sz w:val="32"/>
          <w:szCs w:val="32"/>
        </w:rPr>
        <w:t xml:space="preserve">节 </w:t>
      </w:r>
      <w:r>
        <w:rPr>
          <w:rFonts w:hint="eastAsia" w:ascii="华文中宋" w:hAnsi="华文中宋" w:eastAsia="华文中宋" w:cs="Times New Roman"/>
          <w:bCs/>
          <w:kern w:val="0"/>
          <w:sz w:val="32"/>
          <w:szCs w:val="32"/>
        </w:rPr>
        <w:t>矿产资源勘查工程</w:t>
      </w:r>
      <w:bookmarkEnd w:id="59"/>
      <w:bookmarkEnd w:id="60"/>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kern w:val="0"/>
          <w:sz w:val="30"/>
          <w:szCs w:val="30"/>
        </w:rPr>
        <w:t>根据经济社会发展对矿产资源的需求，结合矿产资源禀赋</w:t>
      </w:r>
      <w:r>
        <w:rPr>
          <w:rFonts w:hint="eastAsia" w:ascii="仿宋" w:hAnsi="仿宋" w:eastAsia="仿宋" w:cs="Times New Roman"/>
          <w:sz w:val="30"/>
          <w:szCs w:val="30"/>
        </w:rPr>
        <w:t>、找矿潜力以及环境承载能力，以矿泉水资源为重点，部署1个矿产资源勘查重点工程</w:t>
      </w:r>
      <w:r>
        <w:rPr>
          <w:rFonts w:hint="eastAsia" w:ascii="仿宋" w:hAnsi="仿宋" w:eastAsia="仿宋" w:cs="Times New Roman"/>
          <w:kern w:val="0"/>
          <w:sz w:val="30"/>
          <w:szCs w:val="30"/>
        </w:rPr>
        <w:t>（见专栏8）</w:t>
      </w:r>
      <w:r>
        <w:rPr>
          <w:rFonts w:hint="eastAsia" w:ascii="仿宋" w:hAnsi="仿宋" w:eastAsia="仿宋" w:cs="Times New Roman"/>
          <w:sz w:val="30"/>
          <w:szCs w:val="30"/>
        </w:rPr>
        <w:t>，吸引社会资金投入，力争新发现矿产地，实现找矿增储，为后续开发奠定基础。</w:t>
      </w:r>
    </w:p>
    <w:p>
      <w:pPr>
        <w:spacing w:line="100" w:lineRule="exact"/>
        <w:ind w:firstLine="600" w:firstLineChars="200"/>
        <w:rPr>
          <w:rFonts w:ascii="仿宋" w:hAnsi="仿宋" w:eastAsia="仿宋" w:cs="Times New Roman"/>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552"/>
        <w:gridCol w:w="1134"/>
        <w:gridCol w:w="1336"/>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0" w:type="dxa"/>
            <w:gridSpan w:val="5"/>
            <w:vAlign w:val="center"/>
          </w:tcPr>
          <w:p>
            <w:pPr>
              <w:widowControl/>
              <w:adjustRightInd w:val="0"/>
              <w:spacing w:line="360" w:lineRule="auto"/>
              <w:ind w:firstLine="0" w:firstLineChars="0"/>
              <w:jc w:val="center"/>
              <w:rPr>
                <w:rFonts w:ascii="宋体" w:hAnsi="宋体" w:eastAsia="宋体" w:cs="Times New Roman"/>
                <w:sz w:val="21"/>
                <w:szCs w:val="21"/>
              </w:rPr>
            </w:pPr>
            <w:r>
              <w:rPr>
                <w:rFonts w:hint="eastAsia" w:ascii="宋体" w:hAnsi="宋体" w:eastAsia="宋体" w:cs="Times New Roman"/>
                <w:kern w:val="0"/>
                <w:sz w:val="21"/>
                <w:szCs w:val="21"/>
              </w:rPr>
              <w:t xml:space="preserve">专栏8 </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矿产资源勘查工程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673" w:type="dxa"/>
            <w:vAlign w:val="center"/>
          </w:tcPr>
          <w:p>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2552" w:type="dxa"/>
            <w:vAlign w:val="center"/>
          </w:tcPr>
          <w:p>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项目名称</w:t>
            </w:r>
          </w:p>
        </w:tc>
        <w:tc>
          <w:tcPr>
            <w:tcW w:w="1134"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所处</w:t>
            </w:r>
          </w:p>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地区</w:t>
            </w:r>
          </w:p>
        </w:tc>
        <w:tc>
          <w:tcPr>
            <w:tcW w:w="1336"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实施时间（年）</w:t>
            </w:r>
          </w:p>
        </w:tc>
        <w:tc>
          <w:tcPr>
            <w:tcW w:w="2545" w:type="dxa"/>
            <w:vAlign w:val="center"/>
          </w:tcPr>
          <w:p>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jc w:val="center"/>
        </w:trPr>
        <w:tc>
          <w:tcPr>
            <w:tcW w:w="673" w:type="dxa"/>
            <w:vAlign w:val="center"/>
          </w:tcPr>
          <w:p>
            <w:pPr>
              <w:spacing w:line="36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1</w:t>
            </w:r>
          </w:p>
        </w:tc>
        <w:tc>
          <w:tcPr>
            <w:tcW w:w="2552"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吉林省临江市翡翠谷矿泉水普查</w:t>
            </w:r>
          </w:p>
        </w:tc>
        <w:tc>
          <w:tcPr>
            <w:tcW w:w="1134" w:type="dxa"/>
            <w:vAlign w:val="center"/>
          </w:tcPr>
          <w:p>
            <w:pPr>
              <w:spacing w:line="36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临江市</w:t>
            </w:r>
          </w:p>
        </w:tc>
        <w:tc>
          <w:tcPr>
            <w:tcW w:w="1336" w:type="dxa"/>
            <w:vAlign w:val="center"/>
          </w:tcPr>
          <w:p>
            <w:pPr>
              <w:spacing w:line="24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2022</w:t>
            </w:r>
          </w:p>
        </w:tc>
        <w:tc>
          <w:tcPr>
            <w:tcW w:w="2545"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新发现矿泉水资源大型矿产地1处</w:t>
            </w:r>
          </w:p>
        </w:tc>
      </w:tr>
    </w:tbl>
    <w:p>
      <w:pPr>
        <w:keepNext/>
        <w:keepLines/>
        <w:spacing w:beforeLines="50" w:afterLines="50" w:line="600" w:lineRule="exact"/>
        <w:ind w:firstLine="0" w:firstLineChars="0"/>
        <w:jc w:val="center"/>
        <w:outlineLvl w:val="1"/>
        <w:rPr>
          <w:rFonts w:ascii="华文中宋" w:hAnsi="华文中宋" w:eastAsia="华文中宋" w:cs="Times New Roman"/>
          <w:bCs/>
          <w:kern w:val="0"/>
          <w:sz w:val="32"/>
          <w:szCs w:val="32"/>
        </w:rPr>
      </w:pPr>
      <w:bookmarkStart w:id="61" w:name="_Toc129074208"/>
      <w:bookmarkStart w:id="62" w:name="_Toc120781075"/>
      <w:r>
        <w:rPr>
          <w:rFonts w:ascii="华文中宋" w:hAnsi="华文中宋" w:eastAsia="华文中宋" w:cs="Times New Roman"/>
          <w:bCs/>
          <w:kern w:val="0"/>
          <w:sz w:val="32"/>
          <w:szCs w:val="32"/>
        </w:rPr>
        <w:t>第</w:t>
      </w:r>
      <w:r>
        <w:rPr>
          <w:rFonts w:hint="eastAsia" w:ascii="华文中宋" w:hAnsi="华文中宋" w:eastAsia="华文中宋" w:cs="Times New Roman"/>
          <w:bCs/>
          <w:kern w:val="0"/>
          <w:sz w:val="32"/>
          <w:szCs w:val="32"/>
        </w:rPr>
        <w:t>二</w:t>
      </w:r>
      <w:r>
        <w:rPr>
          <w:rFonts w:ascii="华文中宋" w:hAnsi="华文中宋" w:eastAsia="华文中宋" w:cs="Times New Roman"/>
          <w:bCs/>
          <w:kern w:val="0"/>
          <w:sz w:val="32"/>
          <w:szCs w:val="32"/>
        </w:rPr>
        <w:t xml:space="preserve">节 </w:t>
      </w:r>
      <w:r>
        <w:rPr>
          <w:rFonts w:hint="eastAsia" w:ascii="华文中宋" w:hAnsi="华文中宋" w:eastAsia="华文中宋" w:cs="Times New Roman"/>
          <w:bCs/>
          <w:kern w:val="0"/>
          <w:sz w:val="32"/>
          <w:szCs w:val="32"/>
        </w:rPr>
        <w:t>矿产资源节约与利用工程</w:t>
      </w:r>
      <w:bookmarkEnd w:id="61"/>
      <w:bookmarkEnd w:id="62"/>
    </w:p>
    <w:p>
      <w:pPr>
        <w:spacing w:line="600" w:lineRule="exact"/>
        <w:ind w:firstLine="600" w:firstLineChars="200"/>
        <w:rPr>
          <w:rFonts w:ascii="仿宋" w:hAnsi="仿宋" w:eastAsia="仿宋" w:cs="Times New Roman"/>
          <w:kern w:val="0"/>
          <w:sz w:val="30"/>
          <w:szCs w:val="30"/>
        </w:rPr>
      </w:pPr>
      <w:r>
        <w:rPr>
          <w:rFonts w:hint="eastAsia" w:ascii="仿宋" w:hAnsi="仿宋" w:eastAsia="仿宋" w:cs="Times New Roman"/>
          <w:kern w:val="0"/>
          <w:sz w:val="30"/>
          <w:szCs w:val="30"/>
        </w:rPr>
        <w:t>以临江大栗子铁矿为示范，实施废弃渣石综合回收利用项目（见专栏9），推动铁矿废弃渣石治理重大关键技术协同攻关，树立高效、绿色、安全、环保先进典型，推广先进适用技术和科学管理模式，引领带动全市矿产资源节约与综合利用水平全面提升。</w:t>
      </w:r>
    </w:p>
    <w:p>
      <w:pPr>
        <w:spacing w:line="100" w:lineRule="exact"/>
        <w:ind w:firstLine="600" w:firstLineChars="200"/>
        <w:rPr>
          <w:rFonts w:ascii="仿宋" w:hAnsi="仿宋" w:eastAsia="仿宋" w:cs="Times New Roman"/>
          <w:kern w:val="0"/>
          <w:sz w:val="30"/>
          <w:szCs w:val="30"/>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552"/>
        <w:gridCol w:w="1134"/>
        <w:gridCol w:w="1417"/>
        <w:gridCol w:w="2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40" w:type="dxa"/>
            <w:gridSpan w:val="5"/>
            <w:vAlign w:val="center"/>
          </w:tcPr>
          <w:p>
            <w:pPr>
              <w:widowControl/>
              <w:adjustRightInd w:val="0"/>
              <w:spacing w:line="360" w:lineRule="auto"/>
              <w:ind w:firstLine="0" w:firstLineChars="0"/>
              <w:jc w:val="center"/>
              <w:rPr>
                <w:rFonts w:ascii="宋体" w:hAnsi="宋体" w:eastAsia="宋体" w:cs="Times New Roman"/>
                <w:sz w:val="21"/>
                <w:szCs w:val="21"/>
              </w:rPr>
            </w:pPr>
            <w:r>
              <w:rPr>
                <w:rFonts w:hint="eastAsia" w:ascii="宋体" w:hAnsi="宋体" w:eastAsia="宋体" w:cs="Times New Roman"/>
                <w:kern w:val="0"/>
                <w:sz w:val="21"/>
                <w:szCs w:val="21"/>
              </w:rPr>
              <w:t xml:space="preserve">专栏9 </w:t>
            </w:r>
            <w:r>
              <w:rPr>
                <w:rFonts w:ascii="宋体" w:hAnsi="宋体" w:eastAsia="宋体" w:cs="Times New Roman"/>
                <w:kern w:val="0"/>
                <w:sz w:val="21"/>
                <w:szCs w:val="21"/>
              </w:rPr>
              <w:t xml:space="preserve"> </w:t>
            </w:r>
            <w:r>
              <w:rPr>
                <w:rFonts w:hint="eastAsia" w:ascii="宋体" w:hAnsi="宋体" w:eastAsia="宋体" w:cs="Times New Roman"/>
                <w:kern w:val="0"/>
                <w:sz w:val="21"/>
                <w:szCs w:val="21"/>
              </w:rPr>
              <w:t>矿产资源节约与综合利用工程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exact"/>
          <w:jc w:val="center"/>
        </w:trPr>
        <w:tc>
          <w:tcPr>
            <w:tcW w:w="673" w:type="dxa"/>
            <w:vAlign w:val="center"/>
          </w:tcPr>
          <w:p>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序号</w:t>
            </w:r>
          </w:p>
        </w:tc>
        <w:tc>
          <w:tcPr>
            <w:tcW w:w="2552" w:type="dxa"/>
            <w:vAlign w:val="center"/>
          </w:tcPr>
          <w:p>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项目名称</w:t>
            </w:r>
          </w:p>
        </w:tc>
        <w:tc>
          <w:tcPr>
            <w:tcW w:w="1134"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所处</w:t>
            </w:r>
          </w:p>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地区</w:t>
            </w:r>
          </w:p>
        </w:tc>
        <w:tc>
          <w:tcPr>
            <w:tcW w:w="1417"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实施时间（年）</w:t>
            </w:r>
          </w:p>
        </w:tc>
        <w:tc>
          <w:tcPr>
            <w:tcW w:w="2464" w:type="dxa"/>
            <w:vAlign w:val="center"/>
          </w:tcPr>
          <w:p>
            <w:pPr>
              <w:spacing w:line="240" w:lineRule="auto"/>
              <w:ind w:firstLine="0" w:firstLineChars="0"/>
              <w:jc w:val="center"/>
              <w:rPr>
                <w:rFonts w:ascii="宋体" w:hAnsi="宋体" w:eastAsia="宋体" w:cs="Times New Roman"/>
                <w:sz w:val="21"/>
                <w:szCs w:val="21"/>
              </w:rPr>
            </w:pPr>
            <w:r>
              <w:rPr>
                <w:rFonts w:hint="eastAsia" w:ascii="宋体" w:hAnsi="宋体" w:eastAsia="宋体" w:cs="Times New Roman"/>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exact"/>
          <w:jc w:val="center"/>
        </w:trPr>
        <w:tc>
          <w:tcPr>
            <w:tcW w:w="673" w:type="dxa"/>
            <w:vAlign w:val="center"/>
          </w:tcPr>
          <w:p>
            <w:pPr>
              <w:spacing w:line="360" w:lineRule="auto"/>
              <w:ind w:firstLine="0" w:firstLineChars="0"/>
              <w:jc w:val="center"/>
              <w:rPr>
                <w:rFonts w:ascii="宋体" w:hAnsi="宋体" w:eastAsia="宋体" w:cs="Times New Roman"/>
                <w:sz w:val="21"/>
                <w:szCs w:val="21"/>
              </w:rPr>
            </w:pPr>
            <w:r>
              <w:rPr>
                <w:rFonts w:ascii="宋体" w:hAnsi="宋体" w:eastAsia="宋体" w:cs="Times New Roman"/>
                <w:sz w:val="21"/>
                <w:szCs w:val="21"/>
              </w:rPr>
              <w:t>1</w:t>
            </w:r>
          </w:p>
        </w:tc>
        <w:tc>
          <w:tcPr>
            <w:tcW w:w="2552"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临江大栗子矿业公司废弃渣石综合回收利用项目</w:t>
            </w:r>
          </w:p>
        </w:tc>
        <w:tc>
          <w:tcPr>
            <w:tcW w:w="1134" w:type="dxa"/>
            <w:vAlign w:val="center"/>
          </w:tcPr>
          <w:p>
            <w:pPr>
              <w:spacing w:line="240" w:lineRule="exact"/>
              <w:ind w:left="100" w:right="100" w:firstLine="0" w:firstLineChars="0"/>
              <w:rPr>
                <w:rFonts w:ascii="宋体" w:hAnsi="宋体" w:eastAsia="宋体" w:cs="Times New Roman"/>
                <w:sz w:val="21"/>
                <w:szCs w:val="21"/>
              </w:rPr>
            </w:pPr>
            <w:r>
              <w:rPr>
                <w:rFonts w:hint="eastAsia" w:ascii="宋体" w:hAnsi="宋体" w:eastAsia="宋体" w:cs="Times New Roman"/>
                <w:sz w:val="21"/>
                <w:szCs w:val="21"/>
              </w:rPr>
              <w:t>临江市</w:t>
            </w:r>
          </w:p>
        </w:tc>
        <w:tc>
          <w:tcPr>
            <w:tcW w:w="1417" w:type="dxa"/>
            <w:vAlign w:val="center"/>
          </w:tcPr>
          <w:p>
            <w:pPr>
              <w:spacing w:line="240" w:lineRule="exact"/>
              <w:ind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2022-2025</w:t>
            </w:r>
          </w:p>
        </w:tc>
        <w:tc>
          <w:tcPr>
            <w:tcW w:w="2464" w:type="dxa"/>
            <w:vAlign w:val="center"/>
          </w:tcPr>
          <w:p>
            <w:pPr>
              <w:spacing w:line="240" w:lineRule="exact"/>
              <w:ind w:left="100" w:right="100" w:firstLine="0" w:firstLineChars="0"/>
              <w:jc w:val="center"/>
              <w:rPr>
                <w:rFonts w:ascii="宋体" w:hAnsi="宋体" w:eastAsia="宋体" w:cs="Times New Roman"/>
                <w:sz w:val="21"/>
                <w:szCs w:val="21"/>
              </w:rPr>
            </w:pPr>
            <w:r>
              <w:rPr>
                <w:rFonts w:hint="eastAsia" w:ascii="宋体" w:hAnsi="宋体" w:eastAsia="宋体" w:cs="Times New Roman"/>
                <w:sz w:val="21"/>
                <w:szCs w:val="21"/>
              </w:rPr>
              <w:t>对日伪时期残留的废弃渣石进行回收利用</w:t>
            </w:r>
          </w:p>
        </w:tc>
      </w:tr>
    </w:tbl>
    <w:p>
      <w:pPr>
        <w:widowControl/>
        <w:spacing w:line="240" w:lineRule="auto"/>
        <w:ind w:firstLine="0" w:firstLineChars="0"/>
        <w:jc w:val="left"/>
        <w:rPr>
          <w:rFonts w:ascii="Times New Roman" w:hAnsi="Times New Roman" w:eastAsia="宋体" w:cs="Times New Roman"/>
          <w:b/>
          <w:bCs/>
          <w:kern w:val="44"/>
          <w:sz w:val="36"/>
          <w:szCs w:val="44"/>
        </w:rPr>
      </w:pPr>
    </w:p>
    <w:p>
      <w:pPr>
        <w:pageBreakBefore/>
        <w:spacing w:beforeLines="50" w:afterLines="50" w:line="600" w:lineRule="exact"/>
        <w:ind w:firstLine="0" w:firstLineChars="0"/>
        <w:jc w:val="center"/>
        <w:outlineLvl w:val="0"/>
        <w:rPr>
          <w:rFonts w:ascii="黑体" w:hAnsi="黑体" w:eastAsia="黑体" w:cs="Times New Roman"/>
          <w:b/>
          <w:bCs/>
          <w:color w:val="000000"/>
          <w:sz w:val="36"/>
          <w:szCs w:val="36"/>
        </w:rPr>
      </w:pPr>
      <w:bookmarkStart w:id="63" w:name="_Toc129074209"/>
      <w:bookmarkStart w:id="64" w:name="_Toc68596450"/>
      <w:r>
        <w:rPr>
          <w:rFonts w:hint="eastAsia" w:ascii="黑体" w:hAnsi="黑体" w:eastAsia="黑体" w:cs="Times New Roman"/>
          <w:b/>
          <w:bCs/>
          <w:color w:val="000000"/>
          <w:sz w:val="36"/>
          <w:szCs w:val="36"/>
        </w:rPr>
        <w:t>第七章 规划保障措施</w:t>
      </w:r>
      <w:bookmarkEnd w:id="63"/>
      <w:bookmarkEnd w:id="64"/>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65" w:name="_Toc68596451"/>
      <w:bookmarkStart w:id="66" w:name="_Toc129074210"/>
      <w:bookmarkStart w:id="67" w:name="_Toc117025459"/>
      <w:bookmarkStart w:id="68" w:name="_Hlk101983913"/>
      <w:r>
        <w:rPr>
          <w:rFonts w:hint="eastAsia" w:ascii="华文中宋" w:hAnsi="华文中宋" w:eastAsia="华文中宋" w:cs="Times New Roman"/>
          <w:b w:val="0"/>
          <w:bCs/>
          <w:kern w:val="0"/>
          <w:sz w:val="32"/>
          <w:szCs w:val="32"/>
          <w:lang w:val="en-US" w:eastAsia="zh-CN" w:bidi="ar-SA"/>
        </w:rPr>
        <w:t>第一节 落实规划实施目标责任考核制度</w:t>
      </w:r>
      <w:bookmarkEnd w:id="65"/>
      <w:bookmarkEnd w:id="66"/>
      <w:bookmarkEnd w:id="67"/>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充分认识规划的重要地位和意义，</w:t>
      </w:r>
      <w:r>
        <w:rPr>
          <w:rFonts w:ascii="仿宋" w:hAnsi="仿宋" w:eastAsia="仿宋" w:cs="Times New Roman"/>
          <w:sz w:val="30"/>
          <w:szCs w:val="30"/>
        </w:rPr>
        <w:t>规划一经批准，必须严格执行。</w:t>
      </w:r>
      <w:r>
        <w:rPr>
          <w:rFonts w:hint="eastAsia" w:ascii="仿宋" w:hAnsi="仿宋" w:eastAsia="仿宋" w:cs="Times New Roman"/>
          <w:sz w:val="30"/>
          <w:szCs w:val="30"/>
        </w:rPr>
        <w:t>切实加强规划实施组织领导，强化规划意识，有关领导要带头自觉遵守规划、维护规划。进一步完善规划管理体制和运行机制，将规划实施监管列入自然资源局重要工作日程。自然资源部门要与发改、财政、生态环境、林业、工信、水利、文广旅游等部门及时研究解决规划实施中发现的重大问题。健全完善规划实施目标责任制，按照管理职责将规划主要指标、重点任务、重大政策等纳入年度目标管理体系，细化分解，明确责任分工，严格落实规划实施目标考核制度</w:t>
      </w:r>
      <w:r>
        <w:rPr>
          <w:rFonts w:ascii="仿宋" w:hAnsi="仿宋" w:eastAsia="仿宋" w:cs="Times New Roman"/>
          <w:sz w:val="30"/>
          <w:szCs w:val="30"/>
        </w:rPr>
        <w:t>。</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69" w:name="_Toc68596452"/>
      <w:bookmarkStart w:id="70" w:name="_Toc117025460"/>
      <w:bookmarkStart w:id="71" w:name="_Toc129074211"/>
      <w:r>
        <w:rPr>
          <w:rFonts w:hint="eastAsia" w:ascii="华文中宋" w:hAnsi="华文中宋" w:eastAsia="华文中宋" w:cs="Times New Roman"/>
          <w:b w:val="0"/>
          <w:bCs/>
          <w:kern w:val="0"/>
          <w:sz w:val="32"/>
          <w:szCs w:val="32"/>
          <w:lang w:val="en-US" w:eastAsia="zh-CN" w:bidi="ar-SA"/>
        </w:rPr>
        <w:t>第二节 健全完善规划实施评估调整机制</w:t>
      </w:r>
      <w:bookmarkEnd w:id="69"/>
      <w:bookmarkEnd w:id="70"/>
      <w:bookmarkEnd w:id="71"/>
    </w:p>
    <w:p>
      <w:pPr>
        <w:spacing w:line="600" w:lineRule="exact"/>
        <w:ind w:firstLine="600" w:firstLineChars="200"/>
        <w:rPr>
          <w:rFonts w:ascii="仿宋" w:hAnsi="仿宋" w:eastAsia="仿宋" w:cs="Times New Roman"/>
          <w:sz w:val="30"/>
          <w:szCs w:val="30"/>
        </w:rPr>
      </w:pPr>
      <w:r>
        <w:rPr>
          <w:rFonts w:ascii="仿宋" w:hAnsi="仿宋" w:eastAsia="仿宋" w:cs="Times New Roman"/>
          <w:sz w:val="30"/>
          <w:szCs w:val="30"/>
        </w:rPr>
        <w:t>按照上级自然资源主管部门统一部署，做好本级规划实施情况评估，并将评估结果作为规划调整或修订的重要依据，不断提高规划的科学性、合理性。完善规划调整机制，涉及规划主要指标、勘查开发布局等调整的，必须严格执行有关规定根据地质找矿新发现、新成果，确需新增勘查开采规划区块，或需对已有勘查开采规划区块范围进行调整的，由原规划编制机关对其必要性组织论证，审定调整方案，报原审批机关备案。</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72" w:name="_Toc129074212"/>
      <w:bookmarkStart w:id="73" w:name="_Toc117025461"/>
      <w:bookmarkStart w:id="74" w:name="_Toc68596453"/>
      <w:r>
        <w:rPr>
          <w:rFonts w:hint="eastAsia" w:ascii="华文中宋" w:hAnsi="华文中宋" w:eastAsia="华文中宋" w:cs="Times New Roman"/>
          <w:b w:val="0"/>
          <w:bCs/>
          <w:kern w:val="0"/>
          <w:sz w:val="32"/>
          <w:szCs w:val="32"/>
          <w:lang w:val="en-US" w:eastAsia="zh-CN" w:bidi="ar-SA"/>
        </w:rPr>
        <w:t>第三节 切实加强规划实施情况监督检查</w:t>
      </w:r>
      <w:bookmarkEnd w:id="72"/>
      <w:bookmarkEnd w:id="73"/>
      <w:bookmarkEnd w:id="74"/>
    </w:p>
    <w:p>
      <w:pPr>
        <w:spacing w:line="600" w:lineRule="exact"/>
        <w:ind w:firstLine="600" w:firstLineChars="200"/>
        <w:rPr>
          <w:rFonts w:ascii="仿宋" w:hAnsi="仿宋" w:eastAsia="仿宋" w:cs="Times New Roman"/>
          <w:sz w:val="30"/>
          <w:szCs w:val="30"/>
        </w:rPr>
      </w:pPr>
      <w:r>
        <w:rPr>
          <w:rFonts w:hint="eastAsia" w:ascii="仿宋" w:hAnsi="仿宋" w:eastAsia="仿宋" w:cs="Times New Roman"/>
          <w:sz w:val="30"/>
          <w:szCs w:val="30"/>
        </w:rPr>
        <w:t>强化规划的权威性和约束力，将规划实施情况列为自然资源督察体系，建立健全政府领导、部门协同、群众参与、社会监督的规划实施监督管理工作机制。市自然资源局制定监管重点和工作部署，实行专项检查与经常性检查相结合，加强对规划重点区域矿产资源勘查开发保护活动的监督管理，及时发现并纠正违反规划的各种行为。加强规划宣传，推进规划实施信息公开，加强社会监督，促进规划有效实施</w:t>
      </w:r>
      <w:r>
        <w:rPr>
          <w:rFonts w:ascii="仿宋" w:hAnsi="仿宋" w:eastAsia="仿宋" w:cs="Times New Roman"/>
          <w:sz w:val="30"/>
          <w:szCs w:val="30"/>
        </w:rPr>
        <w:t>。</w:t>
      </w:r>
    </w:p>
    <w:p>
      <w:pPr>
        <w:keepNext/>
        <w:keepLines/>
        <w:widowControl w:val="0"/>
        <w:spacing w:beforeLines="50" w:afterLines="50" w:line="600" w:lineRule="exact"/>
        <w:ind w:firstLine="0" w:firstLineChars="0"/>
        <w:jc w:val="center"/>
        <w:outlineLvl w:val="1"/>
        <w:rPr>
          <w:rFonts w:ascii="华文中宋" w:hAnsi="华文中宋" w:eastAsia="华文中宋" w:cs="Times New Roman"/>
          <w:b w:val="0"/>
          <w:bCs/>
          <w:kern w:val="0"/>
          <w:sz w:val="32"/>
          <w:szCs w:val="32"/>
          <w:lang w:val="en-US" w:eastAsia="zh-CN" w:bidi="ar-SA"/>
        </w:rPr>
      </w:pPr>
      <w:bookmarkStart w:id="75" w:name="_Toc68596454"/>
      <w:bookmarkStart w:id="76" w:name="_Toc117025462"/>
      <w:bookmarkStart w:id="77" w:name="_Toc129074213"/>
      <w:r>
        <w:rPr>
          <w:rFonts w:hint="eastAsia" w:ascii="华文中宋" w:hAnsi="华文中宋" w:eastAsia="华文中宋" w:cs="Times New Roman"/>
          <w:b w:val="0"/>
          <w:bCs/>
          <w:kern w:val="0"/>
          <w:sz w:val="32"/>
          <w:szCs w:val="32"/>
          <w:lang w:val="en-US" w:eastAsia="zh-CN" w:bidi="ar-SA"/>
        </w:rPr>
        <w:t>第四节 进一步提高规划管理信息化水平</w:t>
      </w:r>
      <w:bookmarkEnd w:id="75"/>
      <w:bookmarkEnd w:id="76"/>
      <w:bookmarkEnd w:id="77"/>
    </w:p>
    <w:p>
      <w:pPr>
        <w:spacing w:line="600" w:lineRule="exact"/>
        <w:ind w:firstLine="600" w:firstLineChars="200"/>
        <w:rPr>
          <w:rFonts w:ascii="Times New Roman" w:hAnsi="Times New Roman" w:eastAsia="宋体" w:cs="Times New Roman"/>
          <w:sz w:val="28"/>
        </w:rPr>
      </w:pPr>
      <w:r>
        <w:rPr>
          <w:rFonts w:ascii="仿宋" w:hAnsi="仿宋" w:eastAsia="仿宋" w:cs="Times New Roman"/>
          <w:sz w:val="30"/>
          <w:szCs w:val="30"/>
        </w:rPr>
        <w:t>集成规划编制成果，建设并维护规划数据库</w:t>
      </w:r>
      <w:r>
        <w:rPr>
          <w:rFonts w:hint="eastAsia" w:ascii="仿宋" w:hAnsi="仿宋" w:eastAsia="仿宋" w:cs="Times New Roman"/>
          <w:sz w:val="30"/>
          <w:szCs w:val="30"/>
        </w:rPr>
        <w:t>，融入全省统一规划数据库管理，</w:t>
      </w:r>
      <w:r>
        <w:rPr>
          <w:rFonts w:ascii="仿宋" w:hAnsi="仿宋" w:eastAsia="仿宋" w:cs="Times New Roman"/>
          <w:sz w:val="30"/>
          <w:szCs w:val="30"/>
        </w:rPr>
        <w:t>积极做好规划信息服务平台；</w:t>
      </w:r>
      <w:r>
        <w:rPr>
          <w:rFonts w:hint="eastAsia" w:ascii="仿宋" w:hAnsi="仿宋" w:eastAsia="仿宋" w:cs="Times New Roman"/>
          <w:sz w:val="30"/>
          <w:szCs w:val="30"/>
        </w:rPr>
        <w:t>加强与其他自然资源管理信息系统的衔接</w:t>
      </w:r>
      <w:r>
        <w:rPr>
          <w:rFonts w:ascii="仿宋" w:hAnsi="仿宋" w:eastAsia="仿宋" w:cs="Times New Roman"/>
          <w:sz w:val="30"/>
          <w:szCs w:val="30"/>
        </w:rPr>
        <w:t>，实现规划信息资源与相关信息资源的整合和共享</w:t>
      </w:r>
      <w:r>
        <w:rPr>
          <w:rFonts w:hint="eastAsia" w:ascii="仿宋" w:hAnsi="仿宋" w:eastAsia="仿宋" w:cs="Times New Roman"/>
          <w:sz w:val="30"/>
          <w:szCs w:val="30"/>
        </w:rPr>
        <w:t>。</w:t>
      </w:r>
      <w:r>
        <w:rPr>
          <w:rFonts w:ascii="仿宋" w:hAnsi="仿宋" w:eastAsia="仿宋" w:cs="Times New Roman"/>
          <w:sz w:val="30"/>
          <w:szCs w:val="30"/>
        </w:rPr>
        <w:t>及时纳入</w:t>
      </w:r>
      <w:r>
        <w:rPr>
          <w:rFonts w:hint="eastAsia" w:ascii="仿宋" w:hAnsi="仿宋" w:eastAsia="仿宋" w:cs="Times New Roman"/>
          <w:sz w:val="30"/>
          <w:szCs w:val="30"/>
        </w:rPr>
        <w:t>自然</w:t>
      </w:r>
      <w:r>
        <w:rPr>
          <w:rFonts w:ascii="仿宋" w:hAnsi="仿宋" w:eastAsia="仿宋" w:cs="Times New Roman"/>
          <w:sz w:val="30"/>
          <w:szCs w:val="30"/>
        </w:rPr>
        <w:t>资源“一张图”，</w:t>
      </w:r>
      <w:r>
        <w:rPr>
          <w:rFonts w:hint="eastAsia" w:ascii="仿宋" w:hAnsi="仿宋" w:eastAsia="仿宋" w:cs="Times New Roman"/>
          <w:sz w:val="30"/>
          <w:szCs w:val="30"/>
        </w:rPr>
        <w:t>健全完善规划管理信息系统的查询分析、辅助决策和监督评价功能，及时掌握全市矿产资源勘查开发利用信息动态</w:t>
      </w:r>
      <w:r>
        <w:rPr>
          <w:rFonts w:ascii="仿宋" w:hAnsi="仿宋" w:eastAsia="仿宋" w:cs="Times New Roman"/>
          <w:sz w:val="30"/>
          <w:szCs w:val="30"/>
        </w:rPr>
        <w:t>，为矿产资源管理提供规划信息支撑</w:t>
      </w:r>
      <w:r>
        <w:rPr>
          <w:rFonts w:hint="eastAsia" w:ascii="仿宋" w:hAnsi="仿宋" w:eastAsia="仿宋" w:cs="Times New Roman"/>
          <w:sz w:val="30"/>
          <w:szCs w:val="30"/>
        </w:rPr>
        <w:t>。</w:t>
      </w:r>
      <w:r>
        <w:rPr>
          <w:rFonts w:ascii="仿宋" w:hAnsi="仿宋" w:eastAsia="仿宋" w:cs="Times New Roman"/>
          <w:sz w:val="30"/>
          <w:szCs w:val="30"/>
        </w:rPr>
        <w:t>强化人才培养和队伍建设，培育德才兼备、结构合理、素质优良的规划专业人才队伍，增强规划管理能力，实现基层矿产资源管理全面到位</w:t>
      </w:r>
      <w:r>
        <w:rPr>
          <w:rFonts w:hint="eastAsia" w:ascii="仿宋" w:hAnsi="仿宋" w:eastAsia="仿宋" w:cs="Times New Roman"/>
          <w:sz w:val="30"/>
          <w:szCs w:val="30"/>
        </w:rPr>
        <w:t>。不断提高规划管理成效，实现以信息化带动管理科学化和服务社会化。</w:t>
      </w:r>
      <w:bookmarkEnd w:id="68"/>
    </w:p>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8"/>
        <w:szCs w:val="24"/>
        <w:lang w:val="en-US" w:eastAsia="zh-CN" w:bidi="ar-SA"/>
      </w:rPr>
      <w:id w:val="7471701"/>
      <w:docPartObj>
        <w:docPartGallery w:val="autotext"/>
      </w:docPartObj>
    </w:sdtPr>
    <w:sdtEndPr>
      <w:rPr>
        <w:rFonts w:ascii="Times New Roman" w:hAnsi="Times New Roman" w:eastAsia="宋体" w:cs="Times New Roman"/>
        <w:kern w:val="2"/>
        <w:sz w:val="18"/>
        <w:szCs w:val="18"/>
        <w:lang w:val="en-US" w:eastAsia="zh-CN" w:bidi="ar-SA"/>
      </w:rPr>
    </w:sdtEndPr>
    <w:sdtContent>
      <w:p>
        <w:pPr>
          <w:widowControl w:val="0"/>
          <w:tabs>
            <w:tab w:val="center" w:pos="4153"/>
            <w:tab w:val="right" w:pos="8306"/>
          </w:tabs>
          <w:snapToGrid w:val="0"/>
          <w:spacing w:line="360" w:lineRule="auto"/>
          <w:ind w:firstLine="560" w:firstLineChars="200"/>
          <w:jc w:val="center"/>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 PAGE   \* MERGEFORMAT </w:instrText>
        </w:r>
        <w:r>
          <w:rPr>
            <w:rFonts w:ascii="Times New Roman" w:hAnsi="Times New Roman" w:eastAsia="宋体" w:cs="Times New Roman"/>
            <w:kern w:val="2"/>
            <w:sz w:val="18"/>
            <w:szCs w:val="18"/>
            <w:lang w:val="en-US" w:eastAsia="zh-CN" w:bidi="ar-SA"/>
          </w:rPr>
          <w:fldChar w:fldCharType="separate"/>
        </w:r>
        <w:r>
          <w:rPr>
            <w:rFonts w:ascii="Times New Roman" w:hAnsi="Times New Roman" w:eastAsia="宋体" w:cs="Times New Roman"/>
            <w:kern w:val="2"/>
            <w:sz w:val="18"/>
            <w:szCs w:val="18"/>
            <w:lang w:val="zh-CN" w:eastAsia="zh-CN" w:bidi="ar-SA"/>
          </w:rPr>
          <w:t>18</w:t>
        </w:r>
        <w:r>
          <w:rPr>
            <w:rFonts w:ascii="Times New Roman" w:hAnsi="Times New Roman" w:eastAsia="宋体" w:cs="Times New Roman"/>
            <w:kern w:val="2"/>
            <w:sz w:val="18"/>
            <w:szCs w:val="18"/>
            <w:lang w:val="zh-CN" w:eastAsia="zh-CN" w:bidi="ar-SA"/>
          </w:rPr>
          <w:fldChar w:fldCharType="end"/>
        </w:r>
      </w:p>
    </w:sdtContent>
  </w:sdt>
  <w:p>
    <w:pPr>
      <w:widowControl w:val="0"/>
      <w:tabs>
        <w:tab w:val="center" w:pos="4153"/>
        <w:tab w:val="right" w:pos="8306"/>
      </w:tabs>
      <w:snapToGrid w:val="0"/>
      <w:spacing w:line="360" w:lineRule="auto"/>
      <w:ind w:firstLine="360" w:firstLineChars="200"/>
      <w:jc w:val="left"/>
      <w:rPr>
        <w:rFonts w:ascii="Times New Roman" w:hAnsi="Times New Roman" w:eastAsia="宋体" w:cs="Times New Roman"/>
        <w:kern w:val="2"/>
        <w:sz w:val="18"/>
        <w:szCs w:val="18"/>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tabs>
        <w:tab w:val="center" w:pos="4153"/>
        <w:tab w:val="right" w:pos="8306"/>
      </w:tabs>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single" w:color="auto" w:sz="6" w:space="1"/>
      </w:pBdr>
      <w:tabs>
        <w:tab w:val="center" w:pos="4153"/>
        <w:tab w:val="right" w:pos="8306"/>
      </w:tabs>
      <w:snapToGrid w:val="0"/>
      <w:spacing w:line="360" w:lineRule="auto"/>
      <w:ind w:firstLine="360" w:firstLineChars="20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5MTFkOWEwYzdiZGYxYWJhYWY0NTM1NDllYTNlY2IifQ=="/>
  </w:docVars>
  <w:rsids>
    <w:rsidRoot w:val="6F673303"/>
    <w:rsid w:val="6F67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5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12503</Words>
  <Characters>12955</Characters>
  <Lines>0</Lines>
  <Paragraphs>0</Paragraphs>
  <TotalTime>1</TotalTime>
  <ScaleCrop>false</ScaleCrop>
  <LinksUpToDate>false</LinksUpToDate>
  <CharactersWithSpaces>13068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2023-03-24T06:12:00Z</dcterms:created>
  <dc:creator>Mark.Sui</dc:creator>
  <cp:lastModifiedBy>Mark.Sui</cp:lastModifiedBy>
  <dcterms:modified xsi:type="dcterms:W3CDTF">2023-03-24T06:14:20Z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9F200A4D33194DDAB3AD029DF717E605</vt:lpwstr>
  </property>
</Properties>
</file>