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color w:val="333333"/>
          <w:kern w:val="0"/>
          <w:sz w:val="24"/>
          <w:szCs w:val="24"/>
        </w:rPr>
      </w:pPr>
      <w:r>
        <w:rPr>
          <w:rFonts w:hint="eastAsia" w:ascii="宋体" w:hAnsi="宋体" w:eastAsia="宋体" w:cs="宋体"/>
          <w:b/>
          <w:bCs/>
          <w:color w:val="333333"/>
          <w:kern w:val="0"/>
          <w:sz w:val="36"/>
          <w:szCs w:val="36"/>
          <w:lang w:eastAsia="zh-CN"/>
        </w:rPr>
        <w:t>临江市交通运输局</w:t>
      </w:r>
      <w:r>
        <w:rPr>
          <w:rFonts w:hint="eastAsia" w:ascii="宋体" w:hAnsi="宋体" w:eastAsia="宋体" w:cs="宋体"/>
          <w:b/>
          <w:bCs/>
          <w:color w:val="333333"/>
          <w:kern w:val="0"/>
          <w:sz w:val="36"/>
          <w:szCs w:val="36"/>
          <w:lang w:val="en-US" w:eastAsia="zh-CN"/>
        </w:rPr>
        <w:t>2020年</w:t>
      </w:r>
      <w:r>
        <w:rPr>
          <w:rFonts w:hint="eastAsia" w:ascii="宋体" w:hAnsi="宋体" w:eastAsia="宋体" w:cs="宋体"/>
          <w:b/>
          <w:bCs/>
          <w:color w:val="333333"/>
          <w:kern w:val="0"/>
          <w:sz w:val="36"/>
          <w:szCs w:val="36"/>
        </w:rPr>
        <w:t>信息公开工作年度报告</w:t>
      </w:r>
    </w:p>
    <w:p>
      <w:pPr>
        <w:widowControl/>
        <w:shd w:val="clear" w:color="auto" w:fill="FFFFFF"/>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一、总体情况</w:t>
      </w:r>
    </w:p>
    <w:p>
      <w:pPr>
        <w:widowControl/>
        <w:shd w:val="clear" w:color="auto" w:fill="FFFFFF"/>
        <w:spacing w:after="240"/>
        <w:ind w:firstLine="48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本报告由</w:t>
      </w:r>
      <w:r>
        <w:rPr>
          <w:rFonts w:hint="eastAsia" w:ascii="仿宋_GB2312" w:hAnsi="仿宋_GB2312" w:eastAsia="仿宋_GB2312" w:cs="仿宋_GB2312"/>
          <w:b/>
          <w:bCs/>
          <w:sz w:val="24"/>
          <w:szCs w:val="24"/>
          <w:lang w:eastAsia="zh-CN"/>
        </w:rPr>
        <w:t>“总体情</w:t>
      </w:r>
      <w:bookmarkStart w:id="0" w:name="_GoBack"/>
      <w:bookmarkEnd w:id="0"/>
      <w:r>
        <w:rPr>
          <w:rFonts w:hint="eastAsia" w:ascii="仿宋_GB2312" w:hAnsi="仿宋_GB2312" w:eastAsia="仿宋_GB2312" w:cs="仿宋_GB2312"/>
          <w:b/>
          <w:bCs/>
          <w:sz w:val="24"/>
          <w:szCs w:val="24"/>
          <w:lang w:eastAsia="zh-CN"/>
        </w:rPr>
        <w:t>况”、</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主动公开政府信息情况</w:t>
      </w:r>
      <w:r>
        <w:rPr>
          <w:rFonts w:hint="eastAsia" w:ascii="仿宋_GB2312" w:hAnsi="仿宋_GB2312" w:eastAsia="仿宋_GB2312" w:cs="仿宋_GB2312"/>
          <w:b/>
          <w:bCs/>
          <w:sz w:val="24"/>
          <w:szCs w:val="24"/>
        </w:rPr>
        <w:t>”、 “</w:t>
      </w:r>
      <w:r>
        <w:rPr>
          <w:rFonts w:hint="eastAsia" w:ascii="仿宋_GB2312" w:hAnsi="仿宋_GB2312" w:eastAsia="仿宋_GB2312" w:cs="仿宋_GB2312"/>
          <w:b/>
          <w:bCs/>
          <w:sz w:val="24"/>
          <w:szCs w:val="24"/>
          <w:lang w:eastAsia="zh-CN"/>
        </w:rPr>
        <w:t>收到和处理政府信息公开申请情况</w:t>
      </w:r>
      <w:r>
        <w:rPr>
          <w:rFonts w:hint="eastAsia" w:ascii="仿宋_GB2312" w:hAnsi="仿宋_GB2312" w:eastAsia="仿宋_GB2312" w:cs="仿宋_GB2312"/>
          <w:b/>
          <w:bCs/>
          <w:sz w:val="24"/>
          <w:szCs w:val="24"/>
        </w:rPr>
        <w:t>” “</w:t>
      </w:r>
      <w:r>
        <w:rPr>
          <w:rStyle w:val="6"/>
          <w:rFonts w:hint="eastAsia" w:ascii="仿宋_GB2312" w:hAnsi="仿宋_GB2312" w:eastAsia="仿宋_GB2312" w:cs="仿宋_GB2312"/>
          <w:b/>
          <w:bCs/>
          <w:i w:val="0"/>
          <w:caps w:val="0"/>
          <w:color w:val="auto"/>
          <w:spacing w:val="8"/>
          <w:sz w:val="24"/>
          <w:szCs w:val="24"/>
        </w:rPr>
        <w:t>政府信息公开行政复议、行政诉讼情况</w:t>
      </w:r>
      <w:r>
        <w:rPr>
          <w:rFonts w:hint="eastAsia" w:ascii="仿宋_GB2312" w:hAnsi="仿宋_GB2312" w:eastAsia="仿宋_GB2312" w:cs="仿宋_GB2312"/>
          <w:b/>
          <w:bCs/>
          <w:sz w:val="24"/>
          <w:szCs w:val="24"/>
        </w:rPr>
        <w:t>”、 “存在的主要问题</w:t>
      </w:r>
      <w:r>
        <w:rPr>
          <w:rFonts w:hint="eastAsia" w:ascii="仿宋_GB2312" w:hAnsi="仿宋_GB2312" w:eastAsia="仿宋_GB2312" w:cs="仿宋_GB2312"/>
          <w:b/>
          <w:bCs/>
          <w:sz w:val="24"/>
          <w:szCs w:val="24"/>
          <w:lang w:eastAsia="zh-CN"/>
        </w:rPr>
        <w:t>及改进情况</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w:t>
      </w:r>
      <w:r>
        <w:rPr>
          <w:rStyle w:val="6"/>
          <w:rFonts w:hint="eastAsia" w:ascii="仿宋_GB2312" w:hAnsi="仿宋_GB2312" w:eastAsia="仿宋_GB2312" w:cs="仿宋_GB2312"/>
          <w:b/>
          <w:bCs/>
          <w:i w:val="0"/>
          <w:caps w:val="0"/>
          <w:color w:val="auto"/>
          <w:spacing w:val="8"/>
          <w:sz w:val="24"/>
          <w:szCs w:val="24"/>
        </w:rPr>
        <w:t>其他需要报告的事项</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等</w:t>
      </w:r>
      <w:r>
        <w:rPr>
          <w:rFonts w:hint="eastAsia" w:ascii="仿宋_GB2312" w:hAnsi="仿宋_GB2312" w:eastAsia="仿宋_GB2312" w:cs="仿宋_GB2312"/>
          <w:b/>
          <w:bCs/>
          <w:sz w:val="24"/>
          <w:szCs w:val="24"/>
          <w:lang w:eastAsia="zh-CN"/>
        </w:rPr>
        <w:t>六</w:t>
      </w:r>
      <w:r>
        <w:rPr>
          <w:rFonts w:hint="eastAsia" w:ascii="仿宋_GB2312" w:hAnsi="仿宋_GB2312" w:eastAsia="仿宋_GB2312" w:cs="仿宋_GB2312"/>
          <w:b/>
          <w:bCs/>
          <w:sz w:val="24"/>
          <w:szCs w:val="24"/>
        </w:rPr>
        <w:t>个部分组成，所列数据截止日期为20</w:t>
      </w:r>
      <w:r>
        <w:rPr>
          <w:rFonts w:hint="eastAsia" w:ascii="仿宋_GB2312" w:hAnsi="仿宋_GB2312" w:eastAsia="仿宋_GB2312" w:cs="仿宋_GB2312"/>
          <w:b/>
          <w:bCs/>
          <w:sz w:val="24"/>
          <w:szCs w:val="24"/>
          <w:lang w:val="en-US" w:eastAsia="zh-CN"/>
        </w:rPr>
        <w:t>20</w:t>
      </w:r>
      <w:r>
        <w:rPr>
          <w:rFonts w:hint="eastAsia" w:ascii="仿宋_GB2312" w:hAnsi="仿宋_GB2312" w:eastAsia="仿宋_GB2312" w:cs="仿宋_GB2312"/>
          <w:b/>
          <w:bCs/>
          <w:sz w:val="24"/>
          <w:szCs w:val="24"/>
        </w:rPr>
        <w:t>年12月31日</w:t>
      </w:r>
      <w:r>
        <w:rPr>
          <w:rFonts w:hint="eastAsia" w:ascii="仿宋_GB2312" w:hAnsi="仿宋_GB2312" w:eastAsia="仿宋_GB2312" w:cs="仿宋_GB2312"/>
          <w:b/>
          <w:bCs/>
          <w:sz w:val="24"/>
          <w:szCs w:val="24"/>
          <w:lang w:eastAsia="zh-CN"/>
        </w:rPr>
        <w:t>。</w:t>
      </w:r>
    </w:p>
    <w:p>
      <w:pPr>
        <w:widowControl/>
        <w:shd w:val="clear" w:color="auto" w:fill="FFFFFF"/>
        <w:spacing w:after="240"/>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二、主动公开政府信息情况</w:t>
      </w:r>
    </w:p>
    <w:tbl>
      <w:tblPr>
        <w:tblStyle w:val="4"/>
        <w:tblW w:w="8140" w:type="dxa"/>
        <w:jc w:val="center"/>
        <w:tblLayout w:type="fixed"/>
        <w:tblCellMar>
          <w:top w:w="0" w:type="dxa"/>
          <w:left w:w="0" w:type="dxa"/>
          <w:bottom w:w="0" w:type="dxa"/>
          <w:right w:w="0" w:type="dxa"/>
        </w:tblCellMar>
      </w:tblPr>
      <w:tblGrid>
        <w:gridCol w:w="3113"/>
        <w:gridCol w:w="1875"/>
        <w:gridCol w:w="1271"/>
        <w:gridCol w:w="1881"/>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273</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eastAsia="zh-CN"/>
              </w:rPr>
              <w:t>减</w:t>
            </w:r>
            <w:r>
              <w:rPr>
                <w:rFonts w:hint="eastAsia" w:ascii="宋体" w:hAnsi="宋体" w:eastAsia="宋体" w:cs="宋体"/>
                <w:kern w:val="0"/>
                <w:sz w:val="20"/>
                <w:szCs w:val="20"/>
                <w:lang w:val="en-US" w:eastAsia="zh-CN"/>
              </w:rPr>
              <w:t>93</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180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5188</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eastAsia="zh-CN"/>
              </w:rPr>
              <w:t>减</w:t>
            </w:r>
            <w:r>
              <w:rPr>
                <w:rFonts w:hint="eastAsia" w:ascii="宋体" w:hAnsi="宋体" w:eastAsia="宋体" w:cs="宋体"/>
                <w:kern w:val="0"/>
                <w:sz w:val="20"/>
                <w:szCs w:val="20"/>
                <w:lang w:val="en-US" w:eastAsia="zh-CN"/>
              </w:rPr>
              <w:t>68</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5120</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22</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eastAsia="zh-CN"/>
              </w:rPr>
              <w:t>减</w:t>
            </w:r>
            <w:r>
              <w:rPr>
                <w:rFonts w:hint="eastAsia" w:ascii="宋体" w:hAnsi="宋体" w:eastAsia="宋体" w:cs="宋体"/>
                <w:kern w:val="0"/>
                <w:sz w:val="20"/>
                <w:szCs w:val="20"/>
                <w:lang w:val="en-US" w:eastAsia="zh-CN"/>
              </w:rPr>
              <w:t>18</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8</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eastAsia="zh-CN"/>
              </w:rPr>
              <w:t>减</w:t>
            </w:r>
            <w:r>
              <w:rPr>
                <w:rFonts w:hint="eastAsia" w:ascii="宋体" w:hAnsi="宋体" w:eastAsia="宋体" w:cs="宋体"/>
                <w:kern w:val="0"/>
                <w:sz w:val="20"/>
                <w:szCs w:val="20"/>
                <w:lang w:val="en-US" w:eastAsia="zh-CN"/>
              </w:rPr>
              <w:t>5</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15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rPr>
            </w:pPr>
            <w:r>
              <w:rPr>
                <w:rFonts w:ascii="宋体" w:hAnsi="宋体" w:eastAsia="宋体" w:cs="宋体"/>
                <w:kern w:val="0"/>
                <w:sz w:val="20"/>
                <w:szCs w:val="20"/>
              </w:rPr>
              <w:t>0</w:t>
            </w:r>
          </w:p>
        </w:tc>
        <w:tc>
          <w:tcPr>
            <w:tcW w:w="3152"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15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政府集中采购</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14</w:t>
            </w:r>
          </w:p>
        </w:tc>
        <w:tc>
          <w:tcPr>
            <w:tcW w:w="315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8267万元</w:t>
            </w:r>
          </w:p>
        </w:tc>
      </w:tr>
      <w:tr>
        <w:tblPrEx>
          <w:tblCellMar>
            <w:top w:w="0" w:type="dxa"/>
            <w:left w:w="0" w:type="dxa"/>
            <w:bottom w:w="0" w:type="dxa"/>
            <w:right w:w="0" w:type="dxa"/>
          </w:tblCellMar>
        </w:tblPrEx>
        <w:trPr>
          <w:trHeight w:val="539" w:hRule="atLeast"/>
          <w:jc w:val="center"/>
        </w:trPr>
        <w:tc>
          <w:tcPr>
            <w:tcW w:w="8140" w:type="dxa"/>
            <w:gridSpan w:val="4"/>
            <w:tcBorders>
              <w:top w:val="nil"/>
              <w:left w:val="single" w:color="auto" w:sz="8" w:space="0"/>
              <w:bottom w:val="single" w:color="auto" w:sz="8" w:space="0"/>
              <w:right w:val="single" w:color="000000"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color w:val="000000"/>
                <w:kern w:val="0"/>
                <w:sz w:val="18"/>
                <w:szCs w:val="18"/>
              </w:rPr>
              <w:t>2020年本行政区域（或本部门）政府信息公开发布总数量（非新闻类、消息类）：</w:t>
            </w:r>
            <w:r>
              <w:rPr>
                <w:rFonts w:hint="eastAsia" w:ascii="宋体" w:hAnsi="宋体" w:eastAsia="宋体" w:cs="宋体"/>
                <w:color w:val="000000"/>
                <w:kern w:val="0"/>
                <w:sz w:val="18"/>
                <w:szCs w:val="18"/>
                <w:lang w:val="en-US" w:eastAsia="zh-CN"/>
              </w:rPr>
              <w:t>52</w:t>
            </w:r>
          </w:p>
        </w:tc>
      </w:tr>
    </w:tbl>
    <w:p>
      <w:pPr>
        <w:widowControl/>
        <w:shd w:val="clear" w:color="auto" w:fill="FFFFFF"/>
        <w:ind w:firstLine="480"/>
        <w:rPr>
          <w:rFonts w:ascii="宋体" w:hAnsi="宋体" w:eastAsia="宋体" w:cs="宋体"/>
          <w:color w:val="333333"/>
          <w:kern w:val="0"/>
          <w:sz w:val="24"/>
          <w:szCs w:val="24"/>
        </w:rPr>
      </w:pPr>
    </w:p>
    <w:p>
      <w:pPr>
        <w:widowControl/>
        <w:shd w:val="clear" w:color="auto" w:fill="FFFFFF"/>
        <w:spacing w:after="240"/>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三、收到和处理政府信息公开申请情况</w:t>
      </w:r>
    </w:p>
    <w:tbl>
      <w:tblPr>
        <w:tblStyle w:val="4"/>
        <w:tblW w:w="8164" w:type="dxa"/>
        <w:jc w:val="center"/>
        <w:tblLayout w:type="fixed"/>
        <w:tblCellMar>
          <w:top w:w="0" w:type="dxa"/>
          <w:left w:w="0" w:type="dxa"/>
          <w:bottom w:w="0" w:type="dxa"/>
          <w:right w:w="0" w:type="dxa"/>
        </w:tblCellMar>
      </w:tblPr>
      <w:tblGrid>
        <w:gridCol w:w="616"/>
        <w:gridCol w:w="845"/>
        <w:gridCol w:w="1974"/>
        <w:gridCol w:w="644"/>
        <w:gridCol w:w="644"/>
        <w:gridCol w:w="586"/>
        <w:gridCol w:w="813"/>
        <w:gridCol w:w="866"/>
        <w:gridCol w:w="644"/>
        <w:gridCol w:w="532"/>
      </w:tblGrid>
      <w:tr>
        <w:tblPrEx>
          <w:tblCellMar>
            <w:top w:w="0" w:type="dxa"/>
            <w:left w:w="0" w:type="dxa"/>
            <w:bottom w:w="0" w:type="dxa"/>
            <w:right w:w="0" w:type="dxa"/>
          </w:tblCellMar>
        </w:tblPrEx>
        <w:trPr>
          <w:jc w:val="center"/>
        </w:trPr>
        <w:tc>
          <w:tcPr>
            <w:tcW w:w="3435"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4729"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343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4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553"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53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343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4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4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532"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68" w:hRule="atLeast"/>
          <w:jc w:val="center"/>
        </w:trPr>
        <w:tc>
          <w:tcPr>
            <w:tcW w:w="343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rPr>
            </w:pPr>
            <w:r>
              <w:rPr>
                <w:rFonts w:ascii="Calibri" w:hAnsi="Calibri" w:eastAsia="宋体" w:cs="Calibri"/>
                <w:kern w:val="0"/>
                <w:sz w:val="20"/>
                <w:szCs w:val="20"/>
              </w:rPr>
              <w:t> 0</w:t>
            </w:r>
          </w:p>
        </w:tc>
      </w:tr>
      <w:tr>
        <w:tblPrEx>
          <w:tblCellMar>
            <w:top w:w="0" w:type="dxa"/>
            <w:left w:w="0" w:type="dxa"/>
            <w:bottom w:w="0" w:type="dxa"/>
            <w:right w:w="0" w:type="dxa"/>
          </w:tblCellMar>
        </w:tblPrEx>
        <w:trPr>
          <w:trHeight w:val="431" w:hRule="atLeast"/>
          <w:jc w:val="center"/>
        </w:trPr>
        <w:tc>
          <w:tcPr>
            <w:tcW w:w="343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rPr>
            </w:pPr>
            <w:r>
              <w:rPr>
                <w:rFonts w:ascii="Calibri" w:hAnsi="Calibri" w:eastAsia="宋体" w:cs="Calibri"/>
                <w:kern w:val="0"/>
                <w:sz w:val="20"/>
                <w:szCs w:val="20"/>
              </w:rPr>
              <w:t> 0</w:t>
            </w:r>
          </w:p>
        </w:tc>
      </w:tr>
      <w:tr>
        <w:tblPrEx>
          <w:tblCellMar>
            <w:top w:w="0" w:type="dxa"/>
            <w:left w:w="0" w:type="dxa"/>
            <w:bottom w:w="0" w:type="dxa"/>
            <w:right w:w="0" w:type="dxa"/>
          </w:tblCellMar>
        </w:tblPrEx>
        <w:trPr>
          <w:trHeight w:val="383" w:hRule="atLeast"/>
          <w:jc w:val="center"/>
        </w:trPr>
        <w:tc>
          <w:tcPr>
            <w:tcW w:w="61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281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3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rPr>
            </w:pPr>
            <w:r>
              <w:rPr>
                <w:rFonts w:ascii="Calibri" w:hAnsi="Calibri" w:eastAsia="宋体" w:cs="Calibri"/>
                <w:kern w:val="0"/>
                <w:sz w:val="20"/>
                <w:szCs w:val="20"/>
              </w:rPr>
              <w:t> 0</w:t>
            </w:r>
          </w:p>
        </w:tc>
      </w:tr>
      <w:tr>
        <w:tblPrEx>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81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rPr>
            </w:pPr>
            <w:r>
              <w:rPr>
                <w:rFonts w:ascii="Calibri" w:hAnsi="Calibri" w:eastAsia="宋体" w:cs="Calibri"/>
                <w:kern w:val="0"/>
                <w:sz w:val="20"/>
                <w:szCs w:val="20"/>
              </w:rPr>
              <w:t> 0</w:t>
            </w:r>
          </w:p>
        </w:tc>
      </w:tr>
      <w:tr>
        <w:tblPrEx>
          <w:tblCellMar>
            <w:top w:w="0" w:type="dxa"/>
            <w:left w:w="0" w:type="dxa"/>
            <w:bottom w:w="0" w:type="dxa"/>
            <w:right w:w="0" w:type="dxa"/>
          </w:tblCellMar>
        </w:tblPrEx>
        <w:trPr>
          <w:trHeight w:val="469" w:hRule="atLeast"/>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4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1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3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rPr>
            </w:pPr>
            <w:r>
              <w:rPr>
                <w:rFonts w:ascii="Calibri" w:hAnsi="Calibri" w:eastAsia="宋体" w:cs="Calibri"/>
                <w:kern w:val="0"/>
                <w:sz w:val="20"/>
                <w:szCs w:val="20"/>
              </w:rPr>
              <w:t> 0</w:t>
            </w:r>
          </w:p>
        </w:tc>
      </w:tr>
      <w:tr>
        <w:tblPrEx>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45"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rPr>
            </w:pPr>
            <w:r>
              <w:rPr>
                <w:rFonts w:ascii="Calibri" w:hAnsi="Calibri" w:eastAsia="宋体" w:cs="Calibri"/>
                <w:kern w:val="0"/>
                <w:sz w:val="20"/>
                <w:szCs w:val="20"/>
              </w:rPr>
              <w:t> 0</w:t>
            </w:r>
          </w:p>
        </w:tc>
      </w:tr>
      <w:tr>
        <w:tblPrEx>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45"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rPr>
            </w:pPr>
            <w:r>
              <w:rPr>
                <w:rFonts w:ascii="Calibri" w:hAnsi="Calibri" w:eastAsia="宋体" w:cs="Calibri"/>
                <w:kern w:val="0"/>
                <w:sz w:val="20"/>
                <w:szCs w:val="20"/>
              </w:rPr>
              <w:t> 0</w:t>
            </w:r>
          </w:p>
        </w:tc>
      </w:tr>
      <w:tr>
        <w:tblPrEx>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45"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rPr>
            </w:pPr>
            <w:r>
              <w:rPr>
                <w:rFonts w:ascii="Calibri" w:hAnsi="Calibri" w:eastAsia="宋体" w:cs="Calibri"/>
                <w:kern w:val="0"/>
                <w:sz w:val="20"/>
                <w:szCs w:val="20"/>
              </w:rPr>
              <w:t> 0</w:t>
            </w:r>
          </w:p>
        </w:tc>
      </w:tr>
      <w:tr>
        <w:tblPrEx>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45"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rPr>
            </w:pPr>
            <w:r>
              <w:rPr>
                <w:rFonts w:ascii="Calibri" w:hAnsi="Calibri" w:eastAsia="宋体" w:cs="Calibri"/>
                <w:kern w:val="0"/>
                <w:sz w:val="20"/>
                <w:szCs w:val="20"/>
              </w:rPr>
              <w:t> 0</w:t>
            </w:r>
          </w:p>
        </w:tc>
      </w:tr>
      <w:tr>
        <w:tblPrEx>
          <w:tblCellMar>
            <w:top w:w="0" w:type="dxa"/>
            <w:left w:w="0" w:type="dxa"/>
            <w:bottom w:w="0" w:type="dxa"/>
            <w:right w:w="0" w:type="dxa"/>
          </w:tblCellMar>
        </w:tblPrEx>
        <w:trPr>
          <w:trHeight w:val="526" w:hRule="atLeast"/>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45"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rPr>
            </w:pPr>
            <w:r>
              <w:rPr>
                <w:rFonts w:ascii="Calibri" w:hAnsi="Calibri" w:eastAsia="宋体" w:cs="Calibri"/>
                <w:kern w:val="0"/>
                <w:sz w:val="20"/>
                <w:szCs w:val="20"/>
              </w:rPr>
              <w:t> 0</w:t>
            </w:r>
          </w:p>
        </w:tc>
      </w:tr>
      <w:tr>
        <w:tblPrEx>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45"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rPr>
            </w:pPr>
            <w:r>
              <w:rPr>
                <w:rFonts w:ascii="Calibri" w:hAnsi="Calibri" w:eastAsia="宋体" w:cs="Calibri"/>
                <w:kern w:val="0"/>
                <w:sz w:val="20"/>
                <w:szCs w:val="20"/>
              </w:rPr>
              <w:t> 0</w:t>
            </w:r>
          </w:p>
        </w:tc>
      </w:tr>
      <w:tr>
        <w:tblPrEx>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45"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rPr>
            </w:pPr>
            <w:r>
              <w:rPr>
                <w:rFonts w:ascii="Calibri" w:hAnsi="Calibri" w:eastAsia="宋体" w:cs="Calibri"/>
                <w:kern w:val="0"/>
                <w:sz w:val="20"/>
                <w:szCs w:val="20"/>
              </w:rPr>
              <w:t> 0</w:t>
            </w:r>
          </w:p>
        </w:tc>
      </w:tr>
      <w:tr>
        <w:tblPrEx>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4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1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rPr>
            </w:pPr>
            <w:r>
              <w:rPr>
                <w:rFonts w:ascii="Calibri" w:hAnsi="Calibri" w:eastAsia="宋体" w:cs="Calibri"/>
                <w:kern w:val="0"/>
                <w:sz w:val="20"/>
                <w:szCs w:val="20"/>
              </w:rPr>
              <w:t> 0</w:t>
            </w:r>
          </w:p>
        </w:tc>
      </w:tr>
      <w:tr>
        <w:tblPrEx>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45"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rPr>
            </w:pPr>
            <w:r>
              <w:rPr>
                <w:rFonts w:ascii="Calibri" w:hAnsi="Calibri" w:eastAsia="宋体" w:cs="Calibri"/>
                <w:kern w:val="0"/>
                <w:sz w:val="20"/>
                <w:szCs w:val="20"/>
              </w:rPr>
              <w:t> 0</w:t>
            </w:r>
          </w:p>
        </w:tc>
      </w:tr>
      <w:tr>
        <w:tblPrEx>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45"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rPr>
            </w:pPr>
            <w:r>
              <w:rPr>
                <w:rFonts w:ascii="Calibri" w:hAnsi="Calibri" w:eastAsia="宋体" w:cs="Calibri"/>
                <w:kern w:val="0"/>
                <w:sz w:val="20"/>
                <w:szCs w:val="20"/>
              </w:rPr>
              <w:t> 0</w:t>
            </w:r>
          </w:p>
        </w:tc>
      </w:tr>
      <w:tr>
        <w:tblPrEx>
          <w:tblCellMar>
            <w:top w:w="0" w:type="dxa"/>
            <w:left w:w="0" w:type="dxa"/>
            <w:bottom w:w="0" w:type="dxa"/>
            <w:right w:w="0" w:type="dxa"/>
          </w:tblCellMar>
        </w:tblPrEx>
        <w:trPr>
          <w:trHeight w:val="445" w:hRule="atLeast"/>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4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1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rPr>
            </w:pPr>
            <w:r>
              <w:rPr>
                <w:rFonts w:ascii="Calibri" w:hAnsi="Calibri" w:eastAsia="宋体" w:cs="Calibri"/>
                <w:kern w:val="0"/>
                <w:sz w:val="20"/>
                <w:szCs w:val="20"/>
              </w:rPr>
              <w:t> 0</w:t>
            </w:r>
          </w:p>
        </w:tc>
      </w:tr>
      <w:tr>
        <w:tblPrEx>
          <w:tblCellMar>
            <w:top w:w="0" w:type="dxa"/>
            <w:left w:w="0" w:type="dxa"/>
            <w:bottom w:w="0" w:type="dxa"/>
            <w:right w:w="0" w:type="dxa"/>
          </w:tblCellMar>
        </w:tblPrEx>
        <w:trPr>
          <w:trHeight w:val="409" w:hRule="atLeast"/>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45"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8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5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rPr>
            </w:pPr>
            <w:r>
              <w:rPr>
                <w:rFonts w:ascii="宋体" w:hAnsi="宋体" w:eastAsia="宋体" w:cs="宋体"/>
                <w:kern w:val="0"/>
                <w:sz w:val="24"/>
                <w:szCs w:val="24"/>
              </w:rPr>
              <w:t>0</w:t>
            </w:r>
          </w:p>
        </w:tc>
      </w:tr>
      <w:tr>
        <w:tblPrEx>
          <w:tblCellMar>
            <w:top w:w="0" w:type="dxa"/>
            <w:left w:w="0" w:type="dxa"/>
            <w:bottom w:w="0" w:type="dxa"/>
            <w:right w:w="0" w:type="dxa"/>
          </w:tblCellMar>
        </w:tblPrEx>
        <w:trPr>
          <w:trHeight w:val="401" w:hRule="atLeast"/>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45"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8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5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rPr>
            </w:pPr>
            <w:r>
              <w:rPr>
                <w:rFonts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45"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8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5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rPr>
            </w:pPr>
            <w:r>
              <w:rPr>
                <w:rFonts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45"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8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5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rPr>
            </w:pPr>
            <w:r>
              <w:rPr>
                <w:rFonts w:ascii="宋体" w:hAnsi="宋体" w:eastAsia="宋体" w:cs="宋体"/>
                <w:kern w:val="0"/>
                <w:sz w:val="24"/>
                <w:szCs w:val="24"/>
              </w:rPr>
              <w:t>0</w:t>
            </w:r>
          </w:p>
        </w:tc>
      </w:tr>
      <w:tr>
        <w:tblPrEx>
          <w:tblCellMar>
            <w:top w:w="0" w:type="dxa"/>
            <w:left w:w="0" w:type="dxa"/>
            <w:bottom w:w="0" w:type="dxa"/>
            <w:right w:w="0" w:type="dxa"/>
          </w:tblCellMar>
        </w:tblPrEx>
        <w:trPr>
          <w:trHeight w:val="383" w:hRule="atLeast"/>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81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rPr>
            </w:pPr>
            <w:r>
              <w:rPr>
                <w:rFonts w:ascii="Calibri" w:hAnsi="Calibri" w:eastAsia="宋体" w:cs="Calibri"/>
                <w:kern w:val="0"/>
                <w:sz w:val="20"/>
                <w:szCs w:val="20"/>
              </w:rPr>
              <w:t> 0</w:t>
            </w:r>
          </w:p>
        </w:tc>
      </w:tr>
      <w:tr>
        <w:tblPrEx>
          <w:tblCellMar>
            <w:top w:w="0" w:type="dxa"/>
            <w:left w:w="0" w:type="dxa"/>
            <w:bottom w:w="0" w:type="dxa"/>
            <w:right w:w="0" w:type="dxa"/>
          </w:tblCellMar>
        </w:tblPrEx>
        <w:trPr>
          <w:trHeight w:val="416" w:hRule="atLeast"/>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81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rPr>
            </w:pPr>
            <w:r>
              <w:rPr>
                <w:rFonts w:ascii="Calibri" w:hAnsi="Calibri" w:eastAsia="宋体" w:cs="Calibri"/>
                <w:kern w:val="0"/>
                <w:sz w:val="20"/>
                <w:szCs w:val="20"/>
              </w:rPr>
              <w:t> 0</w:t>
            </w:r>
          </w:p>
        </w:tc>
      </w:tr>
      <w:tr>
        <w:tblPrEx>
          <w:tblCellMar>
            <w:top w:w="0" w:type="dxa"/>
            <w:left w:w="0" w:type="dxa"/>
            <w:bottom w:w="0" w:type="dxa"/>
            <w:right w:w="0" w:type="dxa"/>
          </w:tblCellMar>
        </w:tblPrEx>
        <w:trPr>
          <w:trHeight w:val="408" w:hRule="atLeast"/>
          <w:jc w:val="center"/>
        </w:trPr>
        <w:tc>
          <w:tcPr>
            <w:tcW w:w="343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8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宋体" w:hAnsi="宋体" w:eastAsia="宋体" w:cs="宋体"/>
                <w:kern w:val="0"/>
                <w:sz w:val="24"/>
                <w:szCs w:val="24"/>
              </w:rPr>
            </w:pPr>
            <w:r>
              <w:rPr>
                <w:rFonts w:ascii="宋体" w:hAnsi="宋体" w:eastAsia="宋体" w:cs="宋体"/>
                <w:kern w:val="0"/>
                <w:sz w:val="24"/>
                <w:szCs w:val="24"/>
              </w:rPr>
              <w:t>0</w:t>
            </w:r>
          </w:p>
        </w:tc>
      </w:tr>
    </w:tbl>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四、政府信息公开行政复议、行政诉讼情况</w:t>
      </w:r>
    </w:p>
    <w:p>
      <w:pPr>
        <w:widowControl/>
        <w:shd w:val="clear" w:color="auto" w:fill="FFFFFF"/>
        <w:ind w:firstLine="480"/>
        <w:rPr>
          <w:rFonts w:ascii="宋体" w:hAnsi="宋体" w:eastAsia="宋体" w:cs="宋体"/>
          <w:color w:val="333333"/>
          <w:kern w:val="0"/>
          <w:sz w:val="24"/>
          <w:szCs w:val="24"/>
        </w:rPr>
      </w:pPr>
    </w:p>
    <w:tbl>
      <w:tblPr>
        <w:tblStyle w:val="4"/>
        <w:tblW w:w="8220" w:type="dxa"/>
        <w:jc w:val="center"/>
        <w:tblLayout w:type="fixed"/>
        <w:tblCellMar>
          <w:top w:w="0" w:type="dxa"/>
          <w:left w:w="0" w:type="dxa"/>
          <w:bottom w:w="0" w:type="dxa"/>
          <w:right w:w="0" w:type="dxa"/>
        </w:tblCellMar>
      </w:tblPr>
      <w:tblGrid>
        <w:gridCol w:w="547"/>
        <w:gridCol w:w="547"/>
        <w:gridCol w:w="547"/>
        <w:gridCol w:w="547"/>
        <w:gridCol w:w="585"/>
        <w:gridCol w:w="510"/>
        <w:gridCol w:w="548"/>
        <w:gridCol w:w="548"/>
        <w:gridCol w:w="548"/>
        <w:gridCol w:w="548"/>
        <w:gridCol w:w="548"/>
        <w:gridCol w:w="548"/>
        <w:gridCol w:w="549"/>
        <w:gridCol w:w="550"/>
        <w:gridCol w:w="550"/>
      </w:tblGrid>
      <w:tr>
        <w:tblPrEx>
          <w:tblCellMar>
            <w:top w:w="0" w:type="dxa"/>
            <w:left w:w="0" w:type="dxa"/>
            <w:bottom w:w="0" w:type="dxa"/>
            <w:right w:w="0" w:type="dxa"/>
          </w:tblCellMar>
        </w:tblPrEx>
        <w:trPr>
          <w:jc w:val="center"/>
        </w:trPr>
        <w:tc>
          <w:tcPr>
            <w:tcW w:w="277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44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54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54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54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54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58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70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274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54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47"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47"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47"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8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5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54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54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54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54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54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54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5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5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54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p>
        </w:tc>
        <w:tc>
          <w:tcPr>
            <w:tcW w:w="5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p>
        </w:tc>
        <w:tc>
          <w:tcPr>
            <w:tcW w:w="5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p>
        </w:tc>
        <w:tc>
          <w:tcPr>
            <w:tcW w:w="5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p>
        </w:tc>
        <w:tc>
          <w:tcPr>
            <w:tcW w:w="5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5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p>
        </w:tc>
        <w:tc>
          <w:tcPr>
            <w:tcW w:w="5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p>
        </w:tc>
        <w:tc>
          <w:tcPr>
            <w:tcW w:w="5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宋体" w:hAnsi="宋体" w:eastAsia="宋体" w:cs="宋体"/>
                <w:kern w:val="0"/>
                <w:sz w:val="24"/>
                <w:szCs w:val="24"/>
              </w:rPr>
            </w:pPr>
            <w:r>
              <w:rPr>
                <w:rFonts w:ascii="宋体" w:hAnsi="宋体" w:eastAsia="宋体" w:cs="宋体"/>
                <w:kern w:val="0"/>
                <w:sz w:val="24"/>
                <w:szCs w:val="24"/>
              </w:rPr>
              <w:t>0</w:t>
            </w:r>
          </w:p>
        </w:tc>
      </w:tr>
    </w:tbl>
    <w:p>
      <w:pPr>
        <w:widowControl/>
        <w:shd w:val="clear" w:color="auto" w:fill="FFFFFF"/>
        <w:jc w:val="center"/>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五、存在的主要问题及改进情况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政策解读偏少，政策解读形式不够丰富。因我单位20</w:t>
      </w:r>
      <w:r>
        <w:rPr>
          <w:rFonts w:hint="eastAsia" w:ascii="宋体" w:hAnsi="宋体" w:eastAsia="宋体" w:cs="宋体"/>
          <w:sz w:val="24"/>
          <w:szCs w:val="24"/>
          <w:lang w:val="en-US" w:eastAsia="zh-CN"/>
        </w:rPr>
        <w:t>20</w:t>
      </w:r>
      <w:r>
        <w:rPr>
          <w:rFonts w:hint="eastAsia" w:ascii="宋体" w:hAnsi="宋体" w:eastAsia="宋体" w:cs="宋体"/>
          <w:sz w:val="24"/>
          <w:szCs w:val="24"/>
        </w:rPr>
        <w:t>年没有出台规范性文件，因此本单位无政策解读文件。但为加强该项工作，我单位及时将上级出台的一些法律法规及规范性文件解读文件及时上传至</w:t>
      </w:r>
      <w:r>
        <w:rPr>
          <w:rFonts w:hint="eastAsia" w:ascii="宋体" w:hAnsi="宋体" w:eastAsia="宋体" w:cs="宋体"/>
          <w:sz w:val="24"/>
          <w:szCs w:val="24"/>
          <w:lang w:eastAsia="zh-CN"/>
        </w:rPr>
        <w:t>临江交通微信公众号进行公示宣传。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强化组织领导。严格按照政府信息公开单位职责要求，明确政务公开信息业务具体经办人员、具体职责，做到常规性工作定期公开，阶段性工作随时公开，固定性工作长期公开。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严格审查程序。坚持“先审查、后公开”制度，对信息内容的准确性、时效性、保密性进一步明确，严格执行文件发布、政务公开程序，明确界定主动公开、依申请公开或者不予公开情形，保证“上网信息不涉密，涉密信息不上网”。</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sz w:val="24"/>
          <w:szCs w:val="24"/>
        </w:rPr>
        <w:t>按时公开内容。按照时间节点要求及时有效公开机关党建、绩效、工程招投标等工作开展、推进、落实情况。坚持把群众最关心、最关乎切身利益的事项作为政务公开工作的重中之重，从公开信息时效和公开内容质量等多方面入手，多维度多渠道多路径加大推进政务公开的力度。</w:t>
      </w:r>
      <w:r>
        <w:rPr>
          <w:rFonts w:hint="eastAsia" w:ascii="宋体" w:hAnsi="宋体" w:eastAsia="宋体" w:cs="宋体"/>
          <w:color w:val="333333"/>
          <w:kern w:val="0"/>
          <w:sz w:val="24"/>
          <w:szCs w:val="24"/>
        </w:rPr>
        <w:t xml:space="preserve"> </w:t>
      </w: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六、其他需要报告的事项</w:t>
      </w:r>
    </w:p>
    <w:p>
      <w:pPr>
        <w:widowControl/>
        <w:shd w:val="clear" w:color="auto" w:fill="FFFFFF"/>
        <w:ind w:firstLine="480"/>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eastAsia="zh-CN"/>
        </w:rPr>
        <w:t>本年度人大政协提案</w:t>
      </w:r>
      <w:r>
        <w:rPr>
          <w:rFonts w:hint="eastAsia" w:ascii="宋体" w:hAnsi="宋体" w:eastAsia="宋体" w:cs="宋体"/>
          <w:color w:val="333333"/>
          <w:kern w:val="0"/>
          <w:sz w:val="24"/>
          <w:szCs w:val="24"/>
          <w:lang w:val="en-US" w:eastAsia="zh-CN"/>
        </w:rPr>
        <w:t>8件，</w:t>
      </w:r>
      <w:r>
        <w:rPr>
          <w:rFonts w:hint="eastAsia" w:ascii="宋体" w:hAnsi="宋体" w:eastAsia="宋体" w:cs="宋体"/>
          <w:color w:val="333333"/>
          <w:kern w:val="0"/>
          <w:sz w:val="24"/>
          <w:szCs w:val="24"/>
          <w:lang w:eastAsia="zh-CN"/>
        </w:rPr>
        <w:t>和政协议案</w:t>
      </w:r>
      <w:r>
        <w:rPr>
          <w:rFonts w:hint="eastAsia" w:ascii="宋体" w:hAnsi="宋体" w:eastAsia="宋体" w:cs="宋体"/>
          <w:color w:val="333333"/>
          <w:kern w:val="0"/>
          <w:sz w:val="24"/>
          <w:szCs w:val="24"/>
          <w:lang w:val="en-US" w:eastAsia="zh-CN"/>
        </w:rPr>
        <w:t>1件，</w:t>
      </w:r>
      <w:r>
        <w:rPr>
          <w:rFonts w:hint="eastAsia" w:ascii="宋体" w:hAnsi="宋体" w:eastAsia="宋体" w:cs="宋体"/>
          <w:color w:val="333333"/>
          <w:kern w:val="0"/>
          <w:sz w:val="24"/>
          <w:szCs w:val="24"/>
          <w:lang w:eastAsia="zh-CN"/>
        </w:rPr>
        <w:t>答复率</w:t>
      </w:r>
      <w:r>
        <w:rPr>
          <w:rFonts w:hint="eastAsia" w:ascii="宋体" w:hAnsi="宋体" w:eastAsia="宋体" w:cs="宋体"/>
          <w:color w:val="333333"/>
          <w:kern w:val="0"/>
          <w:sz w:val="24"/>
          <w:szCs w:val="24"/>
          <w:lang w:val="en-US" w:eastAsia="zh-CN"/>
        </w:rPr>
        <w:t>100%，满意率100%。</w:t>
      </w: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widowControl/>
        <w:jc w:val="left"/>
      </w:pP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文星标宋">
    <w:altName w:val="宋体"/>
    <w:panose1 w:val="02010604000101010101"/>
    <w:charset w:val="86"/>
    <w:family w:val="auto"/>
    <w:pitch w:val="default"/>
    <w:sig w:usb0="00000000" w:usb1="00000000" w:usb2="0000001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2443061"/>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30077"/>
    <w:rsid w:val="027F682E"/>
    <w:rsid w:val="0A3C5747"/>
    <w:rsid w:val="17E772C0"/>
    <w:rsid w:val="1D71FA00"/>
    <w:rsid w:val="343C1C22"/>
    <w:rsid w:val="46C75959"/>
    <w:rsid w:val="48984F9B"/>
    <w:rsid w:val="605A6FFC"/>
    <w:rsid w:val="64930077"/>
    <w:rsid w:val="71E41E86"/>
    <w:rsid w:val="7F7FE737"/>
    <w:rsid w:val="FFD565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2021-01-04T19:15:00Z</dcterms:created>
  <dc:creator>&amp;</dc:creator>
  <cp:lastModifiedBy>邵明晖</cp:lastModifiedBy>
  <dcterms:modified xsi:type="dcterms:W3CDTF">2021-01-05T08:58:00Z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