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2D2E6">
      <w:pPr>
        <w:bidi w:val="0"/>
        <w:spacing w:before="0" w:after="0" w:line="240" w:lineRule="auto"/>
        <w:ind w:firstLine="0"/>
        <w:jc w:val="center"/>
        <w:rPr>
          <w:rFonts w:eastAsia="新宋体"/>
          <w:color w:val="000000"/>
          <w:sz w:val="32"/>
          <w:u w:val="none"/>
          <w:lang w:val="zh-CN"/>
        </w:rPr>
      </w:pPr>
      <w:bookmarkStart w:id="0" w:name="_GoBack"/>
      <w:r>
        <w:rPr>
          <w:rFonts w:eastAsia="新宋体"/>
          <w:color w:val="000000"/>
          <w:sz w:val="32"/>
          <w:u w:val="none"/>
          <w:lang w:val="zh-CN"/>
        </w:rPr>
        <w:t>全市</w:t>
      </w:r>
      <w:r>
        <w:rPr>
          <w:rFonts w:hint="eastAsia" w:eastAsia="新宋体"/>
          <w:color w:val="000000"/>
          <w:sz w:val="32"/>
          <w:u w:val="none"/>
          <w:lang w:val="en-US" w:eastAsia="zh-CN"/>
        </w:rPr>
        <w:t>农业系统</w:t>
      </w:r>
      <w:r>
        <w:rPr>
          <w:rFonts w:eastAsia="新宋体"/>
          <w:color w:val="000000"/>
          <w:sz w:val="32"/>
          <w:u w:val="none"/>
          <w:lang w:val="zh-CN"/>
        </w:rPr>
        <w:t>今冬明春安全生产和自然灾害风险隐患排查整治专项行动任务清单</w:t>
      </w:r>
      <w:bookmarkEnd w:id="0"/>
    </w:p>
    <w:p w14:paraId="3208F2F0">
      <w:pPr>
        <w:bidi w:val="0"/>
        <w:spacing w:before="0" w:after="0" w:line="240" w:lineRule="auto"/>
        <w:ind w:firstLine="0"/>
        <w:jc w:val="left"/>
        <w:rPr>
          <w:rFonts w:eastAsia="新宋体"/>
          <w:color w:val="000000"/>
          <w:sz w:val="32"/>
          <w:u w:val="none"/>
          <w:lang w:val="zh-CN"/>
        </w:rPr>
      </w:pPr>
    </w:p>
    <w:tbl>
      <w:tblPr>
        <w:tblStyle w:val="9"/>
        <w:tblW w:w="13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1"/>
        <w:gridCol w:w="1597"/>
        <w:gridCol w:w="8355"/>
        <w:gridCol w:w="2439"/>
      </w:tblGrid>
      <w:tr w14:paraId="1A26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1501" w:type="dxa"/>
            <w:vAlign w:val="center"/>
          </w:tcPr>
          <w:p w14:paraId="7BB8D827">
            <w:pPr>
              <w:jc w:val="center"/>
              <w:rPr>
                <w:rFonts w:hint="eastAsia" w:ascii="宋体" w:hAnsi="宋体" w:eastAsia="宋体" w:cs="宋体"/>
                <w:sz w:val="24"/>
                <w:szCs w:val="24"/>
              </w:rPr>
            </w:pPr>
            <w:r>
              <w:rPr>
                <w:rFonts w:hint="eastAsia" w:ascii="宋体" w:hAnsi="宋体" w:eastAsia="宋体" w:cs="宋体"/>
                <w:b w:val="0"/>
                <w:i w:val="0"/>
                <w:sz w:val="24"/>
                <w:szCs w:val="24"/>
              </w:rPr>
              <w:t>整治领域</w:t>
            </w:r>
          </w:p>
        </w:tc>
        <w:tc>
          <w:tcPr>
            <w:tcW w:w="1597" w:type="dxa"/>
            <w:vAlign w:val="center"/>
          </w:tcPr>
          <w:p w14:paraId="1C1B3146">
            <w:pPr>
              <w:jc w:val="center"/>
              <w:rPr>
                <w:rFonts w:hint="eastAsia" w:ascii="宋体" w:hAnsi="宋体" w:eastAsia="宋体" w:cs="宋体"/>
                <w:sz w:val="24"/>
                <w:szCs w:val="24"/>
              </w:rPr>
            </w:pPr>
            <w:r>
              <w:rPr>
                <w:rFonts w:hint="eastAsia" w:ascii="宋体" w:hAnsi="宋体" w:eastAsia="宋体" w:cs="宋体"/>
                <w:b w:val="0"/>
                <w:i w:val="0"/>
                <w:sz w:val="24"/>
                <w:szCs w:val="24"/>
              </w:rPr>
              <w:t>整治重点</w:t>
            </w:r>
          </w:p>
        </w:tc>
        <w:tc>
          <w:tcPr>
            <w:tcW w:w="8355" w:type="dxa"/>
            <w:vAlign w:val="center"/>
          </w:tcPr>
          <w:p w14:paraId="04DCCCCB">
            <w:pPr>
              <w:jc w:val="center"/>
              <w:rPr>
                <w:rFonts w:hint="eastAsia" w:ascii="宋体" w:hAnsi="宋体" w:eastAsia="宋体" w:cs="宋体"/>
                <w:sz w:val="24"/>
                <w:szCs w:val="24"/>
              </w:rPr>
            </w:pPr>
            <w:r>
              <w:rPr>
                <w:rFonts w:hint="eastAsia" w:ascii="宋体" w:hAnsi="宋体" w:eastAsia="宋体" w:cs="宋体"/>
                <w:b w:val="0"/>
                <w:i w:val="0"/>
                <w:sz w:val="24"/>
                <w:szCs w:val="24"/>
              </w:rPr>
              <w:t>整治内容</w:t>
            </w:r>
          </w:p>
        </w:tc>
        <w:tc>
          <w:tcPr>
            <w:tcW w:w="2439" w:type="dxa"/>
            <w:vAlign w:val="center"/>
          </w:tcPr>
          <w:p w14:paraId="35B754F4">
            <w:pPr>
              <w:jc w:val="center"/>
              <w:rPr>
                <w:rFonts w:hint="eastAsia" w:ascii="宋体" w:hAnsi="宋体" w:eastAsia="宋体" w:cs="宋体"/>
                <w:sz w:val="24"/>
                <w:szCs w:val="24"/>
              </w:rPr>
            </w:pPr>
            <w:r>
              <w:rPr>
                <w:rFonts w:hint="eastAsia" w:ascii="宋体" w:hAnsi="宋体" w:eastAsia="宋体" w:cs="宋体"/>
                <w:b w:val="0"/>
                <w:i w:val="0"/>
                <w:sz w:val="24"/>
                <w:szCs w:val="24"/>
              </w:rPr>
              <w:t>责任部门</w:t>
            </w:r>
          </w:p>
        </w:tc>
      </w:tr>
      <w:tr w14:paraId="472B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4" w:hRule="atLeast"/>
          <w:jc w:val="center"/>
        </w:trPr>
        <w:tc>
          <w:tcPr>
            <w:tcW w:w="1501" w:type="dxa"/>
            <w:vMerge w:val="restart"/>
            <w:vAlign w:val="center"/>
          </w:tcPr>
          <w:p w14:paraId="25E5680A">
            <w:pPr>
              <w:jc w:val="center"/>
              <w:rPr>
                <w:rFonts w:hint="eastAsia" w:ascii="宋体" w:hAnsi="宋体" w:eastAsia="宋体" w:cs="宋体"/>
                <w:sz w:val="24"/>
                <w:szCs w:val="24"/>
              </w:rPr>
            </w:pPr>
            <w:r>
              <w:rPr>
                <w:rFonts w:hint="eastAsia" w:ascii="宋体" w:hAnsi="宋体" w:eastAsia="宋体" w:cs="宋体"/>
                <w:b w:val="0"/>
                <w:i w:val="0"/>
                <w:sz w:val="24"/>
                <w:szCs w:val="24"/>
              </w:rPr>
              <w:t>安全生产重</w:t>
            </w:r>
            <w:r>
              <w:rPr>
                <w:rFonts w:hint="eastAsia" w:ascii="宋体" w:hAnsi="宋体" w:eastAsia="宋体" w:cs="宋体"/>
                <w:b w:val="0"/>
                <w:i w:val="0"/>
                <w:sz w:val="24"/>
                <w:szCs w:val="24"/>
              </w:rPr>
              <w:br w:type="textWrapping"/>
            </w:r>
            <w:r>
              <w:rPr>
                <w:rFonts w:hint="eastAsia" w:ascii="宋体" w:hAnsi="宋体" w:eastAsia="宋体" w:cs="宋体"/>
                <w:b w:val="0"/>
                <w:i w:val="0"/>
                <w:sz w:val="24"/>
                <w:szCs w:val="24"/>
              </w:rPr>
              <w:t>点领域风险</w:t>
            </w:r>
            <w:r>
              <w:rPr>
                <w:rFonts w:hint="eastAsia" w:ascii="宋体" w:hAnsi="宋体" w:eastAsia="宋体" w:cs="宋体"/>
                <w:b w:val="0"/>
                <w:i w:val="0"/>
                <w:sz w:val="24"/>
                <w:szCs w:val="24"/>
              </w:rPr>
              <w:br w:type="textWrapping"/>
            </w:r>
            <w:r>
              <w:rPr>
                <w:rFonts w:hint="eastAsia" w:ascii="宋体" w:hAnsi="宋体" w:eastAsia="宋体" w:cs="宋体"/>
                <w:b w:val="0"/>
                <w:i w:val="0"/>
                <w:sz w:val="24"/>
                <w:szCs w:val="24"/>
              </w:rPr>
              <w:t>隐患排查整</w:t>
            </w:r>
            <w:r>
              <w:rPr>
                <w:rFonts w:hint="eastAsia" w:ascii="宋体" w:hAnsi="宋体" w:eastAsia="宋体" w:cs="宋体"/>
                <w:b w:val="0"/>
                <w:i w:val="0"/>
                <w:sz w:val="24"/>
                <w:szCs w:val="24"/>
              </w:rPr>
              <w:br w:type="textWrapping"/>
            </w:r>
            <w:r>
              <w:rPr>
                <w:rFonts w:hint="eastAsia" w:ascii="宋体" w:hAnsi="宋体" w:eastAsia="宋体" w:cs="宋体"/>
                <w:b w:val="0"/>
                <w:i w:val="0"/>
                <w:sz w:val="24"/>
                <w:szCs w:val="24"/>
              </w:rPr>
              <w:t>治</w:t>
            </w:r>
          </w:p>
        </w:tc>
        <w:tc>
          <w:tcPr>
            <w:tcW w:w="1597" w:type="dxa"/>
            <w:vAlign w:val="center"/>
          </w:tcPr>
          <w:p w14:paraId="32C9C934">
            <w:pPr>
              <w:rPr>
                <w:rFonts w:hint="eastAsia" w:ascii="宋体" w:hAnsi="宋体" w:eastAsia="宋体" w:cs="宋体"/>
                <w:sz w:val="24"/>
                <w:szCs w:val="24"/>
              </w:rPr>
            </w:pPr>
            <w:r>
              <w:rPr>
                <w:rFonts w:hint="eastAsia" w:ascii="宋体" w:hAnsi="宋体" w:eastAsia="宋体" w:cs="宋体"/>
                <w:sz w:val="24"/>
                <w:szCs w:val="24"/>
              </w:rPr>
              <w:t>1.消防领域</w:t>
            </w:r>
          </w:p>
        </w:tc>
        <w:tc>
          <w:tcPr>
            <w:tcW w:w="8355" w:type="dxa"/>
            <w:vAlign w:val="center"/>
          </w:tcPr>
          <w:p w14:paraId="20F93C5E">
            <w:pPr>
              <w:ind w:firstLine="480" w:firstLineChars="200"/>
              <w:rPr>
                <w:rFonts w:hint="eastAsia" w:ascii="宋体" w:hAnsi="宋体" w:eastAsia="宋体" w:cs="宋体"/>
                <w:sz w:val="24"/>
                <w:szCs w:val="24"/>
              </w:rPr>
            </w:pPr>
            <w:r>
              <w:rPr>
                <w:rFonts w:hint="eastAsia" w:ascii="宋体" w:hAnsi="宋体" w:eastAsia="宋体" w:cs="宋体"/>
                <w:sz w:val="24"/>
                <w:szCs w:val="24"/>
              </w:rPr>
              <w:t>严格落实《吉林省人民政府办公厅关于进一步加强当前消防安全工作的紧急通知》（吉政办明电（2024）19号）。加快推进畅通消防“生命通道”行动，扎实推进基层消防安全等“一件事”全链条安全监管。</w:t>
            </w:r>
            <w:r>
              <w:rPr>
                <w:rFonts w:hint="eastAsia" w:ascii="宋体" w:hAnsi="宋体" w:eastAsia="宋体" w:cs="宋体"/>
                <w:sz w:val="24"/>
                <w:szCs w:val="24"/>
                <w:lang w:val="en-US" w:eastAsia="zh-CN"/>
              </w:rPr>
              <w:t>聚焦</w:t>
            </w:r>
            <w:r>
              <w:rPr>
                <w:rFonts w:hint="eastAsia" w:ascii="宋体" w:hAnsi="宋体" w:eastAsia="宋体" w:cs="宋体"/>
                <w:sz w:val="24"/>
                <w:szCs w:val="24"/>
              </w:rPr>
              <w:t>“九小场所”，紧盯容易引发火灾、造成蔓延扩大、导致群死群伤等致灾因素，严格人员密集场所动火作业安全管控，强化违规用火用电用油用气、堵塞疏散通道、违规住人、建筑消防设施损坏停用等问题整治。</w:t>
            </w:r>
          </w:p>
        </w:tc>
        <w:tc>
          <w:tcPr>
            <w:tcW w:w="2439" w:type="dxa"/>
            <w:vAlign w:val="center"/>
          </w:tcPr>
          <w:p w14:paraId="278CA4B9">
            <w:pPr>
              <w:rPr>
                <w:rFonts w:hint="eastAsia" w:ascii="宋体" w:hAnsi="宋体" w:eastAsia="宋体" w:cs="宋体"/>
                <w:sz w:val="24"/>
                <w:szCs w:val="24"/>
                <w:lang w:val="en-US" w:eastAsia="zh-CN"/>
              </w:rPr>
            </w:pPr>
            <w:r>
              <w:rPr>
                <w:rFonts w:hint="eastAsia" w:ascii="宋体" w:hAnsi="宋体" w:eastAsia="宋体" w:cs="宋体"/>
                <w:sz w:val="24"/>
                <w:szCs w:val="24"/>
              </w:rPr>
              <w:t>各</w:t>
            </w:r>
            <w:r>
              <w:rPr>
                <w:rFonts w:hint="eastAsia" w:ascii="宋体" w:hAnsi="宋体" w:eastAsia="宋体" w:cs="宋体"/>
                <w:sz w:val="24"/>
                <w:szCs w:val="24"/>
                <w:lang w:val="en-US" w:eastAsia="zh-CN"/>
              </w:rPr>
              <w:t>科室、站队（中心）</w:t>
            </w:r>
          </w:p>
        </w:tc>
      </w:tr>
      <w:tr w14:paraId="0859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jc w:val="center"/>
        </w:trPr>
        <w:tc>
          <w:tcPr>
            <w:tcW w:w="1501" w:type="dxa"/>
            <w:vMerge w:val="continue"/>
          </w:tcPr>
          <w:p w14:paraId="7939A1F8">
            <w:pPr>
              <w:rPr>
                <w:rFonts w:hint="eastAsia" w:ascii="宋体" w:hAnsi="宋体" w:eastAsia="宋体" w:cs="宋体"/>
                <w:sz w:val="24"/>
                <w:szCs w:val="24"/>
              </w:rPr>
            </w:pPr>
          </w:p>
        </w:tc>
        <w:tc>
          <w:tcPr>
            <w:tcW w:w="1597" w:type="dxa"/>
            <w:vAlign w:val="center"/>
          </w:tcPr>
          <w:p w14:paraId="7DE3B1B4">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农机</w:t>
            </w:r>
            <w:r>
              <w:rPr>
                <w:rFonts w:hint="eastAsia" w:ascii="宋体" w:hAnsi="宋体" w:eastAsia="宋体" w:cs="宋体"/>
                <w:sz w:val="24"/>
                <w:szCs w:val="24"/>
              </w:rPr>
              <w:t>领域</w:t>
            </w:r>
          </w:p>
        </w:tc>
        <w:tc>
          <w:tcPr>
            <w:tcW w:w="8355" w:type="dxa"/>
            <w:vAlign w:val="center"/>
          </w:tcPr>
          <w:p w14:paraId="39922DE9">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严格落实禁止无牌行驶、无证驾驶；禁止人货混装、违法载人；禁止酒后驾驶、疲劳驾驶；禁止超载超速、擅自改装改型；禁止不经磨合试运转就带负荷作业；禁止下坡空挡滑行；禁止短暂停车脚踩离合器不摘挡；禁止在排除故障时发动机不熄火；禁止农业机械在转移过程中搭载辅助作业人员；禁止农业机械配挂机具转移时不切断作业机动力。</w:t>
            </w:r>
          </w:p>
        </w:tc>
        <w:tc>
          <w:tcPr>
            <w:tcW w:w="2439" w:type="dxa"/>
            <w:vAlign w:val="center"/>
          </w:tcPr>
          <w:p w14:paraId="0B3DD7F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农业综合行政执法大队、农机总站</w:t>
            </w:r>
          </w:p>
        </w:tc>
      </w:tr>
      <w:tr w14:paraId="74A8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jc w:val="center"/>
        </w:trPr>
        <w:tc>
          <w:tcPr>
            <w:tcW w:w="1501" w:type="dxa"/>
            <w:vMerge w:val="continue"/>
          </w:tcPr>
          <w:p w14:paraId="3658EBD7">
            <w:pPr>
              <w:rPr>
                <w:rFonts w:hint="eastAsia" w:ascii="宋体" w:hAnsi="宋体" w:eastAsia="宋体" w:cs="宋体"/>
                <w:sz w:val="24"/>
                <w:szCs w:val="24"/>
              </w:rPr>
            </w:pPr>
          </w:p>
        </w:tc>
        <w:tc>
          <w:tcPr>
            <w:tcW w:w="1597" w:type="dxa"/>
            <w:vAlign w:val="center"/>
          </w:tcPr>
          <w:p w14:paraId="12FFA675">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3.畜牧养殖领域</w:t>
            </w:r>
          </w:p>
        </w:tc>
        <w:tc>
          <w:tcPr>
            <w:tcW w:w="8355" w:type="dxa"/>
            <w:vAlign w:val="center"/>
          </w:tcPr>
          <w:p w14:paraId="678F5691">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畜牧养殖企业是否建立健全安全管理制度，是否进行安全生产培训教育，培训内容是否到位，安全警示标志是否符合规范要求，应急救援预案编制和实施情况，圈舍、围栏等设施是否完好，电气设备的安装和使用是否符合标准，防火设施和灭火器材的配备和使用情况，防疫措施和员工的劳动保护措施是否到位。</w:t>
            </w:r>
          </w:p>
        </w:tc>
        <w:tc>
          <w:tcPr>
            <w:tcW w:w="2439" w:type="dxa"/>
            <w:vAlign w:val="center"/>
          </w:tcPr>
          <w:p w14:paraId="518D5EC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畜牧业管理科、畜牧总站、动物疫控中心、农业综合行政执法大队</w:t>
            </w:r>
          </w:p>
        </w:tc>
      </w:tr>
      <w:tr w14:paraId="60151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jc w:val="center"/>
        </w:trPr>
        <w:tc>
          <w:tcPr>
            <w:tcW w:w="1501" w:type="dxa"/>
            <w:vMerge w:val="continue"/>
          </w:tcPr>
          <w:p w14:paraId="2DB05F54">
            <w:pPr>
              <w:rPr>
                <w:rFonts w:hint="eastAsia" w:ascii="宋体" w:hAnsi="宋体" w:eastAsia="宋体" w:cs="宋体"/>
                <w:sz w:val="24"/>
                <w:szCs w:val="24"/>
              </w:rPr>
            </w:pPr>
          </w:p>
        </w:tc>
        <w:tc>
          <w:tcPr>
            <w:tcW w:w="1597" w:type="dxa"/>
            <w:vAlign w:val="center"/>
          </w:tcPr>
          <w:p w14:paraId="31DAB72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4.农业设施领域</w:t>
            </w:r>
          </w:p>
        </w:tc>
        <w:tc>
          <w:tcPr>
            <w:tcW w:w="8355" w:type="dxa"/>
            <w:vAlign w:val="center"/>
          </w:tcPr>
          <w:p w14:paraId="3285261F">
            <w:pPr>
              <w:ind w:firstLine="480" w:firstLineChars="200"/>
              <w:rPr>
                <w:rFonts w:hint="eastAsia"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shd w:val="clear" w:fill="FFFFFF"/>
              </w:rPr>
              <w:t>种养生产基地</w:t>
            </w:r>
            <w:r>
              <w:rPr>
                <w:rFonts w:hint="eastAsia" w:ascii="宋体" w:hAnsi="宋体" w:eastAsia="宋体" w:cs="宋体"/>
                <w:i w:val="0"/>
                <w:iCs w:val="0"/>
                <w:caps w:val="0"/>
                <w:color w:val="000000"/>
                <w:spacing w:val="0"/>
                <w:sz w:val="24"/>
                <w:szCs w:val="24"/>
                <w:shd w:val="clear" w:fill="FFFFFF"/>
                <w:lang w:val="en-US" w:eastAsia="zh-CN"/>
              </w:rPr>
              <w:t>应</w:t>
            </w:r>
            <w:r>
              <w:rPr>
                <w:rFonts w:hint="eastAsia" w:ascii="宋体" w:hAnsi="宋体" w:eastAsia="宋体" w:cs="宋体"/>
                <w:i w:val="0"/>
                <w:iCs w:val="0"/>
                <w:caps w:val="0"/>
                <w:color w:val="000000"/>
                <w:spacing w:val="0"/>
                <w:sz w:val="24"/>
                <w:szCs w:val="24"/>
                <w:shd w:val="clear" w:fill="FFFFFF"/>
              </w:rPr>
              <w:t>明确安全生产负责人，制定安全生产制度、操作规章，并定期对职工进行农用设备安全操作、消防器材使用、应急救援知识等安全培训，在突发情况出现时沉着处理，确保人员安全。做好农业设施的主体结构设计，建设过程中必须使用符合国家标准的建筑材料，施工及设备安装必须使用有资质的单位或设备安装工人，防止发生结构倒塌，焊接点断裂之类的安全事故。</w:t>
            </w:r>
          </w:p>
        </w:tc>
        <w:tc>
          <w:tcPr>
            <w:tcW w:w="2439" w:type="dxa"/>
            <w:vAlign w:val="center"/>
          </w:tcPr>
          <w:p w14:paraId="58DE720C">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农村管理科、农业发展科、特产业服务中心</w:t>
            </w:r>
          </w:p>
        </w:tc>
      </w:tr>
    </w:tbl>
    <w:p w14:paraId="3A2AB067">
      <w:pPr>
        <w:rPr>
          <w:rFonts w:hint="eastAsia" w:ascii="宋体" w:hAnsi="宋体" w:eastAsia="宋体" w:cs="宋体"/>
          <w:sz w:val="24"/>
          <w:szCs w:val="24"/>
        </w:rPr>
        <w:sectPr>
          <w:pgSz w:w="16838" w:h="11906" w:orient="landscape"/>
          <w:pgMar w:top="488" w:right="567" w:bottom="567" w:left="567" w:header="0" w:footer="0" w:gutter="0"/>
          <w:pgNumType w:fmt="decimal"/>
          <w:cols w:space="720" w:num="1"/>
          <w:formProt w:val="0"/>
        </w:sectPr>
      </w:pPr>
    </w:p>
    <w:p w14:paraId="229E6708">
      <w:pPr>
        <w:bidi w:val="0"/>
        <w:spacing w:before="0" w:after="0" w:line="240" w:lineRule="auto"/>
        <w:ind w:firstLine="0"/>
        <w:jc w:val="left"/>
        <w:rPr>
          <w:rFonts w:hint="eastAsia" w:ascii="宋体" w:hAnsi="宋体" w:eastAsia="宋体" w:cs="宋体"/>
          <w:sz w:val="24"/>
          <w:szCs w:val="24"/>
          <w:lang w:val="zh-CN"/>
        </w:rPr>
      </w:pPr>
    </w:p>
    <w:tbl>
      <w:tblPr>
        <w:tblStyle w:val="9"/>
        <w:tblW w:w="13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1557"/>
        <w:gridCol w:w="8388"/>
        <w:gridCol w:w="2448"/>
      </w:tblGrid>
      <w:tr w14:paraId="7085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5" w:hRule="atLeast"/>
          <w:jc w:val="center"/>
        </w:trPr>
        <w:tc>
          <w:tcPr>
            <w:tcW w:w="1528" w:type="dxa"/>
            <w:vMerge w:val="restart"/>
            <w:vAlign w:val="center"/>
          </w:tcPr>
          <w:p w14:paraId="2E992843">
            <w:pPr>
              <w:jc w:val="center"/>
              <w:rPr>
                <w:rFonts w:hint="eastAsia" w:ascii="宋体" w:hAnsi="宋体" w:eastAsia="宋体" w:cs="宋体"/>
                <w:sz w:val="24"/>
                <w:szCs w:val="24"/>
              </w:rPr>
            </w:pPr>
            <w:r>
              <w:rPr>
                <w:rFonts w:hint="eastAsia" w:ascii="宋体" w:hAnsi="宋体" w:eastAsia="宋体" w:cs="宋体"/>
                <w:b w:val="0"/>
                <w:i w:val="0"/>
                <w:sz w:val="24"/>
                <w:szCs w:val="24"/>
              </w:rPr>
              <w:t>自然灾害风</w:t>
            </w:r>
            <w:r>
              <w:rPr>
                <w:rFonts w:hint="eastAsia" w:ascii="宋体" w:hAnsi="宋体" w:eastAsia="宋体" w:cs="宋体"/>
                <w:b w:val="0"/>
                <w:i w:val="0"/>
                <w:sz w:val="24"/>
                <w:szCs w:val="24"/>
              </w:rPr>
              <w:br w:type="textWrapping"/>
            </w:r>
            <w:r>
              <w:rPr>
                <w:rFonts w:hint="eastAsia" w:ascii="宋体" w:hAnsi="宋体" w:eastAsia="宋体" w:cs="宋体"/>
                <w:b w:val="0"/>
                <w:i w:val="0"/>
                <w:sz w:val="24"/>
                <w:szCs w:val="24"/>
              </w:rPr>
              <w:t>险隐患排查</w:t>
            </w:r>
            <w:r>
              <w:rPr>
                <w:rFonts w:hint="eastAsia" w:ascii="宋体" w:hAnsi="宋体" w:eastAsia="宋体" w:cs="宋体"/>
                <w:b w:val="0"/>
                <w:i w:val="0"/>
                <w:sz w:val="24"/>
                <w:szCs w:val="24"/>
              </w:rPr>
              <w:br w:type="textWrapping"/>
            </w:r>
            <w:r>
              <w:rPr>
                <w:rFonts w:hint="eastAsia" w:ascii="宋体" w:hAnsi="宋体" w:eastAsia="宋体" w:cs="宋体"/>
                <w:b w:val="0"/>
                <w:i w:val="0"/>
                <w:sz w:val="24"/>
                <w:szCs w:val="24"/>
              </w:rPr>
              <w:t>整治</w:t>
            </w:r>
          </w:p>
        </w:tc>
        <w:tc>
          <w:tcPr>
            <w:tcW w:w="1557" w:type="dxa"/>
            <w:vAlign w:val="center"/>
          </w:tcPr>
          <w:p w14:paraId="796F19D7">
            <w:pPr>
              <w:jc w:val="center"/>
              <w:rPr>
                <w:rFonts w:hint="eastAsia" w:ascii="宋体" w:hAnsi="宋体" w:eastAsia="宋体" w:cs="宋体"/>
                <w:sz w:val="24"/>
                <w:szCs w:val="24"/>
              </w:rPr>
            </w:pPr>
            <w:r>
              <w:rPr>
                <w:rFonts w:hint="eastAsia" w:ascii="宋体" w:hAnsi="宋体" w:eastAsia="宋体" w:cs="宋体"/>
                <w:b w:val="0"/>
                <w:i w:val="0"/>
                <w:sz w:val="24"/>
                <w:szCs w:val="24"/>
                <w:lang w:val="en-US" w:eastAsia="zh-CN"/>
              </w:rPr>
              <w:t>5</w:t>
            </w:r>
            <w:r>
              <w:rPr>
                <w:rFonts w:hint="eastAsia" w:ascii="宋体" w:hAnsi="宋体" w:eastAsia="宋体" w:cs="宋体"/>
                <w:b w:val="0"/>
                <w:i w:val="0"/>
                <w:sz w:val="24"/>
                <w:szCs w:val="24"/>
              </w:rPr>
              <w:t>.低温雨雪</w:t>
            </w:r>
            <w:r>
              <w:rPr>
                <w:rFonts w:hint="eastAsia" w:ascii="宋体" w:hAnsi="宋体" w:eastAsia="宋体" w:cs="宋体"/>
                <w:b w:val="0"/>
                <w:i w:val="0"/>
                <w:sz w:val="24"/>
                <w:szCs w:val="24"/>
              </w:rPr>
              <w:br w:type="textWrapping"/>
            </w:r>
            <w:r>
              <w:rPr>
                <w:rFonts w:hint="eastAsia" w:ascii="宋体" w:hAnsi="宋体" w:eastAsia="宋体" w:cs="宋体"/>
                <w:b w:val="0"/>
                <w:i w:val="0"/>
                <w:sz w:val="24"/>
                <w:szCs w:val="24"/>
              </w:rPr>
              <w:t>冰冻灾害</w:t>
            </w:r>
          </w:p>
        </w:tc>
        <w:tc>
          <w:tcPr>
            <w:tcW w:w="8388" w:type="dxa"/>
            <w:vAlign w:val="center"/>
          </w:tcPr>
          <w:p w14:paraId="67FB6CEF">
            <w:pPr>
              <w:jc w:val="left"/>
              <w:rPr>
                <w:rFonts w:hint="eastAsia" w:ascii="宋体" w:hAnsi="宋体" w:eastAsia="宋体" w:cs="宋体"/>
                <w:sz w:val="24"/>
                <w:szCs w:val="24"/>
              </w:rPr>
            </w:pPr>
            <w:r>
              <w:rPr>
                <w:rFonts w:hint="eastAsia" w:ascii="宋体" w:hAnsi="宋体" w:eastAsia="宋体" w:cs="宋体"/>
                <w:b w:val="0"/>
                <w:i w:val="0"/>
                <w:sz w:val="24"/>
                <w:szCs w:val="24"/>
                <w:lang w:val="en-US" w:eastAsia="zh-CN"/>
              </w:rPr>
              <w:t xml:space="preserve">    </w:t>
            </w:r>
            <w:r>
              <w:rPr>
                <w:rFonts w:hint="eastAsia" w:ascii="宋体" w:hAnsi="宋体" w:eastAsia="宋体" w:cs="宋体"/>
                <w:b w:val="0"/>
                <w:i w:val="0"/>
                <w:sz w:val="24"/>
                <w:szCs w:val="24"/>
              </w:rPr>
              <w:t>针对入冬以来临江市气温持续偏高、发生过程性强降温可能性较大的情况</w:t>
            </w:r>
            <w:r>
              <w:rPr>
                <w:rFonts w:hint="eastAsia" w:ascii="宋体" w:hAnsi="宋体" w:eastAsia="宋体" w:cs="宋体"/>
                <w:b w:val="0"/>
                <w:i w:val="0"/>
                <w:sz w:val="24"/>
                <w:szCs w:val="24"/>
                <w:lang w:eastAsia="zh-CN"/>
              </w:rPr>
              <w:t>，</w:t>
            </w:r>
            <w:r>
              <w:rPr>
                <w:rFonts w:hint="eastAsia" w:ascii="宋体" w:hAnsi="宋体" w:eastAsia="宋体" w:cs="宋体"/>
                <w:b w:val="0"/>
                <w:i w:val="0"/>
                <w:sz w:val="24"/>
                <w:szCs w:val="24"/>
              </w:rPr>
              <w:t>各部门要突出大跨度钢结构场所、温室棚舍、等重点部位深入开展低温雨雪冰冻灾害风险隐患排查，逐项落实落细整改措施。因整改不到位不具备安全生产条件的，坚决不允许生产运营。棚舍、人员密集场所用房在保障安全的前提下及时清冰除雪，加强楼房檐冰、积雪清理和警示提醒。要密切监测天气变化，及时下发预警预报信息，采取针对性措施防范应对，确保生产生活平稳有序。做好新闻宣传和避险提示，坚决杜绝重大人员伤亡。</w:t>
            </w:r>
          </w:p>
        </w:tc>
        <w:tc>
          <w:tcPr>
            <w:tcW w:w="2448" w:type="dxa"/>
            <w:vAlign w:val="center"/>
          </w:tcPr>
          <w:p w14:paraId="4BB52B2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农业发展科、农村管理科、畜牧业管理科、特产业服务中心、畜牧总站、农业综合行政执法大队</w:t>
            </w:r>
          </w:p>
        </w:tc>
      </w:tr>
      <w:tr w14:paraId="11FEF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5" w:hRule="atLeast"/>
          <w:jc w:val="center"/>
        </w:trPr>
        <w:tc>
          <w:tcPr>
            <w:tcW w:w="1528" w:type="dxa"/>
            <w:vMerge w:val="continue"/>
            <w:vAlign w:val="center"/>
          </w:tcPr>
          <w:p w14:paraId="768545FF">
            <w:pPr>
              <w:jc w:val="center"/>
              <w:rPr>
                <w:rFonts w:hint="eastAsia" w:ascii="宋体" w:hAnsi="宋体" w:eastAsia="宋体" w:cs="宋体"/>
                <w:b w:val="0"/>
                <w:i w:val="0"/>
                <w:sz w:val="24"/>
                <w:szCs w:val="24"/>
              </w:rPr>
            </w:pPr>
          </w:p>
        </w:tc>
        <w:tc>
          <w:tcPr>
            <w:tcW w:w="1557" w:type="dxa"/>
            <w:vAlign w:val="center"/>
          </w:tcPr>
          <w:p w14:paraId="473D9821">
            <w:pPr>
              <w:jc w:val="center"/>
              <w:rPr>
                <w:rFonts w:hint="eastAsia" w:ascii="宋体" w:hAnsi="宋体" w:eastAsia="宋体" w:cs="宋体"/>
                <w:b w:val="0"/>
                <w:i w:val="0"/>
                <w:sz w:val="24"/>
                <w:szCs w:val="24"/>
              </w:rPr>
            </w:pPr>
            <w:r>
              <w:rPr>
                <w:rFonts w:hint="eastAsia" w:ascii="宋体" w:hAnsi="宋体" w:eastAsia="宋体" w:cs="宋体"/>
                <w:b w:val="0"/>
                <w:i w:val="0"/>
                <w:sz w:val="24"/>
                <w:szCs w:val="24"/>
                <w:lang w:val="en-US" w:eastAsia="zh-CN"/>
              </w:rPr>
              <w:t>6.</w:t>
            </w:r>
            <w:r>
              <w:rPr>
                <w:rFonts w:hint="eastAsia" w:ascii="宋体" w:hAnsi="宋体" w:eastAsia="宋体" w:cs="宋体"/>
                <w:b w:val="0"/>
                <w:i w:val="0"/>
                <w:sz w:val="24"/>
                <w:szCs w:val="24"/>
              </w:rPr>
              <w:t>受灾群众</w:t>
            </w:r>
            <w:r>
              <w:rPr>
                <w:rFonts w:hint="eastAsia" w:ascii="宋体" w:hAnsi="宋体" w:eastAsia="宋体" w:cs="宋体"/>
                <w:b w:val="0"/>
                <w:i w:val="0"/>
                <w:sz w:val="24"/>
                <w:szCs w:val="24"/>
              </w:rPr>
              <w:br w:type="textWrapping"/>
            </w:r>
            <w:r>
              <w:rPr>
                <w:rFonts w:hint="eastAsia" w:ascii="宋体" w:hAnsi="宋体" w:eastAsia="宋体" w:cs="宋体"/>
                <w:b w:val="0"/>
                <w:i w:val="0"/>
                <w:sz w:val="24"/>
                <w:szCs w:val="24"/>
              </w:rPr>
              <w:t>生活救助</w:t>
            </w:r>
          </w:p>
        </w:tc>
        <w:tc>
          <w:tcPr>
            <w:tcW w:w="8388" w:type="dxa"/>
            <w:vAlign w:val="center"/>
          </w:tcPr>
          <w:p w14:paraId="1C6F32A4">
            <w:pPr>
              <w:jc w:val="left"/>
              <w:rPr>
                <w:rFonts w:hint="eastAsia" w:ascii="宋体" w:hAnsi="宋体" w:eastAsia="宋体" w:cs="宋体"/>
                <w:b w:val="0"/>
                <w:i w:val="0"/>
                <w:sz w:val="24"/>
                <w:szCs w:val="24"/>
              </w:rPr>
            </w:pPr>
            <w:r>
              <w:rPr>
                <w:rFonts w:hint="eastAsia" w:ascii="宋体" w:hAnsi="宋体" w:eastAsia="宋体" w:cs="宋体"/>
                <w:b w:val="0"/>
                <w:i w:val="0"/>
                <w:sz w:val="24"/>
                <w:szCs w:val="24"/>
                <w:lang w:val="en-US" w:eastAsia="zh-CN"/>
              </w:rPr>
              <w:t xml:space="preserve">   </w:t>
            </w:r>
            <w:r>
              <w:rPr>
                <w:rFonts w:hint="eastAsia" w:ascii="宋体" w:hAnsi="宋体" w:eastAsia="宋体" w:cs="宋体"/>
                <w:b w:val="0"/>
                <w:i w:val="0"/>
                <w:sz w:val="24"/>
                <w:szCs w:val="24"/>
              </w:rPr>
              <w:t>要密切关注受灾群众转移安置和需过渡期救助以及因灾倒损住房重建维修进展情况，进一步健全工作协调联动机制，加强灾后重建资金和政策统筹，加快推进恢复重建进度，落实好过渡期救助政策。对尚未完成重建的，要通过投亲靠友、租房、政府安置等方式，确保受灾群众安全温暖过冬。要精准有序做好冬春救助工作，按照“分类救助、重点救助、精准救助”原则，全面摸排需救助对象，科学分配救助款物，确保不落一户、不漏一人，严防优亲厚友等群众身边的不正之风。对于本年度冬春救助资金量大、救助任务重、工作基础薄弱的乡镇、村屯，要提前了解工作存在的难点堵点，开展指导帮助，优化工作措施，确保救助时效。重点关注倒房重建户、农作物绝收户、家庭财产严重损失户及受灾的低保对象、分散供养特困人员、低保边缘家庭、刚性支出困难家庭、防止返贫监测对象、散居孤儿、留守老人、留守儿童、残疾人等特殊困难群体的救助需求，切实做好冬春救助和低保、临时救助、困难帮扶等机制的有序衔接。切实加强各级救灾款物管理，元旦、春节期间组织走访慰问，及时解决好受灾群众的实际困难和问题。实时调度了解重大灾害情况，及时准确、客观全面统计报送灾情，确保受灾群众及时有效救助到位。</w:t>
            </w:r>
          </w:p>
        </w:tc>
        <w:tc>
          <w:tcPr>
            <w:tcW w:w="2448" w:type="dxa"/>
            <w:vAlign w:val="center"/>
          </w:tcPr>
          <w:p w14:paraId="31F77D4B">
            <w:pPr>
              <w:jc w:val="center"/>
              <w:rPr>
                <w:rFonts w:hint="eastAsia" w:ascii="宋体" w:hAnsi="宋体" w:eastAsia="宋体" w:cs="宋体"/>
                <w:b w:val="0"/>
                <w:i w:val="0"/>
                <w:sz w:val="24"/>
                <w:szCs w:val="24"/>
              </w:rPr>
            </w:pPr>
            <w:r>
              <w:rPr>
                <w:rFonts w:hint="eastAsia" w:ascii="宋体" w:hAnsi="宋体" w:eastAsia="宋体" w:cs="宋体"/>
                <w:sz w:val="24"/>
                <w:szCs w:val="24"/>
              </w:rPr>
              <w:t>各</w:t>
            </w:r>
            <w:r>
              <w:rPr>
                <w:rFonts w:hint="eastAsia" w:ascii="宋体" w:hAnsi="宋体" w:eastAsia="宋体" w:cs="宋体"/>
                <w:sz w:val="24"/>
                <w:szCs w:val="24"/>
                <w:lang w:val="en-US" w:eastAsia="zh-CN"/>
              </w:rPr>
              <w:t>科室、站队（中心）</w:t>
            </w:r>
          </w:p>
        </w:tc>
      </w:tr>
    </w:tbl>
    <w:p w14:paraId="23271C4E">
      <w:pPr>
        <w:sectPr>
          <w:pgSz w:w="16838" w:h="11906" w:orient="landscape"/>
          <w:pgMar w:top="488" w:right="567" w:bottom="567" w:left="567" w:header="0" w:footer="0" w:gutter="0"/>
          <w:pgNumType w:fmt="decimal"/>
          <w:cols w:space="720" w:num="1"/>
          <w:formProt w:val="0"/>
        </w:sectPr>
      </w:pPr>
    </w:p>
    <w:p w14:paraId="5030DF98">
      <w:pPr>
        <w:keepNext w:val="0"/>
        <w:keepLines w:val="0"/>
        <w:pageBreakBefore w:val="0"/>
        <w:widowControl/>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p>
    <w:sectPr>
      <w:pgSz w:w="16838" w:h="11906" w:orient="landscape"/>
      <w:pgMar w:top="1450" w:right="2889" w:bottom="1450" w:left="1056" w:header="0" w:footer="0" w:gutter="0"/>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iberation Serif">
    <w:altName w:val="Times New Roman"/>
    <w:panose1 w:val="00000000000000000000"/>
    <w:charset w:val="00"/>
    <w:family w:val="roman"/>
    <w:pitch w:val="default"/>
    <w:sig w:usb0="00000000" w:usb1="00000000" w:usb2="00000000" w:usb3="00000000" w:csb0="00000000" w:csb1="00000000"/>
  </w:font>
  <w:font w:name="DejaVu Sans">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F41A9B"/>
    <w:rsid w:val="36DC6F83"/>
    <w:rsid w:val="3C9127C4"/>
    <w:rsid w:val="406C4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suppressAutoHyphens/>
      <w:bidi w:val="0"/>
      <w:spacing w:before="0" w:after="0"/>
      <w:jc w:val="left"/>
    </w:pPr>
    <w:rPr>
      <w:rFonts w:ascii="Liberation Serif" w:hAnsi="Liberation Serif" w:eastAsia="DejaVu Sans" w:cs="DejaVu Sans"/>
      <w:color w:val="auto"/>
      <w:kern w:val="2"/>
      <w:sz w:val="24"/>
      <w:szCs w:val="24"/>
      <w:lang w:val="en-US" w:eastAsia="zh-CN" w:bidi="hi-I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style>
  <w:style w:type="paragraph" w:styleId="3">
    <w:name w:val="Body Text Indent"/>
    <w:basedOn w:val="1"/>
    <w:next w:val="4"/>
    <w:qFormat/>
    <w:uiPriority w:val="0"/>
    <w:pPr>
      <w:spacing w:after="120"/>
      <w:ind w:left="200" w:leftChars="200"/>
    </w:pPr>
  </w:style>
  <w:style w:type="paragraph" w:styleId="4">
    <w:name w:val="Normal Indent"/>
    <w:basedOn w:val="1"/>
    <w:next w:val="5"/>
    <w:qFormat/>
    <w:uiPriority w:val="0"/>
    <w:pPr>
      <w:ind w:firstLine="200" w:firstLineChars="200"/>
    </w:pPr>
    <w:rPr>
      <w:rFonts w:eastAsia="仿宋"/>
      <w:sz w:val="32"/>
    </w:rPr>
  </w:style>
  <w:style w:type="paragraph" w:styleId="5">
    <w:name w:val="toc 2"/>
    <w:basedOn w:val="1"/>
    <w:next w:val="1"/>
    <w:qFormat/>
    <w:uiPriority w:val="0"/>
    <w:pPr>
      <w:ind w:left="200" w:leftChars="200"/>
    </w:p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customStyle="1" w:styleId="9">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我的正文"/>
    <w:next w:val="1"/>
    <w:qFormat/>
    <w:uiPriority w:val="0"/>
    <w:pPr>
      <w:spacing w:line="360" w:lineRule="auto"/>
    </w:pPr>
    <w:rPr>
      <w:rFonts w:ascii="Times New Roman" w:hAnsi="Times New Roman" w:eastAsia="仿宋" w:cs="Times New Roman"/>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4079</Words>
  <Characters>4107</Characters>
  <Lines>0</Lines>
  <Paragraphs>0</Paragraphs>
  <TotalTime>18</TotalTime>
  <ScaleCrop>false</ScaleCrop>
  <LinksUpToDate>false</LinksUpToDate>
  <CharactersWithSpaces>4181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2024-12-26T07:54:00Z</dcterms:created>
  <dc:creator>lenovo</dc:creator>
  <cp:lastModifiedBy>媞梓</cp:lastModifiedBy>
  <cp:lastPrinted>2024-12-27T06:37:00Z</cp:lastPrinted>
  <dcterms:modified xsi:type="dcterms:W3CDTF">2025-01-22T06:31:08Z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eyJoZGlkIjoiM2QwNmIyZmUyODVlNjYxMjU0NTZkODU1ZjFlODZiMzIiLCJ1c2VySWQiOiIzOTkxNTk0NDYifQ==</vt:lpwstr>
  </property>
  <property fmtid="{D5CDD505-2E9C-101B-9397-08002B2CF9AE}" pid="4" name="ICV">
    <vt:lpwstr>66BDDBE083E5438E9D374802B2C95E9A_13</vt:lpwstr>
  </property>
</Properties>
</file>