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BDC849">
      <w:pPr>
        <w:jc w:val="center"/>
        <w:rPr>
          <w:rFonts w:hint="eastAsia" w:ascii="仿宋_GB2312" w:hAnsi="仿宋_GB2312" w:eastAsia="仿宋_GB2312" w:cs="仿宋_GB2312"/>
          <w:sz w:val="36"/>
          <w:szCs w:val="36"/>
          <w:highlight w:val="none"/>
          <w:lang w:val="en-US" w:eastAsia="zh-CN"/>
        </w:rPr>
      </w:pPr>
    </w:p>
    <w:p w14:paraId="0E7EA8F4">
      <w:pPr>
        <w:jc w:val="center"/>
        <w:rPr>
          <w:rFonts w:ascii="仿宋_GB2312" w:hAnsi="仿宋_GB2312" w:eastAsia="仿宋_GB2312" w:cs="仿宋_GB2312"/>
          <w:sz w:val="36"/>
          <w:szCs w:val="36"/>
          <w:highlight w:val="none"/>
        </w:rPr>
      </w:pPr>
    </w:p>
    <w:p w14:paraId="771CED2B">
      <w:pPr>
        <w:jc w:val="center"/>
        <w:rPr>
          <w:rFonts w:ascii="仿宋_GB2312" w:hAnsi="仿宋_GB2312" w:eastAsia="仿宋_GB2312" w:cs="仿宋_GB2312"/>
          <w:sz w:val="36"/>
          <w:szCs w:val="36"/>
          <w:highlight w:val="none"/>
        </w:rPr>
      </w:pPr>
    </w:p>
    <w:p w14:paraId="18DB686A">
      <w:pPr>
        <w:jc w:val="center"/>
        <w:rPr>
          <w:rFonts w:ascii="仿宋_GB2312" w:hAnsi="仿宋_GB2312" w:eastAsia="仿宋_GB2312" w:cs="仿宋_GB2312"/>
          <w:sz w:val="36"/>
          <w:szCs w:val="36"/>
          <w:highlight w:val="none"/>
        </w:rPr>
      </w:pPr>
    </w:p>
    <w:p w14:paraId="2B059368">
      <w:pPr>
        <w:jc w:val="center"/>
        <w:rPr>
          <w:rFonts w:hint="eastAsia" w:ascii="仿宋_GB2312" w:hAnsi="仿宋_GB2312" w:eastAsia="仿宋_GB2312" w:cs="仿宋_GB2312"/>
          <w:sz w:val="36"/>
          <w:szCs w:val="36"/>
          <w:highlight w:val="none"/>
        </w:rPr>
      </w:pPr>
    </w:p>
    <w:p w14:paraId="3FE5B8DD">
      <w:pPr>
        <w:adjustRightInd w:val="0"/>
        <w:snapToGrid w:val="0"/>
        <w:jc w:val="center"/>
        <w:outlineLvl w:val="0"/>
        <w:rPr>
          <w:rFonts w:hint="eastAsia" w:ascii="方正小标宋_GBK" w:eastAsia="方正小标宋_GBK"/>
          <w:bCs/>
          <w:sz w:val="72"/>
          <w:szCs w:val="72"/>
          <w:highlight w:val="none"/>
        </w:rPr>
      </w:pPr>
      <w:r>
        <w:rPr>
          <w:rFonts w:hint="eastAsia" w:ascii="方正小标宋_GBK" w:eastAsia="方正小标宋_GBK"/>
          <w:bCs/>
          <w:sz w:val="72"/>
          <w:szCs w:val="72"/>
          <w:highlight w:val="none"/>
        </w:rPr>
        <w:t>建设项目环境影响报告表</w:t>
      </w:r>
    </w:p>
    <w:p w14:paraId="4F90820F">
      <w:pPr>
        <w:adjustRightInd w:val="0"/>
        <w:snapToGrid w:val="0"/>
        <w:spacing w:before="192" w:beforeLines="80"/>
        <w:jc w:val="center"/>
        <w:rPr>
          <w:rFonts w:hint="eastAsia" w:ascii="楷体_GB2312" w:eastAsia="楷体_GB2312"/>
          <w:bCs/>
          <w:sz w:val="48"/>
          <w:szCs w:val="48"/>
          <w:highlight w:val="none"/>
          <w:lang w:eastAsia="zh-CN"/>
        </w:rPr>
      </w:pPr>
      <w:r>
        <w:rPr>
          <w:rFonts w:hint="eastAsia" w:ascii="楷体_GB2312" w:eastAsia="楷体_GB2312"/>
          <w:bCs/>
          <w:sz w:val="48"/>
          <w:szCs w:val="48"/>
          <w:highlight w:val="none"/>
        </w:rPr>
        <w:t>（污染影响类）</w:t>
      </w:r>
    </w:p>
    <w:p w14:paraId="59C236AC">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outlineLvl w:val="9"/>
        <w:rPr>
          <w:rFonts w:ascii="华文仿宋" w:hAnsi="华文仿宋" w:eastAsia="华文仿宋" w:cs="华文仿宋"/>
          <w:color w:val="000000"/>
          <w:kern w:val="44"/>
          <w:sz w:val="44"/>
          <w:szCs w:val="44"/>
          <w:highlight w:val="none"/>
        </w:rPr>
      </w:pPr>
    </w:p>
    <w:p w14:paraId="19784623">
      <w:pPr>
        <w:keepNext w:val="0"/>
        <w:keepLines w:val="0"/>
        <w:pageBreakBefore w:val="0"/>
        <w:widowControl w:val="0"/>
        <w:kinsoku/>
        <w:wordWrap/>
        <w:overflowPunct/>
        <w:topLinePunct w:val="0"/>
        <w:autoSpaceDE/>
        <w:autoSpaceDN/>
        <w:bidi w:val="0"/>
        <w:jc w:val="center"/>
        <w:textAlignment w:val="auto"/>
        <w:outlineLvl w:val="9"/>
        <w:rPr>
          <w:rFonts w:eastAsia="仿宋"/>
          <w:sz w:val="52"/>
          <w:szCs w:val="52"/>
          <w:highlight w:val="none"/>
        </w:rPr>
      </w:pPr>
    </w:p>
    <w:p w14:paraId="182D7433">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outlineLvl w:val="9"/>
        <w:rPr>
          <w:rFonts w:ascii="华文仿宋" w:hAnsi="华文仿宋" w:eastAsia="华文仿宋" w:cs="华文仿宋"/>
          <w:color w:val="000000"/>
          <w:kern w:val="44"/>
          <w:sz w:val="44"/>
          <w:szCs w:val="44"/>
          <w:highlight w:val="none"/>
        </w:rPr>
      </w:pPr>
    </w:p>
    <w:p w14:paraId="7CD67A6F">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outlineLvl w:val="9"/>
        <w:rPr>
          <w:rFonts w:ascii="华文仿宋" w:hAnsi="华文仿宋" w:eastAsia="华文仿宋" w:cs="华文仿宋"/>
          <w:color w:val="000000"/>
          <w:kern w:val="44"/>
          <w:sz w:val="44"/>
          <w:szCs w:val="44"/>
          <w:highlight w:val="none"/>
        </w:rPr>
      </w:pPr>
    </w:p>
    <w:p w14:paraId="0A740539">
      <w:pPr>
        <w:keepNext w:val="0"/>
        <w:keepLines w:val="0"/>
        <w:pageBreakBefore w:val="0"/>
        <w:widowControl w:val="0"/>
        <w:kinsoku/>
        <w:wordWrap/>
        <w:overflowPunct/>
        <w:topLinePunct w:val="0"/>
        <w:autoSpaceDE/>
        <w:autoSpaceDN/>
        <w:bidi w:val="0"/>
        <w:adjustRightInd w:val="0"/>
        <w:snapToGrid w:val="0"/>
        <w:spacing w:line="288" w:lineRule="auto"/>
        <w:ind w:firstLine="600" w:firstLineChars="200"/>
        <w:textAlignment w:val="auto"/>
        <w:rPr>
          <w:rFonts w:hint="default" w:ascii="仿宋_GB2312" w:hAnsi="Times New Roman" w:eastAsia="仿宋_GB2312" w:cs="Times New Roman"/>
          <w:sz w:val="30"/>
          <w:szCs w:val="30"/>
          <w:highlight w:val="none"/>
          <w:u w:val="single"/>
          <w:lang w:val="en-US" w:eastAsia="zh-CN"/>
        </w:rPr>
      </w:pPr>
      <w:r>
        <w:rPr>
          <w:rFonts w:hint="eastAsia" w:ascii="仿宋_GB2312" w:eastAsia="仿宋_GB2312"/>
          <w:sz w:val="30"/>
          <w:szCs w:val="30"/>
          <w:highlight w:val="none"/>
        </w:rPr>
        <w:t>项目名称：</w:t>
      </w:r>
      <w:r>
        <w:rPr>
          <w:rFonts w:hint="eastAsia" w:ascii="仿宋_GB2312" w:eastAsia="仿宋_GB2312" w:cs="Times New Roman"/>
          <w:sz w:val="30"/>
          <w:szCs w:val="30"/>
          <w:highlight w:val="none"/>
          <w:u w:val="single"/>
          <w:lang w:eastAsia="zh-CN"/>
        </w:rPr>
        <w:t>中交路桥建设有限公司国道漫临线（G612）分水（县界）至临江段工程MLSG01标段拌合站和实验室项目</w:t>
      </w:r>
      <w:r>
        <w:rPr>
          <w:rFonts w:hint="eastAsia" w:ascii="仿宋_GB2312" w:eastAsia="仿宋_GB2312" w:cs="Times New Roman"/>
          <w:sz w:val="30"/>
          <w:szCs w:val="30"/>
          <w:highlight w:val="none"/>
          <w:u w:val="single"/>
          <w:lang w:val="en-US" w:eastAsia="zh-CN"/>
        </w:rPr>
        <w:t xml:space="preserve">              </w:t>
      </w:r>
    </w:p>
    <w:p w14:paraId="1D126CB0">
      <w:pPr>
        <w:keepNext w:val="0"/>
        <w:keepLines w:val="0"/>
        <w:pageBreakBefore w:val="0"/>
        <w:widowControl w:val="0"/>
        <w:kinsoku/>
        <w:wordWrap/>
        <w:overflowPunct/>
        <w:topLinePunct w:val="0"/>
        <w:autoSpaceDE/>
        <w:autoSpaceDN/>
        <w:bidi w:val="0"/>
        <w:adjustRightInd w:val="0"/>
        <w:snapToGrid w:val="0"/>
        <w:spacing w:line="288" w:lineRule="auto"/>
        <w:ind w:firstLine="600" w:firstLineChars="200"/>
        <w:textAlignment w:val="auto"/>
        <w:rPr>
          <w:rFonts w:hint="default" w:ascii="仿宋_GB2312" w:eastAsia="仿宋_GB2312"/>
          <w:sz w:val="30"/>
          <w:szCs w:val="30"/>
          <w:highlight w:val="none"/>
          <w:u w:val="single"/>
          <w:lang w:val="en-US" w:eastAsia="zh-CN"/>
        </w:rPr>
      </w:pPr>
      <w:r>
        <w:rPr>
          <w:rFonts w:hint="eastAsia" w:ascii="仿宋_GB2312" w:eastAsia="仿宋_GB2312"/>
          <w:sz w:val="30"/>
          <w:szCs w:val="30"/>
          <w:highlight w:val="none"/>
        </w:rPr>
        <w:t>建设单位（盖章）：</w:t>
      </w:r>
      <w:r>
        <w:rPr>
          <w:rFonts w:hint="eastAsia" w:ascii="仿宋_GB2312" w:eastAsia="仿宋_GB2312" w:cs="Times New Roman"/>
          <w:sz w:val="30"/>
          <w:szCs w:val="30"/>
          <w:highlight w:val="none"/>
          <w:u w:val="single"/>
          <w:lang w:eastAsia="zh-CN"/>
        </w:rPr>
        <w:t>中交路桥建设有限公司国道漫临线（G612）分水（县界）至临江段工程MLSG01标段项目经理部</w:t>
      </w:r>
      <w:r>
        <w:rPr>
          <w:rFonts w:hint="eastAsia" w:ascii="仿宋_GB2312" w:eastAsia="仿宋_GB2312" w:cs="Times New Roman"/>
          <w:sz w:val="30"/>
          <w:szCs w:val="30"/>
          <w:highlight w:val="none"/>
          <w:u w:val="single"/>
          <w:lang w:val="en-US" w:eastAsia="zh-CN"/>
        </w:rPr>
        <w:t xml:space="preserve">              </w:t>
      </w:r>
    </w:p>
    <w:p w14:paraId="6479F2C6">
      <w:pPr>
        <w:keepNext w:val="0"/>
        <w:keepLines w:val="0"/>
        <w:pageBreakBefore w:val="0"/>
        <w:widowControl w:val="0"/>
        <w:kinsoku/>
        <w:wordWrap/>
        <w:overflowPunct/>
        <w:topLinePunct w:val="0"/>
        <w:autoSpaceDE/>
        <w:autoSpaceDN/>
        <w:bidi w:val="0"/>
        <w:adjustRightInd w:val="0"/>
        <w:snapToGrid w:val="0"/>
        <w:spacing w:line="288" w:lineRule="auto"/>
        <w:ind w:firstLine="600" w:firstLineChars="200"/>
        <w:textAlignment w:val="auto"/>
        <w:rPr>
          <w:rFonts w:hint="eastAsia" w:ascii="仿宋_GB2312" w:hAnsi="Times New Roman" w:eastAsia="仿宋_GB2312" w:cs="Times New Roman"/>
          <w:sz w:val="36"/>
          <w:szCs w:val="36"/>
          <w:highlight w:val="none"/>
          <w:u w:val="single"/>
          <w:lang w:val="en-US" w:eastAsia="zh-CN"/>
        </w:rPr>
      </w:pPr>
      <w:r>
        <w:rPr>
          <w:rFonts w:hint="eastAsia" w:ascii="仿宋_GB2312" w:eastAsia="仿宋_GB2312"/>
          <w:sz w:val="30"/>
          <w:szCs w:val="30"/>
          <w:highlight w:val="none"/>
        </w:rPr>
        <w:t>编制日期：</w:t>
      </w:r>
      <w:r>
        <w:rPr>
          <w:rFonts w:hint="eastAsia" w:ascii="仿宋_GB2312" w:hAnsi="Times New Roman" w:eastAsia="仿宋_GB2312" w:cs="Times New Roman"/>
          <w:sz w:val="30"/>
          <w:szCs w:val="30"/>
          <w:highlight w:val="none"/>
          <w:u w:val="single"/>
          <w:lang w:val="en-US" w:eastAsia="zh-CN"/>
        </w:rPr>
        <w:t xml:space="preserve">       </w:t>
      </w:r>
      <w:r>
        <w:rPr>
          <w:rFonts w:hint="eastAsia" w:ascii="仿宋_GB2312" w:eastAsia="仿宋_GB2312" w:cs="Times New Roman"/>
          <w:sz w:val="30"/>
          <w:szCs w:val="30"/>
          <w:highlight w:val="none"/>
          <w:u w:val="single"/>
          <w:lang w:val="en-US" w:eastAsia="zh-CN"/>
        </w:rPr>
        <w:t xml:space="preserve">      </w:t>
      </w:r>
      <w:r>
        <w:rPr>
          <w:rFonts w:hint="eastAsia" w:ascii="仿宋_GB2312" w:hAnsi="Times New Roman" w:eastAsia="仿宋_GB2312" w:cs="Times New Roman"/>
          <w:sz w:val="30"/>
          <w:szCs w:val="30"/>
          <w:highlight w:val="none"/>
          <w:u w:val="single"/>
          <w:lang w:val="en-US" w:eastAsia="zh-CN"/>
        </w:rPr>
        <w:t xml:space="preserve">  </w:t>
      </w:r>
      <w:r>
        <w:rPr>
          <w:rFonts w:hint="default" w:ascii="仿宋_GB2312" w:hAnsi="Times New Roman" w:eastAsia="仿宋_GB2312" w:cs="Times New Roman"/>
          <w:sz w:val="30"/>
          <w:szCs w:val="30"/>
          <w:highlight w:val="none"/>
          <w:u w:val="single"/>
          <w:lang w:val="en-US" w:eastAsia="zh-CN"/>
        </w:rPr>
        <w:t xml:space="preserve"> </w:t>
      </w:r>
      <w:r>
        <w:rPr>
          <w:rFonts w:hint="eastAsia" w:ascii="仿宋_GB2312" w:eastAsia="仿宋_GB2312" w:cs="Times New Roman"/>
          <w:sz w:val="30"/>
          <w:szCs w:val="30"/>
          <w:highlight w:val="none"/>
          <w:u w:val="single"/>
          <w:lang w:val="en-US" w:eastAsia="zh-CN"/>
        </w:rPr>
        <w:t xml:space="preserve"> </w:t>
      </w:r>
      <w:r>
        <w:rPr>
          <w:rFonts w:hint="default" w:ascii="Times New Roman" w:hAnsi="Times New Roman" w:eastAsia="仿宋_GB2312" w:cs="Times New Roman"/>
          <w:sz w:val="30"/>
          <w:szCs w:val="30"/>
          <w:highlight w:val="none"/>
          <w:u w:val="single"/>
          <w:lang w:val="en-US" w:eastAsia="zh-CN"/>
        </w:rPr>
        <w:t>202</w:t>
      </w:r>
      <w:r>
        <w:rPr>
          <w:rFonts w:hint="eastAsia" w:eastAsia="仿宋_GB2312" w:cs="Times New Roman"/>
          <w:sz w:val="30"/>
          <w:szCs w:val="30"/>
          <w:highlight w:val="none"/>
          <w:u w:val="single"/>
          <w:lang w:val="en-US" w:eastAsia="zh-CN"/>
        </w:rPr>
        <w:t>6年7月</w:t>
      </w:r>
      <w:r>
        <w:rPr>
          <w:rFonts w:hint="default" w:ascii="仿宋_GB2312" w:hAnsi="Times New Roman" w:eastAsia="仿宋_GB2312" w:cs="Times New Roman"/>
          <w:sz w:val="30"/>
          <w:szCs w:val="30"/>
          <w:highlight w:val="none"/>
          <w:u w:val="single"/>
          <w:lang w:val="en-US" w:eastAsia="zh-CN"/>
        </w:rPr>
        <w:t xml:space="preserve"> </w:t>
      </w:r>
      <w:r>
        <w:rPr>
          <w:rFonts w:hint="eastAsia" w:ascii="仿宋_GB2312" w:hAnsi="Times New Roman" w:eastAsia="仿宋_GB2312" w:cs="Times New Roman"/>
          <w:sz w:val="30"/>
          <w:szCs w:val="30"/>
          <w:highlight w:val="none"/>
          <w:u w:val="single"/>
          <w:lang w:val="en-US" w:eastAsia="zh-CN"/>
        </w:rPr>
        <w:t xml:space="preserve">  </w:t>
      </w:r>
      <w:r>
        <w:rPr>
          <w:rFonts w:hint="eastAsia" w:ascii="仿宋_GB2312" w:eastAsia="仿宋_GB2312" w:cs="Times New Roman"/>
          <w:sz w:val="30"/>
          <w:szCs w:val="30"/>
          <w:highlight w:val="none"/>
          <w:u w:val="single"/>
          <w:lang w:val="en-US" w:eastAsia="zh-CN"/>
        </w:rPr>
        <w:t xml:space="preserve">   </w:t>
      </w:r>
      <w:r>
        <w:rPr>
          <w:rFonts w:hint="eastAsia" w:ascii="仿宋_GB2312" w:hAnsi="Times New Roman" w:eastAsia="仿宋_GB2312" w:cs="Times New Roman"/>
          <w:sz w:val="30"/>
          <w:szCs w:val="30"/>
          <w:highlight w:val="none"/>
          <w:u w:val="single"/>
          <w:lang w:val="en-US" w:eastAsia="zh-CN"/>
        </w:rPr>
        <w:t xml:space="preserve">    </w:t>
      </w:r>
      <w:r>
        <w:rPr>
          <w:rFonts w:hint="eastAsia" w:ascii="仿宋_GB2312" w:eastAsia="仿宋_GB2312" w:cs="Times New Roman"/>
          <w:sz w:val="30"/>
          <w:szCs w:val="30"/>
          <w:highlight w:val="none"/>
          <w:u w:val="single"/>
          <w:lang w:val="en-US" w:eastAsia="zh-CN"/>
        </w:rPr>
        <w:t xml:space="preserve">   </w:t>
      </w:r>
      <w:r>
        <w:rPr>
          <w:rFonts w:hint="eastAsia" w:ascii="仿宋_GB2312" w:hAnsi="Times New Roman" w:eastAsia="仿宋_GB2312" w:cs="Times New Roman"/>
          <w:sz w:val="30"/>
          <w:szCs w:val="30"/>
          <w:highlight w:val="none"/>
          <w:u w:val="single"/>
          <w:lang w:val="en-US" w:eastAsia="zh-CN"/>
        </w:rPr>
        <w:t xml:space="preserve">     </w:t>
      </w:r>
    </w:p>
    <w:p w14:paraId="15F7AB6B">
      <w:pPr>
        <w:adjustRightInd w:val="0"/>
        <w:snapToGrid w:val="0"/>
        <w:spacing w:line="288" w:lineRule="auto"/>
        <w:jc w:val="center"/>
        <w:rPr>
          <w:rFonts w:hint="eastAsia" w:ascii="仿宋_GB2312" w:eastAsia="仿宋_GB2312"/>
          <w:sz w:val="36"/>
          <w:szCs w:val="36"/>
          <w:highlight w:val="none"/>
        </w:rPr>
      </w:pPr>
      <w:bookmarkStart w:id="0" w:name="_Hlk57884087"/>
    </w:p>
    <w:p w14:paraId="3E21AED2">
      <w:pPr>
        <w:adjustRightInd w:val="0"/>
        <w:snapToGrid w:val="0"/>
        <w:spacing w:line="288" w:lineRule="auto"/>
        <w:jc w:val="center"/>
        <w:rPr>
          <w:rFonts w:hint="eastAsia" w:ascii="仿宋_GB2312" w:eastAsia="仿宋_GB2312"/>
          <w:sz w:val="36"/>
          <w:szCs w:val="36"/>
          <w:highlight w:val="none"/>
        </w:rPr>
      </w:pPr>
    </w:p>
    <w:p w14:paraId="70AFB020">
      <w:pPr>
        <w:adjustRightInd w:val="0"/>
        <w:snapToGrid w:val="0"/>
        <w:spacing w:line="288" w:lineRule="auto"/>
        <w:jc w:val="center"/>
        <w:rPr>
          <w:rFonts w:hint="eastAsia" w:ascii="仿宋_GB2312" w:eastAsia="仿宋_GB2312"/>
          <w:sz w:val="36"/>
          <w:szCs w:val="36"/>
          <w:highlight w:val="none"/>
          <w:lang w:val="en-US" w:eastAsia="zh-CN"/>
        </w:rPr>
      </w:pPr>
    </w:p>
    <w:bookmarkEnd w:id="0"/>
    <w:p w14:paraId="5513E19F">
      <w:pPr>
        <w:adjustRightInd w:val="0"/>
        <w:snapToGrid w:val="0"/>
        <w:spacing w:line="288" w:lineRule="auto"/>
        <w:jc w:val="center"/>
        <w:rPr>
          <w:rFonts w:ascii="仿宋_GB2312" w:eastAsia="仿宋_GB2312"/>
          <w:sz w:val="36"/>
          <w:szCs w:val="36"/>
          <w:highlight w:val="none"/>
        </w:rPr>
        <w:sectPr>
          <w:footerReference r:id="rId3" w:type="default"/>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r>
        <w:rPr>
          <w:rFonts w:hint="eastAsia" w:ascii="楷体_GB2312" w:eastAsia="楷体_GB2312"/>
          <w:sz w:val="36"/>
          <w:szCs w:val="36"/>
          <w:highlight w:val="none"/>
        </w:rPr>
        <w:t>中华人民共和国生态环境部制</w:t>
      </w:r>
    </w:p>
    <w:p w14:paraId="2FCEE0E5">
      <w:pPr>
        <w:pStyle w:val="21"/>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outlineLvl w:val="0"/>
        <w:rPr>
          <w:rFonts w:hint="eastAsia" w:ascii="黑体" w:hAnsi="黑体" w:eastAsia="黑体" w:cs="Times New Roman"/>
          <w:snapToGrid w:val="0"/>
          <w:color w:val="auto"/>
          <w:sz w:val="30"/>
          <w:szCs w:val="30"/>
          <w:highlight w:val="none"/>
          <w:u w:val="none" w:color="auto"/>
        </w:rPr>
      </w:pPr>
      <w:r>
        <w:rPr>
          <w:rFonts w:hint="eastAsia" w:ascii="黑体" w:hAnsi="黑体" w:eastAsia="黑体" w:cs="Times New Roman"/>
          <w:snapToGrid w:val="0"/>
          <w:color w:val="auto"/>
          <w:sz w:val="30"/>
          <w:szCs w:val="30"/>
          <w:highlight w:val="none"/>
          <w:u w:val="none" w:color="auto"/>
        </w:rPr>
        <w:t>一、建设项目基本情况</w:t>
      </w:r>
    </w:p>
    <w:tbl>
      <w:tblPr>
        <w:tblStyle w:val="2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989"/>
        <w:gridCol w:w="1393"/>
        <w:gridCol w:w="2093"/>
        <w:gridCol w:w="1756"/>
        <w:gridCol w:w="2639"/>
      </w:tblGrid>
      <w:tr w14:paraId="29BA1A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gridSpan w:val="2"/>
            <w:noWrap w:val="0"/>
            <w:tcMar>
              <w:top w:w="16" w:type="dxa"/>
              <w:left w:w="16" w:type="dxa"/>
              <w:right w:w="16" w:type="dxa"/>
            </w:tcMar>
            <w:vAlign w:val="center"/>
          </w:tcPr>
          <w:p w14:paraId="2ACD9AE3">
            <w:pPr>
              <w:adjustRightInd w:val="0"/>
              <w:snapToGrid w:val="0"/>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建设项目名称</w:t>
            </w:r>
          </w:p>
        </w:tc>
        <w:tc>
          <w:tcPr>
            <w:tcW w:w="6488" w:type="dxa"/>
            <w:gridSpan w:val="3"/>
            <w:noWrap w:val="0"/>
            <w:vAlign w:val="center"/>
          </w:tcPr>
          <w:p w14:paraId="6679F08F">
            <w:pPr>
              <w:adjustRightInd w:val="0"/>
              <w:snapToGrid w:val="0"/>
              <w:jc w:val="center"/>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中交路桥建设有限公司国道漫临线（G612）分水（县界）至临江段工程MLSG01标段拌合站和实验室项目</w:t>
            </w:r>
          </w:p>
        </w:tc>
      </w:tr>
      <w:tr w14:paraId="2D2057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gridSpan w:val="2"/>
            <w:noWrap w:val="0"/>
            <w:tcMar>
              <w:top w:w="16" w:type="dxa"/>
              <w:left w:w="16" w:type="dxa"/>
              <w:right w:w="16" w:type="dxa"/>
            </w:tcMar>
            <w:vAlign w:val="center"/>
          </w:tcPr>
          <w:p w14:paraId="7892932D">
            <w:pPr>
              <w:adjustRightInd w:val="0"/>
              <w:snapToGrid w:val="0"/>
              <w:jc w:val="center"/>
              <w:rPr>
                <w:rFonts w:ascii="宋体" w:hAnsi="宋体" w:cs="宋体"/>
                <w:sz w:val="24"/>
                <w:szCs w:val="24"/>
                <w:highlight w:val="none"/>
              </w:rPr>
            </w:pPr>
            <w:r>
              <w:rPr>
                <w:rFonts w:hint="eastAsia" w:ascii="宋体" w:hAnsi="宋体" w:cs="宋体"/>
                <w:sz w:val="24"/>
                <w:szCs w:val="24"/>
                <w:highlight w:val="none"/>
              </w:rPr>
              <w:t>项目代码</w:t>
            </w:r>
          </w:p>
        </w:tc>
        <w:tc>
          <w:tcPr>
            <w:tcW w:w="6488" w:type="dxa"/>
            <w:gridSpan w:val="3"/>
            <w:noWrap w:val="0"/>
            <w:vAlign w:val="center"/>
          </w:tcPr>
          <w:p w14:paraId="78ED7D47">
            <w:pPr>
              <w:adjustRightInd w:val="0"/>
              <w:snapToGrid w:val="0"/>
              <w:jc w:val="center"/>
              <w:rPr>
                <w:rFonts w:hint="default" w:ascii="宋体" w:hAnsi="宋体" w:eastAsia="宋体" w:cs="宋体"/>
                <w:sz w:val="24"/>
                <w:szCs w:val="24"/>
                <w:highlight w:val="none"/>
                <w:lang w:val="en-US" w:eastAsia="zh-CN"/>
              </w:rPr>
            </w:pPr>
            <w:r>
              <w:rPr>
                <w:rFonts w:hint="eastAsia" w:cs="Times New Roman"/>
                <w:sz w:val="24"/>
                <w:szCs w:val="24"/>
                <w:highlight w:val="none"/>
                <w:lang w:val="en-US" w:eastAsia="zh-CN"/>
              </w:rPr>
              <w:t>/</w:t>
            </w:r>
          </w:p>
        </w:tc>
      </w:tr>
      <w:tr w14:paraId="7C7026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gridSpan w:val="2"/>
            <w:noWrap w:val="0"/>
            <w:tcMar>
              <w:top w:w="16" w:type="dxa"/>
              <w:left w:w="16" w:type="dxa"/>
              <w:right w:w="16" w:type="dxa"/>
            </w:tcMar>
            <w:vAlign w:val="center"/>
          </w:tcPr>
          <w:p w14:paraId="70D8B07A">
            <w:pPr>
              <w:adjustRightInd w:val="0"/>
              <w:snapToGrid w:val="0"/>
              <w:jc w:val="center"/>
              <w:rPr>
                <w:rFonts w:hint="eastAsia" w:ascii="宋体" w:hAnsi="宋体" w:cs="宋体"/>
                <w:sz w:val="24"/>
                <w:szCs w:val="24"/>
                <w:highlight w:val="none"/>
              </w:rPr>
            </w:pPr>
            <w:r>
              <w:rPr>
                <w:rFonts w:hint="eastAsia" w:ascii="宋体" w:hAnsi="宋体" w:cs="宋体"/>
                <w:sz w:val="24"/>
                <w:szCs w:val="24"/>
                <w:highlight w:val="none"/>
              </w:rPr>
              <w:t>建设单位联系人</w:t>
            </w:r>
          </w:p>
        </w:tc>
        <w:tc>
          <w:tcPr>
            <w:tcW w:w="2093" w:type="dxa"/>
            <w:noWrap w:val="0"/>
            <w:vAlign w:val="center"/>
          </w:tcPr>
          <w:p w14:paraId="436174F0">
            <w:pPr>
              <w:adjustRightInd w:val="0"/>
              <w:snapToGrid w:val="0"/>
              <w:jc w:val="center"/>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刘晓辉</w:t>
            </w:r>
          </w:p>
        </w:tc>
        <w:tc>
          <w:tcPr>
            <w:tcW w:w="1756" w:type="dxa"/>
            <w:noWrap w:val="0"/>
            <w:vAlign w:val="center"/>
          </w:tcPr>
          <w:p w14:paraId="35EA1067">
            <w:pPr>
              <w:adjustRightInd w:val="0"/>
              <w:snapToGrid w:val="0"/>
              <w:jc w:val="center"/>
              <w:rPr>
                <w:rFonts w:ascii="宋体" w:hAnsi="宋体" w:cs="宋体"/>
                <w:sz w:val="24"/>
                <w:szCs w:val="24"/>
                <w:highlight w:val="none"/>
              </w:rPr>
            </w:pPr>
            <w:r>
              <w:rPr>
                <w:rFonts w:hint="eastAsia" w:ascii="宋体" w:hAnsi="宋体" w:cs="宋体"/>
                <w:sz w:val="24"/>
                <w:szCs w:val="24"/>
                <w:highlight w:val="none"/>
              </w:rPr>
              <w:t>联系方式</w:t>
            </w:r>
          </w:p>
        </w:tc>
        <w:tc>
          <w:tcPr>
            <w:tcW w:w="2639" w:type="dxa"/>
            <w:noWrap w:val="0"/>
            <w:vAlign w:val="center"/>
          </w:tcPr>
          <w:p w14:paraId="14290158">
            <w:pPr>
              <w:adjustRightInd w:val="0"/>
              <w:snapToGrid w:val="0"/>
              <w:jc w:val="center"/>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18790721122</w:t>
            </w:r>
          </w:p>
        </w:tc>
      </w:tr>
      <w:tr w14:paraId="292D06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gridSpan w:val="2"/>
            <w:noWrap w:val="0"/>
            <w:tcMar>
              <w:top w:w="16" w:type="dxa"/>
              <w:left w:w="16" w:type="dxa"/>
              <w:right w:w="16" w:type="dxa"/>
            </w:tcMar>
            <w:vAlign w:val="center"/>
          </w:tcPr>
          <w:p w14:paraId="0C9A19CD">
            <w:pPr>
              <w:adjustRightInd w:val="0"/>
              <w:snapToGrid w:val="0"/>
              <w:jc w:val="center"/>
              <w:rPr>
                <w:rFonts w:ascii="宋体" w:hAnsi="宋体" w:cs="宋体"/>
                <w:sz w:val="24"/>
                <w:szCs w:val="24"/>
                <w:highlight w:val="none"/>
              </w:rPr>
            </w:pPr>
            <w:r>
              <w:rPr>
                <w:rFonts w:hint="eastAsia" w:ascii="宋体" w:hAnsi="宋体" w:cs="宋体"/>
                <w:sz w:val="24"/>
                <w:szCs w:val="24"/>
                <w:highlight w:val="none"/>
              </w:rPr>
              <w:t>建设地点</w:t>
            </w:r>
          </w:p>
        </w:tc>
        <w:tc>
          <w:tcPr>
            <w:tcW w:w="6488" w:type="dxa"/>
            <w:gridSpan w:val="3"/>
            <w:noWrap w:val="0"/>
            <w:vAlign w:val="center"/>
          </w:tcPr>
          <w:p w14:paraId="707C4838">
            <w:pPr>
              <w:adjustRightInd w:val="0"/>
              <w:snapToGrid w:val="0"/>
              <w:jc w:val="center"/>
              <w:rPr>
                <w:rFonts w:hint="default" w:ascii="宋体" w:hAnsi="宋体" w:eastAsia="宋体" w:cs="宋体"/>
                <w:sz w:val="24"/>
                <w:szCs w:val="24"/>
                <w:highlight w:val="cyan"/>
                <w:lang w:val="en-US" w:eastAsia="zh-CN"/>
              </w:rPr>
            </w:pPr>
            <w:r>
              <w:rPr>
                <w:rFonts w:hint="eastAsia" w:ascii="宋体" w:hAnsi="宋体" w:cs="宋体"/>
                <w:sz w:val="24"/>
                <w:szCs w:val="24"/>
                <w:highlight w:val="none"/>
                <w:lang w:val="en-US" w:eastAsia="zh-CN"/>
              </w:rPr>
              <w:t>吉</w:t>
            </w:r>
            <w:r>
              <w:rPr>
                <w:rFonts w:hint="eastAsia" w:ascii="宋体" w:hAnsi="宋体" w:eastAsia="宋体" w:cs="宋体"/>
                <w:sz w:val="24"/>
                <w:szCs w:val="24"/>
                <w:highlight w:val="none"/>
                <w:lang w:val="en-US" w:eastAsia="zh-CN"/>
              </w:rPr>
              <w:t>林省白山市</w:t>
            </w:r>
            <w:r>
              <w:rPr>
                <w:rFonts w:hint="eastAsia" w:ascii="宋体" w:hAnsi="宋体" w:cs="宋体"/>
                <w:sz w:val="24"/>
                <w:szCs w:val="24"/>
                <w:highlight w:val="none"/>
                <w:lang w:val="en-US" w:eastAsia="zh-CN"/>
              </w:rPr>
              <w:t>临江市桦树镇西大川村</w:t>
            </w:r>
          </w:p>
        </w:tc>
      </w:tr>
      <w:tr w14:paraId="3094D0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gridSpan w:val="2"/>
            <w:noWrap w:val="0"/>
            <w:tcMar>
              <w:top w:w="16" w:type="dxa"/>
              <w:left w:w="16" w:type="dxa"/>
              <w:right w:w="16" w:type="dxa"/>
            </w:tcMar>
            <w:vAlign w:val="center"/>
          </w:tcPr>
          <w:p w14:paraId="3F98FDEB">
            <w:pPr>
              <w:adjustRightInd w:val="0"/>
              <w:snapToGrid w:val="0"/>
              <w:jc w:val="center"/>
              <w:rPr>
                <w:rFonts w:ascii="宋体" w:hAnsi="宋体" w:cs="宋体"/>
                <w:sz w:val="24"/>
                <w:szCs w:val="24"/>
                <w:highlight w:val="none"/>
              </w:rPr>
            </w:pPr>
            <w:r>
              <w:rPr>
                <w:rFonts w:hint="eastAsia" w:ascii="宋体" w:hAnsi="宋体" w:cs="宋体"/>
                <w:sz w:val="24"/>
                <w:szCs w:val="24"/>
                <w:highlight w:val="none"/>
              </w:rPr>
              <w:t>地理坐标</w:t>
            </w:r>
          </w:p>
        </w:tc>
        <w:tc>
          <w:tcPr>
            <w:tcW w:w="6488" w:type="dxa"/>
            <w:gridSpan w:val="3"/>
            <w:noWrap w:val="0"/>
            <w:vAlign w:val="center"/>
          </w:tcPr>
          <w:p w14:paraId="6C736690">
            <w:pPr>
              <w:jc w:val="center"/>
              <w:rPr>
                <w:rFonts w:hint="eastAsia" w:ascii="宋体" w:hAnsi="宋体" w:cs="宋体"/>
                <w:sz w:val="24"/>
                <w:szCs w:val="24"/>
                <w:highlight w:val="none"/>
              </w:rPr>
            </w:pPr>
            <w:r>
              <w:rPr>
                <w:rFonts w:hint="eastAsia" w:ascii="宋体" w:hAnsi="宋体" w:cs="宋体"/>
                <w:sz w:val="24"/>
                <w:szCs w:val="24"/>
                <w:highlight w:val="none"/>
                <w:u w:val="none"/>
                <w:lang w:val="en-US" w:eastAsia="zh-CN"/>
              </w:rPr>
              <w:t>东经</w:t>
            </w:r>
            <w:r>
              <w:rPr>
                <w:rFonts w:hint="eastAsia" w:ascii="宋体" w:hAnsi="宋体" w:cs="宋体"/>
                <w:sz w:val="24"/>
                <w:szCs w:val="24"/>
                <w:highlight w:val="none"/>
                <w:u w:val="single"/>
                <w:lang w:val="en-US" w:eastAsia="zh-CN"/>
              </w:rPr>
              <w:t xml:space="preserve"> </w:t>
            </w:r>
            <w:r>
              <w:rPr>
                <w:rFonts w:hint="default" w:ascii="Times New Roman" w:hAnsi="Times New Roman" w:cs="Times New Roman"/>
                <w:sz w:val="24"/>
                <w:szCs w:val="24"/>
                <w:highlight w:val="none"/>
                <w:u w:val="single"/>
                <w:lang w:val="en-US" w:eastAsia="zh-CN"/>
              </w:rPr>
              <w:t>12</w:t>
            </w:r>
            <w:r>
              <w:rPr>
                <w:rFonts w:hint="eastAsia" w:cs="Times New Roman"/>
                <w:sz w:val="24"/>
                <w:szCs w:val="24"/>
                <w:highlight w:val="none"/>
                <w:u w:val="single"/>
                <w:lang w:val="en-US" w:eastAsia="zh-CN"/>
              </w:rPr>
              <w:t xml:space="preserve">7 </w:t>
            </w:r>
            <w:r>
              <w:rPr>
                <w:rFonts w:hint="eastAsia" w:ascii="宋体" w:hAnsi="宋体" w:cs="宋体"/>
                <w:sz w:val="24"/>
                <w:szCs w:val="24"/>
                <w:highlight w:val="none"/>
                <w:u w:val="none"/>
              </w:rPr>
              <w:t>度</w:t>
            </w:r>
            <w:r>
              <w:rPr>
                <w:rFonts w:hint="eastAsia" w:ascii="宋体" w:hAnsi="宋体" w:cs="宋体"/>
                <w:sz w:val="24"/>
                <w:szCs w:val="24"/>
                <w:highlight w:val="none"/>
                <w:u w:val="single"/>
                <w:lang w:val="en-US" w:eastAsia="zh-CN"/>
              </w:rPr>
              <w:t xml:space="preserve"> </w:t>
            </w:r>
            <w:r>
              <w:rPr>
                <w:rFonts w:hint="eastAsia" w:cs="Times New Roman"/>
                <w:sz w:val="24"/>
                <w:szCs w:val="24"/>
                <w:highlight w:val="none"/>
                <w:u w:val="single"/>
                <w:lang w:val="en-US" w:eastAsia="zh-CN"/>
              </w:rPr>
              <w:t xml:space="preserve">12 </w:t>
            </w:r>
            <w:r>
              <w:rPr>
                <w:rFonts w:hint="eastAsia" w:ascii="宋体" w:hAnsi="宋体" w:cs="宋体"/>
                <w:sz w:val="24"/>
                <w:szCs w:val="24"/>
                <w:highlight w:val="none"/>
                <w:u w:val="none"/>
              </w:rPr>
              <w:t>分</w:t>
            </w:r>
            <w:r>
              <w:rPr>
                <w:rFonts w:hint="eastAsia" w:ascii="宋体" w:hAnsi="宋体" w:cs="宋体"/>
                <w:sz w:val="24"/>
                <w:szCs w:val="24"/>
                <w:highlight w:val="none"/>
                <w:u w:val="single"/>
                <w:lang w:val="en-US" w:eastAsia="zh-CN"/>
              </w:rPr>
              <w:t xml:space="preserve"> </w:t>
            </w:r>
            <w:r>
              <w:rPr>
                <w:rFonts w:hint="eastAsia" w:cs="Times New Roman"/>
                <w:sz w:val="24"/>
                <w:szCs w:val="24"/>
                <w:highlight w:val="none"/>
                <w:u w:val="single"/>
                <w:lang w:val="en-US" w:eastAsia="zh-CN"/>
              </w:rPr>
              <w:t xml:space="preserve">53.992 </w:t>
            </w:r>
            <w:r>
              <w:rPr>
                <w:rFonts w:hint="eastAsia" w:ascii="宋体" w:hAnsi="宋体" w:cs="宋体"/>
                <w:sz w:val="24"/>
                <w:szCs w:val="24"/>
                <w:highlight w:val="none"/>
                <w:u w:val="none"/>
              </w:rPr>
              <w:t>秒，</w:t>
            </w:r>
            <w:r>
              <w:rPr>
                <w:rFonts w:hint="eastAsia" w:ascii="宋体" w:hAnsi="宋体" w:cs="宋体"/>
                <w:sz w:val="24"/>
                <w:szCs w:val="24"/>
                <w:highlight w:val="none"/>
                <w:u w:val="none"/>
                <w:lang w:val="en-US" w:eastAsia="zh-CN"/>
              </w:rPr>
              <w:t>北纬</w:t>
            </w:r>
            <w:r>
              <w:rPr>
                <w:rFonts w:hint="eastAsia" w:ascii="宋体" w:hAnsi="宋体" w:cs="宋体"/>
                <w:sz w:val="24"/>
                <w:szCs w:val="24"/>
                <w:highlight w:val="none"/>
                <w:u w:val="single"/>
                <w:lang w:val="en-US" w:eastAsia="zh-CN"/>
              </w:rPr>
              <w:t xml:space="preserve"> </w:t>
            </w:r>
            <w:r>
              <w:rPr>
                <w:rFonts w:hint="eastAsia" w:ascii="Times New Roman" w:hAnsi="Times New Roman" w:eastAsia="宋体" w:cs="Times New Roman"/>
                <w:sz w:val="24"/>
                <w:szCs w:val="24"/>
                <w:highlight w:val="none"/>
                <w:u w:val="single"/>
                <w:lang w:val="en-US" w:eastAsia="zh-CN"/>
              </w:rPr>
              <w:t>4</w:t>
            </w:r>
            <w:r>
              <w:rPr>
                <w:rFonts w:hint="eastAsia" w:cs="Times New Roman"/>
                <w:sz w:val="24"/>
                <w:szCs w:val="24"/>
                <w:highlight w:val="none"/>
                <w:u w:val="single"/>
                <w:lang w:val="en-US" w:eastAsia="zh-CN"/>
              </w:rPr>
              <w:t xml:space="preserve">1 </w:t>
            </w:r>
            <w:r>
              <w:rPr>
                <w:rFonts w:hint="eastAsia" w:ascii="宋体" w:hAnsi="宋体" w:cs="宋体"/>
                <w:sz w:val="24"/>
                <w:szCs w:val="24"/>
                <w:highlight w:val="none"/>
                <w:u w:val="none"/>
              </w:rPr>
              <w:t>度</w:t>
            </w:r>
            <w:r>
              <w:rPr>
                <w:rFonts w:hint="eastAsia" w:ascii="宋体" w:hAnsi="宋体" w:cs="宋体"/>
                <w:sz w:val="24"/>
                <w:szCs w:val="24"/>
                <w:highlight w:val="none"/>
                <w:u w:val="single"/>
                <w:lang w:val="en-US" w:eastAsia="zh-CN"/>
              </w:rPr>
              <w:t xml:space="preserve"> </w:t>
            </w:r>
            <w:r>
              <w:rPr>
                <w:rFonts w:hint="eastAsia" w:cs="Times New Roman"/>
                <w:sz w:val="24"/>
                <w:szCs w:val="24"/>
                <w:highlight w:val="none"/>
                <w:u w:val="single"/>
                <w:lang w:val="en-US" w:eastAsia="zh-CN"/>
              </w:rPr>
              <w:t xml:space="preserve">59 </w:t>
            </w:r>
            <w:r>
              <w:rPr>
                <w:rFonts w:hint="eastAsia" w:ascii="宋体" w:hAnsi="宋体" w:cs="宋体"/>
                <w:sz w:val="24"/>
                <w:szCs w:val="24"/>
                <w:highlight w:val="none"/>
                <w:u w:val="none"/>
              </w:rPr>
              <w:t>分</w:t>
            </w:r>
            <w:r>
              <w:rPr>
                <w:rFonts w:hint="eastAsia" w:ascii="宋体" w:hAnsi="宋体" w:cs="宋体"/>
                <w:sz w:val="24"/>
                <w:szCs w:val="24"/>
                <w:highlight w:val="none"/>
                <w:u w:val="single"/>
                <w:lang w:val="en-US" w:eastAsia="zh-CN"/>
              </w:rPr>
              <w:t xml:space="preserve"> </w:t>
            </w:r>
            <w:r>
              <w:rPr>
                <w:rFonts w:hint="eastAsia" w:cs="Times New Roman"/>
                <w:sz w:val="24"/>
                <w:szCs w:val="24"/>
                <w:highlight w:val="none"/>
                <w:u w:val="single"/>
                <w:lang w:val="en-US" w:eastAsia="zh-CN"/>
              </w:rPr>
              <w:t xml:space="preserve">4.500 </w:t>
            </w:r>
            <w:r>
              <w:rPr>
                <w:rFonts w:hint="eastAsia" w:ascii="宋体" w:hAnsi="宋体" w:cs="宋体"/>
                <w:sz w:val="24"/>
                <w:szCs w:val="24"/>
                <w:highlight w:val="none"/>
                <w:u w:val="none"/>
              </w:rPr>
              <w:t>秒</w:t>
            </w:r>
          </w:p>
        </w:tc>
      </w:tr>
      <w:tr w14:paraId="32BDA3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2382" w:type="dxa"/>
            <w:gridSpan w:val="2"/>
            <w:noWrap w:val="0"/>
            <w:tcMar>
              <w:top w:w="16" w:type="dxa"/>
              <w:left w:w="16" w:type="dxa"/>
              <w:right w:w="16" w:type="dxa"/>
            </w:tcMar>
            <w:vAlign w:val="center"/>
          </w:tcPr>
          <w:p w14:paraId="3DA07127">
            <w:pPr>
              <w:adjustRightInd w:val="0"/>
              <w:snapToGrid w:val="0"/>
              <w:jc w:val="center"/>
              <w:rPr>
                <w:rFonts w:hint="eastAsia" w:ascii="宋体" w:hAnsi="宋体" w:cs="宋体"/>
                <w:sz w:val="24"/>
                <w:szCs w:val="24"/>
                <w:highlight w:val="none"/>
              </w:rPr>
            </w:pPr>
            <w:r>
              <w:rPr>
                <w:rFonts w:hint="eastAsia" w:ascii="宋体" w:hAnsi="宋体" w:cs="宋体"/>
                <w:sz w:val="24"/>
                <w:szCs w:val="24"/>
                <w:highlight w:val="none"/>
              </w:rPr>
              <w:t>国民经济</w:t>
            </w:r>
          </w:p>
          <w:p w14:paraId="62323358">
            <w:pPr>
              <w:adjustRightInd w:val="0"/>
              <w:snapToGrid w:val="0"/>
              <w:jc w:val="center"/>
              <w:rPr>
                <w:rFonts w:ascii="宋体" w:hAnsi="宋体" w:cs="宋体"/>
                <w:sz w:val="24"/>
                <w:szCs w:val="24"/>
                <w:highlight w:val="none"/>
              </w:rPr>
            </w:pPr>
            <w:r>
              <w:rPr>
                <w:rFonts w:hint="eastAsia" w:ascii="宋体" w:hAnsi="宋体" w:cs="宋体"/>
                <w:sz w:val="24"/>
                <w:szCs w:val="24"/>
                <w:highlight w:val="none"/>
              </w:rPr>
              <w:t>行业类别</w:t>
            </w:r>
          </w:p>
        </w:tc>
        <w:tc>
          <w:tcPr>
            <w:tcW w:w="2093" w:type="dxa"/>
            <w:noWrap w:val="0"/>
            <w:vAlign w:val="center"/>
          </w:tcPr>
          <w:p w14:paraId="4976F21B">
            <w:pPr>
              <w:adjustRightInd w:val="0"/>
              <w:snapToGrid w:val="0"/>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C3021</w:t>
            </w:r>
          </w:p>
          <w:p w14:paraId="615EC414">
            <w:pPr>
              <w:adjustRightInd w:val="0"/>
              <w:snapToGrid w:val="0"/>
              <w:jc w:val="center"/>
              <w:rPr>
                <w:rFonts w:ascii="宋体" w:hAnsi="宋体" w:cs="宋体"/>
                <w:sz w:val="24"/>
                <w:szCs w:val="24"/>
                <w:highlight w:val="none"/>
              </w:rPr>
            </w:pPr>
            <w:r>
              <w:rPr>
                <w:rFonts w:hint="default" w:ascii="Times New Roman" w:hAnsi="Times New Roman" w:eastAsia="宋体" w:cs="Times New Roman"/>
                <w:sz w:val="24"/>
                <w:szCs w:val="24"/>
                <w:highlight w:val="none"/>
              </w:rPr>
              <w:t>水泥制品制造</w:t>
            </w:r>
          </w:p>
        </w:tc>
        <w:tc>
          <w:tcPr>
            <w:tcW w:w="1756" w:type="dxa"/>
            <w:noWrap w:val="0"/>
            <w:vAlign w:val="center"/>
          </w:tcPr>
          <w:p w14:paraId="7F5F350C">
            <w:pPr>
              <w:adjustRightInd w:val="0"/>
              <w:snapToGrid w:val="0"/>
              <w:jc w:val="center"/>
              <w:rPr>
                <w:rFonts w:ascii="宋体" w:hAnsi="宋体" w:cs="宋体"/>
                <w:sz w:val="24"/>
                <w:szCs w:val="24"/>
                <w:highlight w:val="none"/>
              </w:rPr>
            </w:pPr>
            <w:bookmarkStart w:id="1" w:name="_Hlk49843745"/>
            <w:r>
              <w:rPr>
                <w:rFonts w:hint="eastAsia" w:ascii="宋体" w:hAnsi="宋体" w:cs="宋体"/>
                <w:sz w:val="24"/>
                <w:szCs w:val="24"/>
                <w:highlight w:val="none"/>
              </w:rPr>
              <w:t>建设项目</w:t>
            </w:r>
          </w:p>
          <w:p w14:paraId="10097687">
            <w:pPr>
              <w:adjustRightInd w:val="0"/>
              <w:snapToGrid w:val="0"/>
              <w:jc w:val="center"/>
              <w:rPr>
                <w:rFonts w:ascii="宋体" w:hAnsi="宋体" w:cs="宋体"/>
                <w:sz w:val="24"/>
                <w:szCs w:val="24"/>
                <w:highlight w:val="none"/>
              </w:rPr>
            </w:pPr>
            <w:r>
              <w:rPr>
                <w:rFonts w:hint="eastAsia" w:ascii="宋体" w:hAnsi="宋体" w:cs="宋体"/>
                <w:sz w:val="24"/>
                <w:szCs w:val="24"/>
                <w:highlight w:val="none"/>
              </w:rPr>
              <w:t>行业类别</w:t>
            </w:r>
            <w:bookmarkEnd w:id="1"/>
          </w:p>
        </w:tc>
        <w:tc>
          <w:tcPr>
            <w:tcW w:w="2639" w:type="dxa"/>
            <w:noWrap w:val="0"/>
            <w:vAlign w:val="center"/>
          </w:tcPr>
          <w:p w14:paraId="24928A87">
            <w:pPr>
              <w:adjustRightInd w:val="0"/>
              <w:snapToGrid w:val="0"/>
              <w:rPr>
                <w:rFonts w:ascii="宋体" w:hAnsi="宋体" w:cs="宋体"/>
                <w:sz w:val="24"/>
                <w:szCs w:val="24"/>
                <w:highlight w:val="none"/>
              </w:rPr>
            </w:pPr>
            <w:r>
              <w:rPr>
                <w:rFonts w:hint="eastAsia"/>
                <w:sz w:val="24"/>
                <w:szCs w:val="24"/>
                <w:highlight w:val="none"/>
              </w:rPr>
              <w:t>二十七</w:t>
            </w:r>
            <w:r>
              <w:rPr>
                <w:sz w:val="24"/>
                <w:szCs w:val="24"/>
                <w:highlight w:val="none"/>
              </w:rPr>
              <w:t>、</w:t>
            </w:r>
            <w:r>
              <w:rPr>
                <w:rFonts w:hint="eastAsia"/>
                <w:sz w:val="24"/>
                <w:szCs w:val="24"/>
                <w:highlight w:val="none"/>
              </w:rPr>
              <w:t>非金属矿物制品</w:t>
            </w:r>
            <w:r>
              <w:rPr>
                <w:sz w:val="24"/>
                <w:szCs w:val="24"/>
                <w:highlight w:val="none"/>
              </w:rPr>
              <w:t>业</w:t>
            </w:r>
            <w:r>
              <w:rPr>
                <w:rFonts w:hint="eastAsia"/>
                <w:sz w:val="24"/>
                <w:szCs w:val="24"/>
                <w:highlight w:val="none"/>
                <w:lang w:val="en-US" w:eastAsia="zh-CN"/>
              </w:rPr>
              <w:t>：</w:t>
            </w:r>
            <w:r>
              <w:rPr>
                <w:rFonts w:hint="eastAsia"/>
                <w:sz w:val="24"/>
                <w:szCs w:val="24"/>
                <w:highlight w:val="none"/>
              </w:rPr>
              <w:t>55石膏、水泥制品及类似制品制造</w:t>
            </w:r>
          </w:p>
        </w:tc>
      </w:tr>
      <w:tr w14:paraId="2B7A59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2382" w:type="dxa"/>
            <w:gridSpan w:val="2"/>
            <w:noWrap w:val="0"/>
            <w:tcMar>
              <w:top w:w="16" w:type="dxa"/>
              <w:left w:w="16" w:type="dxa"/>
              <w:right w:w="16" w:type="dxa"/>
            </w:tcMar>
            <w:vAlign w:val="center"/>
          </w:tcPr>
          <w:p w14:paraId="4FF016C7">
            <w:pPr>
              <w:adjustRightInd w:val="0"/>
              <w:snapToGrid w:val="0"/>
              <w:jc w:val="center"/>
              <w:rPr>
                <w:rFonts w:ascii="宋体" w:hAnsi="宋体" w:cs="宋体"/>
                <w:sz w:val="24"/>
                <w:szCs w:val="24"/>
                <w:highlight w:val="none"/>
              </w:rPr>
            </w:pPr>
            <w:r>
              <w:rPr>
                <w:rFonts w:hint="eastAsia" w:ascii="宋体" w:hAnsi="宋体" w:cs="宋体"/>
                <w:sz w:val="24"/>
                <w:szCs w:val="24"/>
                <w:highlight w:val="none"/>
              </w:rPr>
              <w:t>建设性质</w:t>
            </w:r>
          </w:p>
        </w:tc>
        <w:tc>
          <w:tcPr>
            <w:tcW w:w="2093" w:type="dxa"/>
            <w:noWrap w:val="0"/>
            <w:vAlign w:val="center"/>
          </w:tcPr>
          <w:p w14:paraId="238691C2">
            <w:pPr>
              <w:jc w:val="left"/>
              <w:rPr>
                <w:rFonts w:ascii="宋体" w:hAnsi="宋体" w:cs="宋体"/>
                <w:sz w:val="24"/>
                <w:szCs w:val="24"/>
                <w:highlight w:val="none"/>
              </w:rPr>
            </w:pPr>
            <w:r>
              <w:rPr>
                <w:rFonts w:hint="eastAsia" w:ascii="宋体" w:hAnsi="宋体" w:cs="宋体"/>
                <w:sz w:val="24"/>
                <w:szCs w:val="24"/>
                <w:highlight w:val="none"/>
                <w:lang w:eastAsia="zh-CN"/>
              </w:rPr>
              <w:t>☑</w:t>
            </w:r>
            <w:r>
              <w:rPr>
                <w:rFonts w:hint="eastAsia" w:ascii="宋体" w:hAnsi="宋体" w:cs="宋体"/>
                <w:sz w:val="24"/>
                <w:szCs w:val="24"/>
                <w:highlight w:val="none"/>
              </w:rPr>
              <w:t>新建（迁建）</w:t>
            </w:r>
          </w:p>
          <w:p w14:paraId="131A8E20">
            <w:pPr>
              <w:jc w:val="left"/>
              <w:rPr>
                <w:rFonts w:hint="eastAsia" w:ascii="宋体" w:hAnsi="宋体" w:cs="宋体"/>
                <w:sz w:val="24"/>
                <w:szCs w:val="24"/>
                <w:highlight w:val="none"/>
              </w:rPr>
            </w:pPr>
            <w:r>
              <w:rPr>
                <w:rFonts w:hint="eastAsia" w:ascii="宋体" w:hAnsi="宋体" w:cs="宋体"/>
                <w:sz w:val="24"/>
                <w:szCs w:val="24"/>
                <w:highlight w:val="none"/>
              </w:rPr>
              <w:t>□改建</w:t>
            </w:r>
          </w:p>
          <w:p w14:paraId="0EB5181E">
            <w:pPr>
              <w:jc w:val="left"/>
              <w:rPr>
                <w:rFonts w:hint="eastAsia" w:ascii="宋体" w:hAnsi="宋体" w:cs="宋体"/>
                <w:sz w:val="24"/>
                <w:szCs w:val="24"/>
                <w:highlight w:val="none"/>
              </w:rPr>
            </w:pPr>
            <w:r>
              <w:rPr>
                <w:rFonts w:hint="eastAsia" w:ascii="宋体" w:hAnsi="宋体" w:cs="宋体"/>
                <w:sz w:val="24"/>
                <w:szCs w:val="24"/>
                <w:highlight w:val="none"/>
              </w:rPr>
              <w:t>□扩建</w:t>
            </w:r>
          </w:p>
          <w:p w14:paraId="2C310AC1">
            <w:pPr>
              <w:jc w:val="left"/>
              <w:rPr>
                <w:rFonts w:ascii="宋体" w:hAnsi="宋体" w:cs="宋体"/>
                <w:sz w:val="24"/>
                <w:szCs w:val="24"/>
                <w:highlight w:val="none"/>
              </w:rPr>
            </w:pPr>
            <w:r>
              <w:rPr>
                <w:rFonts w:hint="eastAsia" w:ascii="宋体" w:hAnsi="宋体" w:cs="宋体"/>
                <w:sz w:val="24"/>
                <w:szCs w:val="24"/>
                <w:highlight w:val="none"/>
              </w:rPr>
              <w:t>□技术改造</w:t>
            </w:r>
          </w:p>
        </w:tc>
        <w:tc>
          <w:tcPr>
            <w:tcW w:w="1756" w:type="dxa"/>
            <w:noWrap w:val="0"/>
            <w:vAlign w:val="center"/>
          </w:tcPr>
          <w:p w14:paraId="17BFD5B8">
            <w:pPr>
              <w:adjustRightInd w:val="0"/>
              <w:snapToGrid w:val="0"/>
              <w:jc w:val="center"/>
              <w:rPr>
                <w:rFonts w:hint="eastAsia" w:ascii="宋体" w:hAnsi="宋体" w:cs="宋体"/>
                <w:sz w:val="24"/>
                <w:szCs w:val="24"/>
                <w:highlight w:val="none"/>
              </w:rPr>
            </w:pPr>
            <w:r>
              <w:rPr>
                <w:rFonts w:hint="eastAsia" w:ascii="宋体" w:hAnsi="宋体" w:cs="宋体"/>
                <w:sz w:val="24"/>
                <w:szCs w:val="24"/>
                <w:highlight w:val="none"/>
              </w:rPr>
              <w:t>建设项目</w:t>
            </w:r>
          </w:p>
          <w:p w14:paraId="43654705">
            <w:pPr>
              <w:adjustRightInd w:val="0"/>
              <w:snapToGrid w:val="0"/>
              <w:jc w:val="center"/>
              <w:rPr>
                <w:rFonts w:ascii="宋体" w:hAnsi="宋体" w:cs="宋体"/>
                <w:sz w:val="24"/>
                <w:szCs w:val="24"/>
                <w:highlight w:val="none"/>
              </w:rPr>
            </w:pPr>
            <w:r>
              <w:rPr>
                <w:rFonts w:hint="eastAsia" w:ascii="宋体" w:hAnsi="宋体" w:cs="宋体"/>
                <w:sz w:val="24"/>
                <w:szCs w:val="24"/>
                <w:highlight w:val="none"/>
              </w:rPr>
              <w:t>申报情形</w:t>
            </w:r>
          </w:p>
        </w:tc>
        <w:tc>
          <w:tcPr>
            <w:tcW w:w="2639" w:type="dxa"/>
            <w:noWrap w:val="0"/>
            <w:vAlign w:val="center"/>
          </w:tcPr>
          <w:p w14:paraId="4060644C">
            <w:pPr>
              <w:jc w:val="left"/>
              <w:rPr>
                <w:rFonts w:ascii="宋体" w:hAnsi="宋体" w:cs="宋体"/>
                <w:sz w:val="24"/>
                <w:szCs w:val="24"/>
                <w:highlight w:val="none"/>
              </w:rPr>
            </w:pPr>
            <w:r>
              <w:rPr>
                <w:rFonts w:hint="eastAsia" w:ascii="宋体" w:hAnsi="宋体" w:cs="宋体"/>
                <w:sz w:val="24"/>
                <w:szCs w:val="24"/>
                <w:highlight w:val="none"/>
                <w:lang w:eastAsia="zh-CN"/>
              </w:rPr>
              <w:t>☑</w:t>
            </w:r>
            <w:r>
              <w:rPr>
                <w:rFonts w:hint="eastAsia" w:ascii="宋体" w:hAnsi="宋体" w:cs="宋体"/>
                <w:sz w:val="24"/>
                <w:szCs w:val="24"/>
                <w:highlight w:val="none"/>
              </w:rPr>
              <w:t>首次申报项目</w:t>
            </w:r>
          </w:p>
          <w:p w14:paraId="210897BF">
            <w:pPr>
              <w:jc w:val="left"/>
              <w:rPr>
                <w:rFonts w:ascii="宋体" w:hAnsi="宋体" w:cs="宋体"/>
                <w:sz w:val="24"/>
                <w:szCs w:val="24"/>
                <w:highlight w:val="none"/>
              </w:rPr>
            </w:pPr>
            <w:r>
              <w:rPr>
                <w:rFonts w:hint="eastAsia" w:ascii="宋体" w:hAnsi="宋体" w:cs="宋体"/>
                <w:sz w:val="24"/>
                <w:szCs w:val="24"/>
                <w:highlight w:val="none"/>
              </w:rPr>
              <w:t>□不予批准后再次申报项目</w:t>
            </w:r>
          </w:p>
          <w:p w14:paraId="34A6FFF7">
            <w:pPr>
              <w:jc w:val="left"/>
              <w:rPr>
                <w:rFonts w:ascii="宋体" w:hAnsi="宋体" w:cs="宋体"/>
                <w:sz w:val="24"/>
                <w:szCs w:val="24"/>
                <w:highlight w:val="none"/>
              </w:rPr>
            </w:pPr>
            <w:r>
              <w:rPr>
                <w:rFonts w:hint="eastAsia" w:ascii="宋体" w:hAnsi="宋体" w:cs="宋体"/>
                <w:sz w:val="24"/>
                <w:szCs w:val="24"/>
                <w:highlight w:val="none"/>
              </w:rPr>
              <w:t>□超五年重新审核项目</w:t>
            </w:r>
          </w:p>
          <w:p w14:paraId="711852AC">
            <w:pPr>
              <w:jc w:val="left"/>
              <w:rPr>
                <w:rFonts w:ascii="宋体" w:hAnsi="宋体" w:cs="宋体"/>
                <w:sz w:val="24"/>
                <w:szCs w:val="24"/>
                <w:highlight w:val="none"/>
              </w:rPr>
            </w:pPr>
            <w:r>
              <w:rPr>
                <w:rFonts w:hint="eastAsia" w:ascii="宋体" w:hAnsi="宋体" w:cs="宋体"/>
                <w:sz w:val="24"/>
                <w:szCs w:val="24"/>
                <w:highlight w:val="none"/>
              </w:rPr>
              <w:t>□重大变动重新报批项目</w:t>
            </w:r>
          </w:p>
        </w:tc>
      </w:tr>
      <w:tr w14:paraId="5B8AF8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2382" w:type="dxa"/>
            <w:gridSpan w:val="2"/>
            <w:noWrap w:val="0"/>
            <w:tcMar>
              <w:top w:w="16" w:type="dxa"/>
              <w:left w:w="16" w:type="dxa"/>
              <w:right w:w="16" w:type="dxa"/>
            </w:tcMar>
            <w:vAlign w:val="center"/>
          </w:tcPr>
          <w:p w14:paraId="51E63CC9">
            <w:pPr>
              <w:adjustRightInd w:val="0"/>
              <w:snapToGrid w:val="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项目审批（核准</w:t>
            </w:r>
            <w:r>
              <w:rPr>
                <w:rFonts w:ascii="宋体" w:hAnsi="宋体" w:cs="宋体"/>
                <w:color w:val="auto"/>
                <w:sz w:val="24"/>
                <w:szCs w:val="24"/>
                <w:highlight w:val="none"/>
              </w:rPr>
              <w:t>/</w:t>
            </w:r>
          </w:p>
          <w:p w14:paraId="3D720C99">
            <w:pPr>
              <w:adjustRightInd w:val="0"/>
              <w:snapToGrid w:val="0"/>
              <w:jc w:val="center"/>
              <w:rPr>
                <w:rFonts w:ascii="宋体" w:hAnsi="宋体" w:cs="宋体"/>
                <w:color w:val="auto"/>
                <w:sz w:val="24"/>
                <w:szCs w:val="24"/>
                <w:highlight w:val="none"/>
              </w:rPr>
            </w:pPr>
            <w:r>
              <w:rPr>
                <w:rFonts w:hint="eastAsia" w:ascii="宋体" w:hAnsi="宋体" w:cs="宋体"/>
                <w:color w:val="auto"/>
                <w:sz w:val="24"/>
                <w:szCs w:val="24"/>
                <w:highlight w:val="none"/>
              </w:rPr>
              <w:t>备案）部门（选填）</w:t>
            </w:r>
          </w:p>
        </w:tc>
        <w:tc>
          <w:tcPr>
            <w:tcW w:w="2093" w:type="dxa"/>
            <w:noWrap w:val="0"/>
            <w:vAlign w:val="center"/>
          </w:tcPr>
          <w:p w14:paraId="50755511">
            <w:pPr>
              <w:adjustRightInd w:val="0"/>
              <w:snapToGrid w:val="0"/>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w:t>
            </w:r>
          </w:p>
        </w:tc>
        <w:tc>
          <w:tcPr>
            <w:tcW w:w="1756" w:type="dxa"/>
            <w:noWrap w:val="0"/>
            <w:vAlign w:val="center"/>
          </w:tcPr>
          <w:p w14:paraId="661873F6">
            <w:pPr>
              <w:adjustRightInd w:val="0"/>
              <w:snapToGrid w:val="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项目审批（核准</w:t>
            </w:r>
            <w:r>
              <w:rPr>
                <w:rFonts w:ascii="宋体" w:hAnsi="宋体" w:cs="宋体"/>
                <w:color w:val="auto"/>
                <w:sz w:val="24"/>
                <w:szCs w:val="24"/>
                <w:highlight w:val="none"/>
              </w:rPr>
              <w:t>/</w:t>
            </w:r>
          </w:p>
          <w:p w14:paraId="188CF98F">
            <w:pPr>
              <w:adjustRightInd w:val="0"/>
              <w:snapToGrid w:val="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备案）文号（选填）</w:t>
            </w:r>
          </w:p>
        </w:tc>
        <w:tc>
          <w:tcPr>
            <w:tcW w:w="2639" w:type="dxa"/>
            <w:noWrap w:val="0"/>
            <w:vAlign w:val="center"/>
          </w:tcPr>
          <w:p w14:paraId="78280B64">
            <w:pPr>
              <w:adjustRightInd w:val="0"/>
              <w:snapToGrid w:val="0"/>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w:t>
            </w:r>
          </w:p>
        </w:tc>
      </w:tr>
      <w:tr w14:paraId="73F8D2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gridSpan w:val="2"/>
            <w:noWrap w:val="0"/>
            <w:tcMar>
              <w:top w:w="16" w:type="dxa"/>
              <w:left w:w="16" w:type="dxa"/>
              <w:right w:w="16" w:type="dxa"/>
            </w:tcMar>
            <w:vAlign w:val="center"/>
          </w:tcPr>
          <w:p w14:paraId="12A0AED5">
            <w:pPr>
              <w:adjustRightInd w:val="0"/>
              <w:snapToGrid w:val="0"/>
              <w:jc w:val="center"/>
              <w:rPr>
                <w:rFonts w:ascii="宋体" w:hAnsi="宋体" w:cs="宋体"/>
                <w:color w:val="auto"/>
                <w:sz w:val="24"/>
                <w:szCs w:val="24"/>
                <w:highlight w:val="none"/>
              </w:rPr>
            </w:pPr>
            <w:r>
              <w:rPr>
                <w:rFonts w:hint="eastAsia" w:ascii="宋体" w:hAnsi="宋体" w:cs="宋体"/>
                <w:color w:val="auto"/>
                <w:sz w:val="24"/>
                <w:szCs w:val="24"/>
                <w:highlight w:val="none"/>
              </w:rPr>
              <w:t>总投资（万元）</w:t>
            </w:r>
          </w:p>
        </w:tc>
        <w:tc>
          <w:tcPr>
            <w:tcW w:w="2093" w:type="dxa"/>
            <w:noWrap w:val="0"/>
            <w:vAlign w:val="center"/>
          </w:tcPr>
          <w:p w14:paraId="28620E23">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eastAsia="仿宋" w:cs="Times New Roman"/>
                <w:color w:val="auto"/>
                <w:sz w:val="24"/>
                <w:highlight w:val="none"/>
                <w:lang w:val="en-US" w:eastAsia="zh-CN"/>
              </w:rPr>
              <w:t>3</w:t>
            </w:r>
            <w:r>
              <w:rPr>
                <w:rFonts w:hint="eastAsia" w:ascii="Times New Roman" w:hAnsi="Times New Roman" w:eastAsia="仿宋" w:cs="Times New Roman"/>
                <w:color w:val="auto"/>
                <w:sz w:val="24"/>
                <w:highlight w:val="none"/>
                <w:lang w:val="en-US" w:eastAsia="zh-CN"/>
              </w:rPr>
              <w:t>00</w:t>
            </w:r>
          </w:p>
        </w:tc>
        <w:tc>
          <w:tcPr>
            <w:tcW w:w="1756" w:type="dxa"/>
            <w:noWrap w:val="0"/>
            <w:tcMar>
              <w:top w:w="16" w:type="dxa"/>
              <w:left w:w="16" w:type="dxa"/>
              <w:right w:w="16" w:type="dxa"/>
            </w:tcMar>
            <w:vAlign w:val="center"/>
          </w:tcPr>
          <w:p w14:paraId="1F66FE81">
            <w:pPr>
              <w:adjustRightInd w:val="0"/>
              <w:snapToGrid w:val="0"/>
              <w:jc w:val="center"/>
              <w:rPr>
                <w:rFonts w:ascii="宋体" w:hAnsi="宋体" w:cs="宋体"/>
                <w:color w:val="auto"/>
                <w:sz w:val="24"/>
                <w:szCs w:val="24"/>
                <w:highlight w:val="none"/>
              </w:rPr>
            </w:pPr>
            <w:r>
              <w:rPr>
                <w:rFonts w:hint="eastAsia" w:ascii="宋体" w:hAnsi="宋体" w:cs="宋体"/>
                <w:color w:val="auto"/>
                <w:sz w:val="24"/>
                <w:szCs w:val="24"/>
                <w:highlight w:val="none"/>
              </w:rPr>
              <w:t>环保投资（万元）</w:t>
            </w:r>
          </w:p>
        </w:tc>
        <w:tc>
          <w:tcPr>
            <w:tcW w:w="2639" w:type="dxa"/>
            <w:noWrap w:val="0"/>
            <w:vAlign w:val="center"/>
          </w:tcPr>
          <w:p w14:paraId="0C6835BB">
            <w:pPr>
              <w:adjustRightInd w:val="0"/>
              <w:snapToGrid w:val="0"/>
              <w:jc w:val="center"/>
              <w:rPr>
                <w:rFonts w:hint="default" w:ascii="宋体" w:hAnsi="宋体" w:eastAsia="宋体" w:cs="宋体"/>
                <w:color w:val="auto"/>
                <w:sz w:val="24"/>
                <w:szCs w:val="24"/>
                <w:highlight w:val="none"/>
                <w:lang w:val="en-US" w:eastAsia="zh-CN"/>
              </w:rPr>
            </w:pPr>
            <w:r>
              <w:rPr>
                <w:rFonts w:hint="eastAsia" w:cs="Times New Roman"/>
                <w:color w:val="auto"/>
                <w:sz w:val="24"/>
                <w:szCs w:val="24"/>
                <w:highlight w:val="none"/>
                <w:lang w:val="en-US" w:eastAsia="zh-CN"/>
              </w:rPr>
              <w:t>63</w:t>
            </w:r>
          </w:p>
        </w:tc>
      </w:tr>
      <w:tr w14:paraId="071F8B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gridSpan w:val="2"/>
            <w:noWrap w:val="0"/>
            <w:tcMar>
              <w:top w:w="16" w:type="dxa"/>
              <w:left w:w="16" w:type="dxa"/>
              <w:right w:w="16" w:type="dxa"/>
            </w:tcMar>
            <w:vAlign w:val="center"/>
          </w:tcPr>
          <w:p w14:paraId="3289C955">
            <w:pPr>
              <w:adjustRightInd w:val="0"/>
              <w:snapToGrid w:val="0"/>
              <w:jc w:val="center"/>
              <w:rPr>
                <w:rFonts w:ascii="宋体" w:hAnsi="宋体" w:cs="宋体"/>
                <w:color w:val="auto"/>
                <w:sz w:val="24"/>
                <w:szCs w:val="24"/>
                <w:highlight w:val="none"/>
              </w:rPr>
            </w:pPr>
            <w:r>
              <w:rPr>
                <w:rFonts w:hint="eastAsia" w:ascii="宋体" w:hAnsi="宋体" w:cs="宋体"/>
                <w:color w:val="auto"/>
                <w:sz w:val="24"/>
                <w:szCs w:val="24"/>
                <w:highlight w:val="none"/>
              </w:rPr>
              <w:t>环保投资占比（</w:t>
            </w:r>
            <w:r>
              <w:rPr>
                <w:rFonts w:hint="default" w:ascii="Times New Roman" w:hAnsi="Times New Roman" w:cs="Times New Roman"/>
                <w:color w:val="auto"/>
                <w:sz w:val="24"/>
                <w:szCs w:val="24"/>
                <w:highlight w:val="none"/>
              </w:rPr>
              <w:t>%</w:t>
            </w:r>
            <w:r>
              <w:rPr>
                <w:rFonts w:hint="eastAsia" w:ascii="宋体" w:hAnsi="宋体" w:cs="宋体"/>
                <w:color w:val="auto"/>
                <w:sz w:val="24"/>
                <w:szCs w:val="24"/>
                <w:highlight w:val="none"/>
              </w:rPr>
              <w:t>）</w:t>
            </w:r>
          </w:p>
        </w:tc>
        <w:tc>
          <w:tcPr>
            <w:tcW w:w="2093" w:type="dxa"/>
            <w:noWrap w:val="0"/>
            <w:vAlign w:val="center"/>
          </w:tcPr>
          <w:p w14:paraId="21C8C60E">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21</w:t>
            </w:r>
          </w:p>
        </w:tc>
        <w:tc>
          <w:tcPr>
            <w:tcW w:w="1756" w:type="dxa"/>
            <w:noWrap w:val="0"/>
            <w:tcMar>
              <w:top w:w="16" w:type="dxa"/>
              <w:left w:w="16" w:type="dxa"/>
              <w:right w:w="16" w:type="dxa"/>
            </w:tcMar>
            <w:vAlign w:val="center"/>
          </w:tcPr>
          <w:p w14:paraId="7F22DE00">
            <w:pPr>
              <w:adjustRightInd w:val="0"/>
              <w:snapToGrid w:val="0"/>
              <w:jc w:val="center"/>
              <w:rPr>
                <w:rFonts w:ascii="宋体" w:hAnsi="宋体" w:cs="宋体"/>
                <w:color w:val="auto"/>
                <w:sz w:val="24"/>
                <w:szCs w:val="24"/>
                <w:highlight w:val="none"/>
              </w:rPr>
            </w:pPr>
            <w:r>
              <w:rPr>
                <w:rFonts w:hint="eastAsia" w:ascii="宋体" w:hAnsi="宋体" w:cs="宋体"/>
                <w:color w:val="auto"/>
                <w:sz w:val="24"/>
                <w:szCs w:val="24"/>
                <w:highlight w:val="none"/>
              </w:rPr>
              <w:t>施工工期</w:t>
            </w:r>
          </w:p>
        </w:tc>
        <w:tc>
          <w:tcPr>
            <w:tcW w:w="2639" w:type="dxa"/>
            <w:noWrap w:val="0"/>
            <w:vAlign w:val="center"/>
          </w:tcPr>
          <w:p w14:paraId="076E3293">
            <w:pPr>
              <w:adjustRightInd w:val="0"/>
              <w:snapToGrid w:val="0"/>
              <w:jc w:val="center"/>
              <w:rPr>
                <w:rFonts w:ascii="宋体" w:hAnsi="宋体" w:cs="宋体"/>
                <w:color w:val="auto"/>
                <w:sz w:val="24"/>
                <w:szCs w:val="24"/>
                <w:highlight w:val="none"/>
              </w:rPr>
            </w:pPr>
            <w:r>
              <w:rPr>
                <w:rFonts w:hint="eastAsia"/>
                <w:color w:val="auto"/>
                <w:sz w:val="24"/>
                <w:szCs w:val="24"/>
                <w:highlight w:val="none"/>
                <w:lang w:val="en-US" w:eastAsia="zh-CN"/>
              </w:rPr>
              <w:t>1个月</w:t>
            </w:r>
          </w:p>
        </w:tc>
      </w:tr>
      <w:tr w14:paraId="317818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gridSpan w:val="2"/>
            <w:noWrap w:val="0"/>
            <w:tcMar>
              <w:top w:w="16" w:type="dxa"/>
              <w:left w:w="16" w:type="dxa"/>
              <w:right w:w="16" w:type="dxa"/>
            </w:tcMar>
            <w:vAlign w:val="center"/>
          </w:tcPr>
          <w:p w14:paraId="3E48CC3A">
            <w:pPr>
              <w:adjustRightInd w:val="0"/>
              <w:snapToGrid w:val="0"/>
              <w:jc w:val="center"/>
              <w:rPr>
                <w:rFonts w:hint="eastAsia" w:ascii="宋体" w:hAnsi="宋体" w:cs="宋体"/>
                <w:sz w:val="24"/>
                <w:szCs w:val="24"/>
                <w:highlight w:val="none"/>
              </w:rPr>
            </w:pPr>
            <w:r>
              <w:rPr>
                <w:rFonts w:hint="eastAsia" w:ascii="宋体" w:hAnsi="宋体" w:cs="宋体"/>
                <w:sz w:val="24"/>
                <w:szCs w:val="24"/>
                <w:highlight w:val="none"/>
              </w:rPr>
              <w:t>是否开工建设</w:t>
            </w:r>
          </w:p>
        </w:tc>
        <w:tc>
          <w:tcPr>
            <w:tcW w:w="2093" w:type="dxa"/>
            <w:noWrap w:val="0"/>
            <w:vAlign w:val="center"/>
          </w:tcPr>
          <w:p w14:paraId="443AE2FE">
            <w:pPr>
              <w:adjustRightInd w:val="0"/>
              <w:snapToGrid w:val="0"/>
              <w:rPr>
                <w:rFonts w:ascii="宋体" w:hAnsi="宋体" w:cs="宋体"/>
                <w:sz w:val="24"/>
                <w:szCs w:val="24"/>
                <w:highlight w:val="none"/>
              </w:rPr>
            </w:pPr>
            <w:r>
              <w:rPr>
                <w:rFonts w:hint="eastAsia" w:ascii="宋体" w:hAnsi="宋体" w:cs="宋体"/>
                <w:sz w:val="24"/>
                <w:szCs w:val="24"/>
                <w:highlight w:val="none"/>
                <w:lang w:eastAsia="zh-CN"/>
              </w:rPr>
              <w:t>☑</w:t>
            </w:r>
            <w:r>
              <w:rPr>
                <w:rFonts w:hint="eastAsia" w:ascii="宋体" w:hAnsi="宋体" w:cs="宋体"/>
                <w:sz w:val="24"/>
                <w:szCs w:val="24"/>
                <w:highlight w:val="none"/>
              </w:rPr>
              <w:t>否</w:t>
            </w:r>
          </w:p>
          <w:p w14:paraId="7FF8661C">
            <w:pPr>
              <w:adjustRightInd w:val="0"/>
              <w:snapToGrid w:val="0"/>
              <w:rPr>
                <w:rFonts w:ascii="宋体" w:hAnsi="宋体" w:cs="宋体"/>
                <w:sz w:val="24"/>
                <w:szCs w:val="24"/>
                <w:highlight w:val="none"/>
              </w:rPr>
            </w:pPr>
            <w:r>
              <w:rPr>
                <w:rFonts w:hint="eastAsia" w:ascii="宋体" w:hAnsi="宋体" w:cs="宋体"/>
                <w:sz w:val="24"/>
                <w:szCs w:val="24"/>
                <w:highlight w:val="none"/>
              </w:rPr>
              <w:t>□是：</w:t>
            </w:r>
            <w:r>
              <w:rPr>
                <w:rFonts w:hint="eastAsia" w:ascii="宋体" w:hAnsi="宋体" w:cs="宋体"/>
                <w:sz w:val="24"/>
                <w:szCs w:val="24"/>
                <w:highlight w:val="none"/>
                <w:u w:val="single"/>
              </w:rPr>
              <w:t xml:space="preserve">             </w:t>
            </w:r>
          </w:p>
        </w:tc>
        <w:tc>
          <w:tcPr>
            <w:tcW w:w="1756" w:type="dxa"/>
            <w:noWrap w:val="0"/>
            <w:tcMar>
              <w:top w:w="16" w:type="dxa"/>
              <w:left w:w="16" w:type="dxa"/>
              <w:right w:w="16" w:type="dxa"/>
            </w:tcMar>
            <w:vAlign w:val="center"/>
          </w:tcPr>
          <w:p w14:paraId="79B89C20">
            <w:pPr>
              <w:adjustRightInd w:val="0"/>
              <w:snapToGrid w:val="0"/>
              <w:jc w:val="center"/>
              <w:rPr>
                <w:rFonts w:ascii="宋体" w:hAnsi="宋体" w:cs="宋体"/>
                <w:spacing w:val="-6"/>
                <w:sz w:val="24"/>
                <w:szCs w:val="24"/>
                <w:highlight w:val="none"/>
              </w:rPr>
            </w:pPr>
            <w:r>
              <w:rPr>
                <w:rFonts w:hint="eastAsia" w:ascii="宋体" w:hAnsi="宋体" w:cs="宋体"/>
                <w:spacing w:val="-6"/>
                <w:sz w:val="24"/>
                <w:szCs w:val="24"/>
                <w:highlight w:val="none"/>
              </w:rPr>
              <w:t>用地（用海）</w:t>
            </w:r>
          </w:p>
          <w:p w14:paraId="7BA7E1A0">
            <w:pPr>
              <w:adjustRightInd w:val="0"/>
              <w:snapToGrid w:val="0"/>
              <w:jc w:val="center"/>
              <w:rPr>
                <w:rFonts w:hint="eastAsia" w:ascii="宋体" w:hAnsi="宋体" w:cs="宋体"/>
                <w:sz w:val="24"/>
                <w:szCs w:val="24"/>
                <w:highlight w:val="none"/>
              </w:rPr>
            </w:pPr>
            <w:r>
              <w:rPr>
                <w:rFonts w:hint="eastAsia" w:ascii="宋体" w:hAnsi="宋体" w:cs="宋体"/>
                <w:spacing w:val="-6"/>
                <w:sz w:val="24"/>
                <w:szCs w:val="24"/>
                <w:highlight w:val="none"/>
              </w:rPr>
              <w:t>面积（</w:t>
            </w:r>
            <w:r>
              <w:rPr>
                <w:rFonts w:hint="default" w:ascii="Times New Roman" w:hAnsi="Times New Roman" w:cs="Times New Roman"/>
                <w:spacing w:val="-6"/>
                <w:sz w:val="24"/>
                <w:szCs w:val="24"/>
                <w:highlight w:val="none"/>
              </w:rPr>
              <w:t>m</w:t>
            </w:r>
            <w:r>
              <w:rPr>
                <w:rFonts w:hint="default" w:ascii="Times New Roman" w:hAnsi="Times New Roman" w:cs="Times New Roman"/>
                <w:spacing w:val="-6"/>
                <w:sz w:val="24"/>
                <w:szCs w:val="24"/>
                <w:highlight w:val="none"/>
                <w:vertAlign w:val="superscript"/>
              </w:rPr>
              <w:t>2</w:t>
            </w:r>
            <w:r>
              <w:rPr>
                <w:rFonts w:hint="eastAsia" w:ascii="宋体" w:hAnsi="宋体" w:cs="宋体"/>
                <w:spacing w:val="-6"/>
                <w:sz w:val="24"/>
                <w:szCs w:val="24"/>
                <w:highlight w:val="none"/>
              </w:rPr>
              <w:t>）</w:t>
            </w:r>
          </w:p>
        </w:tc>
        <w:tc>
          <w:tcPr>
            <w:tcW w:w="2639" w:type="dxa"/>
            <w:noWrap w:val="0"/>
            <w:vAlign w:val="center"/>
          </w:tcPr>
          <w:p w14:paraId="397CE8D0">
            <w:pPr>
              <w:adjustRightInd w:val="0"/>
              <w:snapToGrid w:val="0"/>
              <w:jc w:val="center"/>
              <w:rPr>
                <w:rFonts w:hint="default" w:ascii="宋体" w:hAnsi="宋体" w:eastAsia="宋体" w:cs="宋体"/>
                <w:sz w:val="24"/>
                <w:szCs w:val="24"/>
                <w:highlight w:val="none"/>
                <w:lang w:val="en-US" w:eastAsia="zh-CN"/>
              </w:rPr>
            </w:pPr>
            <w:r>
              <w:rPr>
                <w:rFonts w:hint="eastAsia" w:cs="Times New Roman"/>
                <w:color w:val="000000" w:themeColor="text1"/>
                <w:sz w:val="24"/>
                <w:szCs w:val="24"/>
                <w:highlight w:val="none"/>
                <w:lang w:val="en-US" w:eastAsia="zh-CN"/>
                <w14:textFill>
                  <w14:solidFill>
                    <w14:schemeClr w14:val="tx1"/>
                  </w14:solidFill>
                </w14:textFill>
              </w:rPr>
              <w:t>9859</w:t>
            </w:r>
          </w:p>
        </w:tc>
      </w:tr>
      <w:tr w14:paraId="330A9A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989" w:type="dxa"/>
            <w:noWrap w:val="0"/>
            <w:vAlign w:val="center"/>
          </w:tcPr>
          <w:p w14:paraId="0121F243">
            <w:pPr>
              <w:autoSpaceDE w:val="0"/>
              <w:autoSpaceDN w:val="0"/>
              <w:adjustRightInd w:val="0"/>
              <w:snapToGrid w:val="0"/>
              <w:jc w:val="center"/>
              <w:rPr>
                <w:rFonts w:ascii="宋体" w:hAnsi="宋体" w:cs="宋体"/>
                <w:kern w:val="0"/>
                <w:sz w:val="24"/>
                <w:szCs w:val="24"/>
                <w:highlight w:val="none"/>
              </w:rPr>
            </w:pPr>
            <w:r>
              <w:rPr>
                <w:rFonts w:hint="eastAsia" w:ascii="宋体" w:hAnsi="宋体" w:cs="宋体"/>
                <w:kern w:val="0"/>
                <w:sz w:val="24"/>
                <w:szCs w:val="24"/>
                <w:highlight w:val="none"/>
              </w:rPr>
              <w:t>专项评价设置情况</w:t>
            </w:r>
          </w:p>
        </w:tc>
        <w:tc>
          <w:tcPr>
            <w:tcW w:w="7881" w:type="dxa"/>
            <w:gridSpan w:val="4"/>
            <w:noWrap w:val="0"/>
            <w:vAlign w:val="center"/>
          </w:tcPr>
          <w:p w14:paraId="78AAEB9D">
            <w:pPr>
              <w:autoSpaceDE w:val="0"/>
              <w:autoSpaceDN w:val="0"/>
              <w:adjustRightInd w:val="0"/>
              <w:snapToGrid w:val="0"/>
              <w:jc w:val="center"/>
              <w:rPr>
                <w:rFonts w:hint="eastAsia"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w:t>
            </w:r>
          </w:p>
        </w:tc>
      </w:tr>
      <w:tr w14:paraId="2490A1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989" w:type="dxa"/>
            <w:noWrap w:val="0"/>
            <w:vAlign w:val="center"/>
          </w:tcPr>
          <w:p w14:paraId="1818A937">
            <w:pPr>
              <w:autoSpaceDE w:val="0"/>
              <w:autoSpaceDN w:val="0"/>
              <w:adjustRightInd w:val="0"/>
              <w:snapToGrid w:val="0"/>
              <w:jc w:val="center"/>
              <w:rPr>
                <w:rFonts w:hint="eastAsia" w:ascii="宋体" w:hAnsi="宋体" w:cs="宋体"/>
                <w:kern w:val="0"/>
                <w:sz w:val="24"/>
                <w:szCs w:val="24"/>
                <w:highlight w:val="none"/>
              </w:rPr>
            </w:pPr>
            <w:r>
              <w:rPr>
                <w:rFonts w:hint="eastAsia" w:ascii="宋体" w:hAnsi="宋体" w:cs="宋体"/>
                <w:sz w:val="24"/>
                <w:szCs w:val="24"/>
                <w:highlight w:val="none"/>
              </w:rPr>
              <w:t>规划情况</w:t>
            </w:r>
          </w:p>
        </w:tc>
        <w:tc>
          <w:tcPr>
            <w:tcW w:w="7881" w:type="dxa"/>
            <w:gridSpan w:val="4"/>
            <w:noWrap w:val="0"/>
            <w:vAlign w:val="center"/>
          </w:tcPr>
          <w:p w14:paraId="2833B29F">
            <w:pPr>
              <w:pStyle w:val="8"/>
              <w:spacing w:line="360" w:lineRule="auto"/>
              <w:ind w:firstLine="482" w:firstLineChars="200"/>
              <w:jc w:val="both"/>
              <w:rPr>
                <w:rFonts w:hint="default" w:ascii="Times New Roman" w:hAnsi="Times New Roman" w:cs="Times New Roman"/>
                <w:b/>
                <w:bCs/>
                <w:color w:val="auto"/>
                <w:kern w:val="0"/>
                <w:sz w:val="24"/>
                <w:szCs w:val="24"/>
                <w:highlight w:val="none"/>
                <w:lang w:val="en-US" w:eastAsia="zh-CN"/>
              </w:rPr>
            </w:pPr>
            <w:r>
              <w:rPr>
                <w:rFonts w:hint="default" w:ascii="Times New Roman" w:hAnsi="Times New Roman" w:cs="Times New Roman"/>
                <w:b/>
                <w:bCs/>
                <w:color w:val="auto"/>
                <w:kern w:val="0"/>
                <w:sz w:val="24"/>
                <w:szCs w:val="24"/>
                <w:highlight w:val="none"/>
                <w:lang w:val="en-US" w:eastAsia="zh-CN"/>
              </w:rPr>
              <w:t>1、</w:t>
            </w:r>
            <w:r>
              <w:rPr>
                <w:rFonts w:hint="eastAsia" w:cs="Times New Roman"/>
                <w:b/>
                <w:bCs/>
                <w:color w:val="auto"/>
                <w:kern w:val="0"/>
                <w:sz w:val="24"/>
                <w:szCs w:val="24"/>
                <w:highlight w:val="none"/>
                <w:lang w:val="en-US" w:eastAsia="zh-CN"/>
              </w:rPr>
              <w:t>与</w:t>
            </w:r>
            <w:r>
              <w:rPr>
                <w:rFonts w:hint="default" w:ascii="Times New Roman" w:hAnsi="Times New Roman" w:eastAsia="宋体" w:cs="Times New Roman"/>
                <w:b/>
                <w:bCs/>
                <w:color w:val="auto"/>
                <w:kern w:val="0"/>
                <w:sz w:val="24"/>
                <w:szCs w:val="24"/>
                <w:highlight w:val="none"/>
                <w:lang w:val="en-US" w:eastAsia="zh-CN"/>
              </w:rPr>
              <w:t>《临江市国土空间总体规划（2021-2035年）》（吉政函〔2024〕46号）</w:t>
            </w:r>
            <w:r>
              <w:rPr>
                <w:rFonts w:hint="eastAsia" w:cs="Times New Roman"/>
                <w:b/>
                <w:bCs/>
                <w:color w:val="auto"/>
                <w:kern w:val="0"/>
                <w:sz w:val="24"/>
                <w:szCs w:val="24"/>
                <w:highlight w:val="none"/>
                <w:lang w:val="en-US" w:eastAsia="zh-CN"/>
              </w:rPr>
              <w:t>符合性分析</w:t>
            </w:r>
          </w:p>
          <w:p w14:paraId="178875FE">
            <w:pPr>
              <w:pStyle w:val="8"/>
              <w:spacing w:line="360" w:lineRule="auto"/>
              <w:ind w:firstLine="480" w:firstLineChars="200"/>
              <w:jc w:val="both"/>
              <w:rPr>
                <w:rFonts w:hint="eastAsia" w:ascii="Times New Roman" w:hAnsi="Times New Roman" w:cs="Times New Roman"/>
                <w:color w:val="auto"/>
                <w:kern w:val="0"/>
                <w:sz w:val="24"/>
                <w:szCs w:val="24"/>
                <w:highlight w:val="none"/>
                <w:lang w:val="en-US" w:eastAsia="zh-CN"/>
              </w:rPr>
            </w:pPr>
            <w:r>
              <w:rPr>
                <w:rFonts w:hint="eastAsia" w:ascii="Times New Roman" w:hAnsi="Times New Roman" w:cs="Times New Roman"/>
                <w:color w:val="auto"/>
                <w:kern w:val="0"/>
                <w:sz w:val="24"/>
                <w:szCs w:val="24"/>
                <w:highlight w:val="none"/>
                <w:lang w:val="en-US" w:eastAsia="zh-CN"/>
              </w:rPr>
              <w:t>三、优化国土空间开发保护格局。以“三区三线”为基础，落实主体功能定位，统筹农业、生态、城镇空间。严守耕地和永久基本农田保护红线，合理布局农业生产空间，夯实现代农业格局；统筹推进各类生态资源保护、利用和系统修复,筑牢生态安全屏障；构建等级合理、协调有序的城镇空间布局结构，严守城镇开发边界，合理安排新增城镇建设用地，提高土地节约集约利用水平。</w:t>
            </w:r>
          </w:p>
          <w:p w14:paraId="371D57E1">
            <w:pPr>
              <w:pStyle w:val="8"/>
              <w:spacing w:line="360" w:lineRule="auto"/>
              <w:ind w:firstLine="480" w:firstLineChars="200"/>
              <w:jc w:val="both"/>
              <w:rPr>
                <w:rFonts w:hint="default" w:ascii="Times New Roman" w:hAnsi="Times New Roman" w:cs="Times New Roman"/>
                <w:color w:val="auto"/>
                <w:kern w:val="0"/>
                <w:sz w:val="24"/>
                <w:szCs w:val="24"/>
                <w:highlight w:val="none"/>
                <w:lang w:val="en-US" w:eastAsia="zh-CN"/>
              </w:rPr>
            </w:pPr>
            <w:r>
              <w:rPr>
                <w:rFonts w:hint="eastAsia" w:ascii="Times New Roman" w:hAnsi="Times New Roman" w:cs="Times New Roman"/>
                <w:color w:val="auto"/>
                <w:kern w:val="0"/>
                <w:sz w:val="24"/>
                <w:szCs w:val="24"/>
                <w:highlight w:val="none"/>
                <w:lang w:val="en-US" w:eastAsia="zh-CN"/>
              </w:rPr>
              <w:t>（1）分区符合性：项目拌和站选址属于规划乡村发展区，场地未占用生态保护红线、永久基本农田，不划入生态保护区、城镇发展区（桦树镇镇区开发边界），符合市域国土空间开发保护管控格局。</w:t>
            </w:r>
          </w:p>
          <w:p w14:paraId="1F45D510">
            <w:pPr>
              <w:pStyle w:val="8"/>
              <w:spacing w:line="360" w:lineRule="auto"/>
              <w:ind w:firstLine="480" w:firstLineChars="200"/>
              <w:jc w:val="both"/>
              <w:rPr>
                <w:rFonts w:hint="default" w:ascii="Times New Roman" w:hAnsi="Times New Roman" w:cs="Times New Roman"/>
                <w:color w:val="auto"/>
                <w:kern w:val="0"/>
                <w:sz w:val="24"/>
                <w:szCs w:val="24"/>
                <w:highlight w:val="none"/>
                <w:lang w:val="en-US" w:eastAsia="zh-CN"/>
              </w:rPr>
            </w:pPr>
            <w:r>
              <w:rPr>
                <w:rFonts w:hint="eastAsia" w:ascii="Times New Roman" w:hAnsi="Times New Roman" w:cs="Times New Roman"/>
                <w:color w:val="auto"/>
                <w:kern w:val="0"/>
                <w:sz w:val="24"/>
                <w:szCs w:val="24"/>
                <w:highlight w:val="none"/>
                <w:lang w:val="en-US" w:eastAsia="zh-CN"/>
              </w:rPr>
              <w:t>（2）临时工程管控要求：公路拌和站为公路建设配套临时工程，施工结束后拆除、场地平整复垦，不改变永久用地性质；规划允许在镇区外围乡村闲置空地布设交通临时配套设施，严控污染类设施进入城镇开发边界内部居住组团。</w:t>
            </w:r>
          </w:p>
          <w:p w14:paraId="5143865E">
            <w:pPr>
              <w:pStyle w:val="8"/>
              <w:spacing w:line="360" w:lineRule="auto"/>
              <w:ind w:firstLine="480" w:firstLineChars="200"/>
              <w:jc w:val="both"/>
              <w:rPr>
                <w:rFonts w:hint="default" w:ascii="Times New Roman" w:hAnsi="Times New Roman" w:cs="Times New Roman"/>
                <w:color w:val="auto"/>
                <w:kern w:val="0"/>
                <w:sz w:val="24"/>
                <w:szCs w:val="24"/>
                <w:highlight w:val="none"/>
                <w:lang w:val="en-US" w:eastAsia="zh-CN"/>
              </w:rPr>
            </w:pPr>
            <w:r>
              <w:rPr>
                <w:rFonts w:hint="eastAsia" w:ascii="Times New Roman" w:hAnsi="Times New Roman" w:cs="Times New Roman"/>
                <w:color w:val="auto"/>
                <w:kern w:val="0"/>
                <w:sz w:val="24"/>
                <w:szCs w:val="24"/>
                <w:highlight w:val="none"/>
                <w:lang w:val="en-US" w:eastAsia="zh-CN"/>
              </w:rPr>
              <w:t>（3）镇区布局管控：规划明确桦树镇镇区为镇域人居核心区，扬尘、噪声类设施应避让镇区内部，本场站位于镇区外围、不属于镇区规划范围，契合市域总规城镇人居环境防护管控导向，与临江市国土空间总体规划相符。</w:t>
            </w:r>
          </w:p>
          <w:p w14:paraId="498BD110">
            <w:pPr>
              <w:pStyle w:val="8"/>
              <w:spacing w:line="360" w:lineRule="auto"/>
              <w:ind w:firstLine="482" w:firstLineChars="200"/>
              <w:jc w:val="both"/>
              <w:rPr>
                <w:rFonts w:hint="default" w:ascii="Times New Roman" w:hAnsi="Times New Roman" w:cs="Times New Roman"/>
                <w:b/>
                <w:bCs/>
                <w:color w:val="auto"/>
                <w:kern w:val="0"/>
                <w:sz w:val="24"/>
                <w:szCs w:val="24"/>
                <w:highlight w:val="none"/>
                <w:lang w:val="en-US" w:eastAsia="zh-CN"/>
              </w:rPr>
            </w:pPr>
            <w:r>
              <w:rPr>
                <w:rFonts w:hint="eastAsia" w:ascii="Times New Roman" w:hAnsi="Times New Roman" w:cs="Times New Roman"/>
                <w:b/>
                <w:bCs/>
                <w:color w:val="auto"/>
                <w:kern w:val="0"/>
                <w:sz w:val="24"/>
                <w:szCs w:val="24"/>
                <w:highlight w:val="none"/>
                <w:lang w:val="en-US" w:eastAsia="zh-CN"/>
              </w:rPr>
              <w:t>2、与《临江市桦树镇总体规划（2014-2030年）》</w:t>
            </w:r>
            <w:r>
              <w:rPr>
                <w:rFonts w:hint="eastAsia" w:cs="Times New Roman"/>
                <w:b/>
                <w:bCs/>
                <w:color w:val="auto"/>
                <w:kern w:val="0"/>
                <w:sz w:val="24"/>
                <w:szCs w:val="24"/>
                <w:highlight w:val="none"/>
                <w:lang w:val="en-US" w:eastAsia="zh-CN"/>
              </w:rPr>
              <w:t>符合性分析</w:t>
            </w:r>
          </w:p>
          <w:p w14:paraId="7248C7B6">
            <w:pPr>
              <w:pStyle w:val="8"/>
              <w:spacing w:line="360" w:lineRule="auto"/>
              <w:ind w:firstLine="480" w:firstLineChars="200"/>
              <w:jc w:val="both"/>
              <w:rPr>
                <w:rFonts w:hint="eastAsia" w:ascii="Times New Roman" w:hAnsi="Times New Roman"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对照《临江市桦树镇总体规划（2014-2030年）》镇区规划建成区范围：桦树镇镇区规划集中于S204漫临线东侧连片商住、公共服务片区；本拌和站位于省道西侧山林边缘地块，完全在镇区规划建设用地、城镇开发边界之外，不属于镇区规划管控建设范围。镇区规划要求产生废气、扬尘、噪声的工程配套设施布置于镇区外围隔离地带，本场站与镇区居住组团通过 S204 省道、农林空地形成天然隔离缓冲，选址满足桦树镇镇区总体规划污染设施外围布局的管控要求</w:t>
            </w:r>
            <w:r>
              <w:rPr>
                <w:rFonts w:hint="eastAsia" w:ascii="Times New Roman" w:hAnsi="Times New Roman" w:cs="Times New Roman"/>
                <w:color w:val="auto"/>
                <w:kern w:val="0"/>
                <w:sz w:val="24"/>
                <w:szCs w:val="24"/>
                <w:highlight w:val="none"/>
                <w:lang w:val="en-US" w:eastAsia="zh-CN"/>
              </w:rPr>
              <w:t>。</w:t>
            </w:r>
          </w:p>
          <w:p w14:paraId="6FCED8B9">
            <w:pPr>
              <w:pStyle w:val="8"/>
              <w:spacing w:line="360" w:lineRule="auto"/>
              <w:ind w:firstLine="480" w:firstLineChars="200"/>
              <w:jc w:val="both"/>
              <w:rPr>
                <w:rFonts w:hint="eastAsia" w:ascii="Times New Roman" w:hAnsi="Times New Roman" w:cs="Times New Roman"/>
                <w:color w:val="auto"/>
                <w:kern w:val="0"/>
                <w:sz w:val="24"/>
                <w:szCs w:val="24"/>
                <w:highlight w:val="none"/>
                <w:lang w:val="en-US" w:eastAsia="zh-CN"/>
              </w:rPr>
            </w:pPr>
            <w:r>
              <w:rPr>
                <w:rFonts w:hint="eastAsia" w:ascii="Times New Roman" w:hAnsi="Times New Roman" w:cs="Times New Roman"/>
                <w:color w:val="auto"/>
                <w:kern w:val="0"/>
                <w:sz w:val="24"/>
                <w:szCs w:val="24"/>
                <w:highlight w:val="none"/>
                <w:lang w:val="en-US" w:eastAsia="zh-CN"/>
              </w:rPr>
              <w:t>综上，本项目选址未划入桦树镇镇区规划建成区及城镇开发边界，用地符合《临江市国土空间总体规划（2021-2035年）》三区三线管控与《临江市桦树镇总体规划（2014-2030年）》镇区人居防护布局要求。</w:t>
            </w:r>
          </w:p>
        </w:tc>
      </w:tr>
      <w:tr w14:paraId="6298BC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989" w:type="dxa"/>
            <w:noWrap w:val="0"/>
            <w:vAlign w:val="center"/>
          </w:tcPr>
          <w:p w14:paraId="1CF3794F">
            <w:pPr>
              <w:adjustRightInd w:val="0"/>
              <w:snapToGrid w:val="0"/>
              <w:jc w:val="center"/>
              <w:rPr>
                <w:rFonts w:ascii="宋体" w:hAnsi="宋体" w:cs="宋体"/>
                <w:sz w:val="24"/>
                <w:szCs w:val="24"/>
                <w:highlight w:val="none"/>
              </w:rPr>
            </w:pPr>
            <w:r>
              <w:rPr>
                <w:rFonts w:hint="eastAsia" w:ascii="宋体" w:hAnsi="宋体" w:cs="宋体"/>
                <w:sz w:val="24"/>
                <w:szCs w:val="24"/>
                <w:highlight w:val="none"/>
              </w:rPr>
              <w:t>规划环境影响</w:t>
            </w:r>
          </w:p>
          <w:p w14:paraId="54A3FF9C">
            <w:pPr>
              <w:adjustRightInd w:val="0"/>
              <w:snapToGrid w:val="0"/>
              <w:jc w:val="center"/>
              <w:rPr>
                <w:rFonts w:hint="eastAsia" w:ascii="宋体" w:hAnsi="宋体" w:cs="宋体"/>
                <w:kern w:val="0"/>
                <w:sz w:val="24"/>
                <w:szCs w:val="24"/>
                <w:highlight w:val="none"/>
              </w:rPr>
            </w:pPr>
            <w:r>
              <w:rPr>
                <w:rFonts w:hint="eastAsia" w:ascii="宋体" w:hAnsi="宋体" w:cs="宋体"/>
                <w:sz w:val="24"/>
                <w:szCs w:val="24"/>
                <w:highlight w:val="none"/>
              </w:rPr>
              <w:t>评价情况</w:t>
            </w:r>
          </w:p>
        </w:tc>
        <w:tc>
          <w:tcPr>
            <w:tcW w:w="7881" w:type="dxa"/>
            <w:gridSpan w:val="4"/>
            <w:noWrap w:val="0"/>
            <w:vAlign w:val="center"/>
          </w:tcPr>
          <w:p w14:paraId="00A37616">
            <w:pPr>
              <w:autoSpaceDE w:val="0"/>
              <w:autoSpaceDN w:val="0"/>
              <w:adjustRightInd w:val="0"/>
              <w:snapToGrid w:val="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w:t>
            </w:r>
          </w:p>
        </w:tc>
      </w:tr>
      <w:tr w14:paraId="5941B5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989" w:type="dxa"/>
            <w:noWrap w:val="0"/>
            <w:vAlign w:val="center"/>
          </w:tcPr>
          <w:p w14:paraId="5F25B0E6">
            <w:pPr>
              <w:autoSpaceDE w:val="0"/>
              <w:autoSpaceDN w:val="0"/>
              <w:adjustRightInd w:val="0"/>
              <w:snapToGrid w:val="0"/>
              <w:jc w:val="center"/>
              <w:rPr>
                <w:rFonts w:ascii="宋体" w:hAnsi="宋体" w:cs="宋体"/>
                <w:kern w:val="0"/>
                <w:sz w:val="24"/>
                <w:szCs w:val="24"/>
                <w:highlight w:val="none"/>
              </w:rPr>
            </w:pPr>
            <w:r>
              <w:rPr>
                <w:rFonts w:hint="eastAsia" w:ascii="宋体" w:hAnsi="宋体" w:cs="宋体"/>
                <w:kern w:val="0"/>
                <w:sz w:val="24"/>
                <w:szCs w:val="24"/>
                <w:highlight w:val="none"/>
              </w:rPr>
              <w:t>规划及规划环境影响评价符合性分析</w:t>
            </w:r>
          </w:p>
        </w:tc>
        <w:tc>
          <w:tcPr>
            <w:tcW w:w="7881" w:type="dxa"/>
            <w:gridSpan w:val="4"/>
            <w:noWrap w:val="0"/>
            <w:vAlign w:val="center"/>
          </w:tcPr>
          <w:p w14:paraId="39EF5B62">
            <w:pPr>
              <w:pStyle w:val="8"/>
              <w:spacing w:line="360" w:lineRule="auto"/>
              <w:ind w:firstLine="480" w:firstLineChars="200"/>
              <w:jc w:val="both"/>
              <w:rPr>
                <w:rFonts w:ascii="宋体" w:hAnsi="宋体" w:cs="宋体"/>
                <w:color w:val="auto"/>
                <w:kern w:val="0"/>
                <w:sz w:val="24"/>
                <w:szCs w:val="24"/>
                <w:highlight w:val="none"/>
              </w:rPr>
            </w:pPr>
            <w:r>
              <w:rPr>
                <w:color w:val="auto"/>
                <w:sz w:val="24"/>
                <w:szCs w:val="24"/>
                <w:highlight w:val="none"/>
                <w:u w:val="none" w:color="auto"/>
              </w:rPr>
              <w:t>本项目位于</w:t>
            </w:r>
            <w:r>
              <w:rPr>
                <w:rFonts w:hint="eastAsia"/>
                <w:color w:val="auto"/>
                <w:sz w:val="24"/>
                <w:szCs w:val="24"/>
                <w:highlight w:val="none"/>
                <w:u w:val="none" w:color="auto"/>
              </w:rPr>
              <w:t>吉林省</w:t>
            </w:r>
            <w:r>
              <w:rPr>
                <w:rFonts w:hint="eastAsia"/>
                <w:color w:val="auto"/>
                <w:sz w:val="24"/>
                <w:szCs w:val="24"/>
                <w:highlight w:val="none"/>
                <w:u w:val="none" w:color="auto"/>
                <w:lang w:eastAsia="zh-CN"/>
              </w:rPr>
              <w:t>白山市临江市桦树镇西大川村</w:t>
            </w:r>
            <w:r>
              <w:rPr>
                <w:rFonts w:hint="eastAsia"/>
                <w:color w:val="auto"/>
                <w:sz w:val="24"/>
                <w:szCs w:val="24"/>
                <w:highlight w:val="none"/>
                <w:u w:val="none" w:color="auto"/>
                <w:lang w:val="en-US" w:eastAsia="zh-CN"/>
              </w:rPr>
              <w:t>，用地</w:t>
            </w:r>
            <w:r>
              <w:rPr>
                <w:color w:val="auto"/>
                <w:sz w:val="24"/>
                <w:szCs w:val="24"/>
                <w:highlight w:val="none"/>
                <w:u w:val="none" w:color="auto"/>
              </w:rPr>
              <w:t>性质为</w:t>
            </w:r>
            <w:r>
              <w:rPr>
                <w:rFonts w:hint="eastAsia"/>
                <w:color w:val="auto"/>
                <w:sz w:val="24"/>
                <w:szCs w:val="24"/>
                <w:highlight w:val="none"/>
                <w:u w:val="none" w:color="auto"/>
                <w:lang w:val="en-US" w:eastAsia="zh-CN"/>
              </w:rPr>
              <w:t>临时</w:t>
            </w:r>
            <w:r>
              <w:rPr>
                <w:rFonts w:hint="eastAsia"/>
                <w:color w:val="auto"/>
                <w:sz w:val="24"/>
                <w:szCs w:val="24"/>
                <w:highlight w:val="none"/>
                <w:u w:val="none" w:color="auto"/>
              </w:rPr>
              <w:t>用地，项目已取得临江市自然资源和林业局《关于国道漫临线（G612）分水（县界）至临江段工程第一批临时占用林地的批复》（临自林函[2026]125号）、《关于临江市公路建设管理处国道漫临线（G612）分水（县界）至临江段工程MLSG01标段项目临时占用草地的批复》（临自林函[2026]134号）。</w:t>
            </w:r>
            <w:r>
              <w:rPr>
                <w:rFonts w:hint="default" w:ascii="Times New Roman" w:hAnsi="Times New Roman" w:eastAsia="宋体" w:cs="Times New Roman"/>
                <w:color w:val="auto"/>
                <w:highlight w:val="none"/>
                <w:u w:val="none" w:color="auto"/>
              </w:rPr>
              <w:t>本项目</w:t>
            </w:r>
            <w:r>
              <w:rPr>
                <w:rFonts w:hint="eastAsia" w:ascii="Times New Roman" w:hAnsi="Times New Roman" w:eastAsia="宋体" w:cs="Times New Roman"/>
                <w:color w:val="auto"/>
                <w:highlight w:val="none"/>
                <w:u w:val="none" w:color="auto"/>
                <w:lang w:val="en-US" w:eastAsia="zh-CN"/>
              </w:rPr>
              <w:t>为国道漫临线（G612）分水（县界）至临江段工程MLSG01标段工程配套的临时工程，已取得临时用地手续</w:t>
            </w:r>
            <w:r>
              <w:rPr>
                <w:rFonts w:hint="eastAsia" w:cs="Times New Roman"/>
                <w:color w:val="auto"/>
                <w:highlight w:val="none"/>
                <w:u w:val="none" w:color="auto"/>
                <w:lang w:val="en-US" w:eastAsia="zh-CN"/>
              </w:rPr>
              <w:t>。</w:t>
            </w:r>
          </w:p>
        </w:tc>
      </w:tr>
      <w:tr w14:paraId="0A9BB3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989" w:type="dxa"/>
            <w:noWrap w:val="0"/>
            <w:vAlign w:val="center"/>
          </w:tcPr>
          <w:p w14:paraId="26BC029D">
            <w:pPr>
              <w:autoSpaceDE w:val="0"/>
              <w:autoSpaceDN w:val="0"/>
              <w:adjustRightInd w:val="0"/>
              <w:snapToGrid w:val="0"/>
              <w:jc w:val="center"/>
              <w:rPr>
                <w:rFonts w:hint="eastAsia" w:ascii="宋体" w:hAnsi="宋体" w:cs="宋体"/>
                <w:kern w:val="0"/>
                <w:sz w:val="24"/>
                <w:szCs w:val="24"/>
                <w:highlight w:val="cyan"/>
              </w:rPr>
            </w:pPr>
            <w:r>
              <w:rPr>
                <w:rFonts w:hint="eastAsia" w:ascii="宋体" w:hAnsi="宋体" w:cs="宋体"/>
                <w:kern w:val="0"/>
                <w:sz w:val="24"/>
                <w:szCs w:val="24"/>
                <w:highlight w:val="none"/>
              </w:rPr>
              <w:t>其他符合性分析</w:t>
            </w:r>
          </w:p>
        </w:tc>
        <w:tc>
          <w:tcPr>
            <w:tcW w:w="7881" w:type="dxa"/>
            <w:gridSpan w:val="4"/>
            <w:noWrap w:val="0"/>
            <w:vAlign w:val="top"/>
          </w:tcPr>
          <w:p w14:paraId="1FCAA82B">
            <w:pPr>
              <w:autoSpaceDE w:val="0"/>
              <w:autoSpaceDN w:val="0"/>
              <w:adjustRightInd w:val="0"/>
              <w:snapToGrid w:val="0"/>
              <w:spacing w:line="360" w:lineRule="auto"/>
              <w:ind w:firstLine="506" w:firstLineChars="200"/>
              <w:jc w:val="left"/>
              <w:rPr>
                <w:rFonts w:hint="default" w:ascii="Times New Roman" w:hAnsi="Times New Roman" w:cs="Times New Roman"/>
                <w:spacing w:val="6"/>
                <w:sz w:val="24"/>
                <w:szCs w:val="24"/>
                <w:highlight w:val="none"/>
                <w:u w:val="none" w:color="auto"/>
                <w:lang w:val="en-US" w:eastAsia="zh-CN"/>
              </w:rPr>
            </w:pPr>
            <w:r>
              <w:rPr>
                <w:rFonts w:hint="default" w:ascii="Times New Roman" w:hAnsi="Times New Roman" w:cs="Times New Roman"/>
                <w:b/>
                <w:bCs/>
                <w:spacing w:val="6"/>
                <w:sz w:val="24"/>
                <w:szCs w:val="24"/>
                <w:highlight w:val="none"/>
                <w:u w:val="none" w:color="auto"/>
                <w:lang w:val="en-US" w:eastAsia="zh-CN"/>
              </w:rPr>
              <w:t>1、产业政策</w:t>
            </w:r>
            <w:r>
              <w:rPr>
                <w:rFonts w:hint="eastAsia" w:ascii="Times New Roman" w:hAnsi="Times New Roman" w:cs="Times New Roman"/>
                <w:b/>
                <w:bCs/>
                <w:spacing w:val="6"/>
                <w:sz w:val="24"/>
                <w:szCs w:val="24"/>
                <w:highlight w:val="none"/>
                <w:u w:val="none" w:color="auto"/>
                <w:lang w:val="en-US" w:eastAsia="zh-CN"/>
              </w:rPr>
              <w:t>符合</w:t>
            </w:r>
            <w:r>
              <w:rPr>
                <w:rFonts w:hint="default" w:ascii="Times New Roman" w:hAnsi="Times New Roman" w:cs="Times New Roman"/>
                <w:b/>
                <w:bCs/>
                <w:spacing w:val="6"/>
                <w:sz w:val="24"/>
                <w:szCs w:val="24"/>
                <w:highlight w:val="none"/>
                <w:u w:val="none" w:color="auto"/>
                <w:lang w:val="en-US" w:eastAsia="zh-CN"/>
              </w:rPr>
              <w:t>性分析</w:t>
            </w:r>
          </w:p>
          <w:p w14:paraId="210FD873">
            <w:pPr>
              <w:pStyle w:val="8"/>
              <w:spacing w:line="360" w:lineRule="auto"/>
              <w:ind w:firstLine="480" w:firstLineChars="200"/>
              <w:jc w:val="both"/>
              <w:rPr>
                <w:rFonts w:hint="eastAsia"/>
                <w:b/>
                <w:bCs/>
                <w:sz w:val="24"/>
                <w:szCs w:val="24"/>
                <w:highlight w:val="none"/>
              </w:rPr>
            </w:pPr>
            <w:r>
              <w:rPr>
                <w:rFonts w:hint="default" w:ascii="Times New Roman" w:hAnsi="Times New Roman" w:eastAsia="宋体" w:cs="Times New Roman"/>
                <w:kern w:val="0"/>
                <w:sz w:val="24"/>
                <w:highlight w:val="none"/>
                <w:u w:val="none" w:color="auto"/>
              </w:rPr>
              <w:t>根据《国民经济行业分类》</w:t>
            </w:r>
            <w:r>
              <w:rPr>
                <w:rFonts w:hint="eastAsia" w:ascii="Times New Roman" w:hAnsi="Times New Roman" w:eastAsia="宋体" w:cs="Times New Roman"/>
                <w:kern w:val="0"/>
                <w:sz w:val="24"/>
                <w:highlight w:val="none"/>
                <w:u w:val="none" w:color="auto"/>
                <w:lang w:eastAsia="zh-CN"/>
              </w:rPr>
              <w:t>（</w:t>
            </w:r>
            <w:r>
              <w:rPr>
                <w:rFonts w:hint="default" w:ascii="Times New Roman" w:hAnsi="Times New Roman" w:eastAsia="宋体" w:cs="Times New Roman"/>
                <w:kern w:val="0"/>
                <w:sz w:val="24"/>
                <w:highlight w:val="none"/>
                <w:u w:val="none" w:color="auto"/>
              </w:rPr>
              <w:t>GB/T4754-2017</w:t>
            </w:r>
            <w:r>
              <w:rPr>
                <w:rFonts w:hint="eastAsia" w:ascii="Times New Roman" w:hAnsi="Times New Roman" w:eastAsia="宋体" w:cs="Times New Roman"/>
                <w:kern w:val="0"/>
                <w:sz w:val="24"/>
                <w:highlight w:val="none"/>
                <w:u w:val="none" w:color="auto"/>
                <w:lang w:eastAsia="zh-CN"/>
              </w:rPr>
              <w:t>）</w:t>
            </w:r>
            <w:r>
              <w:rPr>
                <w:rFonts w:hint="default" w:ascii="Times New Roman" w:hAnsi="Times New Roman" w:eastAsia="宋体" w:cs="Times New Roman"/>
                <w:kern w:val="0"/>
                <w:sz w:val="24"/>
                <w:highlight w:val="none"/>
                <w:u w:val="none" w:color="auto"/>
              </w:rPr>
              <w:t>，本项目属于</w:t>
            </w:r>
            <w:r>
              <w:rPr>
                <w:rFonts w:hint="eastAsia" w:ascii="Times New Roman" w:hAnsi="Times New Roman" w:eastAsia="宋体" w:cs="Times New Roman"/>
                <w:kern w:val="0"/>
                <w:sz w:val="24"/>
                <w:highlight w:val="none"/>
                <w:u w:val="none" w:color="auto"/>
                <w:lang w:val="en-US" w:eastAsia="zh-CN"/>
              </w:rPr>
              <w:t>C</w:t>
            </w:r>
            <w:r>
              <w:rPr>
                <w:rFonts w:hint="eastAsia" w:ascii="Times New Roman" w:hAnsi="Times New Roman" w:eastAsia="宋体" w:cs="Times New Roman"/>
                <w:color w:val="auto"/>
                <w:sz w:val="24"/>
                <w:szCs w:val="20"/>
                <w:highlight w:val="none"/>
                <w:u w:val="none" w:color="auto"/>
                <w:lang w:val="en-US" w:eastAsia="zh-CN"/>
              </w:rPr>
              <w:t>3</w:t>
            </w:r>
            <w:r>
              <w:rPr>
                <w:rFonts w:hint="eastAsia" w:eastAsia="宋体" w:cs="Times New Roman"/>
                <w:color w:val="auto"/>
                <w:sz w:val="24"/>
                <w:szCs w:val="20"/>
                <w:highlight w:val="none"/>
                <w:u w:val="none" w:color="auto"/>
                <w:lang w:val="en-US" w:eastAsia="zh-CN"/>
              </w:rPr>
              <w:t>021</w:t>
            </w:r>
            <w:r>
              <w:rPr>
                <w:rFonts w:hint="default" w:ascii="Times New Roman" w:hAnsi="Times New Roman" w:eastAsia="宋体" w:cs="Times New Roman"/>
                <w:sz w:val="24"/>
                <w:szCs w:val="24"/>
                <w:highlight w:val="none"/>
              </w:rPr>
              <w:t>水泥制品制造</w:t>
            </w:r>
            <w:r>
              <w:rPr>
                <w:rFonts w:hint="default" w:ascii="Times New Roman" w:hAnsi="Times New Roman" w:eastAsia="宋体" w:cs="Times New Roman"/>
                <w:kern w:val="0"/>
                <w:sz w:val="24"/>
                <w:highlight w:val="none"/>
                <w:u w:val="none" w:color="auto"/>
              </w:rPr>
              <w:t>。参照《产业结构调整指导目录（2024年本）》（国家发改委令第7号），本项目不属于限制类、淘汰类范畴，符合国家现行产业政策，属于允许类建设项目。</w:t>
            </w:r>
          </w:p>
          <w:p w14:paraId="2288C5E7">
            <w:pPr>
              <w:pStyle w:val="8"/>
              <w:spacing w:line="360" w:lineRule="auto"/>
              <w:ind w:firstLine="482" w:firstLineChars="200"/>
              <w:rPr>
                <w:rFonts w:hint="eastAsia"/>
                <w:b/>
                <w:bCs/>
                <w:sz w:val="24"/>
                <w:szCs w:val="24"/>
                <w:highlight w:val="none"/>
              </w:rPr>
            </w:pPr>
            <w:r>
              <w:rPr>
                <w:rFonts w:hint="eastAsia" w:ascii="Times New Roman" w:hAnsi="Times New Roman" w:eastAsia="宋体" w:cs="Times New Roman"/>
                <w:b/>
                <w:bCs/>
                <w:sz w:val="24"/>
                <w:szCs w:val="24"/>
                <w:highlight w:val="none"/>
                <w:u w:val="none" w:color="auto"/>
                <w:lang w:val="en-US" w:eastAsia="zh-CN"/>
              </w:rPr>
              <w:t>2</w:t>
            </w:r>
            <w:r>
              <w:rPr>
                <w:rFonts w:hint="default" w:ascii="Times New Roman" w:hAnsi="Times New Roman" w:eastAsia="宋体" w:cs="Times New Roman"/>
                <w:b/>
                <w:bCs/>
                <w:sz w:val="24"/>
                <w:szCs w:val="24"/>
                <w:highlight w:val="none"/>
                <w:u w:val="none" w:color="auto"/>
                <w:lang w:val="en-US" w:eastAsia="zh-CN"/>
              </w:rPr>
              <w:t>、生态环境分区管控符合性分析</w:t>
            </w:r>
          </w:p>
          <w:p w14:paraId="62AC3219">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auto"/>
                <w:sz w:val="24"/>
                <w:szCs w:val="24"/>
                <w:highlight w:val="none"/>
                <w:u w:val="none" w:color="auto"/>
                <w:lang w:val="en-US" w:eastAsia="zh-CN"/>
              </w:rPr>
            </w:pPr>
            <w:r>
              <w:rPr>
                <w:rFonts w:hint="default" w:ascii="Times New Roman" w:hAnsi="Times New Roman" w:eastAsia="宋体" w:cs="Times New Roman"/>
                <w:color w:val="auto"/>
                <w:sz w:val="24"/>
                <w:szCs w:val="24"/>
                <w:highlight w:val="none"/>
                <w:u w:val="none" w:color="auto"/>
                <w:lang w:val="en-US" w:eastAsia="zh-CN"/>
              </w:rPr>
              <w:t>（1）</w:t>
            </w:r>
            <w:r>
              <w:rPr>
                <w:rFonts w:hint="eastAsia" w:ascii="Times New Roman" w:hAnsi="Times New Roman" w:eastAsia="宋体" w:cs="Times New Roman"/>
                <w:color w:val="auto"/>
                <w:kern w:val="0"/>
                <w:sz w:val="24"/>
                <w:szCs w:val="24"/>
                <w:highlight w:val="none"/>
                <w:lang w:val="en-US" w:eastAsia="zh-CN"/>
              </w:rPr>
              <w:t>生态保护红线</w:t>
            </w:r>
          </w:p>
          <w:p w14:paraId="363D365D">
            <w:pPr>
              <w:autoSpaceDE w:val="0"/>
              <w:autoSpaceDN w:val="0"/>
              <w:adjustRightInd w:val="0"/>
              <w:snapToGrid w:val="0"/>
              <w:spacing w:line="360" w:lineRule="auto"/>
              <w:ind w:firstLine="480" w:firstLineChars="200"/>
              <w:jc w:val="both"/>
              <w:rPr>
                <w:rFonts w:hint="default" w:ascii="Times New Roman" w:hAnsi="Times New Roman" w:eastAsia="宋体" w:cs="Times New Roman"/>
                <w:color w:val="auto"/>
                <w:sz w:val="24"/>
                <w:szCs w:val="24"/>
                <w:highlight w:val="none"/>
                <w:u w:val="single" w:color="auto"/>
                <w:lang w:val="en-US" w:eastAsia="zh-CN"/>
              </w:rPr>
            </w:pPr>
            <w:r>
              <w:rPr>
                <w:rFonts w:hint="default" w:ascii="Times New Roman" w:hAnsi="Times New Roman" w:cs="Times New Roman"/>
                <w:color w:val="auto"/>
                <w:sz w:val="24"/>
                <w:szCs w:val="22"/>
                <w:highlight w:val="none"/>
                <w:u w:val="single" w:color="auto"/>
                <w:lang w:val="en-US" w:eastAsia="zh-CN"/>
              </w:rPr>
              <w:t>通过吉林省</w:t>
            </w:r>
            <w:r>
              <w:rPr>
                <w:rFonts w:hint="eastAsia" w:cs="Times New Roman"/>
                <w:color w:val="auto"/>
                <w:sz w:val="24"/>
                <w:szCs w:val="22"/>
                <w:highlight w:val="none"/>
                <w:u w:val="single" w:color="auto"/>
                <w:lang w:val="en-US" w:eastAsia="zh-CN"/>
              </w:rPr>
              <w:t>“</w:t>
            </w:r>
            <w:r>
              <w:rPr>
                <w:rFonts w:hint="default" w:ascii="Times New Roman" w:hAnsi="Times New Roman" w:cs="Times New Roman"/>
                <w:color w:val="auto"/>
                <w:sz w:val="24"/>
                <w:szCs w:val="22"/>
                <w:highlight w:val="none"/>
                <w:u w:val="single" w:color="auto"/>
                <w:lang w:val="en-US" w:eastAsia="zh-CN"/>
              </w:rPr>
              <w:t>三线一单</w:t>
            </w:r>
            <w:r>
              <w:rPr>
                <w:rFonts w:hint="eastAsia" w:cs="Times New Roman"/>
                <w:color w:val="auto"/>
                <w:sz w:val="24"/>
                <w:szCs w:val="22"/>
                <w:highlight w:val="none"/>
                <w:u w:val="single" w:color="auto"/>
                <w:lang w:val="en-US" w:eastAsia="zh-CN"/>
              </w:rPr>
              <w:t>”</w:t>
            </w:r>
            <w:r>
              <w:rPr>
                <w:rFonts w:hint="default" w:ascii="Times New Roman" w:hAnsi="Times New Roman" w:cs="Times New Roman"/>
                <w:color w:val="auto"/>
                <w:sz w:val="24"/>
                <w:szCs w:val="22"/>
                <w:highlight w:val="none"/>
                <w:u w:val="single" w:color="auto"/>
                <w:lang w:val="en-US" w:eastAsia="zh-CN"/>
              </w:rPr>
              <w:t>公众端应用平台查询，并结合《关于加强生态环境分区管控的若干措施》（吉办发〔2024〕12号）、《吉林省生态环境准入清单》（吉环函〔2024〕158号）、《白山市生态环境分区管控实施方案》（白山政办发〔2024〕11号）分析，项目位于</w:t>
            </w:r>
            <w:r>
              <w:rPr>
                <w:rFonts w:hint="default" w:ascii="Times New Roman" w:hAnsi="Times New Roman" w:cs="Times New Roman"/>
                <w:color w:val="auto"/>
                <w:kern w:val="0"/>
                <w:sz w:val="24"/>
                <w:szCs w:val="24"/>
                <w:highlight w:val="none"/>
                <w:u w:val="single" w:color="auto"/>
                <w:lang w:val="en-US" w:eastAsia="zh-CN" w:bidi="ar"/>
              </w:rPr>
              <w:t>优先保护单元，环境管控单元编码为ZH22068110014，</w:t>
            </w:r>
            <w:r>
              <w:rPr>
                <w:rFonts w:hint="default" w:ascii="Times New Roman" w:hAnsi="Times New Roman" w:cs="Times New Roman"/>
                <w:color w:val="auto"/>
                <w:sz w:val="24"/>
                <w:highlight w:val="none"/>
                <w:u w:val="single" w:color="auto"/>
                <w:lang w:val="en-US" w:eastAsia="zh-CN"/>
              </w:rPr>
              <w:t>环境管控单元名称为临江市水源涵养功能重要区，环境要素为一般生态空间，</w:t>
            </w:r>
            <w:r>
              <w:rPr>
                <w:rFonts w:hint="default" w:ascii="Times New Roman" w:hAnsi="Times New Roman" w:eastAsia="宋体" w:cs="Times New Roman"/>
                <w:b w:val="0"/>
                <w:bCs w:val="0"/>
                <w:color w:val="auto"/>
                <w:kern w:val="2"/>
                <w:sz w:val="24"/>
                <w:szCs w:val="24"/>
                <w:highlight w:val="none"/>
                <w:u w:val="single" w:color="auto"/>
                <w:lang w:val="en-US" w:eastAsia="zh-CN" w:bidi="ar-SA"/>
              </w:rPr>
              <w:t>不涉及生态保护红线，查询结果详见附图2</w:t>
            </w:r>
            <w:r>
              <w:rPr>
                <w:rFonts w:hint="eastAsia" w:cs="Times New Roman"/>
                <w:b w:val="0"/>
                <w:bCs w:val="0"/>
                <w:color w:val="auto"/>
                <w:kern w:val="2"/>
                <w:sz w:val="24"/>
                <w:szCs w:val="24"/>
                <w:highlight w:val="none"/>
                <w:u w:val="single" w:color="auto"/>
                <w:lang w:val="en-US" w:eastAsia="zh-CN" w:bidi="ar-SA"/>
              </w:rPr>
              <w:t>。</w:t>
            </w:r>
          </w:p>
          <w:p w14:paraId="41CDB17C">
            <w:pPr>
              <w:autoSpaceDE w:val="0"/>
              <w:autoSpaceDN w:val="0"/>
              <w:adjustRightInd w:val="0"/>
              <w:snapToGrid w:val="0"/>
              <w:spacing w:line="360" w:lineRule="auto"/>
              <w:ind w:firstLine="480" w:firstLineChars="200"/>
              <w:jc w:val="left"/>
              <w:rPr>
                <w:rFonts w:hint="default" w:ascii="Times New Roman" w:hAnsi="Times New Roman" w:eastAsia="宋体" w:cs="Times New Roman"/>
                <w:sz w:val="24"/>
                <w:szCs w:val="24"/>
                <w:highlight w:val="none"/>
                <w:u w:val="none" w:color="auto"/>
                <w:lang w:val="en-US" w:eastAsia="zh-CN"/>
              </w:rPr>
            </w:pPr>
            <w:r>
              <w:rPr>
                <w:rFonts w:hint="default" w:ascii="Times New Roman" w:hAnsi="Times New Roman" w:eastAsia="宋体" w:cs="Times New Roman"/>
                <w:sz w:val="24"/>
                <w:szCs w:val="24"/>
                <w:highlight w:val="none"/>
                <w:u w:val="none" w:color="auto"/>
                <w:lang w:val="en-US" w:eastAsia="zh-CN"/>
              </w:rPr>
              <w:t>（2）环境质量底线</w:t>
            </w:r>
          </w:p>
          <w:p w14:paraId="41F5BF4B">
            <w:pPr>
              <w:autoSpaceDE w:val="0"/>
              <w:autoSpaceDN w:val="0"/>
              <w:adjustRightInd w:val="0"/>
              <w:snapToGrid w:val="0"/>
              <w:spacing w:line="360" w:lineRule="auto"/>
              <w:ind w:firstLine="480" w:firstLineChars="200"/>
              <w:jc w:val="both"/>
              <w:rPr>
                <w:rFonts w:hint="default"/>
                <w:color w:val="auto"/>
                <w:sz w:val="24"/>
                <w:szCs w:val="24"/>
                <w:highlight w:val="cyan"/>
                <w:u w:val="none" w:color="auto"/>
                <w:lang w:val="zh-CN"/>
              </w:rPr>
            </w:pPr>
            <w:r>
              <w:rPr>
                <w:rFonts w:hint="default" w:ascii="Times New Roman" w:hAnsi="Times New Roman" w:eastAsia="宋体" w:cs="Times New Roman"/>
                <w:color w:val="auto"/>
                <w:sz w:val="24"/>
                <w:szCs w:val="24"/>
                <w:highlight w:val="none"/>
                <w:u w:val="none" w:color="auto"/>
              </w:rPr>
              <w:t>项目建设地点</w:t>
            </w:r>
            <w:r>
              <w:rPr>
                <w:rFonts w:hint="eastAsia" w:ascii="Times New Roman" w:hAnsi="Times New Roman" w:eastAsia="宋体" w:cs="Times New Roman"/>
                <w:color w:val="auto"/>
                <w:sz w:val="24"/>
                <w:szCs w:val="24"/>
                <w:highlight w:val="none"/>
                <w:u w:val="none" w:color="auto"/>
                <w:lang w:eastAsia="zh-CN"/>
              </w:rPr>
              <w:t>位于</w:t>
            </w:r>
            <w:r>
              <w:rPr>
                <w:rFonts w:hint="default" w:ascii="Times New Roman" w:hAnsi="Times New Roman" w:eastAsia="宋体" w:cs="Times New Roman"/>
                <w:color w:val="auto"/>
                <w:sz w:val="24"/>
                <w:szCs w:val="24"/>
                <w:highlight w:val="none"/>
                <w:u w:val="none" w:color="auto"/>
              </w:rPr>
              <w:t>环境空气功能区二类区，执行二级标准。</w:t>
            </w:r>
            <w:r>
              <w:rPr>
                <w:color w:val="auto"/>
                <w:sz w:val="24"/>
                <w:highlight w:val="none"/>
                <w:u w:val="none" w:color="auto"/>
                <w:lang w:bidi="ar"/>
              </w:rPr>
              <w:t>根据《吉林省202</w:t>
            </w:r>
            <w:r>
              <w:rPr>
                <w:rFonts w:hint="eastAsia"/>
                <w:color w:val="auto"/>
                <w:sz w:val="24"/>
                <w:highlight w:val="none"/>
                <w:u w:val="none" w:color="auto"/>
                <w:lang w:val="en-US" w:eastAsia="zh-CN" w:bidi="ar"/>
              </w:rPr>
              <w:t>5</w:t>
            </w:r>
            <w:r>
              <w:rPr>
                <w:color w:val="auto"/>
                <w:sz w:val="24"/>
                <w:highlight w:val="none"/>
                <w:u w:val="none" w:color="auto"/>
                <w:lang w:bidi="ar"/>
              </w:rPr>
              <w:t>年生态环境状况公报》，202</w:t>
            </w:r>
            <w:r>
              <w:rPr>
                <w:rFonts w:hint="eastAsia"/>
                <w:color w:val="auto"/>
                <w:sz w:val="24"/>
                <w:highlight w:val="none"/>
                <w:u w:val="none" w:color="auto"/>
                <w:lang w:val="en-US" w:eastAsia="zh-CN" w:bidi="ar"/>
              </w:rPr>
              <w:t>5</w:t>
            </w:r>
            <w:r>
              <w:rPr>
                <w:color w:val="auto"/>
                <w:sz w:val="24"/>
                <w:highlight w:val="none"/>
                <w:u w:val="none" w:color="auto"/>
                <w:lang w:bidi="ar"/>
              </w:rPr>
              <w:t>年</w:t>
            </w:r>
            <w:r>
              <w:rPr>
                <w:rFonts w:hint="eastAsia"/>
                <w:color w:val="auto"/>
                <w:sz w:val="24"/>
                <w:highlight w:val="none"/>
                <w:u w:val="none" w:color="auto"/>
                <w:lang w:eastAsia="zh-CN" w:bidi="ar"/>
              </w:rPr>
              <w:t>白山</w:t>
            </w:r>
            <w:r>
              <w:rPr>
                <w:color w:val="auto"/>
                <w:sz w:val="24"/>
                <w:highlight w:val="none"/>
                <w:u w:val="none" w:color="auto"/>
                <w:lang w:bidi="ar"/>
              </w:rPr>
              <w:t>市为达标区</w:t>
            </w:r>
            <w:r>
              <w:rPr>
                <w:rFonts w:hint="eastAsia"/>
                <w:color w:val="auto"/>
                <w:sz w:val="24"/>
                <w:highlight w:val="none"/>
                <w:u w:val="none" w:color="auto"/>
                <w:lang w:eastAsia="zh-CN" w:bidi="ar"/>
              </w:rPr>
              <w:t>；</w:t>
            </w:r>
            <w:r>
              <w:rPr>
                <w:rFonts w:hint="default"/>
                <w:color w:val="auto"/>
                <w:sz w:val="24"/>
                <w:szCs w:val="24"/>
                <w:highlight w:val="none"/>
                <w:u w:val="none" w:color="auto"/>
                <w:lang w:val="zh-CN"/>
              </w:rPr>
              <w:t>本项目运营期主要产生的废气为</w:t>
            </w:r>
            <w:bookmarkStart w:id="2" w:name="OLE_LINK182"/>
            <w:r>
              <w:rPr>
                <w:rFonts w:hint="default"/>
                <w:color w:val="auto"/>
                <w:sz w:val="24"/>
                <w:szCs w:val="24"/>
                <w:highlight w:val="none"/>
                <w:u w:val="none" w:color="auto"/>
                <w:lang w:val="zh-CN"/>
              </w:rPr>
              <w:t>筒仓粉尘、搅拌机粉尘</w:t>
            </w:r>
            <w:r>
              <w:rPr>
                <w:rFonts w:hint="eastAsia"/>
                <w:color w:val="auto"/>
                <w:sz w:val="24"/>
                <w:szCs w:val="24"/>
                <w:highlight w:val="none"/>
                <w:u w:val="none" w:color="auto"/>
                <w:lang w:val="zh-CN"/>
              </w:rPr>
              <w:t>、装卸扬尘、堆场粉尘、上料粉尘、</w:t>
            </w:r>
            <w:bookmarkEnd w:id="2"/>
            <w:r>
              <w:rPr>
                <w:rFonts w:hint="eastAsia"/>
                <w:color w:val="auto"/>
                <w:sz w:val="24"/>
                <w:szCs w:val="24"/>
                <w:highlight w:val="none"/>
                <w:u w:val="none" w:color="auto"/>
                <w:lang w:val="zh-CN"/>
              </w:rPr>
              <w:t>运输扬尘。</w:t>
            </w:r>
            <w:bookmarkStart w:id="3" w:name="OLE_LINK181"/>
            <w:r>
              <w:rPr>
                <w:rFonts w:hint="default"/>
                <w:color w:val="auto"/>
                <w:sz w:val="24"/>
                <w:szCs w:val="24"/>
                <w:highlight w:val="none"/>
                <w:u w:val="none" w:color="auto"/>
                <w:lang w:val="zh-CN"/>
              </w:rPr>
              <w:t>筒仓粉尘、搅拌机</w:t>
            </w:r>
            <w:r>
              <w:rPr>
                <w:rFonts w:hint="eastAsia"/>
                <w:color w:val="auto"/>
                <w:sz w:val="24"/>
                <w:szCs w:val="24"/>
                <w:highlight w:val="none"/>
                <w:u w:val="none" w:color="auto"/>
                <w:lang w:val="zh-CN"/>
              </w:rPr>
              <w:t>粉尘经脉冲袋式除尘器处理后排放；堆场采用</w:t>
            </w:r>
            <w:r>
              <w:rPr>
                <w:rFonts w:hint="eastAsia"/>
                <w:color w:val="auto"/>
                <w:sz w:val="24"/>
                <w:szCs w:val="24"/>
                <w:highlight w:val="none"/>
                <w:u w:val="none" w:color="auto"/>
                <w:lang w:val="en-US" w:eastAsia="zh-CN"/>
              </w:rPr>
              <w:t>半封闭料棚</w:t>
            </w:r>
            <w:r>
              <w:rPr>
                <w:rFonts w:hint="eastAsia"/>
                <w:color w:val="auto"/>
                <w:sz w:val="24"/>
                <w:szCs w:val="24"/>
                <w:highlight w:val="none"/>
                <w:u w:val="none" w:color="auto"/>
                <w:lang w:val="zh-CN"/>
              </w:rPr>
              <w:t>，洒水降尘方式减少粉尘排放；装卸扬尘、上料粉尘、运输扬尘采用洒水降尘方式减少粉尘排放。</w:t>
            </w:r>
            <w:bookmarkEnd w:id="3"/>
            <w:r>
              <w:rPr>
                <w:rFonts w:hint="default" w:ascii="Times New Roman" w:hAnsi="Times New Roman" w:cs="Times New Roman"/>
                <w:color w:val="auto"/>
                <w:sz w:val="24"/>
                <w:szCs w:val="24"/>
                <w:highlight w:val="none"/>
              </w:rPr>
              <w:t>本项目所排放废气污染物较少，且采取了严格的废气污染防治措施，本项目建设不会突破区域环境空气质量底线。</w:t>
            </w:r>
          </w:p>
          <w:p w14:paraId="522F5AB4">
            <w:pPr>
              <w:autoSpaceDE w:val="0"/>
              <w:autoSpaceDN w:val="0"/>
              <w:adjustRightInd w:val="0"/>
              <w:snapToGrid w:val="0"/>
              <w:spacing w:line="360" w:lineRule="auto"/>
              <w:ind w:firstLine="480" w:firstLineChars="200"/>
              <w:jc w:val="both"/>
              <w:rPr>
                <w:rFonts w:hint="default"/>
                <w:color w:val="auto"/>
                <w:sz w:val="24"/>
                <w:szCs w:val="24"/>
                <w:highlight w:val="none"/>
                <w:u w:val="none" w:color="auto"/>
                <w:lang w:val="zh-CN"/>
              </w:rPr>
            </w:pPr>
            <w:r>
              <w:rPr>
                <w:rFonts w:hint="eastAsia"/>
                <w:color w:val="auto"/>
                <w:sz w:val="24"/>
                <w:highlight w:val="none"/>
                <w:u w:val="none"/>
              </w:rPr>
              <w:t>本项目区域地表水受纳水体为鸭绿江，现行《吉林省地表水功能区划》（DB22/388-2004）未明确划定该河段水质管控目标。202</w:t>
            </w:r>
            <w:r>
              <w:rPr>
                <w:rFonts w:hint="eastAsia"/>
                <w:color w:val="auto"/>
                <w:sz w:val="24"/>
                <w:highlight w:val="none"/>
                <w:u w:val="none"/>
                <w:lang w:val="en-US" w:eastAsia="zh-CN"/>
              </w:rPr>
              <w:t>5</w:t>
            </w:r>
            <w:r>
              <w:rPr>
                <w:rFonts w:hint="eastAsia"/>
                <w:color w:val="auto"/>
                <w:sz w:val="24"/>
                <w:highlight w:val="none"/>
                <w:u w:val="none"/>
              </w:rPr>
              <w:t>年期间，</w:t>
            </w:r>
            <w:r>
              <w:rPr>
                <w:rFonts w:hint="eastAsia"/>
                <w:color w:val="auto"/>
                <w:kern w:val="0"/>
                <w:sz w:val="24"/>
                <w:szCs w:val="20"/>
                <w:highlight w:val="none"/>
                <w:u w:val="none"/>
                <w:lang w:eastAsia="zh-CN"/>
              </w:rPr>
              <w:t>鸭绿江-葫芦套断面</w:t>
            </w:r>
            <w:r>
              <w:rPr>
                <w:rFonts w:hint="eastAsia"/>
                <w:color w:val="auto"/>
                <w:sz w:val="24"/>
                <w:highlight w:val="none"/>
                <w:u w:val="none"/>
              </w:rPr>
              <w:t>1-</w:t>
            </w:r>
            <w:r>
              <w:rPr>
                <w:rFonts w:hint="eastAsia"/>
                <w:color w:val="auto"/>
                <w:sz w:val="24"/>
                <w:highlight w:val="none"/>
                <w:u w:val="none"/>
                <w:lang w:val="en-US" w:eastAsia="zh-CN"/>
              </w:rPr>
              <w:t>3</w:t>
            </w:r>
            <w:r>
              <w:rPr>
                <w:rFonts w:hint="eastAsia"/>
                <w:color w:val="auto"/>
                <w:sz w:val="24"/>
                <w:highlight w:val="none"/>
                <w:u w:val="none"/>
                <w:lang w:eastAsia="zh-CN"/>
              </w:rPr>
              <w:t>月</w:t>
            </w:r>
            <w:r>
              <w:rPr>
                <w:rFonts w:hint="eastAsia"/>
                <w:color w:val="auto"/>
                <w:sz w:val="24"/>
                <w:highlight w:val="none"/>
                <w:u w:val="none"/>
              </w:rPr>
              <w:t>、</w:t>
            </w:r>
            <w:r>
              <w:rPr>
                <w:rFonts w:hint="eastAsia"/>
                <w:color w:val="auto"/>
                <w:sz w:val="24"/>
                <w:highlight w:val="none"/>
                <w:u w:val="none"/>
                <w:lang w:val="en-US" w:eastAsia="zh-CN"/>
              </w:rPr>
              <w:t>5</w:t>
            </w:r>
            <w:r>
              <w:rPr>
                <w:rFonts w:hint="eastAsia"/>
                <w:color w:val="auto"/>
                <w:sz w:val="24"/>
                <w:highlight w:val="none"/>
                <w:u w:val="none"/>
              </w:rPr>
              <w:t>-12</w:t>
            </w:r>
            <w:r>
              <w:rPr>
                <w:rFonts w:hint="eastAsia"/>
                <w:color w:val="auto"/>
                <w:sz w:val="24"/>
                <w:highlight w:val="none"/>
                <w:u w:val="none"/>
                <w:lang w:eastAsia="zh-CN"/>
              </w:rPr>
              <w:t>月份</w:t>
            </w:r>
            <w:r>
              <w:rPr>
                <w:rFonts w:hint="eastAsia"/>
                <w:color w:val="auto"/>
                <w:sz w:val="24"/>
                <w:highlight w:val="none"/>
                <w:u w:val="none"/>
              </w:rPr>
              <w:t>水质为Ⅱ类</w:t>
            </w:r>
            <w:r>
              <w:rPr>
                <w:rFonts w:hint="eastAsia"/>
                <w:color w:val="auto"/>
                <w:sz w:val="24"/>
                <w:highlight w:val="none"/>
                <w:u w:val="none"/>
                <w:lang w:eastAsia="zh-CN"/>
              </w:rPr>
              <w:t>，</w:t>
            </w:r>
            <w:r>
              <w:rPr>
                <w:rFonts w:hint="eastAsia"/>
                <w:color w:val="auto"/>
                <w:sz w:val="24"/>
                <w:highlight w:val="none"/>
                <w:u w:val="none"/>
                <w:lang w:val="en-US" w:eastAsia="zh-CN"/>
              </w:rPr>
              <w:t>4</w:t>
            </w:r>
            <w:r>
              <w:rPr>
                <w:rFonts w:hint="eastAsia"/>
                <w:color w:val="auto"/>
                <w:sz w:val="24"/>
                <w:highlight w:val="none"/>
                <w:u w:val="none"/>
                <w:lang w:eastAsia="zh-CN"/>
              </w:rPr>
              <w:t>月份水质为Ⅲ</w:t>
            </w:r>
            <w:r>
              <w:rPr>
                <w:rFonts w:hint="eastAsia"/>
                <w:color w:val="auto"/>
                <w:kern w:val="0"/>
                <w:sz w:val="24"/>
                <w:szCs w:val="20"/>
                <w:highlight w:val="none"/>
                <w:u w:val="none"/>
              </w:rPr>
              <w:t>类</w:t>
            </w:r>
            <w:r>
              <w:rPr>
                <w:rFonts w:hint="eastAsia"/>
                <w:color w:val="auto"/>
                <w:kern w:val="0"/>
                <w:sz w:val="24"/>
                <w:szCs w:val="20"/>
                <w:highlight w:val="none"/>
                <w:u w:val="none"/>
                <w:lang w:eastAsia="zh-CN"/>
              </w:rPr>
              <w:t>，鸭绿江-葫芦套断面202</w:t>
            </w:r>
            <w:r>
              <w:rPr>
                <w:rFonts w:hint="eastAsia"/>
                <w:color w:val="auto"/>
                <w:kern w:val="0"/>
                <w:sz w:val="24"/>
                <w:szCs w:val="20"/>
                <w:highlight w:val="none"/>
                <w:u w:val="none"/>
                <w:lang w:val="en-US" w:eastAsia="zh-CN"/>
              </w:rPr>
              <w:t>4</w:t>
            </w:r>
            <w:r>
              <w:rPr>
                <w:rFonts w:hint="eastAsia"/>
                <w:color w:val="auto"/>
                <w:kern w:val="0"/>
                <w:sz w:val="24"/>
                <w:szCs w:val="20"/>
                <w:highlight w:val="none"/>
                <w:u w:val="none"/>
                <w:lang w:eastAsia="zh-CN"/>
              </w:rPr>
              <w:t>年1-12月整体水质变化不大。</w:t>
            </w:r>
            <w:r>
              <w:rPr>
                <w:rFonts w:hint="default"/>
                <w:color w:val="auto"/>
                <w:sz w:val="24"/>
                <w:szCs w:val="24"/>
                <w:highlight w:val="none"/>
                <w:u w:val="none" w:color="auto"/>
                <w:lang w:val="zh-CN"/>
              </w:rPr>
              <w:t>项目运营期</w:t>
            </w:r>
            <w:r>
              <w:rPr>
                <w:rFonts w:hint="eastAsia"/>
                <w:color w:val="auto"/>
                <w:sz w:val="24"/>
                <w:szCs w:val="24"/>
                <w:highlight w:val="none"/>
                <w:u w:val="none" w:color="auto"/>
                <w:lang w:val="zh-CN"/>
              </w:rPr>
              <w:t>无生产废水，生活污水排入防渗旱厕，定期清掏作农肥</w:t>
            </w:r>
            <w:r>
              <w:rPr>
                <w:rFonts w:hint="default"/>
                <w:color w:val="auto"/>
                <w:sz w:val="24"/>
                <w:szCs w:val="24"/>
                <w:highlight w:val="none"/>
                <w:u w:val="none" w:color="auto"/>
                <w:lang w:val="zh-CN"/>
              </w:rPr>
              <w:t>，对区域地表水环境基本无影响。</w:t>
            </w:r>
          </w:p>
          <w:p w14:paraId="40E40E27">
            <w:pPr>
              <w:autoSpaceDE w:val="0"/>
              <w:autoSpaceDN w:val="0"/>
              <w:adjustRightInd w:val="0"/>
              <w:snapToGrid w:val="0"/>
              <w:spacing w:line="360" w:lineRule="auto"/>
              <w:ind w:firstLine="480" w:firstLineChars="200"/>
              <w:jc w:val="left"/>
              <w:rPr>
                <w:rFonts w:hint="default" w:ascii="Times New Roman" w:hAnsi="Times New Roman" w:eastAsia="宋体" w:cs="Times New Roman"/>
                <w:sz w:val="24"/>
                <w:szCs w:val="24"/>
                <w:highlight w:val="none"/>
                <w:u w:val="none" w:color="auto"/>
                <w:lang w:val="en-US" w:eastAsia="zh-CN"/>
              </w:rPr>
            </w:pPr>
            <w:r>
              <w:rPr>
                <w:rFonts w:hint="default" w:ascii="Times New Roman" w:hAnsi="Times New Roman" w:eastAsia="宋体" w:cs="Times New Roman"/>
                <w:sz w:val="24"/>
                <w:szCs w:val="24"/>
                <w:highlight w:val="none"/>
                <w:u w:val="none" w:color="auto"/>
                <w:lang w:val="en-US" w:eastAsia="zh-CN"/>
              </w:rPr>
              <w:t>（3）资源利用上线</w:t>
            </w:r>
          </w:p>
          <w:p w14:paraId="22D598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sz w:val="24"/>
                <w:szCs w:val="24"/>
                <w:highlight w:val="none"/>
                <w:u w:val="none" w:color="auto"/>
                <w:lang w:val="en-US" w:eastAsia="zh-CN"/>
              </w:rPr>
            </w:pPr>
            <w:r>
              <w:rPr>
                <w:rFonts w:hint="default" w:ascii="Times New Roman" w:hAnsi="Times New Roman" w:eastAsia="宋体" w:cs="Times New Roman"/>
                <w:sz w:val="24"/>
                <w:szCs w:val="24"/>
                <w:highlight w:val="none"/>
                <w:u w:val="none" w:color="auto"/>
                <w:lang w:val="en-US" w:eastAsia="zh-CN"/>
              </w:rPr>
              <w:t>资源利用上线是各地区能源、水、土地等资源消耗不得突破的</w:t>
            </w:r>
            <w:r>
              <w:rPr>
                <w:rFonts w:hint="eastAsia" w:cs="Times New Roman"/>
                <w:sz w:val="24"/>
                <w:szCs w:val="24"/>
                <w:highlight w:val="none"/>
                <w:u w:val="none" w:color="auto"/>
                <w:lang w:val="en-US" w:eastAsia="zh-CN"/>
              </w:rPr>
              <w:t>“</w:t>
            </w:r>
            <w:r>
              <w:rPr>
                <w:rFonts w:hint="default" w:ascii="Times New Roman" w:hAnsi="Times New Roman" w:eastAsia="宋体" w:cs="Times New Roman"/>
                <w:sz w:val="24"/>
                <w:szCs w:val="24"/>
                <w:highlight w:val="none"/>
                <w:u w:val="none" w:color="auto"/>
                <w:lang w:val="en-US" w:eastAsia="zh-CN"/>
              </w:rPr>
              <w:t>天花板</w:t>
            </w:r>
            <w:r>
              <w:rPr>
                <w:rFonts w:hint="eastAsia" w:cs="Times New Roman"/>
                <w:sz w:val="24"/>
                <w:szCs w:val="24"/>
                <w:highlight w:val="none"/>
                <w:u w:val="none" w:color="auto"/>
                <w:lang w:val="en-US" w:eastAsia="zh-CN"/>
              </w:rPr>
              <w:t>”</w:t>
            </w:r>
            <w:r>
              <w:rPr>
                <w:rFonts w:hint="default" w:ascii="Times New Roman" w:hAnsi="Times New Roman" w:eastAsia="宋体" w:cs="Times New Roman"/>
                <w:sz w:val="24"/>
                <w:szCs w:val="24"/>
                <w:highlight w:val="none"/>
                <w:u w:val="none" w:color="auto"/>
                <w:lang w:val="en-US" w:eastAsia="zh-CN"/>
              </w:rPr>
              <w:t>。本项目为</w:t>
            </w:r>
            <w:r>
              <w:rPr>
                <w:rFonts w:hint="eastAsia" w:cs="Times New Roman"/>
                <w:sz w:val="24"/>
                <w:szCs w:val="24"/>
                <w:highlight w:val="none"/>
                <w:u w:val="none" w:color="auto"/>
                <w:lang w:val="en-US" w:eastAsia="zh-CN"/>
              </w:rPr>
              <w:t>商品混凝土生产</w:t>
            </w:r>
            <w:r>
              <w:rPr>
                <w:rFonts w:hint="eastAsia" w:ascii="Times New Roman" w:hAnsi="Times New Roman" w:eastAsia="宋体" w:cs="Times New Roman"/>
                <w:sz w:val="24"/>
                <w:szCs w:val="24"/>
                <w:highlight w:val="none"/>
                <w:u w:val="none" w:color="auto"/>
                <w:lang w:val="en-US" w:eastAsia="zh-CN"/>
              </w:rPr>
              <w:t>项目</w:t>
            </w:r>
            <w:r>
              <w:rPr>
                <w:rFonts w:hint="default" w:ascii="Times New Roman" w:hAnsi="Times New Roman" w:eastAsia="宋体" w:cs="Times New Roman"/>
                <w:sz w:val="24"/>
                <w:szCs w:val="24"/>
                <w:highlight w:val="none"/>
                <w:u w:val="none" w:color="auto"/>
                <w:lang w:val="en-US" w:eastAsia="zh-CN"/>
              </w:rPr>
              <w:t>，项目资源消耗量对区域资源利用总量占比很小，不会突破区域资源利用上线；本项目</w:t>
            </w:r>
            <w:r>
              <w:rPr>
                <w:rFonts w:hint="eastAsia" w:cs="Times New Roman"/>
                <w:sz w:val="24"/>
                <w:szCs w:val="24"/>
                <w:highlight w:val="none"/>
                <w:u w:val="none" w:color="auto"/>
                <w:lang w:val="en-US" w:eastAsia="zh-CN"/>
              </w:rPr>
              <w:t>已取得临时</w:t>
            </w:r>
            <w:r>
              <w:rPr>
                <w:rFonts w:hint="eastAsia" w:ascii="Times New Roman" w:hAnsi="Times New Roman" w:eastAsia="宋体" w:cs="Times New Roman"/>
                <w:sz w:val="24"/>
                <w:szCs w:val="24"/>
                <w:highlight w:val="none"/>
                <w:u w:val="none" w:color="auto"/>
                <w:lang w:val="en-US" w:eastAsia="zh-CN"/>
              </w:rPr>
              <w:t>用地</w:t>
            </w:r>
            <w:r>
              <w:rPr>
                <w:rFonts w:hint="eastAsia" w:cs="Times New Roman"/>
                <w:sz w:val="24"/>
                <w:szCs w:val="24"/>
                <w:highlight w:val="none"/>
                <w:u w:val="none" w:color="auto"/>
                <w:lang w:val="en-US" w:eastAsia="zh-CN"/>
              </w:rPr>
              <w:t>手续</w:t>
            </w:r>
            <w:r>
              <w:rPr>
                <w:rFonts w:hint="default" w:ascii="Times New Roman" w:hAnsi="Times New Roman" w:eastAsia="宋体" w:cs="Times New Roman"/>
                <w:sz w:val="24"/>
                <w:szCs w:val="24"/>
                <w:highlight w:val="none"/>
                <w:u w:val="none" w:color="auto"/>
                <w:lang w:val="en-US" w:eastAsia="zh-CN"/>
              </w:rPr>
              <w:t>，</w:t>
            </w:r>
            <w:r>
              <w:rPr>
                <w:rFonts w:hint="eastAsia" w:ascii="Times New Roman" w:hAnsi="Times New Roman" w:eastAsia="宋体" w:cs="Times New Roman"/>
                <w:color w:val="auto"/>
                <w:kern w:val="0"/>
                <w:sz w:val="24"/>
                <w:szCs w:val="24"/>
                <w:highlight w:val="none"/>
                <w:lang w:val="en-US" w:eastAsia="zh-CN"/>
              </w:rPr>
              <w:t>项目建设土地不涉及基本农田</w:t>
            </w:r>
            <w:r>
              <w:rPr>
                <w:rFonts w:hint="default" w:ascii="Times New Roman" w:hAnsi="Times New Roman" w:eastAsia="宋体" w:cs="Times New Roman"/>
                <w:sz w:val="24"/>
                <w:szCs w:val="24"/>
                <w:highlight w:val="none"/>
                <w:u w:val="none" w:color="auto"/>
                <w:lang w:val="en-US" w:eastAsia="zh-CN"/>
              </w:rPr>
              <w:t>，土地资源消耗符合要求。项目总体上不会突破资源利用上线。</w:t>
            </w:r>
            <w:r>
              <w:rPr>
                <w:rFonts w:hint="default"/>
                <w:color w:val="auto"/>
                <w:sz w:val="24"/>
                <w:szCs w:val="24"/>
                <w:highlight w:val="none"/>
                <w:u w:val="none" w:color="auto"/>
              </w:rPr>
              <w:t>项目建成运行后通过内部管理、设备选择、原辅材料的选用和管理、污染治理等多方面采取可行的防治措施，以“节能、降耗、减污”为目标，有效的控制污染，</w:t>
            </w:r>
            <w:r>
              <w:rPr>
                <w:rFonts w:hint="default" w:ascii="Times New Roman" w:hAnsi="Times New Roman" w:eastAsia="宋体" w:cs="Times New Roman"/>
                <w:sz w:val="24"/>
                <w:szCs w:val="24"/>
                <w:highlight w:val="none"/>
                <w:u w:val="none" w:color="auto"/>
                <w:lang w:val="en-US" w:eastAsia="zh-CN"/>
              </w:rPr>
              <w:t>最大限度地减少物耗、能耗。符合资源利用上线要求。</w:t>
            </w:r>
          </w:p>
          <w:p w14:paraId="54D34CAF">
            <w:pPr>
              <w:autoSpaceDE w:val="0"/>
              <w:autoSpaceDN w:val="0"/>
              <w:adjustRightInd w:val="0"/>
              <w:snapToGrid w:val="0"/>
              <w:spacing w:line="360" w:lineRule="auto"/>
              <w:ind w:firstLine="480" w:firstLineChars="200"/>
              <w:jc w:val="left"/>
              <w:rPr>
                <w:rFonts w:hint="default" w:ascii="Times New Roman" w:hAnsi="Times New Roman" w:eastAsia="宋体" w:cs="Times New Roman"/>
                <w:sz w:val="24"/>
                <w:szCs w:val="24"/>
                <w:highlight w:val="none"/>
                <w:u w:val="none" w:color="auto"/>
                <w:lang w:val="en-US" w:eastAsia="zh-CN"/>
              </w:rPr>
            </w:pPr>
            <w:r>
              <w:rPr>
                <w:rFonts w:hint="default" w:ascii="Times New Roman" w:hAnsi="Times New Roman" w:eastAsia="宋体" w:cs="Times New Roman"/>
                <w:sz w:val="24"/>
                <w:szCs w:val="24"/>
                <w:highlight w:val="none"/>
                <w:u w:val="none" w:color="auto"/>
                <w:lang w:val="en-US" w:eastAsia="zh-CN"/>
              </w:rPr>
              <w:t>（4）</w:t>
            </w:r>
            <w:r>
              <w:rPr>
                <w:rFonts w:hint="eastAsia" w:cs="Times New Roman"/>
                <w:sz w:val="24"/>
                <w:szCs w:val="24"/>
                <w:highlight w:val="none"/>
                <w:u w:val="none" w:color="auto"/>
                <w:lang w:val="en-US" w:eastAsia="zh-CN"/>
              </w:rPr>
              <w:t>生态环境准入清单</w:t>
            </w:r>
          </w:p>
          <w:p w14:paraId="41EB0D88">
            <w:pPr>
              <w:numPr>
                <w:ilvl w:val="0"/>
                <w:numId w:val="0"/>
              </w:numPr>
              <w:autoSpaceDE w:val="0"/>
              <w:autoSpaceDN w:val="0"/>
              <w:adjustRightInd w:val="0"/>
              <w:snapToGrid w:val="0"/>
              <w:spacing w:line="360" w:lineRule="auto"/>
              <w:ind w:firstLine="480" w:firstLineChars="200"/>
              <w:jc w:val="both"/>
              <w:rPr>
                <w:rFonts w:hint="default" w:ascii="Times New Roman" w:hAnsi="Times New Roman" w:eastAsia="宋体" w:cs="Times New Roman"/>
                <w:b w:val="0"/>
                <w:bCs w:val="0"/>
                <w:color w:val="auto"/>
                <w:kern w:val="0"/>
                <w:sz w:val="24"/>
                <w:szCs w:val="24"/>
                <w:highlight w:val="none"/>
                <w:u w:val="none" w:color="auto"/>
                <w:lang w:eastAsia="zh-CN"/>
              </w:rPr>
            </w:pPr>
            <w:r>
              <w:rPr>
                <w:rFonts w:hint="default" w:ascii="Times New Roman" w:hAnsi="Times New Roman" w:eastAsia="宋体" w:cs="Times New Roman"/>
                <w:b w:val="0"/>
                <w:bCs w:val="0"/>
                <w:color w:val="auto"/>
                <w:kern w:val="0"/>
                <w:sz w:val="24"/>
                <w:szCs w:val="24"/>
                <w:highlight w:val="none"/>
                <w:u w:val="none" w:color="auto"/>
                <w:lang w:eastAsia="zh-CN"/>
              </w:rPr>
              <w:t>①与吉林省生态环境准入清单相符性</w:t>
            </w:r>
          </w:p>
          <w:p w14:paraId="4D560767">
            <w:pPr>
              <w:pStyle w:val="8"/>
              <w:spacing w:line="360" w:lineRule="auto"/>
              <w:ind w:firstLine="480" w:firstLineChars="200"/>
              <w:jc w:val="both"/>
              <w:rPr>
                <w:rFonts w:hint="default" w:ascii="Times New Roman" w:hAnsi="Times New Roman" w:eastAsia="宋体" w:cs="Times New Roman"/>
                <w:sz w:val="24"/>
                <w:szCs w:val="24"/>
                <w:highlight w:val="cyan"/>
                <w:u w:val="none" w:color="auto"/>
                <w:lang w:val="en-US" w:eastAsia="zh-CN"/>
              </w:rPr>
            </w:pPr>
            <w:r>
              <w:rPr>
                <w:rFonts w:hint="eastAsia"/>
                <w:b w:val="0"/>
                <w:bCs/>
                <w:color w:val="auto"/>
                <w:sz w:val="24"/>
                <w:highlight w:val="none"/>
                <w:u w:val="none" w:color="auto"/>
                <w:lang w:val="en-US" w:eastAsia="zh-CN"/>
              </w:rPr>
              <w:t>根据吉林省生态环境厅关于印发《吉林省生态环境准入清单》的函（吉环函[</w:t>
            </w:r>
            <w:r>
              <w:rPr>
                <w:rFonts w:hint="default" w:ascii="Times New Roman" w:hAnsi="Times New Roman" w:cs="Times New Roman"/>
                <w:b w:val="0"/>
                <w:bCs/>
                <w:color w:val="auto"/>
                <w:sz w:val="24"/>
                <w:highlight w:val="none"/>
                <w:u w:val="none" w:color="auto"/>
                <w:lang w:val="en-US" w:eastAsia="zh-CN"/>
              </w:rPr>
              <w:t>2024]158号</w:t>
            </w:r>
            <w:r>
              <w:rPr>
                <w:rFonts w:hint="eastAsia"/>
                <w:b w:val="0"/>
                <w:bCs/>
                <w:color w:val="auto"/>
                <w:sz w:val="24"/>
                <w:highlight w:val="none"/>
                <w:u w:val="none" w:color="auto"/>
                <w:lang w:val="en-US" w:eastAsia="zh-CN"/>
              </w:rPr>
              <w:t>）和</w:t>
            </w:r>
            <w:r>
              <w:rPr>
                <w:rFonts w:hint="default" w:ascii="Times New Roman" w:hAnsi="Times New Roman" w:eastAsia="宋体" w:cs="Times New Roman"/>
                <w:b w:val="0"/>
                <w:bCs w:val="0"/>
                <w:color w:val="auto"/>
                <w:kern w:val="0"/>
                <w:sz w:val="24"/>
                <w:szCs w:val="24"/>
                <w:highlight w:val="none"/>
                <w:u w:val="none" w:color="auto"/>
                <w:lang w:eastAsia="zh-CN"/>
              </w:rPr>
              <w:t>《关于加强生态环境分区管控的若干措施》</w:t>
            </w:r>
            <w:r>
              <w:rPr>
                <w:rFonts w:hint="eastAsia" w:ascii="Times New Roman" w:hAnsi="Times New Roman" w:eastAsia="宋体" w:cs="Times New Roman"/>
                <w:b w:val="0"/>
                <w:bCs w:val="0"/>
                <w:color w:val="auto"/>
                <w:kern w:val="0"/>
                <w:sz w:val="24"/>
                <w:szCs w:val="24"/>
                <w:highlight w:val="none"/>
                <w:u w:val="none" w:color="auto"/>
                <w:lang w:eastAsia="zh-CN"/>
              </w:rPr>
              <w:t>（</w:t>
            </w:r>
            <w:r>
              <w:rPr>
                <w:rFonts w:hint="default" w:ascii="Times New Roman" w:hAnsi="Times New Roman" w:eastAsia="宋体" w:cs="Times New Roman"/>
                <w:b w:val="0"/>
                <w:bCs w:val="0"/>
                <w:color w:val="auto"/>
                <w:kern w:val="0"/>
                <w:sz w:val="24"/>
                <w:szCs w:val="24"/>
                <w:highlight w:val="none"/>
                <w:u w:val="none" w:color="auto"/>
                <w:lang w:eastAsia="zh-CN"/>
              </w:rPr>
              <w:t>吉办发[2024]12号</w:t>
            </w:r>
            <w:r>
              <w:rPr>
                <w:rFonts w:hint="eastAsia" w:ascii="Times New Roman" w:hAnsi="Times New Roman" w:eastAsia="宋体" w:cs="Times New Roman"/>
                <w:b w:val="0"/>
                <w:bCs w:val="0"/>
                <w:color w:val="auto"/>
                <w:kern w:val="0"/>
                <w:sz w:val="24"/>
                <w:szCs w:val="24"/>
                <w:highlight w:val="none"/>
                <w:u w:val="none" w:color="auto"/>
                <w:lang w:eastAsia="zh-CN"/>
              </w:rPr>
              <w:t>）</w:t>
            </w:r>
            <w:r>
              <w:rPr>
                <w:rFonts w:hint="default" w:ascii="Times New Roman" w:hAnsi="Times New Roman" w:eastAsia="宋体" w:cs="Times New Roman"/>
                <w:b w:val="0"/>
                <w:bCs w:val="0"/>
                <w:color w:val="auto"/>
                <w:kern w:val="0"/>
                <w:sz w:val="24"/>
                <w:szCs w:val="24"/>
                <w:highlight w:val="none"/>
                <w:u w:val="none" w:color="auto"/>
                <w:lang w:eastAsia="zh-CN"/>
              </w:rPr>
              <w:t>，本项目与吉林省总体准入要求相符性分析如下：</w:t>
            </w:r>
          </w:p>
          <w:p w14:paraId="13EAB0CD">
            <w:pPr>
              <w:pStyle w:val="72"/>
              <w:numPr>
                <w:ilvl w:val="0"/>
                <w:numId w:val="0"/>
              </w:numPr>
              <w:bidi w:val="0"/>
              <w:ind w:leftChars="0"/>
              <w:jc w:val="center"/>
              <w:rPr>
                <w:rFonts w:hint="default"/>
                <w:color w:val="auto"/>
                <w:highlight w:val="cyan"/>
                <w:u w:val="none" w:color="auto"/>
              </w:rPr>
            </w:pPr>
            <w:r>
              <w:rPr>
                <w:rFonts w:hint="default" w:ascii="Times New Roman" w:hAnsi="Times New Roman" w:eastAsia="宋体" w:cs="Times New Roman"/>
                <w:b/>
                <w:color w:val="auto"/>
                <w:sz w:val="24"/>
                <w:szCs w:val="24"/>
                <w:highlight w:val="none"/>
                <w:u w:val="none" w:color="auto"/>
              </w:rPr>
              <w:t>表</w:t>
            </w:r>
            <w:r>
              <w:rPr>
                <w:rFonts w:hint="default" w:ascii="Times New Roman" w:hAnsi="Times New Roman" w:eastAsia="宋体" w:cs="Times New Roman"/>
                <w:b/>
                <w:color w:val="auto"/>
                <w:sz w:val="24"/>
                <w:szCs w:val="24"/>
                <w:highlight w:val="none"/>
                <w:u w:val="none" w:color="auto"/>
                <w:lang w:val="en-US" w:eastAsia="zh-CN"/>
              </w:rPr>
              <w:t>1-1  吉</w:t>
            </w:r>
            <w:r>
              <w:rPr>
                <w:rFonts w:hint="default" w:ascii="Times New Roman" w:hAnsi="Times New Roman" w:eastAsia="宋体" w:cs="Times New Roman"/>
                <w:b/>
                <w:color w:val="auto"/>
                <w:sz w:val="24"/>
                <w:szCs w:val="24"/>
                <w:highlight w:val="none"/>
                <w:u w:val="none" w:color="auto"/>
                <w:lang w:eastAsia="zh-CN"/>
              </w:rPr>
              <w:t>林</w:t>
            </w:r>
            <w:r>
              <w:rPr>
                <w:rFonts w:hint="default" w:ascii="Times New Roman" w:hAnsi="Times New Roman" w:eastAsia="宋体" w:cs="Times New Roman"/>
                <w:b/>
                <w:color w:val="auto"/>
                <w:sz w:val="24"/>
                <w:szCs w:val="24"/>
                <w:highlight w:val="none"/>
                <w:u w:val="none" w:color="auto"/>
              </w:rPr>
              <w:t>省总体准入要求</w:t>
            </w:r>
          </w:p>
          <w:tbl>
            <w:tblPr>
              <w:tblStyle w:val="25"/>
              <w:tblW w:w="4997"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656"/>
              <w:gridCol w:w="4498"/>
              <w:gridCol w:w="1876"/>
              <w:gridCol w:w="630"/>
            </w:tblGrid>
            <w:tr w14:paraId="4C4F64C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29" w:type="pct"/>
                  <w:tcBorders>
                    <w:tl2br w:val="nil"/>
                    <w:tr2bl w:val="nil"/>
                  </w:tcBorders>
                  <w:noWrap w:val="0"/>
                  <w:vAlign w:val="center"/>
                </w:tcPr>
                <w:p w14:paraId="5D6E1585">
                  <w:pPr>
                    <w:pStyle w:val="49"/>
                    <w:keepNext w:val="0"/>
                    <w:keepLines w:val="0"/>
                    <w:pageBreakBefore w:val="0"/>
                    <w:widowControl/>
                    <w:kinsoku/>
                    <w:wordWrap/>
                    <w:overflowPunct/>
                    <w:topLinePunct w:val="0"/>
                    <w:autoSpaceDE/>
                    <w:autoSpaceDN/>
                    <w:bidi w:val="0"/>
                    <w:adjustRightInd/>
                    <w:snapToGrid/>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管控领域</w:t>
                  </w:r>
                </w:p>
              </w:tc>
              <w:tc>
                <w:tcPr>
                  <w:tcW w:w="2935" w:type="pct"/>
                  <w:tcBorders>
                    <w:tl2br w:val="nil"/>
                    <w:tr2bl w:val="nil"/>
                  </w:tcBorders>
                  <w:noWrap w:val="0"/>
                  <w:vAlign w:val="center"/>
                </w:tcPr>
                <w:p w14:paraId="494695C8">
                  <w:pPr>
                    <w:pStyle w:val="49"/>
                    <w:keepNext w:val="0"/>
                    <w:keepLines w:val="0"/>
                    <w:pageBreakBefore w:val="0"/>
                    <w:kinsoku/>
                    <w:wordWrap/>
                    <w:overflowPunct/>
                    <w:topLinePunct w:val="0"/>
                    <w:autoSpaceDE/>
                    <w:autoSpaceDN/>
                    <w:bidi w:val="0"/>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环境准入及管控要求</w:t>
                  </w:r>
                </w:p>
              </w:tc>
              <w:tc>
                <w:tcPr>
                  <w:tcW w:w="1224" w:type="pct"/>
                  <w:tcBorders>
                    <w:tl2br w:val="nil"/>
                    <w:tr2bl w:val="nil"/>
                  </w:tcBorders>
                  <w:noWrap w:val="0"/>
                  <w:vAlign w:val="center"/>
                </w:tcPr>
                <w:p w14:paraId="3D894696">
                  <w:pPr>
                    <w:pStyle w:val="49"/>
                    <w:keepNext w:val="0"/>
                    <w:keepLines w:val="0"/>
                    <w:pageBreakBefore w:val="0"/>
                    <w:kinsoku/>
                    <w:wordWrap/>
                    <w:overflowPunct/>
                    <w:topLinePunct w:val="0"/>
                    <w:autoSpaceDE/>
                    <w:autoSpaceDN/>
                    <w:bidi w:val="0"/>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lang w:eastAsia="zh-CN"/>
                    </w:rPr>
                  </w:pPr>
                  <w:r>
                    <w:rPr>
                      <w:rFonts w:hint="default" w:ascii="Times New Roman" w:hAnsi="Times New Roman" w:eastAsia="宋体" w:cs="Times New Roman"/>
                      <w:b w:val="0"/>
                      <w:bCs w:val="0"/>
                      <w:color w:val="auto"/>
                      <w:sz w:val="21"/>
                      <w:szCs w:val="21"/>
                      <w:highlight w:val="none"/>
                      <w:u w:val="none" w:color="auto"/>
                      <w:lang w:eastAsia="zh-CN"/>
                    </w:rPr>
                    <w:t>本项目</w:t>
                  </w:r>
                </w:p>
              </w:tc>
              <w:tc>
                <w:tcPr>
                  <w:tcW w:w="411" w:type="pct"/>
                  <w:tcBorders>
                    <w:tl2br w:val="nil"/>
                    <w:tr2bl w:val="nil"/>
                  </w:tcBorders>
                  <w:noWrap w:val="0"/>
                  <w:vAlign w:val="center"/>
                </w:tcPr>
                <w:p w14:paraId="1146E21E">
                  <w:pPr>
                    <w:pStyle w:val="49"/>
                    <w:keepNext w:val="0"/>
                    <w:keepLines w:val="0"/>
                    <w:pageBreakBefore w:val="0"/>
                    <w:widowControl/>
                    <w:kinsoku/>
                    <w:wordWrap/>
                    <w:overflowPunct/>
                    <w:topLinePunct w:val="0"/>
                    <w:autoSpaceDE/>
                    <w:autoSpaceDN/>
                    <w:bidi w:val="0"/>
                    <w:adjustRightInd/>
                    <w:snapToGrid/>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符合性</w:t>
                  </w:r>
                </w:p>
              </w:tc>
            </w:tr>
            <w:tr w14:paraId="2E5D7DF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29" w:type="pct"/>
                  <w:vMerge w:val="restart"/>
                  <w:tcBorders>
                    <w:tl2br w:val="nil"/>
                    <w:tr2bl w:val="nil"/>
                  </w:tcBorders>
                  <w:noWrap w:val="0"/>
                  <w:vAlign w:val="center"/>
                </w:tcPr>
                <w:p w14:paraId="7413FF4B">
                  <w:pPr>
                    <w:pStyle w:val="49"/>
                    <w:keepNext w:val="0"/>
                    <w:keepLines w:val="0"/>
                    <w:pageBreakBefore w:val="0"/>
                    <w:widowControl/>
                    <w:kinsoku/>
                    <w:wordWrap/>
                    <w:overflowPunct/>
                    <w:topLinePunct w:val="0"/>
                    <w:autoSpaceDE/>
                    <w:autoSpaceDN/>
                    <w:bidi w:val="0"/>
                    <w:adjustRightInd/>
                    <w:snapToGrid/>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空间布局约束</w:t>
                  </w:r>
                </w:p>
              </w:tc>
              <w:tc>
                <w:tcPr>
                  <w:tcW w:w="2935" w:type="pct"/>
                  <w:tcBorders>
                    <w:tl2br w:val="nil"/>
                    <w:tr2bl w:val="nil"/>
                  </w:tcBorders>
                  <w:noWrap w:val="0"/>
                  <w:vAlign w:val="center"/>
                </w:tcPr>
                <w:p w14:paraId="3C348655">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禁止新建、扩建《产业结构调整指导</w:t>
                  </w:r>
                  <w:r>
                    <w:rPr>
                      <w:rFonts w:hint="default" w:ascii="Times New Roman" w:hAnsi="Times New Roman" w:eastAsia="宋体" w:cs="Times New Roman"/>
                      <w:b w:val="0"/>
                      <w:bCs w:val="0"/>
                      <w:color w:val="auto"/>
                      <w:sz w:val="21"/>
                      <w:szCs w:val="21"/>
                      <w:highlight w:val="none"/>
                      <w:u w:val="none" w:color="auto"/>
                      <w:lang w:eastAsia="zh-CN"/>
                    </w:rPr>
                    <w:t>目</w:t>
                  </w:r>
                  <w:r>
                    <w:rPr>
                      <w:rFonts w:hint="default" w:ascii="Times New Roman" w:hAnsi="Times New Roman" w:eastAsia="宋体" w:cs="Times New Roman"/>
                      <w:b w:val="0"/>
                      <w:bCs w:val="0"/>
                      <w:color w:val="auto"/>
                      <w:sz w:val="21"/>
                      <w:szCs w:val="21"/>
                      <w:highlight w:val="none"/>
                      <w:u w:val="none" w:color="auto"/>
                    </w:rPr>
                    <w:t>录》（现行）明确的淘汰类项目和引入《市场准入负面清单》（现行）禁止准入类事项，引入项目应符合园区规划、规划环境影响评价和区域产业准入负面清单要求。</w:t>
                  </w:r>
                </w:p>
                <w:p w14:paraId="07A47FAE">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列入《产业结构调整指导目录》淘汰类的现状企业，应制定调整计划。生态环境治理措施不符合现行生态环境保护要求、资源能源消耗高、涉及大量排放区域超标污染物的现有企业，应制定整治计划。在调整、整治过渡期内，应严格控制相关企业生产规模，禁止新增产生环境污染的产能和产品。</w:t>
                  </w:r>
                </w:p>
              </w:tc>
              <w:tc>
                <w:tcPr>
                  <w:tcW w:w="1224" w:type="pct"/>
                  <w:tcBorders>
                    <w:tl2br w:val="nil"/>
                    <w:tr2bl w:val="nil"/>
                  </w:tcBorders>
                  <w:noWrap w:val="0"/>
                  <w:vAlign w:val="center"/>
                </w:tcPr>
                <w:p w14:paraId="307C68CE">
                  <w:pPr>
                    <w:pStyle w:val="49"/>
                    <w:keepNext w:val="0"/>
                    <w:keepLines w:val="0"/>
                    <w:pageBreakBefore w:val="0"/>
                    <w:kinsoku/>
                    <w:wordWrap/>
                    <w:overflowPunct/>
                    <w:topLinePunct w:val="0"/>
                    <w:autoSpaceDE/>
                    <w:autoSpaceDN/>
                    <w:bidi w:val="0"/>
                    <w:spacing w:line="240" w:lineRule="auto"/>
                    <w:ind w:left="-63" w:leftChars="-30" w:right="-63" w:rightChars="-30"/>
                    <w:jc w:val="both"/>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lang w:eastAsia="zh-CN"/>
                    </w:rPr>
                    <w:t>本项目不属于</w:t>
                  </w:r>
                  <w:r>
                    <w:rPr>
                      <w:rFonts w:hint="eastAsia" w:ascii="Times New Roman" w:eastAsia="宋体" w:cs="Times New Roman"/>
                      <w:b w:val="0"/>
                      <w:bCs w:val="0"/>
                      <w:color w:val="auto"/>
                      <w:sz w:val="21"/>
                      <w:szCs w:val="21"/>
                      <w:highlight w:val="none"/>
                      <w:u w:val="none" w:color="auto"/>
                      <w:lang w:val="en-US" w:eastAsia="zh-CN"/>
                    </w:rPr>
                    <w:t>现行《产业结构调整指导目录》中</w:t>
                  </w:r>
                  <w:r>
                    <w:rPr>
                      <w:rFonts w:hint="default" w:ascii="Times New Roman" w:hAnsi="Times New Roman" w:eastAsia="宋体" w:cs="Times New Roman"/>
                      <w:b w:val="0"/>
                      <w:bCs w:val="0"/>
                      <w:color w:val="auto"/>
                      <w:sz w:val="21"/>
                      <w:szCs w:val="21"/>
                      <w:highlight w:val="none"/>
                      <w:u w:val="none" w:color="auto"/>
                      <w:lang w:eastAsia="zh-CN"/>
                    </w:rPr>
                    <w:t>“鼓励类”、“限制类”和“淘汰类”范围内，</w:t>
                  </w:r>
                  <w:r>
                    <w:rPr>
                      <w:rFonts w:hint="eastAsia" w:ascii="Times New Roman" w:eastAsia="宋体" w:cs="Times New Roman"/>
                      <w:b w:val="0"/>
                      <w:bCs w:val="0"/>
                      <w:color w:val="auto"/>
                      <w:sz w:val="21"/>
                      <w:szCs w:val="21"/>
                      <w:highlight w:val="none"/>
                      <w:u w:val="none" w:color="auto"/>
                      <w:lang w:val="en-US" w:eastAsia="zh-CN"/>
                    </w:rPr>
                    <w:t>属于</w:t>
                  </w:r>
                  <w:r>
                    <w:rPr>
                      <w:rFonts w:hint="default" w:ascii="Times New Roman" w:hAnsi="Times New Roman" w:eastAsia="宋体" w:cs="Times New Roman"/>
                      <w:b w:val="0"/>
                      <w:bCs w:val="0"/>
                      <w:color w:val="auto"/>
                      <w:sz w:val="21"/>
                      <w:szCs w:val="21"/>
                      <w:highlight w:val="none"/>
                      <w:u w:val="none" w:color="auto"/>
                      <w:lang w:eastAsia="zh-CN"/>
                    </w:rPr>
                    <w:t>允许类</w:t>
                  </w:r>
                  <w:r>
                    <w:rPr>
                      <w:rFonts w:hint="eastAsia" w:ascii="Times New Roman" w:eastAsia="宋体" w:cs="Times New Roman"/>
                      <w:b w:val="0"/>
                      <w:bCs w:val="0"/>
                      <w:color w:val="auto"/>
                      <w:sz w:val="21"/>
                      <w:szCs w:val="21"/>
                      <w:highlight w:val="none"/>
                      <w:u w:val="none" w:color="auto"/>
                      <w:lang w:eastAsia="zh-CN"/>
                    </w:rPr>
                    <w:t>建设项目</w:t>
                  </w:r>
                  <w:r>
                    <w:rPr>
                      <w:rFonts w:hint="default" w:ascii="Times New Roman" w:hAnsi="Times New Roman" w:eastAsia="宋体" w:cs="Times New Roman"/>
                      <w:b w:val="0"/>
                      <w:bCs w:val="0"/>
                      <w:color w:val="auto"/>
                      <w:sz w:val="21"/>
                      <w:szCs w:val="21"/>
                      <w:highlight w:val="none"/>
                      <w:u w:val="none" w:color="auto"/>
                      <w:lang w:eastAsia="zh-CN"/>
                    </w:rPr>
                    <w:t>，不属于</w:t>
                  </w:r>
                  <w:r>
                    <w:rPr>
                      <w:rFonts w:hint="eastAsia" w:ascii="Times New Roman" w:eastAsia="宋体" w:cs="Times New Roman"/>
                      <w:b w:val="0"/>
                      <w:bCs w:val="0"/>
                      <w:color w:val="auto"/>
                      <w:sz w:val="21"/>
                      <w:szCs w:val="21"/>
                      <w:highlight w:val="none"/>
                      <w:u w:val="none" w:color="auto"/>
                      <w:lang w:val="en-US" w:eastAsia="zh-CN"/>
                    </w:rPr>
                    <w:t>现行</w:t>
                  </w:r>
                  <w:r>
                    <w:rPr>
                      <w:rFonts w:hint="default" w:ascii="Times New Roman" w:hAnsi="Times New Roman" w:eastAsia="宋体" w:cs="Times New Roman"/>
                      <w:b w:val="0"/>
                      <w:bCs w:val="0"/>
                      <w:color w:val="auto"/>
                      <w:sz w:val="21"/>
                      <w:szCs w:val="21"/>
                      <w:highlight w:val="none"/>
                      <w:u w:val="none" w:color="auto"/>
                      <w:lang w:eastAsia="zh-CN"/>
                    </w:rPr>
                    <w:t>《市场准入负面清单》中禁止准入类事项。</w:t>
                  </w:r>
                </w:p>
              </w:tc>
              <w:tc>
                <w:tcPr>
                  <w:tcW w:w="411" w:type="pct"/>
                  <w:tcBorders>
                    <w:tl2br w:val="nil"/>
                    <w:tr2bl w:val="nil"/>
                  </w:tcBorders>
                  <w:noWrap w:val="0"/>
                  <w:vAlign w:val="center"/>
                </w:tcPr>
                <w:p w14:paraId="57F4EA93">
                  <w:pPr>
                    <w:pStyle w:val="49"/>
                    <w:keepNext w:val="0"/>
                    <w:keepLines w:val="0"/>
                    <w:pageBreakBefore w:val="0"/>
                    <w:widowControl/>
                    <w:kinsoku/>
                    <w:wordWrap/>
                    <w:overflowPunct/>
                    <w:topLinePunct w:val="0"/>
                    <w:autoSpaceDE/>
                    <w:autoSpaceDN/>
                    <w:bidi w:val="0"/>
                    <w:adjustRightInd/>
                    <w:snapToGrid/>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lang w:eastAsia="zh-CN"/>
                    </w:rPr>
                  </w:pPr>
                  <w:r>
                    <w:rPr>
                      <w:rFonts w:hint="default" w:ascii="Times New Roman" w:hAnsi="Times New Roman" w:eastAsia="宋体" w:cs="Times New Roman"/>
                      <w:b w:val="0"/>
                      <w:bCs w:val="0"/>
                      <w:color w:val="auto"/>
                      <w:sz w:val="21"/>
                      <w:szCs w:val="21"/>
                      <w:highlight w:val="none"/>
                      <w:u w:val="none" w:color="auto"/>
                    </w:rPr>
                    <w:t>符合</w:t>
                  </w:r>
                </w:p>
              </w:tc>
            </w:tr>
            <w:tr w14:paraId="028FBBD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29" w:type="pct"/>
                  <w:vMerge w:val="continue"/>
                  <w:tcBorders>
                    <w:tl2br w:val="nil"/>
                    <w:tr2bl w:val="nil"/>
                  </w:tcBorders>
                  <w:noWrap w:val="0"/>
                  <w:vAlign w:val="center"/>
                </w:tcPr>
                <w:p w14:paraId="075C51B2">
                  <w:pPr>
                    <w:pStyle w:val="49"/>
                    <w:keepNext w:val="0"/>
                    <w:keepLines w:val="0"/>
                    <w:pageBreakBefore w:val="0"/>
                    <w:widowControl/>
                    <w:kinsoku/>
                    <w:wordWrap/>
                    <w:overflowPunct/>
                    <w:topLinePunct w:val="0"/>
                    <w:autoSpaceDE/>
                    <w:autoSpaceDN/>
                    <w:bidi w:val="0"/>
                    <w:adjustRightInd/>
                    <w:snapToGrid/>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rPr>
                  </w:pPr>
                </w:p>
              </w:tc>
              <w:tc>
                <w:tcPr>
                  <w:tcW w:w="2935" w:type="pct"/>
                  <w:tcBorders>
                    <w:tl2br w:val="nil"/>
                    <w:tr2bl w:val="nil"/>
                  </w:tcBorders>
                  <w:noWrap w:val="0"/>
                  <w:vAlign w:val="center"/>
                </w:tcPr>
                <w:p w14:paraId="14E671E7">
                  <w:pPr>
                    <w:pStyle w:val="49"/>
                    <w:keepNext w:val="0"/>
                    <w:keepLines w:val="0"/>
                    <w:pageBreakBefore w:val="0"/>
                    <w:kinsoku/>
                    <w:wordWrap/>
                    <w:overflowPunct/>
                    <w:topLinePunct w:val="0"/>
                    <w:autoSpaceDE/>
                    <w:autoSpaceDN/>
                    <w:bidi w:val="0"/>
                    <w:spacing w:line="240" w:lineRule="auto"/>
                    <w:ind w:left="-63" w:leftChars="-30" w:right="-63" w:rightChars="-30"/>
                    <w:jc w:val="both"/>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强化产业政策在产业转移过程中的引导和约束作用，严格控制在生态脆弱或环境敏感地区建设“两高”行业项目。严格高能耗、高物耗、高水耗和产能过剩、低水平重复建设项目，以及涉及危险化学品、重金属和其他具有重大环境风险建设项目的审批和备案。老工业城市和资源型城市在防止污染转移的基础上，应积极承接有利于延伸产业链、提高技术水平、促进资源综合利用、充分吸纳就业的产业，因地制宜发展优势特色产业。</w:t>
                  </w:r>
                </w:p>
                <w:p w14:paraId="2C30F2E0">
                  <w:pPr>
                    <w:pStyle w:val="49"/>
                    <w:keepNext w:val="0"/>
                    <w:keepLines w:val="0"/>
                    <w:pageBreakBefore w:val="0"/>
                    <w:widowControl w:val="0"/>
                    <w:kinsoku/>
                    <w:wordWrap/>
                    <w:overflowPunct/>
                    <w:topLinePunct w:val="0"/>
                    <w:autoSpaceDE/>
                    <w:autoSpaceDN/>
                    <w:bidi w:val="0"/>
                    <w:adjustRightInd w:val="0"/>
                    <w:snapToGrid w:val="0"/>
                    <w:spacing w:line="240" w:lineRule="auto"/>
                    <w:ind w:left="-63" w:leftChars="-30" w:right="-63" w:rightChars="-30"/>
                    <w:jc w:val="both"/>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严格控制钢铁、焦化、电解铝、水泥和平板玻璃等行业新增产能，列入去产能的钢铁企业退出时须一并退出配套的烧结、球团、焦炉、高炉等设备。严控尿素、磷铵、电石、烧碱、聚氯乙烯、纯碱、黄磷等过剩行业新增产能，符合政策要求的先进工艺改造提升项目应实行等量或减量置换。</w:t>
                  </w:r>
                </w:p>
                <w:p w14:paraId="372D15E3">
                  <w:pPr>
                    <w:keepNext w:val="0"/>
                    <w:keepLines w:val="0"/>
                    <w:pageBreakBefore w:val="0"/>
                    <w:widowControl w:val="0"/>
                    <w:kinsoku/>
                    <w:wordWrap/>
                    <w:overflowPunct/>
                    <w:topLinePunct w:val="0"/>
                    <w:autoSpaceDE/>
                    <w:autoSpaceDN/>
                    <w:bidi w:val="0"/>
                    <w:adjustRightInd/>
                    <w:snapToGrid/>
                    <w:spacing w:before="32" w:beforeLines="10" w:after="32" w:afterLines="10"/>
                    <w:ind w:left="-63" w:leftChars="-30" w:right="-63" w:rightChars="-30"/>
                    <w:jc w:val="both"/>
                    <w:textAlignment w:val="auto"/>
                    <w:rPr>
                      <w:rFonts w:hint="default"/>
                      <w:highlight w:val="none"/>
                      <w:u w:val="none" w:color="auto"/>
                    </w:rPr>
                  </w:pPr>
                  <w:r>
                    <w:rPr>
                      <w:rFonts w:hint="default"/>
                      <w:highlight w:val="none"/>
                      <w:u w:val="none" w:color="auto"/>
                    </w:rPr>
                    <w:t>严控新建燃煤锅炉，县级以上城市建成区原则上不再新建每小时35蒸吨以下燃煤锅炉。</w:t>
                  </w:r>
                </w:p>
              </w:tc>
              <w:tc>
                <w:tcPr>
                  <w:tcW w:w="1224" w:type="pct"/>
                  <w:tcBorders>
                    <w:tl2br w:val="nil"/>
                    <w:tr2bl w:val="nil"/>
                  </w:tcBorders>
                  <w:noWrap w:val="0"/>
                  <w:vAlign w:val="center"/>
                </w:tcPr>
                <w:p w14:paraId="190129F2">
                  <w:pPr>
                    <w:pStyle w:val="49"/>
                    <w:keepNext w:val="0"/>
                    <w:keepLines w:val="0"/>
                    <w:pageBreakBefore w:val="0"/>
                    <w:kinsoku/>
                    <w:wordWrap/>
                    <w:overflowPunct/>
                    <w:topLinePunct w:val="0"/>
                    <w:autoSpaceDE/>
                    <w:autoSpaceDN/>
                    <w:bidi w:val="0"/>
                    <w:spacing w:line="240" w:lineRule="auto"/>
                    <w:ind w:left="-63" w:leftChars="-30" w:right="-63" w:rightChars="-30"/>
                    <w:jc w:val="both"/>
                    <w:textAlignment w:val="auto"/>
                    <w:rPr>
                      <w:rFonts w:hint="default" w:ascii="Times New Roman" w:hAnsi="Times New Roman" w:eastAsia="宋体" w:cs="Times New Roman"/>
                      <w:b w:val="0"/>
                      <w:bCs w:val="0"/>
                      <w:color w:val="auto"/>
                      <w:sz w:val="21"/>
                      <w:szCs w:val="21"/>
                      <w:highlight w:val="none"/>
                      <w:u w:val="none" w:color="auto"/>
                      <w:lang w:eastAsia="zh-CN"/>
                    </w:rPr>
                  </w:pPr>
                  <w:r>
                    <w:rPr>
                      <w:rFonts w:hint="default" w:ascii="Times New Roman" w:hAnsi="Times New Roman" w:eastAsia="宋体" w:cs="Times New Roman"/>
                      <w:b w:val="0"/>
                      <w:bCs w:val="0"/>
                      <w:color w:val="auto"/>
                      <w:sz w:val="21"/>
                      <w:szCs w:val="21"/>
                      <w:highlight w:val="none"/>
                      <w:u w:val="none" w:color="auto"/>
                      <w:lang w:eastAsia="zh-CN"/>
                    </w:rPr>
                    <w:t>项目符合产业政策要求，不属于高物耗、高水耗、产能过剩、低水平及重大环境风险建设项目</w:t>
                  </w:r>
                  <w:r>
                    <w:rPr>
                      <w:rFonts w:hint="eastAsia" w:ascii="Times New Roman" w:hAnsi="Times New Roman" w:eastAsia="宋体" w:cs="Times New Roman"/>
                      <w:b w:val="0"/>
                      <w:bCs w:val="0"/>
                      <w:color w:val="auto"/>
                      <w:sz w:val="21"/>
                      <w:szCs w:val="21"/>
                      <w:highlight w:val="none"/>
                      <w:u w:val="none" w:color="auto"/>
                      <w:lang w:eastAsia="zh-CN"/>
                    </w:rPr>
                    <w:t>，不新建燃煤锅炉</w:t>
                  </w:r>
                  <w:r>
                    <w:rPr>
                      <w:rFonts w:hint="default" w:ascii="Times New Roman" w:hAnsi="Times New Roman" w:eastAsia="宋体" w:cs="Times New Roman"/>
                      <w:b w:val="0"/>
                      <w:bCs w:val="0"/>
                      <w:color w:val="auto"/>
                      <w:sz w:val="21"/>
                      <w:szCs w:val="21"/>
                      <w:highlight w:val="none"/>
                      <w:u w:val="none" w:color="auto"/>
                      <w:lang w:eastAsia="zh-CN"/>
                    </w:rPr>
                    <w:t>。</w:t>
                  </w:r>
                </w:p>
              </w:tc>
              <w:tc>
                <w:tcPr>
                  <w:tcW w:w="411" w:type="pct"/>
                  <w:tcBorders>
                    <w:tl2br w:val="nil"/>
                    <w:tr2bl w:val="nil"/>
                  </w:tcBorders>
                  <w:noWrap w:val="0"/>
                  <w:vAlign w:val="center"/>
                </w:tcPr>
                <w:p w14:paraId="22A46A54">
                  <w:pPr>
                    <w:pStyle w:val="49"/>
                    <w:keepNext w:val="0"/>
                    <w:keepLines w:val="0"/>
                    <w:pageBreakBefore w:val="0"/>
                    <w:widowControl/>
                    <w:kinsoku/>
                    <w:wordWrap/>
                    <w:overflowPunct/>
                    <w:topLinePunct w:val="0"/>
                    <w:autoSpaceDE/>
                    <w:autoSpaceDN/>
                    <w:bidi w:val="0"/>
                    <w:adjustRightInd/>
                    <w:snapToGrid/>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符合</w:t>
                  </w:r>
                </w:p>
              </w:tc>
            </w:tr>
            <w:tr w14:paraId="12B1640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c>
                <w:tcPr>
                  <w:tcW w:w="429" w:type="pct"/>
                  <w:vMerge w:val="continue"/>
                  <w:tcBorders>
                    <w:tl2br w:val="nil"/>
                    <w:tr2bl w:val="nil"/>
                  </w:tcBorders>
                  <w:noWrap w:val="0"/>
                  <w:vAlign w:val="center"/>
                </w:tcPr>
                <w:p w14:paraId="0649E426">
                  <w:pPr>
                    <w:pStyle w:val="49"/>
                    <w:keepNext w:val="0"/>
                    <w:keepLines w:val="0"/>
                    <w:pageBreakBefore w:val="0"/>
                    <w:widowControl/>
                    <w:kinsoku/>
                    <w:wordWrap/>
                    <w:overflowPunct/>
                    <w:topLinePunct w:val="0"/>
                    <w:autoSpaceDE/>
                    <w:autoSpaceDN/>
                    <w:bidi w:val="0"/>
                    <w:adjustRightInd/>
                    <w:snapToGrid/>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rPr>
                  </w:pPr>
                </w:p>
              </w:tc>
              <w:tc>
                <w:tcPr>
                  <w:tcW w:w="2935" w:type="pct"/>
                  <w:tcBorders>
                    <w:tl2br w:val="nil"/>
                    <w:tr2bl w:val="nil"/>
                  </w:tcBorders>
                  <w:noWrap w:val="0"/>
                  <w:vAlign w:val="center"/>
                </w:tcPr>
                <w:p w14:paraId="5A0C3F30">
                  <w:pPr>
                    <w:pStyle w:val="49"/>
                    <w:keepNext w:val="0"/>
                    <w:keepLines w:val="0"/>
                    <w:pageBreakBefore w:val="0"/>
                    <w:kinsoku/>
                    <w:wordWrap/>
                    <w:overflowPunct/>
                    <w:topLinePunct w:val="0"/>
                    <w:autoSpaceDE/>
                    <w:autoSpaceDN/>
                    <w:bidi w:val="0"/>
                    <w:spacing w:line="240" w:lineRule="auto"/>
                    <w:ind w:left="-63" w:leftChars="-30" w:right="-63" w:rightChars="-30"/>
                    <w:jc w:val="both"/>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重大项目原则上布局在优化开发区和重点开发区，并符合国土空间总体规划。</w:t>
                  </w:r>
                </w:p>
                <w:p w14:paraId="55FE9488">
                  <w:pPr>
                    <w:pStyle w:val="49"/>
                    <w:keepNext w:val="0"/>
                    <w:keepLines w:val="0"/>
                    <w:pageBreakBefore w:val="0"/>
                    <w:kinsoku/>
                    <w:wordWrap/>
                    <w:overflowPunct/>
                    <w:topLinePunct w:val="0"/>
                    <w:autoSpaceDE/>
                    <w:autoSpaceDN/>
                    <w:bidi w:val="0"/>
                    <w:spacing w:line="240" w:lineRule="auto"/>
                    <w:ind w:left="-63" w:leftChars="-30" w:right="-63" w:rightChars="-30"/>
                    <w:jc w:val="both"/>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化工石化、有色冶炼、制浆造纸等可能引发环境风险的项目，以及涉及石化、化工、工业涂装等重点行业高VOCs排放的建设项目，在符合国家产业政策和清洁生产水平要求、满足污染物排放标准以及污染物排放总量控制指标的前提下，应当在依法设立、基础设施齐全并具备有效规划、规划环境影响评价的产业园区内布设。</w:t>
                  </w:r>
                </w:p>
                <w:p w14:paraId="3D8A27EE">
                  <w:pPr>
                    <w:keepNext w:val="0"/>
                    <w:keepLines w:val="0"/>
                    <w:pageBreakBefore w:val="0"/>
                    <w:widowControl w:val="0"/>
                    <w:kinsoku/>
                    <w:wordWrap/>
                    <w:overflowPunct/>
                    <w:topLinePunct w:val="0"/>
                    <w:autoSpaceDE/>
                    <w:autoSpaceDN/>
                    <w:bidi w:val="0"/>
                    <w:adjustRightInd/>
                    <w:snapToGrid/>
                    <w:spacing w:before="32" w:beforeLines="10" w:after="32" w:afterLines="10"/>
                    <w:ind w:left="-63" w:leftChars="-30" w:right="-63" w:rightChars="-30"/>
                    <w:jc w:val="both"/>
                    <w:textAlignment w:val="auto"/>
                    <w:rPr>
                      <w:rFonts w:hint="default"/>
                      <w:highlight w:val="none"/>
                      <w:u w:val="none" w:color="auto"/>
                    </w:rPr>
                  </w:pPr>
                  <w:r>
                    <w:rPr>
                      <w:rFonts w:hint="default"/>
                      <w:highlight w:val="none"/>
                      <w:u w:val="none" w:color="auto"/>
                    </w:rPr>
                    <w:t>严格落实规划环评及其批复文件环境准入条件，空气质量未达标地区制定更严格的产业准入门槛。</w:t>
                  </w:r>
                </w:p>
              </w:tc>
              <w:tc>
                <w:tcPr>
                  <w:tcW w:w="1224" w:type="pct"/>
                  <w:tcBorders>
                    <w:tl2br w:val="nil"/>
                    <w:tr2bl w:val="nil"/>
                  </w:tcBorders>
                  <w:noWrap w:val="0"/>
                  <w:vAlign w:val="center"/>
                </w:tcPr>
                <w:p w14:paraId="55470EE7">
                  <w:pPr>
                    <w:pStyle w:val="49"/>
                    <w:keepNext w:val="0"/>
                    <w:keepLines w:val="0"/>
                    <w:pageBreakBefore w:val="0"/>
                    <w:kinsoku/>
                    <w:wordWrap/>
                    <w:overflowPunct/>
                    <w:topLinePunct w:val="0"/>
                    <w:autoSpaceDE/>
                    <w:autoSpaceDN/>
                    <w:bidi w:val="0"/>
                    <w:spacing w:line="240" w:lineRule="auto"/>
                    <w:ind w:left="-63" w:leftChars="-30" w:right="-63" w:rightChars="-30"/>
                    <w:jc w:val="both"/>
                    <w:textAlignment w:val="auto"/>
                    <w:rPr>
                      <w:rFonts w:hint="default" w:ascii="Times New Roman" w:hAnsi="Times New Roman" w:eastAsia="宋体" w:cs="Times New Roman"/>
                      <w:b w:val="0"/>
                      <w:bCs w:val="0"/>
                      <w:color w:val="auto"/>
                      <w:sz w:val="21"/>
                      <w:szCs w:val="21"/>
                      <w:highlight w:val="none"/>
                      <w:u w:val="none" w:color="auto"/>
                      <w:lang w:eastAsia="zh-CN"/>
                    </w:rPr>
                  </w:pPr>
                  <w:r>
                    <w:rPr>
                      <w:rFonts w:hint="default" w:ascii="Times New Roman" w:hAnsi="Times New Roman" w:eastAsia="宋体" w:cs="Times New Roman"/>
                      <w:b w:val="0"/>
                      <w:bCs w:val="0"/>
                      <w:color w:val="auto"/>
                      <w:sz w:val="21"/>
                      <w:szCs w:val="21"/>
                      <w:highlight w:val="none"/>
                      <w:u w:val="none" w:color="auto"/>
                      <w:lang w:eastAsia="zh-CN"/>
                    </w:rPr>
                    <w:t>本项目不属于重大项目，</w:t>
                  </w:r>
                  <w:r>
                    <w:rPr>
                      <w:rFonts w:hint="eastAsia" w:ascii="Times New Roman" w:hAnsi="Times New Roman" w:eastAsia="宋体" w:cs="Times New Roman"/>
                      <w:b w:val="0"/>
                      <w:bCs w:val="0"/>
                      <w:color w:val="auto"/>
                      <w:sz w:val="21"/>
                      <w:szCs w:val="21"/>
                      <w:highlight w:val="none"/>
                      <w:u w:val="none" w:color="auto"/>
                      <w:lang w:val="en-US" w:eastAsia="zh-CN"/>
                    </w:rPr>
                    <w:t>不属于</w:t>
                  </w:r>
                  <w:r>
                    <w:rPr>
                      <w:rFonts w:hint="default" w:ascii="Times New Roman" w:hAnsi="Times New Roman" w:eastAsia="宋体" w:cs="Times New Roman"/>
                      <w:b w:val="0"/>
                      <w:bCs w:val="0"/>
                      <w:color w:val="auto"/>
                      <w:sz w:val="21"/>
                      <w:szCs w:val="21"/>
                      <w:highlight w:val="none"/>
                      <w:u w:val="none" w:color="auto"/>
                    </w:rPr>
                    <w:t>石化、化工、工业涂装等重点行业高VOC</w:t>
                  </w:r>
                  <w:r>
                    <w:rPr>
                      <w:rFonts w:hint="eastAsia" w:ascii="Times New Roman" w:hAnsi="Times New Roman" w:eastAsia="宋体" w:cs="Times New Roman"/>
                      <w:b w:val="0"/>
                      <w:bCs w:val="0"/>
                      <w:color w:val="auto"/>
                      <w:sz w:val="21"/>
                      <w:szCs w:val="21"/>
                      <w:highlight w:val="none"/>
                      <w:u w:val="none" w:color="auto"/>
                      <w:vertAlign w:val="subscript"/>
                      <w:lang w:val="en-US" w:eastAsia="zh-CN"/>
                    </w:rPr>
                    <w:t>S</w:t>
                  </w:r>
                  <w:r>
                    <w:rPr>
                      <w:rFonts w:hint="default" w:ascii="Times New Roman" w:hAnsi="Times New Roman" w:eastAsia="宋体" w:cs="Times New Roman"/>
                      <w:b w:val="0"/>
                      <w:bCs w:val="0"/>
                      <w:color w:val="auto"/>
                      <w:sz w:val="21"/>
                      <w:szCs w:val="21"/>
                      <w:highlight w:val="none"/>
                      <w:u w:val="none" w:color="auto"/>
                    </w:rPr>
                    <w:t>排放的建设项目</w:t>
                  </w:r>
                </w:p>
              </w:tc>
              <w:tc>
                <w:tcPr>
                  <w:tcW w:w="411" w:type="pct"/>
                  <w:tcBorders>
                    <w:tl2br w:val="nil"/>
                    <w:tr2bl w:val="nil"/>
                  </w:tcBorders>
                  <w:noWrap w:val="0"/>
                  <w:vAlign w:val="center"/>
                </w:tcPr>
                <w:p w14:paraId="7B21B4E2">
                  <w:pPr>
                    <w:pStyle w:val="49"/>
                    <w:keepNext w:val="0"/>
                    <w:keepLines w:val="0"/>
                    <w:pageBreakBefore w:val="0"/>
                    <w:widowControl/>
                    <w:kinsoku/>
                    <w:wordWrap/>
                    <w:overflowPunct/>
                    <w:topLinePunct w:val="0"/>
                    <w:autoSpaceDE/>
                    <w:autoSpaceDN/>
                    <w:bidi w:val="0"/>
                    <w:adjustRightInd/>
                    <w:snapToGrid/>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符合</w:t>
                  </w:r>
                </w:p>
              </w:tc>
            </w:tr>
            <w:tr w14:paraId="2166C4C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29" w:type="pct"/>
                  <w:vMerge w:val="continue"/>
                  <w:tcBorders>
                    <w:tl2br w:val="nil"/>
                    <w:tr2bl w:val="nil"/>
                  </w:tcBorders>
                  <w:noWrap w:val="0"/>
                  <w:vAlign w:val="center"/>
                </w:tcPr>
                <w:p w14:paraId="2A880640">
                  <w:pPr>
                    <w:pStyle w:val="49"/>
                    <w:keepNext w:val="0"/>
                    <w:keepLines w:val="0"/>
                    <w:pageBreakBefore w:val="0"/>
                    <w:widowControl/>
                    <w:kinsoku/>
                    <w:wordWrap/>
                    <w:overflowPunct/>
                    <w:topLinePunct w:val="0"/>
                    <w:autoSpaceDE/>
                    <w:autoSpaceDN/>
                    <w:bidi w:val="0"/>
                    <w:adjustRightInd/>
                    <w:snapToGrid/>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rPr>
                  </w:pPr>
                </w:p>
              </w:tc>
              <w:tc>
                <w:tcPr>
                  <w:tcW w:w="2935" w:type="pct"/>
                  <w:tcBorders>
                    <w:tl2br w:val="nil"/>
                    <w:tr2bl w:val="nil"/>
                  </w:tcBorders>
                  <w:noWrap w:val="0"/>
                  <w:vAlign w:val="center"/>
                </w:tcPr>
                <w:p w14:paraId="43F54A1D">
                  <w:pPr>
                    <w:pStyle w:val="49"/>
                    <w:keepNext w:val="0"/>
                    <w:keepLines w:val="0"/>
                    <w:pageBreakBefore w:val="0"/>
                    <w:kinsoku/>
                    <w:wordWrap/>
                    <w:overflowPunct/>
                    <w:topLinePunct w:val="0"/>
                    <w:autoSpaceDE/>
                    <w:autoSpaceDN/>
                    <w:bidi w:val="0"/>
                    <w:spacing w:line="240" w:lineRule="auto"/>
                    <w:ind w:left="-63" w:leftChars="-30" w:right="-63" w:rightChars="-30"/>
                    <w:jc w:val="both"/>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进一步优化全省化工产业布局，提高化工行业本质安全和绿色发展水平，引领化工园区从规范化发展到高质量发展，促进化工产业转型升级。</w:t>
                  </w:r>
                </w:p>
              </w:tc>
              <w:tc>
                <w:tcPr>
                  <w:tcW w:w="1224" w:type="pct"/>
                  <w:tcBorders>
                    <w:tl2br w:val="nil"/>
                    <w:tr2bl w:val="nil"/>
                  </w:tcBorders>
                  <w:noWrap w:val="0"/>
                  <w:vAlign w:val="center"/>
                </w:tcPr>
                <w:p w14:paraId="13B04FF3">
                  <w:pPr>
                    <w:pStyle w:val="49"/>
                    <w:keepNext w:val="0"/>
                    <w:keepLines w:val="0"/>
                    <w:pageBreakBefore w:val="0"/>
                    <w:kinsoku/>
                    <w:wordWrap/>
                    <w:overflowPunct/>
                    <w:topLinePunct w:val="0"/>
                    <w:autoSpaceDE/>
                    <w:autoSpaceDN/>
                    <w:bidi w:val="0"/>
                    <w:spacing w:line="240" w:lineRule="auto"/>
                    <w:ind w:left="-63" w:leftChars="-30" w:right="-63" w:rightChars="-30"/>
                    <w:jc w:val="both"/>
                    <w:textAlignment w:val="auto"/>
                    <w:rPr>
                      <w:rFonts w:hint="default" w:ascii="Times New Roman" w:hAnsi="Times New Roman" w:eastAsia="宋体" w:cs="Times New Roman"/>
                      <w:b w:val="0"/>
                      <w:bCs w:val="0"/>
                      <w:color w:val="auto"/>
                      <w:sz w:val="21"/>
                      <w:szCs w:val="21"/>
                      <w:highlight w:val="none"/>
                      <w:u w:val="none" w:color="auto"/>
                      <w:lang w:eastAsia="zh-CN"/>
                    </w:rPr>
                  </w:pPr>
                  <w:r>
                    <w:rPr>
                      <w:rFonts w:hint="default" w:ascii="Times New Roman" w:hAnsi="Times New Roman" w:eastAsia="宋体" w:cs="Times New Roman"/>
                      <w:b w:val="0"/>
                      <w:bCs w:val="0"/>
                      <w:color w:val="auto"/>
                      <w:sz w:val="21"/>
                      <w:szCs w:val="21"/>
                      <w:highlight w:val="none"/>
                      <w:u w:val="none" w:color="auto"/>
                      <w:lang w:eastAsia="zh-CN"/>
                    </w:rPr>
                    <w:t>本项目不属于化工项目。</w:t>
                  </w:r>
                </w:p>
              </w:tc>
              <w:tc>
                <w:tcPr>
                  <w:tcW w:w="411" w:type="pct"/>
                  <w:tcBorders>
                    <w:tl2br w:val="nil"/>
                    <w:tr2bl w:val="nil"/>
                  </w:tcBorders>
                  <w:noWrap w:val="0"/>
                  <w:vAlign w:val="center"/>
                </w:tcPr>
                <w:p w14:paraId="558239B9">
                  <w:pPr>
                    <w:pStyle w:val="49"/>
                    <w:keepNext w:val="0"/>
                    <w:keepLines w:val="0"/>
                    <w:pageBreakBefore w:val="0"/>
                    <w:widowControl/>
                    <w:kinsoku/>
                    <w:wordWrap/>
                    <w:overflowPunct/>
                    <w:topLinePunct w:val="0"/>
                    <w:autoSpaceDE/>
                    <w:autoSpaceDN/>
                    <w:bidi w:val="0"/>
                    <w:adjustRightInd/>
                    <w:snapToGrid/>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不涉及</w:t>
                  </w:r>
                </w:p>
              </w:tc>
            </w:tr>
            <w:tr w14:paraId="178D6A3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29" w:type="pct"/>
                  <w:vMerge w:val="restart"/>
                  <w:tcBorders>
                    <w:tl2br w:val="nil"/>
                    <w:tr2bl w:val="nil"/>
                  </w:tcBorders>
                  <w:noWrap w:val="0"/>
                  <w:vAlign w:val="center"/>
                </w:tcPr>
                <w:p w14:paraId="620AF517">
                  <w:pPr>
                    <w:pStyle w:val="49"/>
                    <w:keepNext w:val="0"/>
                    <w:keepLines w:val="0"/>
                    <w:pageBreakBefore w:val="0"/>
                    <w:widowControl/>
                    <w:kinsoku/>
                    <w:wordWrap/>
                    <w:overflowPunct/>
                    <w:topLinePunct w:val="0"/>
                    <w:autoSpaceDE/>
                    <w:autoSpaceDN/>
                    <w:bidi w:val="0"/>
                    <w:adjustRightInd/>
                    <w:snapToGrid/>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污染物排放管控</w:t>
                  </w:r>
                </w:p>
              </w:tc>
              <w:tc>
                <w:tcPr>
                  <w:tcW w:w="2935" w:type="pct"/>
                  <w:tcBorders>
                    <w:tl2br w:val="nil"/>
                    <w:tr2bl w:val="nil"/>
                  </w:tcBorders>
                  <w:noWrap w:val="0"/>
                  <w:vAlign w:val="center"/>
                </w:tcPr>
                <w:p w14:paraId="23FFFC70">
                  <w:pPr>
                    <w:pStyle w:val="49"/>
                    <w:keepNext w:val="0"/>
                    <w:keepLines w:val="0"/>
                    <w:pageBreakBefore w:val="0"/>
                    <w:kinsoku/>
                    <w:wordWrap/>
                    <w:overflowPunct/>
                    <w:topLinePunct w:val="0"/>
                    <w:autoSpaceDE/>
                    <w:autoSpaceDN/>
                    <w:bidi w:val="0"/>
                    <w:spacing w:line="240" w:lineRule="auto"/>
                    <w:ind w:left="-63" w:leftChars="-30" w:right="-63" w:rightChars="-30"/>
                    <w:jc w:val="both"/>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落实主要污染物总量控制和排污许可制度。新建、改建、扩建重点行业建设项目实行主要污染物排放等量或倍量削减替代。严格涉VOCs建设项目环境影响评价，逐步推进区域内VOCs排放等量或倍量削减替代。</w:t>
                  </w:r>
                </w:p>
              </w:tc>
              <w:tc>
                <w:tcPr>
                  <w:tcW w:w="1224" w:type="pct"/>
                  <w:tcBorders>
                    <w:tl2br w:val="nil"/>
                    <w:tr2bl w:val="nil"/>
                  </w:tcBorders>
                  <w:noWrap w:val="0"/>
                  <w:vAlign w:val="center"/>
                </w:tcPr>
                <w:p w14:paraId="0CED645F">
                  <w:pPr>
                    <w:pStyle w:val="49"/>
                    <w:keepNext w:val="0"/>
                    <w:keepLines w:val="0"/>
                    <w:pageBreakBefore w:val="0"/>
                    <w:kinsoku/>
                    <w:wordWrap/>
                    <w:overflowPunct/>
                    <w:topLinePunct w:val="0"/>
                    <w:autoSpaceDE/>
                    <w:autoSpaceDN/>
                    <w:bidi w:val="0"/>
                    <w:spacing w:line="240" w:lineRule="auto"/>
                    <w:ind w:left="-63" w:leftChars="-30" w:right="-63" w:rightChars="-30"/>
                    <w:jc w:val="both"/>
                    <w:textAlignment w:val="auto"/>
                    <w:rPr>
                      <w:rFonts w:hint="default" w:ascii="Times New Roman" w:hAnsi="Times New Roman" w:eastAsia="宋体" w:cs="Times New Roman"/>
                      <w:b w:val="0"/>
                      <w:bCs w:val="0"/>
                      <w:color w:val="auto"/>
                      <w:sz w:val="21"/>
                      <w:szCs w:val="21"/>
                      <w:highlight w:val="none"/>
                      <w:u w:val="none" w:color="auto"/>
                      <w:lang w:val="en-US" w:eastAsia="zh-CN"/>
                    </w:rPr>
                  </w:pPr>
                  <w:r>
                    <w:rPr>
                      <w:rFonts w:hint="default" w:ascii="Times New Roman" w:hAnsi="Times New Roman" w:eastAsia="宋体" w:cs="Times New Roman"/>
                      <w:b w:val="0"/>
                      <w:bCs w:val="0"/>
                      <w:color w:val="auto"/>
                      <w:sz w:val="21"/>
                      <w:szCs w:val="21"/>
                      <w:highlight w:val="none"/>
                      <w:u w:val="none" w:color="auto"/>
                      <w:lang w:val="en-US" w:eastAsia="zh-CN"/>
                    </w:rPr>
                    <w:t>本项目不涉及主要排放口，属于其他行业。其他行业因排污量很少或基本不新增排污量，在环评审批过程中予以豁免主要污染物总量审核</w:t>
                  </w:r>
                  <w:r>
                    <w:rPr>
                      <w:rFonts w:hint="eastAsia" w:ascii="Times New Roman" w:hAnsi="Times New Roman" w:eastAsia="宋体" w:cs="Times New Roman"/>
                      <w:b w:val="0"/>
                      <w:bCs w:val="0"/>
                      <w:color w:val="auto"/>
                      <w:sz w:val="21"/>
                      <w:szCs w:val="21"/>
                      <w:highlight w:val="none"/>
                      <w:u w:val="none" w:color="auto"/>
                      <w:lang w:val="en-US" w:eastAsia="zh-CN"/>
                    </w:rPr>
                    <w:t>。</w:t>
                  </w:r>
                </w:p>
              </w:tc>
              <w:tc>
                <w:tcPr>
                  <w:tcW w:w="411" w:type="pct"/>
                  <w:tcBorders>
                    <w:tl2br w:val="nil"/>
                    <w:tr2bl w:val="nil"/>
                  </w:tcBorders>
                  <w:noWrap w:val="0"/>
                  <w:vAlign w:val="center"/>
                </w:tcPr>
                <w:p w14:paraId="7222B2DA">
                  <w:pPr>
                    <w:pStyle w:val="49"/>
                    <w:keepNext w:val="0"/>
                    <w:keepLines w:val="0"/>
                    <w:pageBreakBefore w:val="0"/>
                    <w:widowControl/>
                    <w:kinsoku/>
                    <w:wordWrap/>
                    <w:overflowPunct/>
                    <w:topLinePunct w:val="0"/>
                    <w:autoSpaceDE/>
                    <w:autoSpaceDN/>
                    <w:bidi w:val="0"/>
                    <w:adjustRightInd/>
                    <w:snapToGrid/>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符合</w:t>
                  </w:r>
                </w:p>
              </w:tc>
            </w:tr>
            <w:tr w14:paraId="4C5BCA4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29" w:type="pct"/>
                  <w:vMerge w:val="continue"/>
                  <w:tcBorders>
                    <w:tl2br w:val="nil"/>
                    <w:tr2bl w:val="nil"/>
                  </w:tcBorders>
                  <w:noWrap w:val="0"/>
                  <w:vAlign w:val="center"/>
                </w:tcPr>
                <w:p w14:paraId="079DF0D7">
                  <w:pPr>
                    <w:pStyle w:val="49"/>
                    <w:keepNext w:val="0"/>
                    <w:keepLines w:val="0"/>
                    <w:pageBreakBefore w:val="0"/>
                    <w:widowControl/>
                    <w:kinsoku/>
                    <w:wordWrap/>
                    <w:overflowPunct/>
                    <w:topLinePunct w:val="0"/>
                    <w:autoSpaceDE/>
                    <w:autoSpaceDN/>
                    <w:bidi w:val="0"/>
                    <w:adjustRightInd/>
                    <w:snapToGrid/>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rPr>
                  </w:pPr>
                </w:p>
              </w:tc>
              <w:tc>
                <w:tcPr>
                  <w:tcW w:w="2935" w:type="pct"/>
                  <w:tcBorders>
                    <w:tl2br w:val="nil"/>
                    <w:tr2bl w:val="nil"/>
                  </w:tcBorders>
                  <w:noWrap w:val="0"/>
                  <w:vAlign w:val="center"/>
                </w:tcPr>
                <w:p w14:paraId="0BFE1462">
                  <w:pPr>
                    <w:pStyle w:val="49"/>
                    <w:keepNext w:val="0"/>
                    <w:keepLines w:val="0"/>
                    <w:pageBreakBefore w:val="0"/>
                    <w:kinsoku/>
                    <w:wordWrap/>
                    <w:overflowPunct/>
                    <w:topLinePunct w:val="0"/>
                    <w:autoSpaceDE/>
                    <w:autoSpaceDN/>
                    <w:bidi w:val="0"/>
                    <w:spacing w:line="240" w:lineRule="auto"/>
                    <w:ind w:left="-63" w:leftChars="-30" w:right="-63" w:rightChars="-30"/>
                    <w:jc w:val="both"/>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空气质量未达标地区新建项目涉及二氧化硫、氮氧化物、颗粒物、挥发性有机物（VOCs）全面执行大气污染物特别排放限值。</w:t>
                  </w:r>
                </w:p>
              </w:tc>
              <w:tc>
                <w:tcPr>
                  <w:tcW w:w="1224" w:type="pct"/>
                  <w:tcBorders>
                    <w:tl2br w:val="nil"/>
                    <w:tr2bl w:val="nil"/>
                  </w:tcBorders>
                  <w:noWrap w:val="0"/>
                  <w:vAlign w:val="center"/>
                </w:tcPr>
                <w:p w14:paraId="2E09F0FD">
                  <w:pPr>
                    <w:pStyle w:val="49"/>
                    <w:keepNext w:val="0"/>
                    <w:keepLines w:val="0"/>
                    <w:pageBreakBefore w:val="0"/>
                    <w:kinsoku/>
                    <w:wordWrap/>
                    <w:overflowPunct/>
                    <w:topLinePunct w:val="0"/>
                    <w:autoSpaceDE/>
                    <w:autoSpaceDN/>
                    <w:bidi w:val="0"/>
                    <w:spacing w:line="240" w:lineRule="auto"/>
                    <w:ind w:left="-63" w:leftChars="-30" w:right="-63" w:rightChars="-30"/>
                    <w:jc w:val="both"/>
                    <w:textAlignment w:val="auto"/>
                    <w:rPr>
                      <w:rFonts w:hint="default" w:ascii="Times New Roman" w:hAnsi="Times New Roman" w:eastAsia="宋体" w:cs="Times New Roman"/>
                      <w:b w:val="0"/>
                      <w:bCs w:val="0"/>
                      <w:color w:val="auto"/>
                      <w:sz w:val="21"/>
                      <w:szCs w:val="21"/>
                      <w:highlight w:val="none"/>
                      <w:u w:val="none" w:color="auto"/>
                      <w:lang w:eastAsia="zh-CN"/>
                    </w:rPr>
                  </w:pPr>
                  <w:r>
                    <w:rPr>
                      <w:rFonts w:hint="eastAsia" w:ascii="Times New Roman" w:eastAsia="宋体" w:cs="Times New Roman"/>
                      <w:b w:val="0"/>
                      <w:bCs w:val="0"/>
                      <w:color w:val="auto"/>
                      <w:sz w:val="21"/>
                      <w:szCs w:val="21"/>
                      <w:highlight w:val="none"/>
                      <w:u w:val="none" w:color="auto"/>
                      <w:lang w:val="en-US" w:eastAsia="zh-CN"/>
                    </w:rPr>
                    <w:t>白山</w:t>
                  </w:r>
                  <w:r>
                    <w:rPr>
                      <w:rFonts w:hint="default" w:ascii="Times New Roman" w:hAnsi="Times New Roman" w:eastAsia="宋体" w:cs="Times New Roman"/>
                      <w:b w:val="0"/>
                      <w:bCs w:val="0"/>
                      <w:color w:val="auto"/>
                      <w:sz w:val="21"/>
                      <w:szCs w:val="21"/>
                      <w:highlight w:val="none"/>
                      <w:u w:val="none" w:color="auto"/>
                      <w:lang w:val="en-US" w:eastAsia="zh-CN"/>
                    </w:rPr>
                    <w:t>市</w:t>
                  </w:r>
                  <w:r>
                    <w:rPr>
                      <w:rFonts w:hint="default" w:ascii="Times New Roman" w:hAnsi="Times New Roman" w:eastAsia="宋体" w:cs="Times New Roman"/>
                      <w:b w:val="0"/>
                      <w:bCs w:val="0"/>
                      <w:color w:val="auto"/>
                      <w:sz w:val="21"/>
                      <w:szCs w:val="21"/>
                      <w:highlight w:val="none"/>
                      <w:u w:val="none" w:color="auto"/>
                      <w:lang w:eastAsia="zh-CN"/>
                    </w:rPr>
                    <w:t>为达标区，</w:t>
                  </w:r>
                  <w:r>
                    <w:rPr>
                      <w:rFonts w:hint="default" w:ascii="Times New Roman" w:hAnsi="Times New Roman" w:eastAsia="宋体" w:cs="Times New Roman"/>
                      <w:color w:val="auto"/>
                      <w:sz w:val="21"/>
                      <w:szCs w:val="21"/>
                      <w:highlight w:val="none"/>
                      <w:u w:val="none" w:color="auto"/>
                      <w:lang w:val="en-US" w:eastAsia="zh-CN"/>
                    </w:rPr>
                    <w:t>项目运行过程中</w:t>
                  </w:r>
                  <w:r>
                    <w:rPr>
                      <w:rFonts w:hint="eastAsia" w:ascii="Times New Roman" w:hAnsi="Times New Roman" w:eastAsia="宋体" w:cs="Times New Roman"/>
                      <w:color w:val="auto"/>
                      <w:sz w:val="21"/>
                      <w:szCs w:val="21"/>
                      <w:highlight w:val="none"/>
                      <w:u w:val="none" w:color="auto"/>
                      <w:lang w:val="en-US" w:eastAsia="zh-CN"/>
                    </w:rPr>
                    <w:t>颗粒物执行《水泥工业大气污染物排放标准》（GB 4915-2013）中排放限值要求</w:t>
                  </w:r>
                  <w:r>
                    <w:rPr>
                      <w:rFonts w:hint="default" w:ascii="Times New Roman" w:hAnsi="Times New Roman" w:eastAsia="宋体" w:cs="Times New Roman"/>
                      <w:b w:val="0"/>
                      <w:bCs w:val="0"/>
                      <w:color w:val="auto"/>
                      <w:sz w:val="21"/>
                      <w:szCs w:val="21"/>
                      <w:highlight w:val="none"/>
                      <w:u w:val="none" w:color="auto"/>
                      <w:lang w:eastAsia="zh-CN"/>
                    </w:rPr>
                    <w:t>。</w:t>
                  </w:r>
                </w:p>
              </w:tc>
              <w:tc>
                <w:tcPr>
                  <w:tcW w:w="411" w:type="pct"/>
                  <w:tcBorders>
                    <w:tl2br w:val="nil"/>
                    <w:tr2bl w:val="nil"/>
                  </w:tcBorders>
                  <w:noWrap w:val="0"/>
                  <w:vAlign w:val="center"/>
                </w:tcPr>
                <w:p w14:paraId="60A6E179">
                  <w:pPr>
                    <w:pStyle w:val="49"/>
                    <w:keepNext w:val="0"/>
                    <w:keepLines w:val="0"/>
                    <w:pageBreakBefore w:val="0"/>
                    <w:widowControl/>
                    <w:kinsoku/>
                    <w:wordWrap/>
                    <w:overflowPunct/>
                    <w:topLinePunct w:val="0"/>
                    <w:autoSpaceDE/>
                    <w:autoSpaceDN/>
                    <w:bidi w:val="0"/>
                    <w:adjustRightInd/>
                    <w:snapToGrid/>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符合</w:t>
                  </w:r>
                </w:p>
              </w:tc>
            </w:tr>
            <w:tr w14:paraId="74E9A5E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c>
                <w:tcPr>
                  <w:tcW w:w="429" w:type="pct"/>
                  <w:vMerge w:val="continue"/>
                  <w:tcBorders>
                    <w:tl2br w:val="nil"/>
                    <w:tr2bl w:val="nil"/>
                  </w:tcBorders>
                  <w:noWrap w:val="0"/>
                  <w:vAlign w:val="center"/>
                </w:tcPr>
                <w:p w14:paraId="41D0A51E">
                  <w:pPr>
                    <w:pStyle w:val="49"/>
                    <w:keepNext w:val="0"/>
                    <w:keepLines w:val="0"/>
                    <w:pageBreakBefore w:val="0"/>
                    <w:widowControl/>
                    <w:kinsoku/>
                    <w:wordWrap/>
                    <w:overflowPunct/>
                    <w:topLinePunct w:val="0"/>
                    <w:autoSpaceDE/>
                    <w:autoSpaceDN/>
                    <w:bidi w:val="0"/>
                    <w:adjustRightInd/>
                    <w:snapToGrid/>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rPr>
                  </w:pPr>
                </w:p>
              </w:tc>
              <w:tc>
                <w:tcPr>
                  <w:tcW w:w="2935" w:type="pct"/>
                  <w:tcBorders>
                    <w:tl2br w:val="nil"/>
                    <w:tr2bl w:val="nil"/>
                  </w:tcBorders>
                  <w:noWrap w:val="0"/>
                  <w:vAlign w:val="center"/>
                </w:tcPr>
                <w:p w14:paraId="0A4C762D">
                  <w:pPr>
                    <w:pStyle w:val="49"/>
                    <w:keepNext w:val="0"/>
                    <w:keepLines w:val="0"/>
                    <w:pageBreakBefore w:val="0"/>
                    <w:kinsoku/>
                    <w:wordWrap/>
                    <w:overflowPunct/>
                    <w:topLinePunct w:val="0"/>
                    <w:autoSpaceDE/>
                    <w:autoSpaceDN/>
                    <w:bidi w:val="0"/>
                    <w:spacing w:line="240" w:lineRule="auto"/>
                    <w:ind w:left="-63" w:leftChars="-30" w:right="-63" w:rightChars="-30"/>
                    <w:jc w:val="both"/>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推行秸秆全量化处置，持续推进秸秆肥料化、饲料化、能源化、基料化和原料化，逐步形成秸秆综合利用的长效机制。</w:t>
                  </w:r>
                </w:p>
              </w:tc>
              <w:tc>
                <w:tcPr>
                  <w:tcW w:w="1224" w:type="pct"/>
                  <w:tcBorders>
                    <w:tl2br w:val="nil"/>
                    <w:tr2bl w:val="nil"/>
                  </w:tcBorders>
                  <w:noWrap w:val="0"/>
                  <w:vAlign w:val="center"/>
                </w:tcPr>
                <w:p w14:paraId="0DFB3144">
                  <w:pPr>
                    <w:pStyle w:val="49"/>
                    <w:keepNext w:val="0"/>
                    <w:keepLines w:val="0"/>
                    <w:pageBreakBefore w:val="0"/>
                    <w:kinsoku/>
                    <w:wordWrap/>
                    <w:overflowPunct/>
                    <w:topLinePunct w:val="0"/>
                    <w:autoSpaceDE/>
                    <w:autoSpaceDN/>
                    <w:bidi w:val="0"/>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不涉及</w:t>
                  </w:r>
                </w:p>
              </w:tc>
              <w:tc>
                <w:tcPr>
                  <w:tcW w:w="411" w:type="pct"/>
                  <w:tcBorders>
                    <w:tl2br w:val="nil"/>
                    <w:tr2bl w:val="nil"/>
                  </w:tcBorders>
                  <w:noWrap w:val="0"/>
                  <w:vAlign w:val="center"/>
                </w:tcPr>
                <w:p w14:paraId="0E4B6563">
                  <w:pPr>
                    <w:pStyle w:val="49"/>
                    <w:keepNext w:val="0"/>
                    <w:keepLines w:val="0"/>
                    <w:pageBreakBefore w:val="0"/>
                    <w:widowControl/>
                    <w:kinsoku/>
                    <w:wordWrap/>
                    <w:overflowPunct/>
                    <w:topLinePunct w:val="0"/>
                    <w:autoSpaceDE/>
                    <w:autoSpaceDN/>
                    <w:bidi w:val="0"/>
                    <w:adjustRightInd/>
                    <w:snapToGrid/>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lang w:val="en-US" w:eastAsia="zh-CN"/>
                    </w:rPr>
                  </w:pPr>
                  <w:r>
                    <w:rPr>
                      <w:rFonts w:hint="default" w:ascii="Times New Roman" w:hAnsi="Times New Roman" w:eastAsia="宋体" w:cs="Times New Roman"/>
                      <w:b w:val="0"/>
                      <w:bCs w:val="0"/>
                      <w:color w:val="auto"/>
                      <w:sz w:val="21"/>
                      <w:szCs w:val="21"/>
                      <w:highlight w:val="none"/>
                      <w:u w:val="none" w:color="auto"/>
                      <w:lang w:val="en-US" w:eastAsia="zh-CN"/>
                    </w:rPr>
                    <w:t>--</w:t>
                  </w:r>
                </w:p>
              </w:tc>
            </w:tr>
            <w:tr w14:paraId="31CA472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29" w:type="pct"/>
                  <w:vMerge w:val="continue"/>
                  <w:tcBorders>
                    <w:tl2br w:val="nil"/>
                    <w:tr2bl w:val="nil"/>
                  </w:tcBorders>
                  <w:noWrap w:val="0"/>
                  <w:vAlign w:val="center"/>
                </w:tcPr>
                <w:p w14:paraId="1FB7545E">
                  <w:pPr>
                    <w:pStyle w:val="49"/>
                    <w:keepNext w:val="0"/>
                    <w:keepLines w:val="0"/>
                    <w:pageBreakBefore w:val="0"/>
                    <w:widowControl/>
                    <w:kinsoku/>
                    <w:wordWrap/>
                    <w:overflowPunct/>
                    <w:topLinePunct w:val="0"/>
                    <w:autoSpaceDE/>
                    <w:autoSpaceDN/>
                    <w:bidi w:val="0"/>
                    <w:adjustRightInd/>
                    <w:snapToGrid/>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rPr>
                  </w:pPr>
                </w:p>
              </w:tc>
              <w:tc>
                <w:tcPr>
                  <w:tcW w:w="2935" w:type="pct"/>
                  <w:tcBorders>
                    <w:tl2br w:val="nil"/>
                    <w:tr2bl w:val="nil"/>
                  </w:tcBorders>
                  <w:noWrap w:val="0"/>
                  <w:vAlign w:val="center"/>
                </w:tcPr>
                <w:p w14:paraId="286512C8">
                  <w:pPr>
                    <w:pStyle w:val="49"/>
                    <w:keepNext w:val="0"/>
                    <w:keepLines w:val="0"/>
                    <w:pageBreakBefore w:val="0"/>
                    <w:kinsoku/>
                    <w:wordWrap/>
                    <w:overflowPunct/>
                    <w:topLinePunct w:val="0"/>
                    <w:autoSpaceDE/>
                    <w:autoSpaceDN/>
                    <w:bidi w:val="0"/>
                    <w:spacing w:line="240" w:lineRule="auto"/>
                    <w:ind w:left="-63" w:leftChars="-30" w:right="-63" w:rightChars="-30"/>
                    <w:jc w:val="both"/>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推动城镇污水处理厂扩容工程和提标改造。超负荷、满负荷运行的污水处理厂要及时实施扩容，出水排入超标水域的污水处理厂要因地制宜提高出水标准。</w:t>
                  </w:r>
                </w:p>
              </w:tc>
              <w:tc>
                <w:tcPr>
                  <w:tcW w:w="1224" w:type="pct"/>
                  <w:tcBorders>
                    <w:tl2br w:val="nil"/>
                    <w:tr2bl w:val="nil"/>
                  </w:tcBorders>
                  <w:noWrap w:val="0"/>
                  <w:vAlign w:val="center"/>
                </w:tcPr>
                <w:p w14:paraId="5B1ADD06">
                  <w:pPr>
                    <w:pStyle w:val="49"/>
                    <w:keepNext w:val="0"/>
                    <w:keepLines w:val="0"/>
                    <w:pageBreakBefore w:val="0"/>
                    <w:kinsoku/>
                    <w:wordWrap/>
                    <w:overflowPunct/>
                    <w:topLinePunct w:val="0"/>
                    <w:autoSpaceDE/>
                    <w:autoSpaceDN/>
                    <w:bidi w:val="0"/>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不涉及</w:t>
                  </w:r>
                </w:p>
              </w:tc>
              <w:tc>
                <w:tcPr>
                  <w:tcW w:w="411" w:type="pct"/>
                  <w:tcBorders>
                    <w:tl2br w:val="nil"/>
                    <w:tr2bl w:val="nil"/>
                  </w:tcBorders>
                  <w:noWrap w:val="0"/>
                  <w:vAlign w:val="center"/>
                </w:tcPr>
                <w:p w14:paraId="720A408D">
                  <w:pPr>
                    <w:pStyle w:val="49"/>
                    <w:keepNext w:val="0"/>
                    <w:keepLines w:val="0"/>
                    <w:pageBreakBefore w:val="0"/>
                    <w:widowControl/>
                    <w:kinsoku/>
                    <w:wordWrap/>
                    <w:overflowPunct/>
                    <w:topLinePunct w:val="0"/>
                    <w:autoSpaceDE/>
                    <w:autoSpaceDN/>
                    <w:bidi w:val="0"/>
                    <w:adjustRightInd/>
                    <w:snapToGrid/>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lang w:val="en-US" w:eastAsia="zh-CN"/>
                    </w:rPr>
                  </w:pPr>
                  <w:r>
                    <w:rPr>
                      <w:rFonts w:hint="default" w:ascii="Times New Roman" w:hAnsi="Times New Roman" w:eastAsia="宋体" w:cs="Times New Roman"/>
                      <w:b w:val="0"/>
                      <w:bCs w:val="0"/>
                      <w:color w:val="auto"/>
                      <w:sz w:val="21"/>
                      <w:szCs w:val="21"/>
                      <w:highlight w:val="none"/>
                      <w:u w:val="none" w:color="auto"/>
                      <w:lang w:val="en-US" w:eastAsia="zh-CN"/>
                    </w:rPr>
                    <w:t>--</w:t>
                  </w:r>
                </w:p>
              </w:tc>
            </w:tr>
            <w:tr w14:paraId="64BA8DB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29" w:type="pct"/>
                  <w:vMerge w:val="continue"/>
                  <w:tcBorders>
                    <w:tl2br w:val="nil"/>
                    <w:tr2bl w:val="nil"/>
                  </w:tcBorders>
                  <w:noWrap w:val="0"/>
                  <w:vAlign w:val="center"/>
                </w:tcPr>
                <w:p w14:paraId="0112256B">
                  <w:pPr>
                    <w:pStyle w:val="49"/>
                    <w:keepNext w:val="0"/>
                    <w:keepLines w:val="0"/>
                    <w:pageBreakBefore w:val="0"/>
                    <w:widowControl/>
                    <w:kinsoku/>
                    <w:wordWrap/>
                    <w:overflowPunct/>
                    <w:topLinePunct w:val="0"/>
                    <w:autoSpaceDE/>
                    <w:autoSpaceDN/>
                    <w:bidi w:val="0"/>
                    <w:adjustRightInd/>
                    <w:snapToGrid/>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rPr>
                  </w:pPr>
                </w:p>
              </w:tc>
              <w:tc>
                <w:tcPr>
                  <w:tcW w:w="2935" w:type="pct"/>
                  <w:tcBorders>
                    <w:tl2br w:val="nil"/>
                    <w:tr2bl w:val="nil"/>
                  </w:tcBorders>
                  <w:noWrap w:val="0"/>
                  <w:vAlign w:val="center"/>
                </w:tcPr>
                <w:p w14:paraId="028B6EFF">
                  <w:pPr>
                    <w:pStyle w:val="49"/>
                    <w:keepNext w:val="0"/>
                    <w:keepLines w:val="0"/>
                    <w:pageBreakBefore w:val="0"/>
                    <w:kinsoku/>
                    <w:wordWrap/>
                    <w:overflowPunct/>
                    <w:topLinePunct w:val="0"/>
                    <w:autoSpaceDE/>
                    <w:autoSpaceDN/>
                    <w:bidi w:val="0"/>
                    <w:spacing w:line="240" w:lineRule="auto"/>
                    <w:ind w:left="-63" w:leftChars="-30" w:right="-63" w:rightChars="-30"/>
                    <w:jc w:val="both"/>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规模化畜禽养殖场（小区）应当保证畜禽粪污无害化处理和资源化利用设施的正常运转。</w:t>
                  </w:r>
                </w:p>
              </w:tc>
              <w:tc>
                <w:tcPr>
                  <w:tcW w:w="1224" w:type="pct"/>
                  <w:tcBorders>
                    <w:tl2br w:val="nil"/>
                    <w:tr2bl w:val="nil"/>
                  </w:tcBorders>
                  <w:noWrap w:val="0"/>
                  <w:vAlign w:val="center"/>
                </w:tcPr>
                <w:p w14:paraId="74A8FCF7">
                  <w:pPr>
                    <w:pStyle w:val="49"/>
                    <w:keepNext w:val="0"/>
                    <w:keepLines w:val="0"/>
                    <w:pageBreakBefore w:val="0"/>
                    <w:kinsoku/>
                    <w:wordWrap/>
                    <w:overflowPunct/>
                    <w:topLinePunct w:val="0"/>
                    <w:autoSpaceDE/>
                    <w:autoSpaceDN/>
                    <w:bidi w:val="0"/>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不涉及</w:t>
                  </w:r>
                </w:p>
              </w:tc>
              <w:tc>
                <w:tcPr>
                  <w:tcW w:w="411" w:type="pct"/>
                  <w:tcBorders>
                    <w:tl2br w:val="nil"/>
                    <w:tr2bl w:val="nil"/>
                  </w:tcBorders>
                  <w:noWrap w:val="0"/>
                  <w:vAlign w:val="center"/>
                </w:tcPr>
                <w:p w14:paraId="194F8115">
                  <w:pPr>
                    <w:pStyle w:val="49"/>
                    <w:keepNext w:val="0"/>
                    <w:keepLines w:val="0"/>
                    <w:pageBreakBefore w:val="0"/>
                    <w:widowControl/>
                    <w:kinsoku/>
                    <w:wordWrap/>
                    <w:overflowPunct/>
                    <w:topLinePunct w:val="0"/>
                    <w:autoSpaceDE/>
                    <w:autoSpaceDN/>
                    <w:bidi w:val="0"/>
                    <w:adjustRightInd/>
                    <w:snapToGrid/>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lang w:val="en-US" w:eastAsia="zh-CN"/>
                    </w:rPr>
                  </w:pPr>
                  <w:r>
                    <w:rPr>
                      <w:rFonts w:hint="default" w:ascii="Times New Roman" w:hAnsi="Times New Roman" w:eastAsia="宋体" w:cs="Times New Roman"/>
                      <w:b w:val="0"/>
                      <w:bCs w:val="0"/>
                      <w:color w:val="auto"/>
                      <w:sz w:val="21"/>
                      <w:szCs w:val="21"/>
                      <w:highlight w:val="none"/>
                      <w:u w:val="none" w:color="auto"/>
                      <w:lang w:val="en-US" w:eastAsia="zh-CN"/>
                    </w:rPr>
                    <w:t>--</w:t>
                  </w:r>
                </w:p>
              </w:tc>
            </w:tr>
            <w:tr w14:paraId="1002A00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429" w:type="pct"/>
                  <w:vMerge w:val="restart"/>
                  <w:tcBorders>
                    <w:tl2br w:val="nil"/>
                    <w:tr2bl w:val="nil"/>
                  </w:tcBorders>
                  <w:noWrap w:val="0"/>
                  <w:vAlign w:val="center"/>
                </w:tcPr>
                <w:p w14:paraId="2710E87D">
                  <w:pPr>
                    <w:pStyle w:val="49"/>
                    <w:keepNext w:val="0"/>
                    <w:keepLines w:val="0"/>
                    <w:pageBreakBefore w:val="0"/>
                    <w:widowControl/>
                    <w:kinsoku/>
                    <w:wordWrap/>
                    <w:overflowPunct/>
                    <w:topLinePunct w:val="0"/>
                    <w:autoSpaceDE/>
                    <w:autoSpaceDN/>
                    <w:bidi w:val="0"/>
                    <w:adjustRightInd/>
                    <w:snapToGrid/>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环境风险防控</w:t>
                  </w:r>
                </w:p>
              </w:tc>
              <w:tc>
                <w:tcPr>
                  <w:tcW w:w="2935" w:type="pct"/>
                  <w:tcBorders>
                    <w:tl2br w:val="nil"/>
                    <w:tr2bl w:val="nil"/>
                  </w:tcBorders>
                  <w:noWrap w:val="0"/>
                  <w:vAlign w:val="center"/>
                </w:tcPr>
                <w:p w14:paraId="1576EC92">
                  <w:pPr>
                    <w:pStyle w:val="49"/>
                    <w:keepNext w:val="0"/>
                    <w:keepLines w:val="0"/>
                    <w:pageBreakBefore w:val="0"/>
                    <w:kinsoku/>
                    <w:wordWrap/>
                    <w:overflowPunct/>
                    <w:topLinePunct w:val="0"/>
                    <w:autoSpaceDE/>
                    <w:autoSpaceDN/>
                    <w:bidi w:val="0"/>
                    <w:spacing w:line="240" w:lineRule="auto"/>
                    <w:ind w:left="-63" w:leftChars="-30" w:right="-63" w:rightChars="-30"/>
                    <w:jc w:val="both"/>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到2025年，城镇人口密集区现有不符合防护距离要求的危险化学品生产企业就地改造达标、搬迁进入规范化工园区或关闭退出，企业安全和环境风险大幅降低。</w:t>
                  </w:r>
                </w:p>
              </w:tc>
              <w:tc>
                <w:tcPr>
                  <w:tcW w:w="1224" w:type="pct"/>
                  <w:tcBorders>
                    <w:tl2br w:val="nil"/>
                    <w:tr2bl w:val="nil"/>
                  </w:tcBorders>
                  <w:noWrap w:val="0"/>
                  <w:vAlign w:val="center"/>
                </w:tcPr>
                <w:p w14:paraId="171DD3B3">
                  <w:pPr>
                    <w:pStyle w:val="49"/>
                    <w:keepNext w:val="0"/>
                    <w:keepLines w:val="0"/>
                    <w:pageBreakBefore w:val="0"/>
                    <w:kinsoku/>
                    <w:wordWrap/>
                    <w:overflowPunct/>
                    <w:topLinePunct w:val="0"/>
                    <w:autoSpaceDE/>
                    <w:autoSpaceDN/>
                    <w:bidi w:val="0"/>
                    <w:spacing w:line="240" w:lineRule="auto"/>
                    <w:ind w:left="-63" w:leftChars="-30" w:right="-63" w:rightChars="-30"/>
                    <w:jc w:val="both"/>
                    <w:textAlignment w:val="auto"/>
                    <w:rPr>
                      <w:rFonts w:hint="default" w:ascii="Times New Roman" w:hAnsi="Times New Roman" w:eastAsia="宋体" w:cs="Times New Roman"/>
                      <w:b w:val="0"/>
                      <w:bCs w:val="0"/>
                      <w:color w:val="auto"/>
                      <w:sz w:val="21"/>
                      <w:szCs w:val="21"/>
                      <w:highlight w:val="none"/>
                      <w:u w:val="none" w:color="auto"/>
                      <w:lang w:eastAsia="zh-CN"/>
                    </w:rPr>
                  </w:pPr>
                  <w:r>
                    <w:rPr>
                      <w:rFonts w:hint="default" w:ascii="Times New Roman" w:hAnsi="Times New Roman" w:eastAsia="宋体" w:cs="Times New Roman"/>
                      <w:b w:val="0"/>
                      <w:bCs w:val="0"/>
                      <w:color w:val="auto"/>
                      <w:sz w:val="21"/>
                      <w:szCs w:val="21"/>
                      <w:highlight w:val="none"/>
                      <w:u w:val="none" w:color="auto"/>
                      <w:lang w:eastAsia="zh-CN"/>
                    </w:rPr>
                    <w:t>项目不属于危险化学品生产项目，企业安全和环境风险性较小。</w:t>
                  </w:r>
                </w:p>
              </w:tc>
              <w:tc>
                <w:tcPr>
                  <w:tcW w:w="411" w:type="pct"/>
                  <w:tcBorders>
                    <w:tl2br w:val="nil"/>
                    <w:tr2bl w:val="nil"/>
                  </w:tcBorders>
                  <w:noWrap w:val="0"/>
                  <w:vAlign w:val="center"/>
                </w:tcPr>
                <w:p w14:paraId="106DB074">
                  <w:pPr>
                    <w:pStyle w:val="49"/>
                    <w:keepNext w:val="0"/>
                    <w:keepLines w:val="0"/>
                    <w:pageBreakBefore w:val="0"/>
                    <w:widowControl/>
                    <w:kinsoku/>
                    <w:wordWrap/>
                    <w:overflowPunct/>
                    <w:topLinePunct w:val="0"/>
                    <w:autoSpaceDE/>
                    <w:autoSpaceDN/>
                    <w:bidi w:val="0"/>
                    <w:adjustRightInd/>
                    <w:snapToGrid/>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lang w:eastAsia="zh-CN"/>
                    </w:rPr>
                  </w:pPr>
                  <w:r>
                    <w:rPr>
                      <w:rFonts w:hint="default" w:ascii="Times New Roman" w:hAnsi="Times New Roman" w:eastAsia="宋体" w:cs="Times New Roman"/>
                      <w:b w:val="0"/>
                      <w:bCs w:val="0"/>
                      <w:color w:val="auto"/>
                      <w:sz w:val="21"/>
                      <w:szCs w:val="21"/>
                      <w:highlight w:val="none"/>
                      <w:u w:val="none" w:color="auto"/>
                      <w:lang w:eastAsia="zh-CN"/>
                    </w:rPr>
                    <w:t>符合</w:t>
                  </w:r>
                </w:p>
              </w:tc>
            </w:tr>
            <w:tr w14:paraId="2817FB1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29" w:type="pct"/>
                  <w:vMerge w:val="continue"/>
                  <w:tcBorders>
                    <w:tl2br w:val="nil"/>
                    <w:tr2bl w:val="nil"/>
                  </w:tcBorders>
                  <w:noWrap w:val="0"/>
                  <w:vAlign w:val="center"/>
                </w:tcPr>
                <w:p w14:paraId="5FD99BFB">
                  <w:pPr>
                    <w:pStyle w:val="49"/>
                    <w:keepNext w:val="0"/>
                    <w:keepLines w:val="0"/>
                    <w:pageBreakBefore w:val="0"/>
                    <w:widowControl/>
                    <w:kinsoku/>
                    <w:wordWrap/>
                    <w:overflowPunct/>
                    <w:topLinePunct w:val="0"/>
                    <w:autoSpaceDE/>
                    <w:autoSpaceDN/>
                    <w:bidi w:val="0"/>
                    <w:adjustRightInd/>
                    <w:snapToGrid/>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rPr>
                  </w:pPr>
                </w:p>
              </w:tc>
              <w:tc>
                <w:tcPr>
                  <w:tcW w:w="2935" w:type="pct"/>
                  <w:tcBorders>
                    <w:tl2br w:val="nil"/>
                    <w:tr2bl w:val="nil"/>
                  </w:tcBorders>
                  <w:noWrap w:val="0"/>
                  <w:vAlign w:val="center"/>
                </w:tcPr>
                <w:p w14:paraId="3A003653">
                  <w:pPr>
                    <w:pStyle w:val="49"/>
                    <w:keepNext w:val="0"/>
                    <w:keepLines w:val="0"/>
                    <w:pageBreakBefore w:val="0"/>
                    <w:kinsoku/>
                    <w:wordWrap/>
                    <w:overflowPunct/>
                    <w:topLinePunct w:val="0"/>
                    <w:autoSpaceDE/>
                    <w:autoSpaceDN/>
                    <w:bidi w:val="0"/>
                    <w:spacing w:line="240" w:lineRule="auto"/>
                    <w:ind w:left="-63" w:leftChars="-30" w:right="-63" w:rightChars="-30"/>
                    <w:jc w:val="both"/>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巩固城市饮用水水源保护与治理成果，加强饮用水水源地规范化建设，完善风险防控与应急能力建设和相关管理措施，保证饮用水水源水质达标和水源安全。</w:t>
                  </w:r>
                </w:p>
              </w:tc>
              <w:tc>
                <w:tcPr>
                  <w:tcW w:w="1535" w:type="dxa"/>
                  <w:tcBorders>
                    <w:tl2br w:val="nil"/>
                    <w:tr2bl w:val="nil"/>
                  </w:tcBorders>
                  <w:noWrap w:val="0"/>
                  <w:vAlign w:val="center"/>
                </w:tcPr>
                <w:p w14:paraId="5ED2042A">
                  <w:pPr>
                    <w:pStyle w:val="49"/>
                    <w:keepNext w:val="0"/>
                    <w:keepLines w:val="0"/>
                    <w:pageBreakBefore w:val="0"/>
                    <w:widowControl w:val="0"/>
                    <w:kinsoku/>
                    <w:wordWrap/>
                    <w:overflowPunct/>
                    <w:topLinePunct w:val="0"/>
                    <w:autoSpaceDE/>
                    <w:autoSpaceDN/>
                    <w:bidi w:val="0"/>
                    <w:adjustRightInd w:val="0"/>
                    <w:snapToGrid w:val="0"/>
                    <w:ind w:left="0" w:leftChars="0"/>
                    <w:textAlignment w:val="auto"/>
                    <w:rPr>
                      <w:rFonts w:hint="default" w:ascii="Times New Roman" w:hAnsi="Times New Roman" w:eastAsia="宋体" w:cs="Times New Roman"/>
                      <w:b w:val="0"/>
                      <w:bCs w:val="0"/>
                      <w:color w:val="auto"/>
                      <w:sz w:val="21"/>
                      <w:szCs w:val="21"/>
                      <w:highlight w:val="none"/>
                      <w:u w:val="none" w:color="auto"/>
                      <w:lang w:eastAsia="zh-CN"/>
                    </w:rPr>
                  </w:pPr>
                  <w:r>
                    <w:rPr>
                      <w:rFonts w:hint="default" w:ascii="Times New Roman" w:hAnsi="Times New Roman" w:eastAsia="宋体" w:cs="Times New Roman"/>
                      <w:b w:val="0"/>
                      <w:bCs w:val="0"/>
                      <w:color w:val="auto"/>
                      <w:sz w:val="21"/>
                      <w:szCs w:val="21"/>
                      <w:highlight w:val="none"/>
                      <w:u w:val="none" w:color="auto"/>
                    </w:rPr>
                    <w:t>不涉及</w:t>
                  </w:r>
                </w:p>
              </w:tc>
              <w:tc>
                <w:tcPr>
                  <w:tcW w:w="515" w:type="dxa"/>
                  <w:tcBorders>
                    <w:tl2br w:val="nil"/>
                    <w:tr2bl w:val="nil"/>
                  </w:tcBorders>
                  <w:noWrap w:val="0"/>
                  <w:vAlign w:val="center"/>
                </w:tcPr>
                <w:p w14:paraId="4262F01C">
                  <w:pPr>
                    <w:pStyle w:val="49"/>
                    <w:keepNext w:val="0"/>
                    <w:keepLines w:val="0"/>
                    <w:pageBreakBefore w:val="0"/>
                    <w:widowControl/>
                    <w:kinsoku/>
                    <w:wordWrap/>
                    <w:overflowPunct/>
                    <w:topLinePunct w:val="0"/>
                    <w:autoSpaceDE/>
                    <w:autoSpaceDN/>
                    <w:bidi w:val="0"/>
                    <w:adjustRightInd/>
                    <w:snapToGrid/>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lang w:eastAsia="zh-CN"/>
                    </w:rPr>
                  </w:pPr>
                  <w:r>
                    <w:rPr>
                      <w:rFonts w:hint="default" w:ascii="Times New Roman" w:hAnsi="Times New Roman" w:eastAsia="宋体" w:cs="Times New Roman"/>
                      <w:b w:val="0"/>
                      <w:bCs w:val="0"/>
                      <w:color w:val="auto"/>
                      <w:sz w:val="21"/>
                      <w:szCs w:val="21"/>
                      <w:highlight w:val="none"/>
                      <w:u w:val="none" w:color="auto"/>
                      <w:lang w:val="en-US" w:eastAsia="zh-CN"/>
                    </w:rPr>
                    <w:t>--</w:t>
                  </w:r>
                </w:p>
              </w:tc>
            </w:tr>
            <w:tr w14:paraId="3797761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29" w:type="pct"/>
                  <w:vMerge w:val="restart"/>
                  <w:tcBorders>
                    <w:tl2br w:val="nil"/>
                    <w:tr2bl w:val="nil"/>
                  </w:tcBorders>
                  <w:noWrap w:val="0"/>
                  <w:vAlign w:val="center"/>
                </w:tcPr>
                <w:p w14:paraId="6C7D8B6E">
                  <w:pPr>
                    <w:pStyle w:val="49"/>
                    <w:keepNext w:val="0"/>
                    <w:keepLines w:val="0"/>
                    <w:pageBreakBefore w:val="0"/>
                    <w:widowControl/>
                    <w:kinsoku/>
                    <w:wordWrap/>
                    <w:overflowPunct/>
                    <w:topLinePunct w:val="0"/>
                    <w:autoSpaceDE/>
                    <w:autoSpaceDN/>
                    <w:bidi w:val="0"/>
                    <w:adjustRightInd/>
                    <w:snapToGrid/>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资源利用要求</w:t>
                  </w:r>
                </w:p>
              </w:tc>
              <w:tc>
                <w:tcPr>
                  <w:tcW w:w="2935" w:type="pct"/>
                  <w:tcBorders>
                    <w:tl2br w:val="nil"/>
                    <w:tr2bl w:val="nil"/>
                  </w:tcBorders>
                  <w:noWrap w:val="0"/>
                  <w:vAlign w:val="center"/>
                </w:tcPr>
                <w:p w14:paraId="7FB965AC">
                  <w:pPr>
                    <w:pStyle w:val="49"/>
                    <w:keepNext w:val="0"/>
                    <w:keepLines w:val="0"/>
                    <w:pageBreakBefore w:val="0"/>
                    <w:kinsoku/>
                    <w:wordWrap/>
                    <w:overflowPunct/>
                    <w:topLinePunct w:val="0"/>
                    <w:autoSpaceDE/>
                    <w:autoSpaceDN/>
                    <w:bidi w:val="0"/>
                    <w:spacing w:line="240" w:lineRule="auto"/>
                    <w:ind w:left="-63" w:leftChars="-30" w:right="-63" w:rightChars="-30"/>
                    <w:jc w:val="both"/>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推动园区串联用水，分质用水、一水多用和循环利用，提高水资源利用率，建设节水型园区。火电、钢铁、造纸、化工、粮食深加工等重点行业应推广实施节水改造和污水深度处理。鼓励钢铁、火电、纺织印染、造纸、石油石化、化工、制革等高耗水企业废水深度处理回用。</w:t>
                  </w:r>
                </w:p>
              </w:tc>
              <w:tc>
                <w:tcPr>
                  <w:tcW w:w="1224" w:type="pct"/>
                  <w:tcBorders>
                    <w:tl2br w:val="nil"/>
                    <w:tr2bl w:val="nil"/>
                  </w:tcBorders>
                  <w:noWrap w:val="0"/>
                  <w:vAlign w:val="center"/>
                </w:tcPr>
                <w:p w14:paraId="2A8A8904">
                  <w:pPr>
                    <w:pStyle w:val="49"/>
                    <w:keepNext w:val="0"/>
                    <w:keepLines w:val="0"/>
                    <w:pageBreakBefore w:val="0"/>
                    <w:widowControl w:val="0"/>
                    <w:kinsoku/>
                    <w:wordWrap/>
                    <w:overflowPunct/>
                    <w:topLinePunct w:val="0"/>
                    <w:autoSpaceDE/>
                    <w:autoSpaceDN/>
                    <w:bidi w:val="0"/>
                    <w:adjustRightInd w:val="0"/>
                    <w:snapToGrid w:val="0"/>
                    <w:ind w:left="0"/>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不涉及</w:t>
                  </w:r>
                </w:p>
              </w:tc>
              <w:tc>
                <w:tcPr>
                  <w:tcW w:w="411" w:type="pct"/>
                  <w:tcBorders>
                    <w:tl2br w:val="nil"/>
                    <w:tr2bl w:val="nil"/>
                  </w:tcBorders>
                  <w:noWrap w:val="0"/>
                  <w:vAlign w:val="center"/>
                </w:tcPr>
                <w:p w14:paraId="374CF936">
                  <w:pPr>
                    <w:pStyle w:val="49"/>
                    <w:keepNext w:val="0"/>
                    <w:keepLines w:val="0"/>
                    <w:pageBreakBefore w:val="0"/>
                    <w:widowControl/>
                    <w:kinsoku/>
                    <w:wordWrap/>
                    <w:overflowPunct/>
                    <w:topLinePunct w:val="0"/>
                    <w:autoSpaceDE/>
                    <w:autoSpaceDN/>
                    <w:bidi w:val="0"/>
                    <w:adjustRightInd/>
                    <w:snapToGrid/>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lang w:val="en-US" w:eastAsia="zh-CN"/>
                    </w:rPr>
                  </w:pPr>
                  <w:r>
                    <w:rPr>
                      <w:rFonts w:hint="default" w:ascii="Times New Roman" w:hAnsi="Times New Roman" w:eastAsia="宋体" w:cs="Times New Roman"/>
                      <w:b w:val="0"/>
                      <w:bCs w:val="0"/>
                      <w:color w:val="auto"/>
                      <w:sz w:val="21"/>
                      <w:szCs w:val="21"/>
                      <w:highlight w:val="none"/>
                      <w:u w:val="none" w:color="auto"/>
                      <w:lang w:val="en-US" w:eastAsia="zh-CN"/>
                    </w:rPr>
                    <w:t>--</w:t>
                  </w:r>
                </w:p>
              </w:tc>
            </w:tr>
            <w:tr w14:paraId="7C9C125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29" w:type="pct"/>
                  <w:vMerge w:val="continue"/>
                  <w:tcBorders>
                    <w:tl2br w:val="nil"/>
                    <w:tr2bl w:val="nil"/>
                  </w:tcBorders>
                  <w:noWrap w:val="0"/>
                  <w:vAlign w:val="center"/>
                </w:tcPr>
                <w:p w14:paraId="23C27376">
                  <w:pPr>
                    <w:pStyle w:val="49"/>
                    <w:keepNext w:val="0"/>
                    <w:keepLines w:val="0"/>
                    <w:pageBreakBefore w:val="0"/>
                    <w:widowControl/>
                    <w:kinsoku/>
                    <w:wordWrap/>
                    <w:overflowPunct/>
                    <w:topLinePunct w:val="0"/>
                    <w:autoSpaceDE/>
                    <w:autoSpaceDN/>
                    <w:bidi w:val="0"/>
                    <w:adjustRightInd/>
                    <w:snapToGrid/>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rPr>
                  </w:pPr>
                </w:p>
              </w:tc>
              <w:tc>
                <w:tcPr>
                  <w:tcW w:w="2935" w:type="pct"/>
                  <w:tcBorders>
                    <w:tl2br w:val="nil"/>
                    <w:tr2bl w:val="nil"/>
                  </w:tcBorders>
                  <w:noWrap w:val="0"/>
                  <w:vAlign w:val="center"/>
                </w:tcPr>
                <w:p w14:paraId="40DC7F76">
                  <w:pPr>
                    <w:pStyle w:val="49"/>
                    <w:keepNext w:val="0"/>
                    <w:keepLines w:val="0"/>
                    <w:pageBreakBefore w:val="0"/>
                    <w:kinsoku/>
                    <w:wordWrap/>
                    <w:overflowPunct/>
                    <w:topLinePunct w:val="0"/>
                    <w:autoSpaceDE/>
                    <w:autoSpaceDN/>
                    <w:bidi w:val="0"/>
                    <w:spacing w:line="240" w:lineRule="auto"/>
                    <w:ind w:left="-63" w:leftChars="-30" w:right="-63" w:rightChars="-30"/>
                    <w:jc w:val="both"/>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按照《中华人民共和国黑土地保护法》《吉林省黑土地保护条例》实施黑土地保护，加大黑土区水土流失治理力度，发展保护性耕作，促进黑土地可持续发展。</w:t>
                  </w:r>
                </w:p>
              </w:tc>
              <w:tc>
                <w:tcPr>
                  <w:tcW w:w="1224" w:type="pct"/>
                  <w:tcBorders>
                    <w:tl2br w:val="nil"/>
                    <w:tr2bl w:val="nil"/>
                  </w:tcBorders>
                  <w:noWrap w:val="0"/>
                  <w:vAlign w:val="center"/>
                </w:tcPr>
                <w:p w14:paraId="67488535">
                  <w:pPr>
                    <w:pStyle w:val="49"/>
                    <w:keepNext w:val="0"/>
                    <w:keepLines w:val="0"/>
                    <w:pageBreakBefore w:val="0"/>
                    <w:widowControl w:val="0"/>
                    <w:kinsoku/>
                    <w:wordWrap/>
                    <w:overflowPunct/>
                    <w:topLinePunct w:val="0"/>
                    <w:autoSpaceDE/>
                    <w:autoSpaceDN/>
                    <w:bidi w:val="0"/>
                    <w:adjustRightInd w:val="0"/>
                    <w:snapToGrid w:val="0"/>
                    <w:ind w:left="0"/>
                    <w:textAlignment w:val="auto"/>
                    <w:rPr>
                      <w:rFonts w:hint="default" w:ascii="Times New Roman" w:hAnsi="Times New Roman" w:eastAsia="宋体" w:cs="Times New Roman"/>
                      <w:b w:val="0"/>
                      <w:bCs w:val="0"/>
                      <w:color w:val="auto"/>
                      <w:sz w:val="21"/>
                      <w:szCs w:val="21"/>
                      <w:highlight w:val="none"/>
                      <w:u w:val="none" w:color="auto"/>
                      <w:lang w:eastAsia="zh-CN"/>
                    </w:rPr>
                  </w:pPr>
                  <w:r>
                    <w:rPr>
                      <w:rFonts w:hint="default" w:ascii="Times New Roman" w:hAnsi="Times New Roman" w:eastAsia="宋体" w:cs="Times New Roman"/>
                      <w:b w:val="0"/>
                      <w:bCs w:val="0"/>
                      <w:color w:val="auto"/>
                      <w:sz w:val="21"/>
                      <w:szCs w:val="21"/>
                      <w:highlight w:val="none"/>
                      <w:u w:val="none" w:color="auto"/>
                    </w:rPr>
                    <w:t>不涉及</w:t>
                  </w:r>
                </w:p>
              </w:tc>
              <w:tc>
                <w:tcPr>
                  <w:tcW w:w="411" w:type="pct"/>
                  <w:tcBorders>
                    <w:tl2br w:val="nil"/>
                    <w:tr2bl w:val="nil"/>
                  </w:tcBorders>
                  <w:noWrap w:val="0"/>
                  <w:vAlign w:val="center"/>
                </w:tcPr>
                <w:p w14:paraId="41C0030C">
                  <w:pPr>
                    <w:pStyle w:val="49"/>
                    <w:keepNext w:val="0"/>
                    <w:keepLines w:val="0"/>
                    <w:pageBreakBefore w:val="0"/>
                    <w:widowControl/>
                    <w:kinsoku/>
                    <w:wordWrap/>
                    <w:overflowPunct/>
                    <w:topLinePunct w:val="0"/>
                    <w:autoSpaceDE/>
                    <w:autoSpaceDN/>
                    <w:bidi w:val="0"/>
                    <w:adjustRightInd/>
                    <w:snapToGrid/>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lang w:val="en-US" w:eastAsia="zh-CN"/>
                    </w:rPr>
                  </w:pPr>
                  <w:r>
                    <w:rPr>
                      <w:rFonts w:hint="default" w:ascii="Times New Roman" w:hAnsi="Times New Roman" w:eastAsia="宋体" w:cs="Times New Roman"/>
                      <w:b w:val="0"/>
                      <w:bCs w:val="0"/>
                      <w:color w:val="auto"/>
                      <w:sz w:val="21"/>
                      <w:szCs w:val="21"/>
                      <w:highlight w:val="none"/>
                      <w:u w:val="none" w:color="auto"/>
                      <w:lang w:val="en-US" w:eastAsia="zh-CN"/>
                    </w:rPr>
                    <w:t>--</w:t>
                  </w:r>
                </w:p>
              </w:tc>
            </w:tr>
            <w:tr w14:paraId="6C7F53D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29" w:type="pct"/>
                  <w:vMerge w:val="continue"/>
                  <w:tcBorders>
                    <w:tl2br w:val="nil"/>
                    <w:tr2bl w:val="nil"/>
                  </w:tcBorders>
                  <w:noWrap w:val="0"/>
                  <w:vAlign w:val="center"/>
                </w:tcPr>
                <w:p w14:paraId="178B9820">
                  <w:pPr>
                    <w:pStyle w:val="49"/>
                    <w:keepNext w:val="0"/>
                    <w:keepLines w:val="0"/>
                    <w:pageBreakBefore w:val="0"/>
                    <w:widowControl/>
                    <w:kinsoku/>
                    <w:wordWrap/>
                    <w:overflowPunct/>
                    <w:topLinePunct w:val="0"/>
                    <w:autoSpaceDE/>
                    <w:autoSpaceDN/>
                    <w:bidi w:val="0"/>
                    <w:adjustRightInd/>
                    <w:snapToGrid/>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rPr>
                  </w:pPr>
                </w:p>
              </w:tc>
              <w:tc>
                <w:tcPr>
                  <w:tcW w:w="2935" w:type="pct"/>
                  <w:tcBorders>
                    <w:tl2br w:val="nil"/>
                    <w:tr2bl w:val="nil"/>
                  </w:tcBorders>
                  <w:noWrap w:val="0"/>
                  <w:vAlign w:val="center"/>
                </w:tcPr>
                <w:p w14:paraId="191272D9">
                  <w:pPr>
                    <w:pStyle w:val="49"/>
                    <w:keepNext w:val="0"/>
                    <w:keepLines w:val="0"/>
                    <w:pageBreakBefore w:val="0"/>
                    <w:kinsoku/>
                    <w:wordWrap/>
                    <w:overflowPunct/>
                    <w:topLinePunct w:val="0"/>
                    <w:autoSpaceDE/>
                    <w:autoSpaceDN/>
                    <w:bidi w:val="0"/>
                    <w:spacing w:line="240" w:lineRule="auto"/>
                    <w:ind w:left="-63" w:leftChars="-30" w:right="-63" w:rightChars="-30"/>
                    <w:jc w:val="both"/>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严格控制煤炭消费。制定煤炭消费总量控制目标，规范实行煤炭消费指标管理和减量（等量）替代管理。</w:t>
                  </w:r>
                </w:p>
              </w:tc>
              <w:tc>
                <w:tcPr>
                  <w:tcW w:w="1224" w:type="pct"/>
                  <w:tcBorders>
                    <w:tl2br w:val="nil"/>
                    <w:tr2bl w:val="nil"/>
                  </w:tcBorders>
                  <w:noWrap w:val="0"/>
                  <w:vAlign w:val="center"/>
                </w:tcPr>
                <w:p w14:paraId="151C2379">
                  <w:pPr>
                    <w:pStyle w:val="49"/>
                    <w:keepNext w:val="0"/>
                    <w:keepLines w:val="0"/>
                    <w:pageBreakBefore w:val="0"/>
                    <w:widowControl w:val="0"/>
                    <w:kinsoku/>
                    <w:wordWrap/>
                    <w:overflowPunct/>
                    <w:topLinePunct w:val="0"/>
                    <w:autoSpaceDE/>
                    <w:autoSpaceDN/>
                    <w:bidi w:val="0"/>
                    <w:adjustRightInd w:val="0"/>
                    <w:snapToGrid w:val="0"/>
                    <w:ind w:left="0"/>
                    <w:textAlignment w:val="auto"/>
                    <w:rPr>
                      <w:rFonts w:hint="default" w:ascii="Times New Roman" w:hAnsi="Times New Roman" w:eastAsia="宋体" w:cs="Times New Roman"/>
                      <w:b w:val="0"/>
                      <w:bCs w:val="0"/>
                      <w:color w:val="auto"/>
                      <w:sz w:val="21"/>
                      <w:szCs w:val="21"/>
                      <w:highlight w:val="none"/>
                      <w:u w:val="none" w:color="auto"/>
                      <w:lang w:eastAsia="zh-CN"/>
                    </w:rPr>
                  </w:pPr>
                  <w:r>
                    <w:rPr>
                      <w:rFonts w:hint="default" w:ascii="Times New Roman" w:hAnsi="Times New Roman" w:eastAsia="宋体" w:cs="Times New Roman"/>
                      <w:b w:val="0"/>
                      <w:bCs w:val="0"/>
                      <w:color w:val="auto"/>
                      <w:sz w:val="21"/>
                      <w:szCs w:val="21"/>
                      <w:highlight w:val="none"/>
                      <w:u w:val="none" w:color="auto"/>
                    </w:rPr>
                    <w:t>不涉及</w:t>
                  </w:r>
                </w:p>
              </w:tc>
              <w:tc>
                <w:tcPr>
                  <w:tcW w:w="411" w:type="pct"/>
                  <w:tcBorders>
                    <w:tl2br w:val="nil"/>
                    <w:tr2bl w:val="nil"/>
                  </w:tcBorders>
                  <w:noWrap w:val="0"/>
                  <w:vAlign w:val="center"/>
                </w:tcPr>
                <w:p w14:paraId="33DF6D85">
                  <w:pPr>
                    <w:pStyle w:val="49"/>
                    <w:keepNext w:val="0"/>
                    <w:keepLines w:val="0"/>
                    <w:pageBreakBefore w:val="0"/>
                    <w:widowControl/>
                    <w:kinsoku/>
                    <w:wordWrap/>
                    <w:overflowPunct/>
                    <w:topLinePunct w:val="0"/>
                    <w:autoSpaceDE/>
                    <w:autoSpaceDN/>
                    <w:bidi w:val="0"/>
                    <w:adjustRightInd/>
                    <w:snapToGrid/>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lang w:val="en-US" w:eastAsia="zh-CN"/>
                    </w:rPr>
                  </w:pPr>
                  <w:r>
                    <w:rPr>
                      <w:rFonts w:hint="default" w:ascii="Times New Roman" w:hAnsi="Times New Roman" w:eastAsia="宋体" w:cs="Times New Roman"/>
                      <w:b w:val="0"/>
                      <w:bCs w:val="0"/>
                      <w:color w:val="auto"/>
                      <w:sz w:val="21"/>
                      <w:szCs w:val="21"/>
                      <w:highlight w:val="none"/>
                      <w:u w:val="none" w:color="auto"/>
                      <w:lang w:val="en-US" w:eastAsia="zh-CN"/>
                    </w:rPr>
                    <w:t>--</w:t>
                  </w:r>
                </w:p>
              </w:tc>
            </w:tr>
            <w:tr w14:paraId="5C86286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29" w:type="pct"/>
                  <w:vMerge w:val="continue"/>
                  <w:tcBorders>
                    <w:tl2br w:val="nil"/>
                    <w:tr2bl w:val="nil"/>
                  </w:tcBorders>
                  <w:noWrap w:val="0"/>
                  <w:vAlign w:val="center"/>
                </w:tcPr>
                <w:p w14:paraId="3F8A430D">
                  <w:pPr>
                    <w:pStyle w:val="49"/>
                    <w:keepNext w:val="0"/>
                    <w:keepLines w:val="0"/>
                    <w:pageBreakBefore w:val="0"/>
                    <w:widowControl/>
                    <w:kinsoku/>
                    <w:wordWrap/>
                    <w:overflowPunct/>
                    <w:topLinePunct w:val="0"/>
                    <w:autoSpaceDE/>
                    <w:autoSpaceDN/>
                    <w:bidi w:val="0"/>
                    <w:adjustRightInd/>
                    <w:snapToGrid/>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rPr>
                  </w:pPr>
                </w:p>
              </w:tc>
              <w:tc>
                <w:tcPr>
                  <w:tcW w:w="2935" w:type="pct"/>
                  <w:tcBorders>
                    <w:tl2br w:val="nil"/>
                    <w:tr2bl w:val="nil"/>
                  </w:tcBorders>
                  <w:noWrap w:val="0"/>
                  <w:vAlign w:val="center"/>
                </w:tcPr>
                <w:p w14:paraId="0AC7D088">
                  <w:pPr>
                    <w:pStyle w:val="49"/>
                    <w:keepNext w:val="0"/>
                    <w:keepLines w:val="0"/>
                    <w:pageBreakBefore w:val="0"/>
                    <w:kinsoku/>
                    <w:wordWrap/>
                    <w:overflowPunct/>
                    <w:topLinePunct w:val="0"/>
                    <w:autoSpaceDE/>
                    <w:autoSpaceDN/>
                    <w:bidi w:val="0"/>
                    <w:spacing w:line="240" w:lineRule="auto"/>
                    <w:ind w:left="-63" w:leftChars="-30" w:right="-63" w:rightChars="-30"/>
                    <w:jc w:val="both"/>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高污染燃料禁燃区内，禁止销售、燃用高污染燃料；禁止新建、扩建燃用高污染燃料的设施。</w:t>
                  </w:r>
                </w:p>
              </w:tc>
              <w:tc>
                <w:tcPr>
                  <w:tcW w:w="1224" w:type="pct"/>
                  <w:tcBorders>
                    <w:tl2br w:val="nil"/>
                    <w:tr2bl w:val="nil"/>
                  </w:tcBorders>
                  <w:noWrap w:val="0"/>
                  <w:vAlign w:val="center"/>
                </w:tcPr>
                <w:p w14:paraId="1D03CBA9">
                  <w:pPr>
                    <w:pStyle w:val="49"/>
                    <w:keepNext w:val="0"/>
                    <w:keepLines w:val="0"/>
                    <w:pageBreakBefore w:val="0"/>
                    <w:widowControl w:val="0"/>
                    <w:kinsoku/>
                    <w:wordWrap/>
                    <w:overflowPunct/>
                    <w:topLinePunct w:val="0"/>
                    <w:autoSpaceDE/>
                    <w:autoSpaceDN/>
                    <w:bidi w:val="0"/>
                    <w:adjustRightInd w:val="0"/>
                    <w:snapToGrid w:val="0"/>
                    <w:ind w:left="0"/>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rPr>
                    <w:t>不涉及</w:t>
                  </w:r>
                </w:p>
              </w:tc>
              <w:tc>
                <w:tcPr>
                  <w:tcW w:w="411" w:type="pct"/>
                  <w:tcBorders>
                    <w:tl2br w:val="nil"/>
                    <w:tr2bl w:val="nil"/>
                  </w:tcBorders>
                  <w:noWrap w:val="0"/>
                  <w:vAlign w:val="center"/>
                </w:tcPr>
                <w:p w14:paraId="5A0040E9">
                  <w:pPr>
                    <w:pStyle w:val="49"/>
                    <w:keepNext w:val="0"/>
                    <w:keepLines w:val="0"/>
                    <w:pageBreakBefore w:val="0"/>
                    <w:widowControl/>
                    <w:kinsoku/>
                    <w:wordWrap/>
                    <w:overflowPunct/>
                    <w:topLinePunct w:val="0"/>
                    <w:autoSpaceDE/>
                    <w:autoSpaceDN/>
                    <w:bidi w:val="0"/>
                    <w:adjustRightInd/>
                    <w:snapToGrid/>
                    <w:spacing w:line="240" w:lineRule="auto"/>
                    <w:ind w:left="-63" w:leftChars="-30" w:right="-63" w:rightChars="-30"/>
                    <w:textAlignment w:val="auto"/>
                    <w:rPr>
                      <w:rFonts w:hint="default" w:ascii="Times New Roman" w:hAnsi="Times New Roman" w:eastAsia="宋体" w:cs="Times New Roman"/>
                      <w:b w:val="0"/>
                      <w:bCs w:val="0"/>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lang w:val="en-US" w:eastAsia="zh-CN"/>
                    </w:rPr>
                    <w:t>--</w:t>
                  </w:r>
                </w:p>
              </w:tc>
            </w:tr>
          </w:tbl>
          <w:p w14:paraId="666DD247">
            <w:pPr>
              <w:pStyle w:val="72"/>
              <w:numPr>
                <w:ilvl w:val="0"/>
                <w:numId w:val="0"/>
              </w:numPr>
              <w:bidi w:val="0"/>
              <w:ind w:leftChars="0"/>
              <w:jc w:val="center"/>
              <w:rPr>
                <w:rFonts w:hint="eastAsia"/>
                <w:color w:val="auto"/>
                <w:highlight w:val="none"/>
                <w:u w:val="single" w:color="auto"/>
                <w:lang w:val="en-US" w:eastAsia="zh-CN"/>
              </w:rPr>
            </w:pPr>
          </w:p>
          <w:p w14:paraId="34FC2BE6">
            <w:pPr>
              <w:pStyle w:val="72"/>
              <w:numPr>
                <w:ilvl w:val="0"/>
                <w:numId w:val="0"/>
              </w:numPr>
              <w:bidi w:val="0"/>
              <w:ind w:leftChars="0"/>
              <w:jc w:val="center"/>
              <w:rPr>
                <w:rFonts w:hint="default"/>
                <w:color w:val="auto"/>
                <w:highlight w:val="none"/>
                <w:u w:val="none" w:color="auto"/>
              </w:rPr>
            </w:pPr>
            <w:r>
              <w:rPr>
                <w:rFonts w:hint="eastAsia"/>
                <w:color w:val="auto"/>
                <w:highlight w:val="none"/>
                <w:u w:val="none" w:color="auto"/>
                <w:lang w:val="en-US" w:eastAsia="zh-CN"/>
              </w:rPr>
              <w:t xml:space="preserve">表1-2  </w:t>
            </w:r>
            <w:r>
              <w:rPr>
                <w:rFonts w:hint="default"/>
                <w:b/>
                <w:bCs/>
                <w:sz w:val="24"/>
                <w:szCs w:val="24"/>
                <w:highlight w:val="none"/>
                <w:u w:val="none" w:color="auto"/>
                <w:lang w:val="en-US" w:eastAsia="zh-CN"/>
              </w:rPr>
              <w:t>与</w:t>
            </w:r>
            <w:r>
              <w:rPr>
                <w:rFonts w:hint="eastAsia"/>
                <w:b/>
                <w:bCs/>
                <w:sz w:val="24"/>
                <w:szCs w:val="24"/>
                <w:highlight w:val="none"/>
                <w:u w:val="none" w:color="auto"/>
                <w:lang w:val="en-US" w:eastAsia="zh-CN"/>
              </w:rPr>
              <w:t>YLJ流域</w:t>
            </w:r>
            <w:r>
              <w:rPr>
                <w:rFonts w:hint="default"/>
                <w:b/>
                <w:bCs/>
                <w:sz w:val="24"/>
                <w:szCs w:val="24"/>
                <w:highlight w:val="none"/>
                <w:u w:val="none" w:color="auto"/>
                <w:lang w:val="en-US" w:eastAsia="zh-CN"/>
              </w:rPr>
              <w:t>总体准入要求符合性</w:t>
            </w:r>
          </w:p>
          <w:tbl>
            <w:tblPr>
              <w:tblStyle w:val="26"/>
              <w:tblW w:w="4993"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27"/>
              <w:gridCol w:w="3346"/>
              <w:gridCol w:w="2219"/>
              <w:gridCol w:w="562"/>
            </w:tblGrid>
            <w:tr w14:paraId="66B7EE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997" w:type="pct"/>
                  <w:tcBorders>
                    <w:tl2br w:val="nil"/>
                    <w:tr2bl w:val="nil"/>
                  </w:tcBorders>
                  <w:noWrap w:val="0"/>
                  <w:vAlign w:val="center"/>
                </w:tcPr>
                <w:p w14:paraId="3522B9FB">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Lines="0" w:beforeAutospacing="0" w:after="0" w:afterLines="0" w:afterAutospacing="0" w:line="240" w:lineRule="auto"/>
                    <w:ind w:left="-105" w:leftChars="-50" w:right="-105" w:rightChars="-50" w:firstLine="0" w:firstLineChars="0"/>
                    <w:jc w:val="center"/>
                    <w:textAlignment w:val="baseline"/>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eastAsia="宋体" w:cs="Times New Roman"/>
                      <w:color w:val="auto"/>
                      <w:kern w:val="21"/>
                      <w:sz w:val="21"/>
                      <w:szCs w:val="21"/>
                      <w:highlight w:val="none"/>
                      <w:u w:val="none" w:color="auto"/>
                      <w:lang w:eastAsia="zh-CN"/>
                    </w:rPr>
                    <w:t>管控领域</w:t>
                  </w:r>
                </w:p>
              </w:tc>
              <w:tc>
                <w:tcPr>
                  <w:tcW w:w="2185" w:type="pct"/>
                  <w:tcBorders>
                    <w:tl2br w:val="nil"/>
                    <w:tr2bl w:val="nil"/>
                  </w:tcBorders>
                  <w:noWrap w:val="0"/>
                  <w:vAlign w:val="center"/>
                </w:tcPr>
                <w:p w14:paraId="18A6F4A0">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eastAsia="宋体" w:cs="Times New Roman"/>
                      <w:color w:val="auto"/>
                      <w:sz w:val="21"/>
                      <w:szCs w:val="21"/>
                      <w:highlight w:val="none"/>
                      <w:u w:val="none" w:color="auto"/>
                      <w:lang w:val="en-US" w:eastAsia="zh-CN"/>
                    </w:rPr>
                    <w:t>管控要求</w:t>
                  </w:r>
                </w:p>
              </w:tc>
              <w:tc>
                <w:tcPr>
                  <w:tcW w:w="1449" w:type="pct"/>
                  <w:tcBorders>
                    <w:tl2br w:val="nil"/>
                    <w:tr2bl w:val="nil"/>
                  </w:tcBorders>
                  <w:noWrap w:val="0"/>
                  <w:vAlign w:val="center"/>
                </w:tcPr>
                <w:p w14:paraId="6BD0DBD2">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eastAsia="宋体" w:cs="Times New Roman"/>
                      <w:color w:val="auto"/>
                      <w:sz w:val="21"/>
                      <w:szCs w:val="21"/>
                      <w:highlight w:val="none"/>
                      <w:u w:val="none" w:color="auto"/>
                      <w:lang w:eastAsia="zh-CN"/>
                    </w:rPr>
                    <w:t>项目符合性分析</w:t>
                  </w:r>
                </w:p>
              </w:tc>
              <w:tc>
                <w:tcPr>
                  <w:tcW w:w="367" w:type="pct"/>
                  <w:tcBorders>
                    <w:tl2br w:val="nil"/>
                    <w:tr2bl w:val="nil"/>
                  </w:tcBorders>
                  <w:noWrap w:val="0"/>
                  <w:vAlign w:val="center"/>
                </w:tcPr>
                <w:p w14:paraId="3165D05A">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left="-105" w:leftChars="-50" w:right="-105" w:rightChars="-50" w:firstLine="0" w:firstLineChars="0"/>
                    <w:jc w:val="center"/>
                    <w:textAlignment w:val="baseline"/>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eastAsia="宋体" w:cs="Times New Roman"/>
                      <w:color w:val="auto"/>
                      <w:sz w:val="21"/>
                      <w:szCs w:val="21"/>
                      <w:highlight w:val="none"/>
                      <w:u w:val="none" w:color="auto"/>
                      <w:lang w:eastAsia="zh-CN"/>
                    </w:rPr>
                    <w:t>符合性</w:t>
                  </w:r>
                </w:p>
              </w:tc>
            </w:tr>
            <w:tr w14:paraId="0B7941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997" w:type="pct"/>
                  <w:vMerge w:val="restart"/>
                  <w:tcBorders>
                    <w:tl2br w:val="nil"/>
                    <w:tr2bl w:val="nil"/>
                  </w:tcBorders>
                  <w:noWrap w:val="0"/>
                  <w:vAlign w:val="center"/>
                </w:tcPr>
                <w:p w14:paraId="46262E9C">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left="-105" w:leftChars="-50" w:right="-105" w:rightChars="-50" w:firstLine="0" w:firstLineChars="0"/>
                    <w:jc w:val="center"/>
                    <w:textAlignment w:val="baseline"/>
                    <w:rPr>
                      <w:rFonts w:hint="default" w:ascii="Times New Roman" w:hAnsi="Times New Roman" w:eastAsia="宋体" w:cs="Times New Roman"/>
                      <w:color w:val="auto"/>
                      <w:kern w:val="2"/>
                      <w:sz w:val="21"/>
                      <w:szCs w:val="21"/>
                      <w:highlight w:val="none"/>
                      <w:u w:val="none" w:color="auto"/>
                      <w:lang w:val="zh-CN" w:eastAsia="zh-CN" w:bidi="ar-SA"/>
                    </w:rPr>
                  </w:pPr>
                  <w:r>
                    <w:rPr>
                      <w:rFonts w:hint="default" w:ascii="Times New Roman" w:hAnsi="Times New Roman" w:eastAsia="宋体" w:cs="Times New Roman"/>
                      <w:color w:val="auto"/>
                      <w:sz w:val="21"/>
                      <w:szCs w:val="21"/>
                      <w:highlight w:val="none"/>
                      <w:u w:val="none" w:color="auto"/>
                      <w:lang w:eastAsia="zh-CN"/>
                    </w:rPr>
                    <w:t>空间布局约束</w:t>
                  </w:r>
                </w:p>
              </w:tc>
              <w:tc>
                <w:tcPr>
                  <w:tcW w:w="2185" w:type="pct"/>
                  <w:tcBorders>
                    <w:tl2br w:val="nil"/>
                    <w:tr2bl w:val="nil"/>
                  </w:tcBorders>
                  <w:noWrap w:val="0"/>
                  <w:vAlign w:val="center"/>
                </w:tcPr>
                <w:p w14:paraId="190423EE">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Lines="0" w:beforeAutospacing="0" w:after="0" w:afterLines="0" w:afterAutospacing="0" w:line="240" w:lineRule="auto"/>
                    <w:ind w:left="-63" w:leftChars="-30" w:right="-63" w:rightChars="-30" w:firstLine="0" w:firstLineChars="0"/>
                    <w:jc w:val="both"/>
                    <w:textAlignment w:val="baseline"/>
                    <w:rPr>
                      <w:rFonts w:hint="default" w:ascii="Times New Roman" w:hAnsi="Times New Roman" w:eastAsia="宋体" w:cs="Times New Roman"/>
                      <w:color w:val="auto"/>
                      <w:kern w:val="2"/>
                      <w:sz w:val="21"/>
                      <w:szCs w:val="21"/>
                      <w:highlight w:val="none"/>
                      <w:u w:val="none" w:color="auto"/>
                      <w:lang w:val="zh-CN" w:eastAsia="zh-CN" w:bidi="ar-SA"/>
                    </w:rPr>
                  </w:pPr>
                  <w:r>
                    <w:rPr>
                      <w:rFonts w:hint="default" w:ascii="Times New Roman" w:hAnsi="Times New Roman" w:eastAsia="宋体" w:cs="Times New Roman"/>
                      <w:color w:val="auto"/>
                      <w:sz w:val="21"/>
                      <w:szCs w:val="21"/>
                      <w:highlight w:val="none"/>
                      <w:u w:val="none" w:color="auto"/>
                      <w:lang w:eastAsia="zh-CN"/>
                    </w:rPr>
                    <w:t>严格控制YLJ流域矿产加工制造和有色金属冶炼等项目建设。</w:t>
                  </w:r>
                </w:p>
              </w:tc>
              <w:tc>
                <w:tcPr>
                  <w:tcW w:w="1449" w:type="pct"/>
                  <w:tcBorders>
                    <w:tl2br w:val="nil"/>
                    <w:tr2bl w:val="nil"/>
                  </w:tcBorders>
                  <w:noWrap w:val="0"/>
                  <w:vAlign w:val="center"/>
                </w:tcPr>
                <w:p w14:paraId="69EB56B2">
                  <w:pPr>
                    <w:keepNext w:val="0"/>
                    <w:keepLines w:val="0"/>
                    <w:pageBreakBefore w:val="0"/>
                    <w:widowControl/>
                    <w:suppressLineNumbers w:val="0"/>
                    <w:kinsoku/>
                    <w:wordWrap/>
                    <w:overflowPunct/>
                    <w:topLinePunct w:val="0"/>
                    <w:autoSpaceDE/>
                    <w:autoSpaceDN/>
                    <w:bidi w:val="0"/>
                    <w:adjustRightInd/>
                    <w:snapToGrid/>
                    <w:spacing w:line="240" w:lineRule="auto"/>
                    <w:ind w:right="0" w:rightChars="0" w:firstLine="0" w:firstLineChars="0"/>
                    <w:jc w:val="both"/>
                    <w:textAlignment w:val="auto"/>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eastAsia" w:ascii="Times New Roman" w:hAnsi="Times New Roman" w:eastAsia="宋体" w:cs="Times New Roman"/>
                      <w:color w:val="auto"/>
                      <w:sz w:val="21"/>
                      <w:szCs w:val="21"/>
                      <w:highlight w:val="none"/>
                      <w:u w:val="none" w:color="auto"/>
                      <w:vertAlign w:val="baseline"/>
                      <w:lang w:val="en-US" w:eastAsia="zh-CN"/>
                    </w:rPr>
                    <w:t>本项目为商品混凝土制造项目，不属于</w:t>
                  </w:r>
                  <w:r>
                    <w:rPr>
                      <w:rFonts w:hint="default" w:ascii="Times New Roman" w:hAnsi="Times New Roman" w:eastAsia="宋体" w:cs="Times New Roman"/>
                      <w:color w:val="auto"/>
                      <w:sz w:val="21"/>
                      <w:szCs w:val="21"/>
                      <w:highlight w:val="none"/>
                      <w:u w:val="none" w:color="auto"/>
                      <w:lang w:eastAsia="zh-CN"/>
                    </w:rPr>
                    <w:t>矿产加工制造和有色金属冶炼等项目</w:t>
                  </w:r>
                  <w:r>
                    <w:rPr>
                      <w:rFonts w:hint="eastAsia" w:cs="Times New Roman"/>
                      <w:color w:val="auto"/>
                      <w:sz w:val="21"/>
                      <w:szCs w:val="21"/>
                      <w:highlight w:val="none"/>
                      <w:u w:val="none" w:color="auto"/>
                      <w:vertAlign w:val="baseline"/>
                      <w:lang w:val="en-US" w:eastAsia="zh-CN"/>
                    </w:rPr>
                    <w:t>。</w:t>
                  </w:r>
                </w:p>
              </w:tc>
              <w:tc>
                <w:tcPr>
                  <w:tcW w:w="367" w:type="pct"/>
                  <w:tcBorders>
                    <w:tl2br w:val="nil"/>
                    <w:tr2bl w:val="nil"/>
                  </w:tcBorders>
                  <w:noWrap w:val="0"/>
                  <w:vAlign w:val="center"/>
                </w:tcPr>
                <w:p w14:paraId="6E568371">
                  <w:pPr>
                    <w:pStyle w:val="9"/>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color="auto"/>
                      <w:vertAlign w:val="baseline"/>
                      <w:lang w:val="en-US" w:eastAsia="zh-CN" w:bidi="ar-SA"/>
                    </w:rPr>
                  </w:pPr>
                  <w:r>
                    <w:rPr>
                      <w:rFonts w:hint="eastAsia" w:ascii="Times New Roman" w:hAnsi="Times New Roman" w:eastAsia="宋体" w:cs="Times New Roman"/>
                      <w:color w:val="auto"/>
                      <w:kern w:val="0"/>
                      <w:sz w:val="21"/>
                      <w:szCs w:val="21"/>
                      <w:highlight w:val="none"/>
                      <w:u w:val="none" w:color="auto"/>
                      <w:vertAlign w:val="baseline"/>
                      <w:lang w:val="en-US" w:eastAsia="zh-CN" w:bidi="ar-SA"/>
                    </w:rPr>
                    <w:t>符合</w:t>
                  </w:r>
                </w:p>
              </w:tc>
            </w:tr>
            <w:tr w14:paraId="3C252E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997" w:type="pct"/>
                  <w:vMerge w:val="continue"/>
                  <w:tcBorders>
                    <w:tl2br w:val="nil"/>
                    <w:tr2bl w:val="nil"/>
                  </w:tcBorders>
                  <w:noWrap w:val="0"/>
                  <w:vAlign w:val="center"/>
                </w:tcPr>
                <w:p w14:paraId="655680F3">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left="-105" w:leftChars="-50" w:right="-105" w:rightChars="-50" w:firstLine="0" w:firstLineChars="0"/>
                    <w:jc w:val="center"/>
                    <w:textAlignment w:val="baseline"/>
                    <w:rPr>
                      <w:rFonts w:hint="default" w:ascii="Times New Roman" w:hAnsi="Times New Roman" w:eastAsia="宋体" w:cs="Times New Roman"/>
                      <w:color w:val="auto"/>
                      <w:sz w:val="21"/>
                      <w:szCs w:val="21"/>
                      <w:highlight w:val="none"/>
                      <w:u w:val="none" w:color="auto"/>
                      <w:lang w:eastAsia="zh-CN"/>
                    </w:rPr>
                  </w:pPr>
                </w:p>
              </w:tc>
              <w:tc>
                <w:tcPr>
                  <w:tcW w:w="2185" w:type="pct"/>
                  <w:tcBorders>
                    <w:tl2br w:val="nil"/>
                    <w:tr2bl w:val="nil"/>
                  </w:tcBorders>
                  <w:noWrap w:val="0"/>
                  <w:vAlign w:val="center"/>
                </w:tcPr>
                <w:p w14:paraId="35F8091C">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Lines="0" w:beforeAutospacing="0" w:after="0" w:afterLines="0" w:afterAutospacing="0" w:line="240" w:lineRule="auto"/>
                    <w:ind w:left="-63" w:leftChars="-30" w:right="-63" w:rightChars="-30" w:firstLine="0" w:firstLineChars="0"/>
                    <w:jc w:val="both"/>
                    <w:textAlignment w:val="baseline"/>
                    <w:rPr>
                      <w:rFonts w:hint="default" w:ascii="Times New Roman" w:hAnsi="Times New Roman" w:eastAsia="宋体" w:cs="Times New Roman"/>
                      <w:color w:val="auto"/>
                      <w:sz w:val="21"/>
                      <w:szCs w:val="21"/>
                      <w:highlight w:val="none"/>
                      <w:u w:val="none" w:color="auto"/>
                      <w:vertAlign w:val="baseline"/>
                      <w:lang w:val="en-US" w:eastAsia="zh-CN"/>
                    </w:rPr>
                  </w:pPr>
                  <w:r>
                    <w:rPr>
                      <w:rFonts w:hint="default" w:ascii="Times New Roman" w:hAnsi="Times New Roman" w:eastAsia="宋体" w:cs="Times New Roman"/>
                      <w:color w:val="auto"/>
                      <w:kern w:val="0"/>
                      <w:sz w:val="21"/>
                      <w:szCs w:val="21"/>
                      <w:highlight w:val="none"/>
                      <w:u w:val="none" w:color="auto"/>
                      <w:lang w:val="en-US" w:eastAsia="zh-CN" w:bidi="ar"/>
                    </w:rPr>
                    <w:t>实施生态修复，合理建设生态隔离带。</w:t>
                  </w:r>
                </w:p>
              </w:tc>
              <w:tc>
                <w:tcPr>
                  <w:tcW w:w="1449" w:type="pct"/>
                  <w:tcBorders>
                    <w:tl2br w:val="nil"/>
                    <w:tr2bl w:val="nil"/>
                  </w:tcBorders>
                  <w:noWrap w:val="0"/>
                  <w:vAlign w:val="center"/>
                </w:tcPr>
                <w:p w14:paraId="79AA6049">
                  <w:pPr>
                    <w:keepNext w:val="0"/>
                    <w:keepLines w:val="0"/>
                    <w:pageBreakBefore w:val="0"/>
                    <w:widowControl/>
                    <w:suppressLineNumbers w:val="0"/>
                    <w:kinsoku/>
                    <w:wordWrap/>
                    <w:overflowPunct/>
                    <w:topLinePunct w:val="0"/>
                    <w:autoSpaceDE/>
                    <w:autoSpaceDN/>
                    <w:bidi w:val="0"/>
                    <w:adjustRightInd/>
                    <w:snapToGrid/>
                    <w:spacing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u w:val="none" w:color="auto"/>
                      <w:vertAlign w:val="baseline"/>
                      <w:lang w:val="zh-CN" w:eastAsia="zh-CN" w:bidi="ar-SA"/>
                    </w:rPr>
                  </w:pPr>
                  <w:r>
                    <w:rPr>
                      <w:rFonts w:hint="eastAsia" w:ascii="Times New Roman" w:hAnsi="Times New Roman" w:eastAsia="宋体" w:cs="Times New Roman"/>
                      <w:color w:val="auto"/>
                      <w:sz w:val="21"/>
                      <w:szCs w:val="21"/>
                      <w:highlight w:val="none"/>
                      <w:u w:val="none" w:color="auto"/>
                      <w:vertAlign w:val="baseline"/>
                      <w:lang w:val="en-US" w:eastAsia="zh-CN"/>
                    </w:rPr>
                    <w:t>不涉及</w:t>
                  </w:r>
                </w:p>
              </w:tc>
              <w:tc>
                <w:tcPr>
                  <w:tcW w:w="367" w:type="pct"/>
                  <w:tcBorders>
                    <w:tl2br w:val="nil"/>
                    <w:tr2bl w:val="nil"/>
                  </w:tcBorders>
                  <w:noWrap w:val="0"/>
                  <w:vAlign w:val="center"/>
                </w:tcPr>
                <w:p w14:paraId="158700E5">
                  <w:pPr>
                    <w:pStyle w:val="9"/>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color="auto"/>
                      <w:vertAlign w:val="baseline"/>
                      <w:lang w:val="en-US" w:eastAsia="zh-CN" w:bidi="ar-SA"/>
                    </w:rPr>
                  </w:pPr>
                  <w:r>
                    <w:rPr>
                      <w:rFonts w:hint="eastAsia" w:ascii="Times New Roman" w:hAnsi="Times New Roman" w:eastAsia="宋体" w:cs="Times New Roman"/>
                      <w:color w:val="auto"/>
                      <w:sz w:val="21"/>
                      <w:szCs w:val="21"/>
                      <w:highlight w:val="none"/>
                      <w:u w:val="none" w:color="auto"/>
                      <w:vertAlign w:val="baseline"/>
                      <w:lang w:val="en-US" w:eastAsia="zh-CN"/>
                    </w:rPr>
                    <w:t>--</w:t>
                  </w:r>
                </w:p>
              </w:tc>
            </w:tr>
            <w:tr w14:paraId="30E19C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997" w:type="pct"/>
                  <w:vMerge w:val="continue"/>
                  <w:tcBorders>
                    <w:tl2br w:val="nil"/>
                    <w:tr2bl w:val="nil"/>
                  </w:tcBorders>
                  <w:noWrap w:val="0"/>
                  <w:vAlign w:val="center"/>
                </w:tcPr>
                <w:p w14:paraId="5A2B5561">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left="-105" w:leftChars="-50" w:right="-105" w:rightChars="-50" w:firstLine="0" w:firstLineChars="0"/>
                    <w:jc w:val="center"/>
                    <w:textAlignment w:val="baseline"/>
                    <w:rPr>
                      <w:rFonts w:hint="default" w:ascii="Times New Roman" w:hAnsi="Times New Roman" w:eastAsia="宋体" w:cs="Times New Roman"/>
                      <w:color w:val="auto"/>
                      <w:sz w:val="21"/>
                      <w:szCs w:val="21"/>
                      <w:highlight w:val="none"/>
                      <w:u w:val="none" w:color="auto"/>
                      <w:lang w:eastAsia="zh-CN"/>
                    </w:rPr>
                  </w:pPr>
                </w:p>
              </w:tc>
              <w:tc>
                <w:tcPr>
                  <w:tcW w:w="2185" w:type="pct"/>
                  <w:tcBorders>
                    <w:tl2br w:val="nil"/>
                    <w:tr2bl w:val="nil"/>
                  </w:tcBorders>
                  <w:noWrap w:val="0"/>
                  <w:vAlign w:val="center"/>
                </w:tcPr>
                <w:p w14:paraId="40814368">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Lines="0" w:beforeAutospacing="0" w:after="0" w:afterLines="0" w:afterAutospacing="0" w:line="240" w:lineRule="auto"/>
                    <w:ind w:left="-63" w:leftChars="-30" w:right="-63" w:rightChars="-30" w:firstLine="0" w:firstLineChars="0"/>
                    <w:jc w:val="both"/>
                    <w:textAlignment w:val="baseline"/>
                    <w:rPr>
                      <w:rFonts w:hint="default" w:ascii="Times New Roman" w:hAnsi="Times New Roman" w:eastAsia="宋体" w:cs="Times New Roman"/>
                      <w:color w:val="auto"/>
                      <w:kern w:val="0"/>
                      <w:sz w:val="21"/>
                      <w:szCs w:val="21"/>
                      <w:highlight w:val="none"/>
                      <w:u w:val="none" w:color="auto"/>
                      <w:lang w:val="en-US" w:eastAsia="zh-CN" w:bidi="ar"/>
                    </w:rPr>
                  </w:pPr>
                  <w:r>
                    <w:rPr>
                      <w:rFonts w:hint="default" w:ascii="Times New Roman" w:hAnsi="Times New Roman" w:eastAsia="宋体" w:cs="Times New Roman"/>
                      <w:color w:val="auto"/>
                      <w:kern w:val="0"/>
                      <w:sz w:val="21"/>
                      <w:szCs w:val="21"/>
                      <w:highlight w:val="none"/>
                      <w:u w:val="none" w:color="auto"/>
                      <w:lang w:val="en-US" w:eastAsia="zh-CN" w:bidi="ar"/>
                    </w:rPr>
                    <w:t>禁止在崩塌、滑坡危险区和泥石流易发区从事取土、挖砂、采石等可能造成水土流失的活动。禁止开垦、开发植物保护带。禁止在二十度以上陡坡地开垦种植农作物，种植人参开垦坡度不得超过二十五度。禁止毁林、毁草开垦。禁止在水土流失重点预防区和重点治理区铲草皮、挖树蔸等。</w:t>
                  </w:r>
                </w:p>
              </w:tc>
              <w:tc>
                <w:tcPr>
                  <w:tcW w:w="1449" w:type="pct"/>
                  <w:tcBorders>
                    <w:tl2br w:val="nil"/>
                    <w:tr2bl w:val="nil"/>
                  </w:tcBorders>
                  <w:shd w:val="clear" w:color="auto" w:fill="auto"/>
                  <w:noWrap w:val="0"/>
                  <w:vAlign w:val="center"/>
                </w:tcPr>
                <w:p w14:paraId="7AF7C20A">
                  <w:pPr>
                    <w:keepNext w:val="0"/>
                    <w:keepLines w:val="0"/>
                    <w:pageBreakBefore w:val="0"/>
                    <w:widowControl/>
                    <w:suppressLineNumbers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Times New Roman" w:hAnsi="Times New Roman" w:eastAsia="宋体" w:cs="Times New Roman"/>
                      <w:color w:val="auto"/>
                      <w:kern w:val="2"/>
                      <w:sz w:val="21"/>
                      <w:szCs w:val="21"/>
                      <w:highlight w:val="none"/>
                      <w:u w:val="none" w:color="auto"/>
                      <w:vertAlign w:val="baseline"/>
                      <w:lang w:val="en-US" w:eastAsia="zh-CN" w:bidi="ar-SA"/>
                    </w:rPr>
                  </w:pPr>
                  <w:r>
                    <w:rPr>
                      <w:rFonts w:hint="eastAsia" w:ascii="Times New Roman" w:hAnsi="Times New Roman" w:eastAsia="宋体" w:cs="Times New Roman"/>
                      <w:color w:val="auto"/>
                      <w:sz w:val="21"/>
                      <w:szCs w:val="21"/>
                      <w:highlight w:val="none"/>
                      <w:u w:val="none" w:color="auto"/>
                      <w:vertAlign w:val="baseline"/>
                      <w:lang w:val="en-US" w:eastAsia="zh-CN"/>
                    </w:rPr>
                    <w:t>不涉及</w:t>
                  </w:r>
                </w:p>
              </w:tc>
              <w:tc>
                <w:tcPr>
                  <w:tcW w:w="367" w:type="pct"/>
                  <w:tcBorders>
                    <w:tl2br w:val="nil"/>
                    <w:tr2bl w:val="nil"/>
                  </w:tcBorders>
                  <w:shd w:val="clear" w:color="auto" w:fill="auto"/>
                  <w:noWrap w:val="0"/>
                  <w:vAlign w:val="center"/>
                </w:tcPr>
                <w:p w14:paraId="613D61D0">
                  <w:pPr>
                    <w:pStyle w:val="9"/>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eastAsia" w:ascii="Times New Roman" w:hAnsi="Times New Roman" w:eastAsia="宋体" w:cs="Times New Roman"/>
                      <w:color w:val="auto"/>
                      <w:kern w:val="0"/>
                      <w:sz w:val="21"/>
                      <w:szCs w:val="21"/>
                      <w:highlight w:val="none"/>
                      <w:u w:val="none" w:color="auto"/>
                      <w:vertAlign w:val="baseline"/>
                      <w:lang w:val="en-US" w:eastAsia="zh-CN" w:bidi="ar-SA"/>
                    </w:rPr>
                  </w:pPr>
                  <w:r>
                    <w:rPr>
                      <w:rFonts w:hint="eastAsia" w:ascii="Times New Roman" w:hAnsi="Times New Roman" w:eastAsia="宋体" w:cs="Times New Roman"/>
                      <w:color w:val="auto"/>
                      <w:sz w:val="21"/>
                      <w:szCs w:val="21"/>
                      <w:highlight w:val="none"/>
                      <w:u w:val="none" w:color="auto"/>
                      <w:vertAlign w:val="baseline"/>
                      <w:lang w:val="en-US" w:eastAsia="zh-CN"/>
                    </w:rPr>
                    <w:t>--</w:t>
                  </w:r>
                </w:p>
              </w:tc>
            </w:tr>
            <w:tr w14:paraId="20E1AE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997" w:type="pct"/>
                  <w:vMerge w:val="restart"/>
                  <w:noWrap w:val="0"/>
                  <w:vAlign w:val="center"/>
                </w:tcPr>
                <w:p w14:paraId="6BB6AD14">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left="-105" w:leftChars="-50" w:right="-105" w:rightChars="-50" w:firstLine="0" w:firstLineChars="0"/>
                    <w:jc w:val="center"/>
                    <w:textAlignment w:val="baseline"/>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kern w:val="2"/>
                      <w:sz w:val="21"/>
                      <w:szCs w:val="21"/>
                      <w:highlight w:val="none"/>
                      <w:u w:val="none" w:color="auto"/>
                      <w:lang w:val="en-US" w:eastAsia="zh-CN" w:bidi="ar-SA"/>
                    </w:rPr>
                    <w:t>污染物排放管控</w:t>
                  </w:r>
                </w:p>
              </w:tc>
              <w:tc>
                <w:tcPr>
                  <w:tcW w:w="2185" w:type="pct"/>
                  <w:noWrap w:val="0"/>
                  <w:vAlign w:val="center"/>
                </w:tcPr>
                <w:p w14:paraId="33760F41">
                  <w:pPr>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both"/>
                    <w:rPr>
                      <w:rFonts w:hint="default" w:ascii="Times New Roman" w:hAnsi="Times New Roman" w:eastAsia="宋体" w:cs="Times New Roman"/>
                      <w:color w:val="auto"/>
                      <w:kern w:val="2"/>
                      <w:sz w:val="21"/>
                      <w:szCs w:val="21"/>
                      <w:highlight w:val="none"/>
                      <w:u w:val="none" w:color="auto"/>
                      <w:lang w:val="zh-CN" w:eastAsia="zh-CN" w:bidi="ar-SA"/>
                    </w:rPr>
                  </w:pPr>
                  <w:r>
                    <w:rPr>
                      <w:rFonts w:hint="default" w:ascii="Times New Roman" w:hAnsi="Times New Roman" w:eastAsia="宋体" w:cs="Times New Roman"/>
                      <w:color w:val="auto"/>
                      <w:sz w:val="21"/>
                      <w:szCs w:val="21"/>
                      <w:highlight w:val="none"/>
                      <w:u w:val="none" w:color="auto"/>
                      <w:lang w:val="zh-CN"/>
                    </w:rPr>
                    <w:t>推进城镇污水处理设施及配套管网建设与改造，加快实施雨污分流。</w:t>
                  </w:r>
                </w:p>
              </w:tc>
              <w:tc>
                <w:tcPr>
                  <w:tcW w:w="1449" w:type="pct"/>
                  <w:shd w:val="clear" w:color="auto" w:fill="auto"/>
                  <w:noWrap w:val="0"/>
                  <w:vAlign w:val="center"/>
                </w:tcPr>
                <w:p w14:paraId="5C5A600C">
                  <w:pPr>
                    <w:keepNext w:val="0"/>
                    <w:keepLines w:val="0"/>
                    <w:pageBreakBefore w:val="0"/>
                    <w:widowControl/>
                    <w:suppressLineNumbers w:val="0"/>
                    <w:kinsoku/>
                    <w:wordWrap/>
                    <w:overflowPunct/>
                    <w:topLinePunct w:val="0"/>
                    <w:autoSpaceDE/>
                    <w:autoSpaceDN/>
                    <w:bidi w:val="0"/>
                    <w:adjustRightInd/>
                    <w:snapToGrid/>
                    <w:spacing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eastAsia" w:ascii="Times New Roman" w:hAnsi="Times New Roman" w:eastAsia="宋体" w:cs="Times New Roman"/>
                      <w:color w:val="auto"/>
                      <w:sz w:val="21"/>
                      <w:szCs w:val="21"/>
                      <w:highlight w:val="none"/>
                      <w:u w:val="none" w:color="auto"/>
                      <w:vertAlign w:val="baseline"/>
                      <w:lang w:val="en-US" w:eastAsia="zh-CN"/>
                    </w:rPr>
                    <w:t>不涉及</w:t>
                  </w:r>
                </w:p>
              </w:tc>
              <w:tc>
                <w:tcPr>
                  <w:tcW w:w="367" w:type="pct"/>
                  <w:shd w:val="clear" w:color="auto" w:fill="auto"/>
                  <w:noWrap w:val="0"/>
                  <w:vAlign w:val="center"/>
                </w:tcPr>
                <w:p w14:paraId="084DD46D">
                  <w:pPr>
                    <w:pStyle w:val="9"/>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color="auto"/>
                      <w:vertAlign w:val="baseline"/>
                      <w:lang w:val="en-US" w:eastAsia="zh-CN" w:bidi="ar-SA"/>
                    </w:rPr>
                  </w:pPr>
                  <w:r>
                    <w:rPr>
                      <w:rFonts w:hint="eastAsia" w:ascii="Times New Roman" w:hAnsi="Times New Roman" w:eastAsia="宋体" w:cs="Times New Roman"/>
                      <w:color w:val="auto"/>
                      <w:sz w:val="21"/>
                      <w:szCs w:val="21"/>
                      <w:highlight w:val="none"/>
                      <w:u w:val="none" w:color="auto"/>
                      <w:vertAlign w:val="baseline"/>
                      <w:lang w:val="en-US" w:eastAsia="zh-CN"/>
                    </w:rPr>
                    <w:t>--</w:t>
                  </w:r>
                </w:p>
              </w:tc>
            </w:tr>
            <w:tr w14:paraId="7C31F9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997" w:type="pct"/>
                  <w:vMerge w:val="continue"/>
                  <w:noWrap w:val="0"/>
                  <w:vAlign w:val="top"/>
                </w:tcPr>
                <w:p w14:paraId="23BE1035">
                  <w:pPr>
                    <w:keepNext w:val="0"/>
                    <w:keepLines w:val="0"/>
                    <w:pageBreakBefore w:val="0"/>
                    <w:widowControl w:val="0"/>
                    <w:kinsoku/>
                    <w:wordWrap/>
                    <w:overflowPunct/>
                    <w:topLinePunct w:val="0"/>
                    <w:autoSpaceDE/>
                    <w:autoSpaceDN/>
                    <w:bidi w:val="0"/>
                    <w:spacing w:beforeLines="0" w:afterLines="0" w:line="240" w:lineRule="auto"/>
                    <w:jc w:val="left"/>
                    <w:rPr>
                      <w:rFonts w:hint="default" w:ascii="Times New Roman" w:hAnsi="Times New Roman" w:eastAsia="宋体" w:cs="Times New Roman"/>
                      <w:color w:val="auto"/>
                      <w:sz w:val="21"/>
                      <w:szCs w:val="21"/>
                      <w:highlight w:val="none"/>
                      <w:u w:val="none" w:color="auto"/>
                      <w:lang w:val="zh-CN"/>
                    </w:rPr>
                  </w:pPr>
                </w:p>
              </w:tc>
              <w:tc>
                <w:tcPr>
                  <w:tcW w:w="2185" w:type="pct"/>
                  <w:noWrap w:val="0"/>
                  <w:vAlign w:val="center"/>
                </w:tcPr>
                <w:p w14:paraId="13722F60">
                  <w:pPr>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both"/>
                    <w:rPr>
                      <w:rFonts w:hint="default" w:ascii="Times New Roman" w:hAnsi="Times New Roman" w:eastAsia="宋体" w:cs="Times New Roman"/>
                      <w:color w:val="auto"/>
                      <w:kern w:val="2"/>
                      <w:sz w:val="21"/>
                      <w:szCs w:val="21"/>
                      <w:highlight w:val="none"/>
                      <w:u w:val="none" w:color="auto"/>
                      <w:lang w:val="zh-CN" w:eastAsia="zh-CN" w:bidi="ar-SA"/>
                    </w:rPr>
                  </w:pPr>
                  <w:r>
                    <w:rPr>
                      <w:rFonts w:hint="default" w:ascii="Times New Roman" w:hAnsi="Times New Roman" w:eastAsia="宋体" w:cs="Times New Roman"/>
                      <w:color w:val="auto"/>
                      <w:sz w:val="21"/>
                      <w:szCs w:val="21"/>
                      <w:highlight w:val="none"/>
                      <w:u w:val="none" w:color="auto"/>
                      <w:lang w:val="zh-CN" w:eastAsia="zh-CN"/>
                    </w:rPr>
                    <w:t>加快推进乡镇和农村生活污水处理设施建设，推进农村生活污水治理。</w:t>
                  </w:r>
                </w:p>
              </w:tc>
              <w:tc>
                <w:tcPr>
                  <w:tcW w:w="1449" w:type="pct"/>
                  <w:shd w:val="clear" w:color="auto" w:fill="auto"/>
                  <w:noWrap w:val="0"/>
                  <w:vAlign w:val="center"/>
                </w:tcPr>
                <w:p w14:paraId="3039D462">
                  <w:pPr>
                    <w:keepNext w:val="0"/>
                    <w:keepLines w:val="0"/>
                    <w:pageBreakBefore w:val="0"/>
                    <w:widowControl/>
                    <w:suppressLineNumbers w:val="0"/>
                    <w:kinsoku/>
                    <w:wordWrap/>
                    <w:overflowPunct/>
                    <w:topLinePunct w:val="0"/>
                    <w:autoSpaceDE/>
                    <w:autoSpaceDN/>
                    <w:bidi w:val="0"/>
                    <w:adjustRightInd/>
                    <w:snapToGrid/>
                    <w:spacing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eastAsia" w:ascii="Times New Roman" w:hAnsi="Times New Roman" w:eastAsia="宋体" w:cs="Times New Roman"/>
                      <w:color w:val="auto"/>
                      <w:sz w:val="21"/>
                      <w:szCs w:val="21"/>
                      <w:highlight w:val="none"/>
                      <w:u w:val="none" w:color="auto"/>
                      <w:vertAlign w:val="baseline"/>
                      <w:lang w:val="en-US" w:eastAsia="zh-CN"/>
                    </w:rPr>
                    <w:t>不涉及</w:t>
                  </w:r>
                </w:p>
              </w:tc>
              <w:tc>
                <w:tcPr>
                  <w:tcW w:w="367" w:type="pct"/>
                  <w:shd w:val="clear" w:color="auto" w:fill="auto"/>
                  <w:noWrap w:val="0"/>
                  <w:vAlign w:val="center"/>
                </w:tcPr>
                <w:p w14:paraId="22AA7478">
                  <w:pPr>
                    <w:pStyle w:val="9"/>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color="auto"/>
                      <w:vertAlign w:val="baseline"/>
                      <w:lang w:val="en-US" w:eastAsia="zh-CN" w:bidi="ar-SA"/>
                    </w:rPr>
                  </w:pPr>
                  <w:r>
                    <w:rPr>
                      <w:rFonts w:hint="eastAsia" w:ascii="Times New Roman" w:hAnsi="Times New Roman" w:eastAsia="宋体" w:cs="Times New Roman"/>
                      <w:color w:val="auto"/>
                      <w:sz w:val="21"/>
                      <w:szCs w:val="21"/>
                      <w:highlight w:val="none"/>
                      <w:u w:val="none" w:color="auto"/>
                      <w:vertAlign w:val="baseline"/>
                      <w:lang w:val="en-US" w:eastAsia="zh-CN"/>
                    </w:rPr>
                    <w:t>--</w:t>
                  </w:r>
                </w:p>
              </w:tc>
            </w:tr>
            <w:tr w14:paraId="63D08E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997" w:type="pct"/>
                  <w:vMerge w:val="continue"/>
                  <w:noWrap w:val="0"/>
                  <w:vAlign w:val="top"/>
                </w:tcPr>
                <w:p w14:paraId="58D382D3">
                  <w:pPr>
                    <w:keepNext w:val="0"/>
                    <w:keepLines w:val="0"/>
                    <w:pageBreakBefore w:val="0"/>
                    <w:widowControl w:val="0"/>
                    <w:kinsoku/>
                    <w:wordWrap/>
                    <w:overflowPunct/>
                    <w:topLinePunct w:val="0"/>
                    <w:autoSpaceDE/>
                    <w:autoSpaceDN/>
                    <w:bidi w:val="0"/>
                    <w:spacing w:beforeLines="0" w:afterLines="0" w:line="240" w:lineRule="auto"/>
                    <w:jc w:val="left"/>
                    <w:rPr>
                      <w:rFonts w:hint="default" w:ascii="Times New Roman" w:hAnsi="Times New Roman" w:eastAsia="宋体" w:cs="Times New Roman"/>
                      <w:color w:val="auto"/>
                      <w:sz w:val="21"/>
                      <w:szCs w:val="21"/>
                      <w:highlight w:val="none"/>
                      <w:u w:val="none" w:color="auto"/>
                      <w:lang w:val="zh-CN"/>
                    </w:rPr>
                  </w:pPr>
                </w:p>
              </w:tc>
              <w:tc>
                <w:tcPr>
                  <w:tcW w:w="2185" w:type="pct"/>
                  <w:noWrap w:val="0"/>
                  <w:vAlign w:val="center"/>
                </w:tcPr>
                <w:p w14:paraId="6604C5E7">
                  <w:pPr>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both"/>
                    <w:rPr>
                      <w:rFonts w:hint="default" w:ascii="Times New Roman" w:hAnsi="Times New Roman" w:eastAsia="宋体" w:cs="Times New Roman"/>
                      <w:color w:val="auto"/>
                      <w:sz w:val="21"/>
                      <w:szCs w:val="21"/>
                      <w:highlight w:val="none"/>
                      <w:u w:val="none" w:color="auto"/>
                      <w:lang w:val="zh-CN" w:eastAsia="zh-CN"/>
                    </w:rPr>
                  </w:pPr>
                  <w:r>
                    <w:rPr>
                      <w:rFonts w:hint="eastAsia" w:cs="Times New Roman"/>
                      <w:color w:val="auto"/>
                      <w:sz w:val="21"/>
                      <w:szCs w:val="21"/>
                      <w:highlight w:val="none"/>
                      <w:u w:val="none" w:color="auto"/>
                      <w:lang w:val="zh-CN" w:eastAsia="zh-CN"/>
                    </w:rPr>
                    <w:t>加快入江（河、湖、库）排污口规范化建设，严控入江、河、湖、库污染源。</w:t>
                  </w:r>
                </w:p>
              </w:tc>
              <w:tc>
                <w:tcPr>
                  <w:tcW w:w="1449" w:type="pct"/>
                  <w:shd w:val="clear" w:color="auto" w:fill="auto"/>
                  <w:noWrap w:val="0"/>
                  <w:vAlign w:val="center"/>
                </w:tcPr>
                <w:p w14:paraId="3F98C8C4">
                  <w:pPr>
                    <w:keepNext w:val="0"/>
                    <w:keepLines w:val="0"/>
                    <w:pageBreakBefore w:val="0"/>
                    <w:widowControl/>
                    <w:suppressLineNumbers w:val="0"/>
                    <w:kinsoku/>
                    <w:wordWrap/>
                    <w:overflowPunct/>
                    <w:topLinePunct w:val="0"/>
                    <w:autoSpaceDE/>
                    <w:autoSpaceDN/>
                    <w:bidi w:val="0"/>
                    <w:adjustRightInd/>
                    <w:snapToGrid/>
                    <w:spacing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eastAsia" w:cs="Times New Roman"/>
                      <w:color w:val="auto"/>
                      <w:sz w:val="21"/>
                      <w:szCs w:val="21"/>
                      <w:highlight w:val="none"/>
                      <w:u w:val="none" w:color="auto"/>
                      <w:vertAlign w:val="baseline"/>
                      <w:lang w:val="en-US" w:eastAsia="zh-CN"/>
                    </w:rPr>
                    <w:t>不涉及</w:t>
                  </w:r>
                </w:p>
              </w:tc>
              <w:tc>
                <w:tcPr>
                  <w:tcW w:w="367" w:type="pct"/>
                  <w:shd w:val="clear" w:color="auto" w:fill="auto"/>
                  <w:noWrap w:val="0"/>
                  <w:vAlign w:val="center"/>
                </w:tcPr>
                <w:p w14:paraId="47377F4D">
                  <w:pPr>
                    <w:pStyle w:val="9"/>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eastAsia" w:ascii="Times New Roman" w:hAnsi="Times New Roman" w:eastAsia="宋体" w:cs="Times New Roman"/>
                      <w:color w:val="auto"/>
                      <w:kern w:val="0"/>
                      <w:sz w:val="21"/>
                      <w:szCs w:val="21"/>
                      <w:highlight w:val="none"/>
                      <w:u w:val="none" w:color="auto"/>
                      <w:vertAlign w:val="baseline"/>
                      <w:lang w:val="en-US" w:eastAsia="zh-CN" w:bidi="ar-SA"/>
                    </w:rPr>
                  </w:pPr>
                  <w:r>
                    <w:rPr>
                      <w:rFonts w:hint="eastAsia" w:cs="Times New Roman"/>
                      <w:color w:val="auto"/>
                      <w:sz w:val="21"/>
                      <w:szCs w:val="21"/>
                      <w:highlight w:val="none"/>
                      <w:u w:val="none" w:color="auto"/>
                      <w:vertAlign w:val="baseline"/>
                      <w:lang w:val="en-US" w:eastAsia="zh-CN"/>
                    </w:rPr>
                    <w:t>--</w:t>
                  </w:r>
                </w:p>
              </w:tc>
            </w:tr>
            <w:tr w14:paraId="3944CB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997" w:type="pct"/>
                  <w:vMerge w:val="continue"/>
                  <w:noWrap w:val="0"/>
                  <w:vAlign w:val="top"/>
                </w:tcPr>
                <w:p w14:paraId="28D3140C">
                  <w:pPr>
                    <w:keepNext w:val="0"/>
                    <w:keepLines w:val="0"/>
                    <w:pageBreakBefore w:val="0"/>
                    <w:widowControl w:val="0"/>
                    <w:kinsoku/>
                    <w:wordWrap/>
                    <w:overflowPunct/>
                    <w:topLinePunct w:val="0"/>
                    <w:autoSpaceDE/>
                    <w:autoSpaceDN/>
                    <w:bidi w:val="0"/>
                    <w:spacing w:beforeLines="0" w:afterLines="0" w:line="240" w:lineRule="auto"/>
                    <w:jc w:val="left"/>
                    <w:rPr>
                      <w:rFonts w:hint="default" w:ascii="Times New Roman" w:hAnsi="Times New Roman" w:eastAsia="宋体" w:cs="Times New Roman"/>
                      <w:color w:val="auto"/>
                      <w:sz w:val="21"/>
                      <w:szCs w:val="21"/>
                      <w:highlight w:val="none"/>
                      <w:u w:val="none" w:color="auto"/>
                      <w:lang w:val="zh-CN"/>
                    </w:rPr>
                  </w:pPr>
                </w:p>
              </w:tc>
              <w:tc>
                <w:tcPr>
                  <w:tcW w:w="2185" w:type="pct"/>
                  <w:noWrap w:val="0"/>
                  <w:vAlign w:val="center"/>
                </w:tcPr>
                <w:p w14:paraId="128AD0F2">
                  <w:pPr>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both"/>
                    <w:rPr>
                      <w:rFonts w:hint="default" w:ascii="Times New Roman" w:hAnsi="Times New Roman" w:eastAsia="宋体" w:cs="Times New Roman"/>
                      <w:color w:val="auto"/>
                      <w:sz w:val="21"/>
                      <w:szCs w:val="21"/>
                      <w:highlight w:val="none"/>
                      <w:u w:val="none" w:color="auto"/>
                      <w:lang w:val="zh-CN" w:eastAsia="zh-CN"/>
                    </w:rPr>
                  </w:pPr>
                  <w:r>
                    <w:rPr>
                      <w:rFonts w:hint="eastAsia" w:cs="Times New Roman"/>
                      <w:color w:val="auto"/>
                      <w:sz w:val="21"/>
                      <w:szCs w:val="21"/>
                      <w:highlight w:val="none"/>
                      <w:u w:val="none" w:color="auto"/>
                      <w:lang w:val="zh-CN" w:eastAsia="zh-CN"/>
                    </w:rPr>
                    <w:t>推广“户分类、村收集、乡转运、县处理”的生活垃圾处理模式，推进农村生活垃圾分类和资源化利用，实现生活垃圾源头分类减量。</w:t>
                  </w:r>
                </w:p>
              </w:tc>
              <w:tc>
                <w:tcPr>
                  <w:tcW w:w="1449" w:type="pct"/>
                  <w:shd w:val="clear" w:color="auto" w:fill="auto"/>
                  <w:noWrap w:val="0"/>
                  <w:vAlign w:val="center"/>
                </w:tcPr>
                <w:p w14:paraId="20E46FF4">
                  <w:pPr>
                    <w:keepNext w:val="0"/>
                    <w:keepLines w:val="0"/>
                    <w:pageBreakBefore w:val="0"/>
                    <w:widowControl/>
                    <w:suppressLineNumbers w:val="0"/>
                    <w:kinsoku/>
                    <w:wordWrap/>
                    <w:overflowPunct/>
                    <w:topLinePunct w:val="0"/>
                    <w:autoSpaceDE/>
                    <w:autoSpaceDN/>
                    <w:bidi w:val="0"/>
                    <w:adjustRightInd/>
                    <w:snapToGrid/>
                    <w:spacing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eastAsia" w:cs="Times New Roman"/>
                      <w:color w:val="auto"/>
                      <w:sz w:val="21"/>
                      <w:szCs w:val="21"/>
                      <w:highlight w:val="none"/>
                      <w:u w:val="none" w:color="auto"/>
                      <w:vertAlign w:val="baseline"/>
                      <w:lang w:val="en-US" w:eastAsia="zh-CN"/>
                    </w:rPr>
                    <w:t>不涉及</w:t>
                  </w:r>
                </w:p>
              </w:tc>
              <w:tc>
                <w:tcPr>
                  <w:tcW w:w="367" w:type="pct"/>
                  <w:shd w:val="clear" w:color="auto" w:fill="auto"/>
                  <w:noWrap w:val="0"/>
                  <w:vAlign w:val="center"/>
                </w:tcPr>
                <w:p w14:paraId="5243C68F">
                  <w:pPr>
                    <w:pStyle w:val="9"/>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eastAsia" w:ascii="Times New Roman" w:hAnsi="Times New Roman" w:eastAsia="宋体" w:cs="Times New Roman"/>
                      <w:color w:val="auto"/>
                      <w:kern w:val="0"/>
                      <w:sz w:val="21"/>
                      <w:szCs w:val="21"/>
                      <w:highlight w:val="none"/>
                      <w:u w:val="none" w:color="auto"/>
                      <w:vertAlign w:val="baseline"/>
                      <w:lang w:val="en-US" w:eastAsia="zh-CN" w:bidi="ar-SA"/>
                    </w:rPr>
                  </w:pPr>
                  <w:r>
                    <w:rPr>
                      <w:rFonts w:hint="eastAsia" w:cs="Times New Roman"/>
                      <w:color w:val="auto"/>
                      <w:sz w:val="21"/>
                      <w:szCs w:val="21"/>
                      <w:highlight w:val="none"/>
                      <w:u w:val="none" w:color="auto"/>
                      <w:vertAlign w:val="baseline"/>
                      <w:lang w:val="en-US" w:eastAsia="zh-CN"/>
                    </w:rPr>
                    <w:t>--</w:t>
                  </w:r>
                </w:p>
              </w:tc>
            </w:tr>
            <w:tr w14:paraId="7042DC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997" w:type="pct"/>
                  <w:vMerge w:val="continue"/>
                  <w:noWrap w:val="0"/>
                  <w:vAlign w:val="top"/>
                </w:tcPr>
                <w:p w14:paraId="405E62EE">
                  <w:pPr>
                    <w:keepNext w:val="0"/>
                    <w:keepLines w:val="0"/>
                    <w:pageBreakBefore w:val="0"/>
                    <w:widowControl w:val="0"/>
                    <w:kinsoku/>
                    <w:wordWrap/>
                    <w:overflowPunct/>
                    <w:topLinePunct w:val="0"/>
                    <w:autoSpaceDE/>
                    <w:autoSpaceDN/>
                    <w:bidi w:val="0"/>
                    <w:spacing w:beforeLines="0" w:afterLines="0" w:line="240" w:lineRule="auto"/>
                    <w:jc w:val="left"/>
                    <w:rPr>
                      <w:rFonts w:hint="default" w:ascii="Times New Roman" w:hAnsi="Times New Roman" w:eastAsia="宋体" w:cs="Times New Roman"/>
                      <w:color w:val="auto"/>
                      <w:sz w:val="21"/>
                      <w:szCs w:val="21"/>
                      <w:highlight w:val="none"/>
                      <w:u w:val="none" w:color="auto"/>
                      <w:lang w:val="zh-CN"/>
                    </w:rPr>
                  </w:pPr>
                </w:p>
              </w:tc>
              <w:tc>
                <w:tcPr>
                  <w:tcW w:w="2185" w:type="pct"/>
                  <w:noWrap w:val="0"/>
                  <w:vAlign w:val="center"/>
                </w:tcPr>
                <w:p w14:paraId="0D7AD4A2">
                  <w:pPr>
                    <w:keepNext w:val="0"/>
                    <w:keepLines w:val="0"/>
                    <w:pageBreakBefore w:val="0"/>
                    <w:widowControl w:val="0"/>
                    <w:kinsoku/>
                    <w:wordWrap/>
                    <w:overflowPunct/>
                    <w:topLinePunct w:val="0"/>
                    <w:autoSpaceDE/>
                    <w:autoSpaceDN/>
                    <w:bidi w:val="0"/>
                    <w:adjustRightInd/>
                    <w:snapToGrid/>
                    <w:spacing w:line="240" w:lineRule="auto"/>
                    <w:ind w:left="-63" w:leftChars="-30" w:right="-63" w:rightChars="-30"/>
                    <w:jc w:val="both"/>
                    <w:textAlignment w:val="auto"/>
                    <w:rPr>
                      <w:rFonts w:hint="eastAsia" w:cs="Times New Roman"/>
                      <w:color w:val="auto"/>
                      <w:sz w:val="21"/>
                      <w:szCs w:val="21"/>
                      <w:highlight w:val="none"/>
                      <w:u w:val="none" w:color="auto"/>
                      <w:lang w:val="zh-CN" w:eastAsia="zh-CN"/>
                    </w:rPr>
                  </w:pPr>
                  <w:r>
                    <w:rPr>
                      <w:rFonts w:hint="eastAsia" w:cs="Times New Roman"/>
                      <w:color w:val="auto"/>
                      <w:sz w:val="21"/>
                      <w:szCs w:val="21"/>
                      <w:highlight w:val="none"/>
                      <w:u w:val="none" w:color="auto"/>
                      <w:lang w:val="zh-CN" w:eastAsia="zh-CN"/>
                    </w:rPr>
                    <w:t>严格控制农业面源污染，推广测土配方施肥和高效、低毒、低残留农药等减量控害技术和统防统治，控制化肥和农药使用量。</w:t>
                  </w:r>
                </w:p>
              </w:tc>
              <w:tc>
                <w:tcPr>
                  <w:tcW w:w="1449" w:type="pct"/>
                  <w:shd w:val="clear" w:color="auto" w:fill="auto"/>
                  <w:noWrap w:val="0"/>
                  <w:vAlign w:val="center"/>
                </w:tcPr>
                <w:p w14:paraId="454E095A">
                  <w:pPr>
                    <w:keepNext w:val="0"/>
                    <w:keepLines w:val="0"/>
                    <w:pageBreakBefore w:val="0"/>
                    <w:widowControl/>
                    <w:suppressLineNumbers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Times New Roman" w:hAnsi="Times New Roman" w:eastAsia="宋体" w:cs="Times New Roman"/>
                      <w:color w:val="auto"/>
                      <w:kern w:val="2"/>
                      <w:sz w:val="21"/>
                      <w:szCs w:val="21"/>
                      <w:highlight w:val="none"/>
                      <w:u w:val="none" w:color="auto"/>
                      <w:vertAlign w:val="baseline"/>
                      <w:lang w:val="en-US" w:eastAsia="zh-CN" w:bidi="ar-SA"/>
                    </w:rPr>
                  </w:pPr>
                  <w:r>
                    <w:rPr>
                      <w:rFonts w:hint="eastAsia" w:ascii="Times New Roman" w:hAnsi="Times New Roman" w:eastAsia="宋体" w:cs="Times New Roman"/>
                      <w:color w:val="auto"/>
                      <w:sz w:val="21"/>
                      <w:szCs w:val="21"/>
                      <w:highlight w:val="none"/>
                      <w:u w:val="none" w:color="auto"/>
                      <w:vertAlign w:val="baseline"/>
                      <w:lang w:val="en-US" w:eastAsia="zh-CN"/>
                    </w:rPr>
                    <w:t>不涉及</w:t>
                  </w:r>
                </w:p>
              </w:tc>
              <w:tc>
                <w:tcPr>
                  <w:tcW w:w="367" w:type="pct"/>
                  <w:shd w:val="clear" w:color="auto" w:fill="auto"/>
                  <w:noWrap w:val="0"/>
                  <w:vAlign w:val="center"/>
                </w:tcPr>
                <w:p w14:paraId="57AFBC5A">
                  <w:pPr>
                    <w:pStyle w:val="9"/>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eastAsia" w:ascii="Times New Roman" w:hAnsi="Times New Roman" w:eastAsia="宋体" w:cs="Times New Roman"/>
                      <w:color w:val="auto"/>
                      <w:kern w:val="0"/>
                      <w:sz w:val="21"/>
                      <w:szCs w:val="21"/>
                      <w:highlight w:val="none"/>
                      <w:u w:val="none" w:color="auto"/>
                      <w:vertAlign w:val="baseline"/>
                      <w:lang w:val="en-US" w:eastAsia="zh-CN" w:bidi="ar-SA"/>
                    </w:rPr>
                  </w:pPr>
                  <w:r>
                    <w:rPr>
                      <w:rFonts w:hint="eastAsia" w:ascii="Times New Roman" w:hAnsi="Times New Roman" w:eastAsia="宋体" w:cs="Times New Roman"/>
                      <w:color w:val="auto"/>
                      <w:sz w:val="21"/>
                      <w:szCs w:val="21"/>
                      <w:highlight w:val="none"/>
                      <w:u w:val="none" w:color="auto"/>
                      <w:vertAlign w:val="baseline"/>
                      <w:lang w:val="en-US" w:eastAsia="zh-CN"/>
                    </w:rPr>
                    <w:t>--</w:t>
                  </w:r>
                </w:p>
              </w:tc>
            </w:tr>
            <w:tr w14:paraId="482DBA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997" w:type="pct"/>
                  <w:vMerge w:val="continue"/>
                  <w:noWrap w:val="0"/>
                  <w:vAlign w:val="top"/>
                </w:tcPr>
                <w:p w14:paraId="4D7CD7BB">
                  <w:pPr>
                    <w:keepNext w:val="0"/>
                    <w:keepLines w:val="0"/>
                    <w:pageBreakBefore w:val="0"/>
                    <w:widowControl w:val="0"/>
                    <w:kinsoku/>
                    <w:wordWrap/>
                    <w:overflowPunct/>
                    <w:topLinePunct w:val="0"/>
                    <w:autoSpaceDE/>
                    <w:autoSpaceDN/>
                    <w:bidi w:val="0"/>
                    <w:spacing w:beforeLines="0" w:afterLines="0" w:line="240" w:lineRule="auto"/>
                    <w:jc w:val="left"/>
                    <w:rPr>
                      <w:rFonts w:hint="default" w:ascii="Times New Roman" w:hAnsi="Times New Roman" w:eastAsia="宋体" w:cs="Times New Roman"/>
                      <w:color w:val="auto"/>
                      <w:sz w:val="21"/>
                      <w:szCs w:val="21"/>
                      <w:highlight w:val="none"/>
                      <w:u w:val="none" w:color="auto"/>
                      <w:lang w:val="zh-CN"/>
                    </w:rPr>
                  </w:pPr>
                </w:p>
              </w:tc>
              <w:tc>
                <w:tcPr>
                  <w:tcW w:w="2185" w:type="pct"/>
                  <w:noWrap w:val="0"/>
                  <w:vAlign w:val="center"/>
                </w:tcPr>
                <w:p w14:paraId="7DD9B07B">
                  <w:pPr>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both"/>
                    <w:rPr>
                      <w:rFonts w:hint="eastAsia" w:cs="Times New Roman"/>
                      <w:color w:val="auto"/>
                      <w:sz w:val="21"/>
                      <w:szCs w:val="21"/>
                      <w:highlight w:val="none"/>
                      <w:u w:val="none" w:color="auto"/>
                      <w:lang w:val="zh-CN" w:eastAsia="zh-CN"/>
                    </w:rPr>
                  </w:pPr>
                  <w:r>
                    <w:rPr>
                      <w:rFonts w:hint="eastAsia" w:cs="Times New Roman"/>
                      <w:color w:val="auto"/>
                      <w:sz w:val="21"/>
                      <w:szCs w:val="21"/>
                      <w:highlight w:val="none"/>
                      <w:u w:val="none" w:color="auto"/>
                      <w:lang w:val="zh-CN" w:eastAsia="zh-CN"/>
                    </w:rPr>
                    <w:t>开展规模化养殖场标准化建设，防治畜禽养殖污染。</w:t>
                  </w:r>
                </w:p>
              </w:tc>
              <w:tc>
                <w:tcPr>
                  <w:tcW w:w="1449" w:type="pct"/>
                  <w:shd w:val="clear" w:color="auto" w:fill="auto"/>
                  <w:noWrap w:val="0"/>
                  <w:vAlign w:val="center"/>
                </w:tcPr>
                <w:p w14:paraId="65777237">
                  <w:pPr>
                    <w:keepNext w:val="0"/>
                    <w:keepLines w:val="0"/>
                    <w:pageBreakBefore w:val="0"/>
                    <w:widowControl/>
                    <w:suppressLineNumbers w:val="0"/>
                    <w:kinsoku/>
                    <w:wordWrap/>
                    <w:overflowPunct/>
                    <w:topLinePunct w:val="0"/>
                    <w:autoSpaceDE/>
                    <w:autoSpaceDN/>
                    <w:bidi w:val="0"/>
                    <w:adjustRightInd/>
                    <w:snapToGrid/>
                    <w:spacing w:line="240" w:lineRule="auto"/>
                    <w:ind w:right="0" w:rightChars="0" w:firstLine="0" w:firstLineChars="0"/>
                    <w:jc w:val="center"/>
                    <w:textAlignment w:val="auto"/>
                    <w:rPr>
                      <w:rFonts w:hint="eastAsia" w:ascii="Times New Roman" w:hAnsi="Times New Roman" w:eastAsia="宋体" w:cs="Times New Roman"/>
                      <w:color w:val="auto"/>
                      <w:kern w:val="2"/>
                      <w:sz w:val="21"/>
                      <w:szCs w:val="21"/>
                      <w:highlight w:val="none"/>
                      <w:u w:val="none" w:color="auto"/>
                      <w:vertAlign w:val="baseline"/>
                      <w:lang w:val="en-US" w:eastAsia="zh-CN" w:bidi="ar-SA"/>
                    </w:rPr>
                  </w:pPr>
                  <w:r>
                    <w:rPr>
                      <w:rFonts w:hint="eastAsia" w:ascii="Times New Roman" w:hAnsi="Times New Roman" w:eastAsia="宋体" w:cs="Times New Roman"/>
                      <w:color w:val="auto"/>
                      <w:sz w:val="21"/>
                      <w:szCs w:val="21"/>
                      <w:highlight w:val="none"/>
                      <w:u w:val="none" w:color="auto"/>
                      <w:vertAlign w:val="baseline"/>
                      <w:lang w:val="en-US" w:eastAsia="zh-CN"/>
                    </w:rPr>
                    <w:t>不涉及</w:t>
                  </w:r>
                </w:p>
              </w:tc>
              <w:tc>
                <w:tcPr>
                  <w:tcW w:w="367" w:type="pct"/>
                  <w:shd w:val="clear" w:color="auto" w:fill="auto"/>
                  <w:noWrap w:val="0"/>
                  <w:vAlign w:val="center"/>
                </w:tcPr>
                <w:p w14:paraId="3CA8ED26">
                  <w:pPr>
                    <w:pStyle w:val="9"/>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eastAsia" w:ascii="Times New Roman" w:hAnsi="Times New Roman" w:eastAsia="宋体" w:cs="Times New Roman"/>
                      <w:color w:val="auto"/>
                      <w:kern w:val="0"/>
                      <w:sz w:val="21"/>
                      <w:szCs w:val="21"/>
                      <w:highlight w:val="none"/>
                      <w:u w:val="none" w:color="auto"/>
                      <w:vertAlign w:val="baseline"/>
                      <w:lang w:val="en-US" w:eastAsia="zh-CN" w:bidi="ar-SA"/>
                    </w:rPr>
                  </w:pPr>
                  <w:r>
                    <w:rPr>
                      <w:rFonts w:hint="eastAsia" w:ascii="Times New Roman" w:hAnsi="Times New Roman" w:eastAsia="宋体" w:cs="Times New Roman"/>
                      <w:color w:val="auto"/>
                      <w:sz w:val="21"/>
                      <w:szCs w:val="21"/>
                      <w:highlight w:val="none"/>
                      <w:u w:val="none" w:color="auto"/>
                      <w:vertAlign w:val="baseline"/>
                      <w:lang w:val="en-US" w:eastAsia="zh-CN"/>
                    </w:rPr>
                    <w:t>--</w:t>
                  </w:r>
                </w:p>
              </w:tc>
            </w:tr>
            <w:tr w14:paraId="54C1FF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7" w:type="pct"/>
                  <w:vMerge w:val="restart"/>
                  <w:noWrap w:val="0"/>
                  <w:vAlign w:val="center"/>
                </w:tcPr>
                <w:p w14:paraId="48612A37">
                  <w:pPr>
                    <w:keepNext w:val="0"/>
                    <w:keepLines w:val="0"/>
                    <w:pageBreakBefore w:val="0"/>
                    <w:widowControl w:val="0"/>
                    <w:kinsoku/>
                    <w:wordWrap/>
                    <w:overflowPunct/>
                    <w:topLinePunct w:val="0"/>
                    <w:autoSpaceDE/>
                    <w:autoSpaceDN/>
                    <w:bidi w:val="0"/>
                    <w:spacing w:beforeLines="0" w:afterLines="0" w:line="240" w:lineRule="auto"/>
                    <w:jc w:val="center"/>
                    <w:rPr>
                      <w:rFonts w:hint="eastAsia" w:cs="Times New Roman"/>
                      <w:color w:val="auto"/>
                      <w:sz w:val="21"/>
                      <w:szCs w:val="21"/>
                      <w:highlight w:val="none"/>
                      <w:u w:val="none" w:color="auto"/>
                      <w:lang w:val="zh-CN"/>
                    </w:rPr>
                  </w:pPr>
                  <w:r>
                    <w:rPr>
                      <w:rFonts w:hint="eastAsia" w:cs="Times New Roman"/>
                      <w:color w:val="auto"/>
                      <w:sz w:val="21"/>
                      <w:szCs w:val="21"/>
                      <w:highlight w:val="none"/>
                      <w:u w:val="none" w:color="auto"/>
                      <w:lang w:val="zh-CN"/>
                    </w:rPr>
                    <w:t>环境风险防控</w:t>
                  </w:r>
                </w:p>
              </w:tc>
              <w:tc>
                <w:tcPr>
                  <w:tcW w:w="2185" w:type="pct"/>
                  <w:noWrap w:val="0"/>
                  <w:vAlign w:val="center"/>
                </w:tcPr>
                <w:p w14:paraId="0078084A">
                  <w:pPr>
                    <w:keepNext w:val="0"/>
                    <w:keepLines w:val="0"/>
                    <w:pageBreakBefore w:val="0"/>
                    <w:widowControl w:val="0"/>
                    <w:kinsoku/>
                    <w:wordWrap/>
                    <w:overflowPunct/>
                    <w:topLinePunct w:val="0"/>
                    <w:autoSpaceDE/>
                    <w:autoSpaceDN/>
                    <w:bidi w:val="0"/>
                    <w:adjustRightInd/>
                    <w:snapToGrid/>
                    <w:spacing w:line="240" w:lineRule="auto"/>
                    <w:ind w:left="-63" w:leftChars="-30" w:right="-63" w:rightChars="-30"/>
                    <w:jc w:val="both"/>
                    <w:textAlignment w:val="auto"/>
                    <w:rPr>
                      <w:rFonts w:hint="default" w:ascii="Times New Roman" w:hAnsi="Times New Roman" w:eastAsia="宋体" w:cs="Times New Roman"/>
                      <w:kern w:val="2"/>
                      <w:sz w:val="21"/>
                      <w:szCs w:val="24"/>
                      <w:highlight w:val="none"/>
                      <w:u w:val="none" w:color="auto"/>
                      <w:lang w:val="zh-CN" w:eastAsia="zh-CN" w:bidi="ar-SA"/>
                    </w:rPr>
                  </w:pPr>
                  <w:r>
                    <w:rPr>
                      <w:rFonts w:hint="eastAsia" w:cs="Times New Roman"/>
                      <w:color w:val="auto"/>
                      <w:sz w:val="21"/>
                      <w:szCs w:val="21"/>
                      <w:highlight w:val="none"/>
                      <w:u w:val="none" w:color="auto"/>
                      <w:lang w:val="zh-CN" w:eastAsia="zh-CN"/>
                    </w:rPr>
                    <w:t>防范水环境风险。建立防渗层系统防止尾矿坝的渗滤液污染地表水和地下水，设置截洪沟、排水沟防止雨水进入尾矿坝和污染地表水，强化尾矿坝边坡的护坡、拦渣、植被措施防止尾矿坝滑坡等突发环境事件对水体的环境污染。</w:t>
                  </w:r>
                </w:p>
              </w:tc>
              <w:tc>
                <w:tcPr>
                  <w:tcW w:w="1449" w:type="pct"/>
                  <w:shd w:val="clear" w:color="auto" w:fill="auto"/>
                  <w:noWrap w:val="0"/>
                  <w:vAlign w:val="center"/>
                </w:tcPr>
                <w:p w14:paraId="39E233BD">
                  <w:pPr>
                    <w:keepNext w:val="0"/>
                    <w:keepLines w:val="0"/>
                    <w:pageBreakBefore w:val="0"/>
                    <w:widowControl/>
                    <w:suppressLineNumbers w:val="0"/>
                    <w:kinsoku/>
                    <w:wordWrap/>
                    <w:overflowPunct/>
                    <w:topLinePunct w:val="0"/>
                    <w:autoSpaceDE/>
                    <w:autoSpaceDN/>
                    <w:bidi w:val="0"/>
                    <w:adjustRightInd/>
                    <w:snapToGrid/>
                    <w:spacing w:line="240" w:lineRule="auto"/>
                    <w:ind w:right="0" w:rightChars="0" w:firstLine="0" w:firstLineChars="0"/>
                    <w:jc w:val="both"/>
                    <w:textAlignment w:val="auto"/>
                    <w:rPr>
                      <w:rFonts w:hint="eastAsia" w:cs="Times New Roman"/>
                      <w:color w:val="auto"/>
                      <w:sz w:val="21"/>
                      <w:szCs w:val="21"/>
                      <w:highlight w:val="none"/>
                      <w:u w:val="none" w:color="auto"/>
                      <w:vertAlign w:val="baseline"/>
                      <w:lang w:val="en-US" w:eastAsia="zh-CN"/>
                    </w:rPr>
                  </w:pPr>
                  <w:r>
                    <w:rPr>
                      <w:rFonts w:hint="eastAsia" w:cs="Times New Roman"/>
                      <w:color w:val="auto"/>
                      <w:sz w:val="21"/>
                      <w:szCs w:val="21"/>
                      <w:highlight w:val="none"/>
                      <w:u w:val="none" w:color="auto"/>
                      <w:vertAlign w:val="baseline"/>
                      <w:lang w:val="en-US" w:eastAsia="zh-CN"/>
                    </w:rPr>
                    <w:t>项目厂区内建设防渗沉淀池与初期雨水收集池，防止污染周边地表水体。</w:t>
                  </w:r>
                </w:p>
              </w:tc>
              <w:tc>
                <w:tcPr>
                  <w:tcW w:w="367" w:type="pct"/>
                  <w:shd w:val="clear" w:color="auto" w:fill="auto"/>
                  <w:noWrap w:val="0"/>
                  <w:vAlign w:val="center"/>
                </w:tcPr>
                <w:p w14:paraId="4FBAB4DB">
                  <w:pPr>
                    <w:pStyle w:val="9"/>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default" w:cs="Times New Roman"/>
                      <w:color w:val="auto"/>
                      <w:sz w:val="21"/>
                      <w:szCs w:val="21"/>
                      <w:highlight w:val="none"/>
                      <w:u w:val="none" w:color="auto"/>
                      <w:vertAlign w:val="baseline"/>
                      <w:lang w:val="en-US" w:eastAsia="zh-CN"/>
                    </w:rPr>
                  </w:pPr>
                  <w:r>
                    <w:rPr>
                      <w:rFonts w:hint="eastAsia" w:cs="Times New Roman"/>
                      <w:color w:val="auto"/>
                      <w:sz w:val="21"/>
                      <w:szCs w:val="21"/>
                      <w:highlight w:val="none"/>
                      <w:u w:val="none" w:color="auto"/>
                      <w:vertAlign w:val="baseline"/>
                      <w:lang w:val="en-US" w:eastAsia="zh-CN"/>
                    </w:rPr>
                    <w:t>符合</w:t>
                  </w:r>
                </w:p>
              </w:tc>
            </w:tr>
            <w:tr w14:paraId="43FCEB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7" w:type="pct"/>
                  <w:vMerge w:val="continue"/>
                  <w:noWrap w:val="0"/>
                  <w:vAlign w:val="center"/>
                </w:tcPr>
                <w:p w14:paraId="4A344EA3">
                  <w:pPr>
                    <w:keepNext w:val="0"/>
                    <w:keepLines w:val="0"/>
                    <w:pageBreakBefore w:val="0"/>
                    <w:widowControl w:val="0"/>
                    <w:kinsoku/>
                    <w:wordWrap/>
                    <w:overflowPunct/>
                    <w:topLinePunct w:val="0"/>
                    <w:autoSpaceDE/>
                    <w:autoSpaceDN/>
                    <w:bidi w:val="0"/>
                    <w:spacing w:beforeLines="0" w:afterLines="0" w:line="240" w:lineRule="auto"/>
                    <w:jc w:val="center"/>
                    <w:rPr>
                      <w:rFonts w:hint="eastAsia" w:cs="Times New Roman"/>
                      <w:color w:val="auto"/>
                      <w:sz w:val="21"/>
                      <w:szCs w:val="21"/>
                      <w:highlight w:val="none"/>
                      <w:u w:val="none" w:color="auto"/>
                      <w:lang w:val="zh-CN"/>
                    </w:rPr>
                  </w:pPr>
                </w:p>
              </w:tc>
              <w:tc>
                <w:tcPr>
                  <w:tcW w:w="2185" w:type="pct"/>
                  <w:noWrap w:val="0"/>
                  <w:vAlign w:val="center"/>
                </w:tcPr>
                <w:p w14:paraId="48C89A85">
                  <w:pPr>
                    <w:keepNext w:val="0"/>
                    <w:keepLines w:val="0"/>
                    <w:pageBreakBefore w:val="0"/>
                    <w:widowControl w:val="0"/>
                    <w:kinsoku/>
                    <w:wordWrap/>
                    <w:overflowPunct/>
                    <w:topLinePunct w:val="0"/>
                    <w:autoSpaceDE/>
                    <w:autoSpaceDN/>
                    <w:bidi w:val="0"/>
                    <w:adjustRightInd/>
                    <w:snapToGrid/>
                    <w:spacing w:line="240" w:lineRule="auto"/>
                    <w:ind w:left="-63" w:leftChars="-30" w:right="-63" w:rightChars="-30"/>
                    <w:jc w:val="both"/>
                    <w:textAlignment w:val="auto"/>
                    <w:rPr>
                      <w:rFonts w:hint="eastAsia" w:cs="Times New Roman"/>
                      <w:color w:val="auto"/>
                      <w:sz w:val="21"/>
                      <w:szCs w:val="21"/>
                      <w:highlight w:val="none"/>
                      <w:u w:val="none" w:color="auto"/>
                      <w:lang w:val="zh-CN" w:eastAsia="zh-CN"/>
                    </w:rPr>
                  </w:pPr>
                  <w:r>
                    <w:rPr>
                      <w:rFonts w:hint="eastAsia" w:cs="Times New Roman"/>
                      <w:color w:val="auto"/>
                      <w:sz w:val="21"/>
                      <w:szCs w:val="21"/>
                      <w:highlight w:val="none"/>
                      <w:u w:val="none" w:color="auto"/>
                      <w:lang w:val="zh-CN" w:eastAsia="zh-CN"/>
                    </w:rPr>
                    <w:t>加强饮用水水源地环境风险管控，完善风险防控与应急能力建设和相关管理措施，保证饮用水水源水质达标和安全。</w:t>
                  </w:r>
                </w:p>
              </w:tc>
              <w:tc>
                <w:tcPr>
                  <w:tcW w:w="2305" w:type="dxa"/>
                  <w:shd w:val="clear" w:color="auto" w:fill="auto"/>
                  <w:noWrap w:val="0"/>
                  <w:vAlign w:val="center"/>
                </w:tcPr>
                <w:p w14:paraId="09C4D0B6">
                  <w:pPr>
                    <w:keepNext w:val="0"/>
                    <w:keepLines w:val="0"/>
                    <w:pageBreakBefore w:val="0"/>
                    <w:widowControl/>
                    <w:suppressLineNumbers w:val="0"/>
                    <w:kinsoku/>
                    <w:wordWrap/>
                    <w:overflowPunct/>
                    <w:topLinePunct w:val="0"/>
                    <w:autoSpaceDE/>
                    <w:autoSpaceDN/>
                    <w:bidi w:val="0"/>
                    <w:adjustRightInd/>
                    <w:snapToGrid/>
                    <w:spacing w:line="240" w:lineRule="auto"/>
                    <w:ind w:right="0" w:rightChars="0" w:firstLine="0" w:firstLineChars="0"/>
                    <w:jc w:val="both"/>
                    <w:textAlignment w:val="auto"/>
                    <w:rPr>
                      <w:rFonts w:hint="eastAsia" w:ascii="Times New Roman" w:hAnsi="Times New Roman" w:eastAsia="宋体" w:cs="Times New Roman"/>
                      <w:color w:val="auto"/>
                      <w:kern w:val="2"/>
                      <w:sz w:val="21"/>
                      <w:szCs w:val="21"/>
                      <w:highlight w:val="none"/>
                      <w:u w:val="none" w:color="auto"/>
                      <w:vertAlign w:val="baseline"/>
                      <w:lang w:val="en-US" w:eastAsia="zh-CN" w:bidi="ar-SA"/>
                    </w:rPr>
                  </w:pPr>
                  <w:r>
                    <w:rPr>
                      <w:rFonts w:hint="eastAsia" w:cs="Times New Roman"/>
                      <w:color w:val="auto"/>
                      <w:sz w:val="21"/>
                      <w:szCs w:val="21"/>
                      <w:highlight w:val="none"/>
                      <w:u w:val="none" w:color="auto"/>
                      <w:vertAlign w:val="baseline"/>
                      <w:lang w:val="en-US" w:eastAsia="zh-CN"/>
                    </w:rPr>
                    <w:t>项目厂区内建设防渗沉淀池与初期雨水收集池，防止污染周边地表水体。</w:t>
                  </w:r>
                </w:p>
              </w:tc>
              <w:tc>
                <w:tcPr>
                  <w:tcW w:w="584" w:type="dxa"/>
                  <w:shd w:val="clear" w:color="auto" w:fill="auto"/>
                  <w:noWrap w:val="0"/>
                  <w:vAlign w:val="center"/>
                </w:tcPr>
                <w:p w14:paraId="534E5ECB">
                  <w:pPr>
                    <w:pStyle w:val="9"/>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eastAsia" w:ascii="Times New Roman" w:hAnsi="Times New Roman" w:eastAsia="宋体" w:cs="Times New Roman"/>
                      <w:color w:val="auto"/>
                      <w:kern w:val="0"/>
                      <w:sz w:val="21"/>
                      <w:szCs w:val="21"/>
                      <w:highlight w:val="none"/>
                      <w:u w:val="none" w:color="auto"/>
                      <w:vertAlign w:val="baseline"/>
                      <w:lang w:val="en-US" w:eastAsia="zh-CN" w:bidi="ar-SA"/>
                    </w:rPr>
                  </w:pPr>
                  <w:r>
                    <w:rPr>
                      <w:rFonts w:hint="eastAsia" w:cs="Times New Roman"/>
                      <w:color w:val="auto"/>
                      <w:sz w:val="21"/>
                      <w:szCs w:val="21"/>
                      <w:highlight w:val="none"/>
                      <w:u w:val="none" w:color="auto"/>
                      <w:vertAlign w:val="baseline"/>
                      <w:lang w:val="en-US" w:eastAsia="zh-CN"/>
                    </w:rPr>
                    <w:t>符合</w:t>
                  </w:r>
                </w:p>
              </w:tc>
            </w:tr>
            <w:tr w14:paraId="3B6748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997" w:type="pct"/>
                  <w:vMerge w:val="restart"/>
                  <w:noWrap w:val="0"/>
                  <w:vAlign w:val="center"/>
                </w:tcPr>
                <w:p w14:paraId="1B4452E0">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left="-105" w:leftChars="-50" w:right="-105" w:rightChars="-50" w:firstLine="0" w:firstLineChars="0"/>
                    <w:jc w:val="center"/>
                    <w:textAlignment w:val="baseline"/>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资源利用要求</w:t>
                  </w:r>
                </w:p>
              </w:tc>
              <w:tc>
                <w:tcPr>
                  <w:tcW w:w="2185" w:type="pct"/>
                  <w:noWrap w:val="0"/>
                  <w:vAlign w:val="center"/>
                </w:tcPr>
                <w:p w14:paraId="3E1E4D35">
                  <w:pPr>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both"/>
                    <w:rPr>
                      <w:rFonts w:hint="default" w:ascii="Times New Roman" w:hAnsi="Times New Roman" w:eastAsia="宋体" w:cs="Times New Roman"/>
                      <w:color w:val="auto"/>
                      <w:sz w:val="21"/>
                      <w:szCs w:val="21"/>
                      <w:highlight w:val="none"/>
                      <w:u w:val="none" w:color="auto"/>
                      <w:lang w:val="zh-CN" w:eastAsia="zh-CN"/>
                    </w:rPr>
                  </w:pPr>
                  <w:r>
                    <w:rPr>
                      <w:rFonts w:hint="default" w:ascii="Times New Roman" w:hAnsi="Times New Roman" w:eastAsia="宋体" w:cs="Times New Roman"/>
                      <w:color w:val="auto"/>
                      <w:sz w:val="21"/>
                      <w:szCs w:val="21"/>
                      <w:highlight w:val="none"/>
                      <w:u w:val="none" w:color="auto"/>
                      <w:lang w:val="zh-CN"/>
                    </w:rPr>
                    <w:t>提升水源涵养能力，恢复河湖生态系统；加大水土保持恢复力度，改善水生态环境，控制水土流失。</w:t>
                  </w:r>
                </w:p>
              </w:tc>
              <w:tc>
                <w:tcPr>
                  <w:tcW w:w="1449" w:type="pct"/>
                  <w:shd w:val="clear" w:color="auto" w:fill="auto"/>
                  <w:noWrap w:val="0"/>
                  <w:vAlign w:val="center"/>
                </w:tcPr>
                <w:p w14:paraId="1B18BEC5">
                  <w:pPr>
                    <w:keepNext w:val="0"/>
                    <w:keepLines w:val="0"/>
                    <w:pageBreakBefore w:val="0"/>
                    <w:widowControl/>
                    <w:suppressLineNumbers w:val="0"/>
                    <w:kinsoku/>
                    <w:wordWrap/>
                    <w:overflowPunct/>
                    <w:topLinePunct w:val="0"/>
                    <w:autoSpaceDE/>
                    <w:autoSpaceDN/>
                    <w:bidi w:val="0"/>
                    <w:adjustRightInd/>
                    <w:snapToGrid/>
                    <w:spacing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eastAsia" w:ascii="Times New Roman" w:hAnsi="Times New Roman" w:eastAsia="宋体" w:cs="Times New Roman"/>
                      <w:color w:val="auto"/>
                      <w:sz w:val="21"/>
                      <w:szCs w:val="21"/>
                      <w:highlight w:val="none"/>
                      <w:u w:val="none" w:color="auto"/>
                      <w:vertAlign w:val="baseline"/>
                      <w:lang w:val="en-US" w:eastAsia="zh-CN"/>
                    </w:rPr>
                    <w:t>不涉及</w:t>
                  </w:r>
                </w:p>
              </w:tc>
              <w:tc>
                <w:tcPr>
                  <w:tcW w:w="367" w:type="pct"/>
                  <w:shd w:val="clear" w:color="auto" w:fill="auto"/>
                  <w:noWrap w:val="0"/>
                  <w:vAlign w:val="center"/>
                </w:tcPr>
                <w:p w14:paraId="3AB0E47B">
                  <w:pPr>
                    <w:pStyle w:val="9"/>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color="auto"/>
                      <w:vertAlign w:val="baseline"/>
                      <w:lang w:val="en-US" w:eastAsia="zh-CN" w:bidi="ar-SA"/>
                    </w:rPr>
                  </w:pPr>
                  <w:r>
                    <w:rPr>
                      <w:rFonts w:hint="eastAsia" w:ascii="Times New Roman" w:hAnsi="Times New Roman" w:eastAsia="宋体" w:cs="Times New Roman"/>
                      <w:color w:val="auto"/>
                      <w:sz w:val="21"/>
                      <w:szCs w:val="21"/>
                      <w:highlight w:val="none"/>
                      <w:u w:val="none" w:color="auto"/>
                      <w:vertAlign w:val="baseline"/>
                      <w:lang w:val="en-US" w:eastAsia="zh-CN"/>
                    </w:rPr>
                    <w:t>--</w:t>
                  </w:r>
                </w:p>
              </w:tc>
            </w:tr>
            <w:tr w14:paraId="507DF2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997" w:type="pct"/>
                  <w:vMerge w:val="continue"/>
                  <w:noWrap w:val="0"/>
                  <w:vAlign w:val="center"/>
                </w:tcPr>
                <w:p w14:paraId="6233B00D">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left="-105" w:leftChars="-50" w:right="-105" w:rightChars="-50" w:firstLine="0" w:firstLineChars="0"/>
                    <w:jc w:val="center"/>
                    <w:textAlignment w:val="baseline"/>
                    <w:rPr>
                      <w:rFonts w:hint="default" w:ascii="Times New Roman" w:hAnsi="Times New Roman" w:eastAsia="宋体" w:cs="Times New Roman"/>
                      <w:color w:val="auto"/>
                      <w:kern w:val="2"/>
                      <w:sz w:val="21"/>
                      <w:szCs w:val="21"/>
                      <w:highlight w:val="none"/>
                      <w:u w:val="none" w:color="auto"/>
                      <w:lang w:val="zh-CN" w:eastAsia="zh-CN" w:bidi="ar-SA"/>
                    </w:rPr>
                  </w:pPr>
                </w:p>
              </w:tc>
              <w:tc>
                <w:tcPr>
                  <w:tcW w:w="2185" w:type="pct"/>
                  <w:noWrap w:val="0"/>
                  <w:vAlign w:val="center"/>
                </w:tcPr>
                <w:p w14:paraId="36E2BC11">
                  <w:pPr>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both"/>
                    <w:rPr>
                      <w:rFonts w:hint="default" w:ascii="Times New Roman" w:hAnsi="Times New Roman" w:eastAsia="宋体" w:cs="Times New Roman"/>
                      <w:color w:val="auto"/>
                      <w:sz w:val="21"/>
                      <w:szCs w:val="21"/>
                      <w:highlight w:val="none"/>
                      <w:u w:val="none" w:color="auto"/>
                      <w:lang w:val="zh-CN" w:eastAsia="zh-CN"/>
                    </w:rPr>
                  </w:pPr>
                  <w:r>
                    <w:rPr>
                      <w:rFonts w:hint="default" w:ascii="Times New Roman" w:hAnsi="Times New Roman" w:eastAsia="宋体" w:cs="Times New Roman"/>
                      <w:color w:val="auto"/>
                      <w:sz w:val="21"/>
                      <w:szCs w:val="21"/>
                      <w:highlight w:val="none"/>
                      <w:u w:val="none" w:color="auto"/>
                      <w:lang w:val="zh-CN"/>
                    </w:rPr>
                    <w:t>推进污水处理厂再生水生态利用，完善区域再生水循环利用体系。</w:t>
                  </w:r>
                </w:p>
              </w:tc>
              <w:tc>
                <w:tcPr>
                  <w:tcW w:w="1449" w:type="pct"/>
                  <w:shd w:val="clear" w:color="auto" w:fill="auto"/>
                  <w:noWrap w:val="0"/>
                  <w:vAlign w:val="center"/>
                </w:tcPr>
                <w:p w14:paraId="6D44EAF5">
                  <w:pPr>
                    <w:keepNext w:val="0"/>
                    <w:keepLines w:val="0"/>
                    <w:pageBreakBefore w:val="0"/>
                    <w:widowControl/>
                    <w:suppressLineNumbers w:val="0"/>
                    <w:kinsoku/>
                    <w:wordWrap/>
                    <w:overflowPunct/>
                    <w:topLinePunct w:val="0"/>
                    <w:autoSpaceDE/>
                    <w:autoSpaceDN/>
                    <w:bidi w:val="0"/>
                    <w:adjustRightInd/>
                    <w:snapToGrid/>
                    <w:spacing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eastAsia" w:ascii="Times New Roman" w:hAnsi="Times New Roman" w:eastAsia="宋体" w:cs="Times New Roman"/>
                      <w:color w:val="auto"/>
                      <w:sz w:val="21"/>
                      <w:szCs w:val="21"/>
                      <w:highlight w:val="none"/>
                      <w:u w:val="none" w:color="auto"/>
                      <w:vertAlign w:val="baseline"/>
                      <w:lang w:val="en-US" w:eastAsia="zh-CN"/>
                    </w:rPr>
                    <w:t>不涉及</w:t>
                  </w:r>
                </w:p>
              </w:tc>
              <w:tc>
                <w:tcPr>
                  <w:tcW w:w="367" w:type="pct"/>
                  <w:shd w:val="clear" w:color="auto" w:fill="auto"/>
                  <w:noWrap w:val="0"/>
                  <w:vAlign w:val="center"/>
                </w:tcPr>
                <w:p w14:paraId="631E183E">
                  <w:pPr>
                    <w:pStyle w:val="9"/>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color="auto"/>
                      <w:vertAlign w:val="baseline"/>
                      <w:lang w:val="en-US" w:eastAsia="zh-CN" w:bidi="ar-SA"/>
                    </w:rPr>
                  </w:pPr>
                  <w:r>
                    <w:rPr>
                      <w:rFonts w:hint="eastAsia" w:ascii="Times New Roman" w:hAnsi="Times New Roman" w:eastAsia="宋体" w:cs="Times New Roman"/>
                      <w:color w:val="auto"/>
                      <w:sz w:val="21"/>
                      <w:szCs w:val="21"/>
                      <w:highlight w:val="none"/>
                      <w:u w:val="none" w:color="auto"/>
                      <w:vertAlign w:val="baseline"/>
                      <w:lang w:val="en-US" w:eastAsia="zh-CN"/>
                    </w:rPr>
                    <w:t>--</w:t>
                  </w:r>
                </w:p>
              </w:tc>
            </w:tr>
            <w:tr w14:paraId="3175DC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997" w:type="pct"/>
                  <w:vMerge w:val="continue"/>
                  <w:noWrap w:val="0"/>
                  <w:vAlign w:val="top"/>
                </w:tcPr>
                <w:p w14:paraId="053CD7BD">
                  <w:pPr>
                    <w:keepNext w:val="0"/>
                    <w:keepLines w:val="0"/>
                    <w:pageBreakBefore w:val="0"/>
                    <w:widowControl w:val="0"/>
                    <w:kinsoku/>
                    <w:wordWrap/>
                    <w:overflowPunct/>
                    <w:topLinePunct w:val="0"/>
                    <w:autoSpaceDE/>
                    <w:autoSpaceDN/>
                    <w:bidi w:val="0"/>
                    <w:adjustRightInd/>
                    <w:snapToGrid/>
                    <w:spacing w:beforeLines="0" w:afterLines="0" w:line="240" w:lineRule="auto"/>
                    <w:ind w:left="-105" w:leftChars="-50" w:right="-105" w:rightChars="-50"/>
                    <w:jc w:val="center"/>
                    <w:textAlignment w:val="auto"/>
                    <w:rPr>
                      <w:rFonts w:hint="default" w:ascii="Times New Roman" w:hAnsi="Times New Roman" w:eastAsia="宋体" w:cs="Times New Roman"/>
                      <w:color w:val="auto"/>
                      <w:sz w:val="21"/>
                      <w:szCs w:val="21"/>
                      <w:highlight w:val="none"/>
                      <w:u w:val="none" w:color="auto"/>
                      <w:lang w:val="zh-CN"/>
                    </w:rPr>
                  </w:pPr>
                </w:p>
              </w:tc>
              <w:tc>
                <w:tcPr>
                  <w:tcW w:w="2185" w:type="pct"/>
                  <w:noWrap w:val="0"/>
                  <w:vAlign w:val="center"/>
                </w:tcPr>
                <w:p w14:paraId="646053F1">
                  <w:pPr>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both"/>
                    <w:rPr>
                      <w:rFonts w:hint="default" w:ascii="Times New Roman" w:hAnsi="Times New Roman" w:eastAsia="宋体" w:cs="Times New Roman"/>
                      <w:color w:val="auto"/>
                      <w:kern w:val="2"/>
                      <w:sz w:val="21"/>
                      <w:szCs w:val="21"/>
                      <w:highlight w:val="none"/>
                      <w:u w:val="none" w:color="auto"/>
                      <w:lang w:val="zh-CN" w:eastAsia="zh-CN" w:bidi="ar-SA"/>
                    </w:rPr>
                  </w:pPr>
                  <w:r>
                    <w:rPr>
                      <w:rFonts w:hint="default" w:ascii="Times New Roman" w:hAnsi="Times New Roman" w:eastAsia="宋体" w:cs="Times New Roman"/>
                      <w:color w:val="auto"/>
                      <w:sz w:val="21"/>
                      <w:szCs w:val="21"/>
                      <w:highlight w:val="none"/>
                      <w:u w:val="none" w:color="auto"/>
                      <w:lang w:val="zh-CN"/>
                    </w:rPr>
                    <w:t>提升土著鱼类的种群丰富度，改善和优化水域的群落结构，提升水生态能力。</w:t>
                  </w:r>
                </w:p>
              </w:tc>
              <w:tc>
                <w:tcPr>
                  <w:tcW w:w="1449" w:type="pct"/>
                  <w:shd w:val="clear" w:color="auto" w:fill="auto"/>
                  <w:noWrap w:val="0"/>
                  <w:vAlign w:val="center"/>
                </w:tcPr>
                <w:p w14:paraId="5A8A8140">
                  <w:pPr>
                    <w:keepNext w:val="0"/>
                    <w:keepLines w:val="0"/>
                    <w:pageBreakBefore w:val="0"/>
                    <w:widowControl/>
                    <w:suppressLineNumbers w:val="0"/>
                    <w:kinsoku/>
                    <w:wordWrap/>
                    <w:overflowPunct/>
                    <w:topLinePunct w:val="0"/>
                    <w:autoSpaceDE/>
                    <w:autoSpaceDN/>
                    <w:bidi w:val="0"/>
                    <w:adjustRightInd/>
                    <w:snapToGrid/>
                    <w:spacing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eastAsia" w:ascii="Times New Roman" w:hAnsi="Times New Roman" w:eastAsia="宋体" w:cs="Times New Roman"/>
                      <w:color w:val="auto"/>
                      <w:sz w:val="21"/>
                      <w:szCs w:val="21"/>
                      <w:highlight w:val="none"/>
                      <w:u w:val="none" w:color="auto"/>
                      <w:vertAlign w:val="baseline"/>
                      <w:lang w:val="en-US" w:eastAsia="zh-CN"/>
                    </w:rPr>
                    <w:t>不涉及</w:t>
                  </w:r>
                </w:p>
              </w:tc>
              <w:tc>
                <w:tcPr>
                  <w:tcW w:w="367" w:type="pct"/>
                  <w:shd w:val="clear" w:color="auto" w:fill="auto"/>
                  <w:noWrap w:val="0"/>
                  <w:vAlign w:val="center"/>
                </w:tcPr>
                <w:p w14:paraId="16101966">
                  <w:pPr>
                    <w:pStyle w:val="9"/>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color="auto"/>
                      <w:vertAlign w:val="baseline"/>
                      <w:lang w:val="en-US" w:eastAsia="zh-CN" w:bidi="ar-SA"/>
                    </w:rPr>
                  </w:pPr>
                  <w:r>
                    <w:rPr>
                      <w:rFonts w:hint="eastAsia" w:ascii="Times New Roman" w:hAnsi="Times New Roman" w:eastAsia="宋体" w:cs="Times New Roman"/>
                      <w:color w:val="auto"/>
                      <w:sz w:val="21"/>
                      <w:szCs w:val="21"/>
                      <w:highlight w:val="none"/>
                      <w:u w:val="none" w:color="auto"/>
                      <w:vertAlign w:val="baseline"/>
                      <w:lang w:val="en-US" w:eastAsia="zh-CN"/>
                    </w:rPr>
                    <w:t>--</w:t>
                  </w:r>
                </w:p>
              </w:tc>
            </w:tr>
            <w:tr w14:paraId="08F822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997" w:type="pct"/>
                  <w:vMerge w:val="continue"/>
                  <w:noWrap w:val="0"/>
                  <w:vAlign w:val="top"/>
                </w:tcPr>
                <w:p w14:paraId="2603BED3">
                  <w:pPr>
                    <w:keepNext w:val="0"/>
                    <w:keepLines w:val="0"/>
                    <w:pageBreakBefore w:val="0"/>
                    <w:widowControl w:val="0"/>
                    <w:kinsoku/>
                    <w:wordWrap/>
                    <w:overflowPunct/>
                    <w:topLinePunct w:val="0"/>
                    <w:autoSpaceDE/>
                    <w:autoSpaceDN/>
                    <w:bidi w:val="0"/>
                    <w:adjustRightInd/>
                    <w:snapToGrid/>
                    <w:spacing w:beforeLines="0" w:afterLines="0" w:line="240" w:lineRule="auto"/>
                    <w:ind w:left="-105" w:leftChars="-50" w:right="-105" w:rightChars="-50"/>
                    <w:jc w:val="center"/>
                    <w:textAlignment w:val="auto"/>
                    <w:rPr>
                      <w:rFonts w:hint="default" w:ascii="Times New Roman" w:hAnsi="Times New Roman" w:eastAsia="宋体" w:cs="Times New Roman"/>
                      <w:color w:val="auto"/>
                      <w:sz w:val="21"/>
                      <w:szCs w:val="21"/>
                      <w:highlight w:val="none"/>
                      <w:u w:val="none" w:color="auto"/>
                      <w:lang w:val="zh-CN"/>
                    </w:rPr>
                  </w:pPr>
                </w:p>
              </w:tc>
              <w:tc>
                <w:tcPr>
                  <w:tcW w:w="2185" w:type="pct"/>
                  <w:noWrap w:val="0"/>
                  <w:vAlign w:val="center"/>
                </w:tcPr>
                <w:p w14:paraId="62EDF2A4">
                  <w:pPr>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both"/>
                    <w:rPr>
                      <w:rFonts w:hint="default" w:ascii="Times New Roman" w:hAnsi="Times New Roman" w:eastAsia="宋体" w:cs="Times New Roman"/>
                      <w:color w:val="auto"/>
                      <w:sz w:val="21"/>
                      <w:szCs w:val="21"/>
                      <w:highlight w:val="none"/>
                      <w:u w:val="none" w:color="auto"/>
                      <w:lang w:val="zh-CN"/>
                    </w:rPr>
                  </w:pPr>
                  <w:r>
                    <w:rPr>
                      <w:rFonts w:hint="default" w:ascii="Times New Roman" w:hAnsi="Times New Roman" w:eastAsia="宋体" w:cs="Times New Roman"/>
                      <w:color w:val="auto"/>
                      <w:sz w:val="21"/>
                      <w:szCs w:val="21"/>
                      <w:highlight w:val="none"/>
                      <w:u w:val="none" w:color="auto"/>
                      <w:lang w:val="zh-CN"/>
                    </w:rPr>
                    <w:t>水产种质资源保护区执行《水产种质资源保护区管理办法》相关要求。</w:t>
                  </w:r>
                </w:p>
              </w:tc>
              <w:tc>
                <w:tcPr>
                  <w:tcW w:w="1449" w:type="pct"/>
                  <w:shd w:val="clear" w:color="auto" w:fill="auto"/>
                  <w:noWrap w:val="0"/>
                  <w:vAlign w:val="center"/>
                </w:tcPr>
                <w:p w14:paraId="3F3C3BAE">
                  <w:pPr>
                    <w:keepNext w:val="0"/>
                    <w:keepLines w:val="0"/>
                    <w:pageBreakBefore w:val="0"/>
                    <w:widowControl/>
                    <w:suppressLineNumbers w:val="0"/>
                    <w:kinsoku/>
                    <w:wordWrap/>
                    <w:overflowPunct/>
                    <w:topLinePunct w:val="0"/>
                    <w:autoSpaceDE/>
                    <w:autoSpaceDN/>
                    <w:bidi w:val="0"/>
                    <w:adjustRightInd/>
                    <w:snapToGrid/>
                    <w:spacing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eastAsia" w:ascii="Times New Roman" w:hAnsi="Times New Roman" w:eastAsia="宋体" w:cs="Times New Roman"/>
                      <w:color w:val="auto"/>
                      <w:sz w:val="21"/>
                      <w:szCs w:val="21"/>
                      <w:highlight w:val="none"/>
                      <w:u w:val="none" w:color="auto"/>
                      <w:vertAlign w:val="baseline"/>
                      <w:lang w:val="en-US" w:eastAsia="zh-CN"/>
                    </w:rPr>
                    <w:t>不涉及</w:t>
                  </w:r>
                </w:p>
              </w:tc>
              <w:tc>
                <w:tcPr>
                  <w:tcW w:w="367" w:type="pct"/>
                  <w:shd w:val="clear" w:color="auto" w:fill="auto"/>
                  <w:noWrap w:val="0"/>
                  <w:vAlign w:val="center"/>
                </w:tcPr>
                <w:p w14:paraId="6107DA85">
                  <w:pPr>
                    <w:pStyle w:val="9"/>
                    <w:keepNext w:val="0"/>
                    <w:keepLines w:val="0"/>
                    <w:pageBreakBefore w:val="0"/>
                    <w:kinsoku/>
                    <w:wordWrap/>
                    <w:overflowPunct/>
                    <w:topLinePunct w:val="0"/>
                    <w:autoSpaceDE/>
                    <w:autoSpaceDN/>
                    <w:bidi w:val="0"/>
                    <w:adjustRightInd/>
                    <w:snapToGrid/>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u w:val="none" w:color="auto"/>
                      <w:vertAlign w:val="baseline"/>
                      <w:lang w:val="en-US" w:eastAsia="zh-CN" w:bidi="ar-SA"/>
                    </w:rPr>
                  </w:pPr>
                  <w:r>
                    <w:rPr>
                      <w:rFonts w:hint="eastAsia" w:ascii="Times New Roman" w:hAnsi="Times New Roman" w:eastAsia="宋体" w:cs="Times New Roman"/>
                      <w:color w:val="auto"/>
                      <w:sz w:val="21"/>
                      <w:szCs w:val="21"/>
                      <w:highlight w:val="none"/>
                      <w:u w:val="none" w:color="auto"/>
                      <w:vertAlign w:val="baseline"/>
                      <w:lang w:val="en-US" w:eastAsia="zh-CN"/>
                    </w:rPr>
                    <w:t>--</w:t>
                  </w:r>
                </w:p>
              </w:tc>
            </w:tr>
            <w:tr w14:paraId="3AFE1E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997" w:type="pct"/>
                  <w:vMerge w:val="continue"/>
                  <w:noWrap w:val="0"/>
                  <w:vAlign w:val="top"/>
                </w:tcPr>
                <w:p w14:paraId="2CC432BD">
                  <w:pPr>
                    <w:keepNext w:val="0"/>
                    <w:keepLines w:val="0"/>
                    <w:pageBreakBefore w:val="0"/>
                    <w:widowControl w:val="0"/>
                    <w:kinsoku/>
                    <w:wordWrap/>
                    <w:overflowPunct/>
                    <w:topLinePunct w:val="0"/>
                    <w:autoSpaceDE/>
                    <w:autoSpaceDN/>
                    <w:bidi w:val="0"/>
                    <w:adjustRightInd/>
                    <w:snapToGrid/>
                    <w:spacing w:beforeLines="0" w:afterLines="0" w:line="240" w:lineRule="auto"/>
                    <w:ind w:left="-105" w:leftChars="-50" w:right="-105" w:rightChars="-50"/>
                    <w:jc w:val="center"/>
                    <w:textAlignment w:val="auto"/>
                    <w:rPr>
                      <w:rFonts w:hint="default" w:ascii="Times New Roman" w:hAnsi="Times New Roman" w:eastAsia="宋体" w:cs="Times New Roman"/>
                      <w:color w:val="auto"/>
                      <w:sz w:val="21"/>
                      <w:szCs w:val="21"/>
                      <w:highlight w:val="none"/>
                      <w:u w:val="none" w:color="auto"/>
                      <w:lang w:val="zh-CN"/>
                    </w:rPr>
                  </w:pPr>
                </w:p>
              </w:tc>
              <w:tc>
                <w:tcPr>
                  <w:tcW w:w="2185" w:type="pct"/>
                  <w:noWrap w:val="0"/>
                  <w:vAlign w:val="center"/>
                </w:tcPr>
                <w:p w14:paraId="5340D2C2">
                  <w:pPr>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both"/>
                    <w:rPr>
                      <w:rFonts w:hint="default" w:ascii="Times New Roman" w:hAnsi="Times New Roman" w:eastAsia="宋体" w:cs="Times New Roman"/>
                      <w:color w:val="auto"/>
                      <w:sz w:val="21"/>
                      <w:szCs w:val="21"/>
                      <w:highlight w:val="none"/>
                      <w:u w:val="none" w:color="auto"/>
                      <w:lang w:val="zh-CN"/>
                    </w:rPr>
                  </w:pPr>
                  <w:r>
                    <w:rPr>
                      <w:rFonts w:hint="default" w:ascii="Times New Roman" w:hAnsi="Times New Roman" w:eastAsia="宋体" w:cs="Times New Roman"/>
                      <w:color w:val="auto"/>
                      <w:sz w:val="21"/>
                      <w:szCs w:val="21"/>
                      <w:highlight w:val="none"/>
                      <w:u w:val="none" w:color="auto"/>
                      <w:lang w:val="zh-CN"/>
                    </w:rPr>
                    <w:t>落实最严格水资源管理制度，严控河湖水资源开发强度。</w:t>
                  </w:r>
                </w:p>
              </w:tc>
              <w:tc>
                <w:tcPr>
                  <w:tcW w:w="1449" w:type="pct"/>
                  <w:shd w:val="clear" w:color="auto" w:fill="auto"/>
                  <w:noWrap w:val="0"/>
                  <w:vAlign w:val="center"/>
                </w:tcPr>
                <w:p w14:paraId="4E4804EC">
                  <w:pPr>
                    <w:keepNext w:val="0"/>
                    <w:keepLines w:val="0"/>
                    <w:pageBreakBefore w:val="0"/>
                    <w:widowControl w:val="0"/>
                    <w:kinsoku/>
                    <w:wordWrap/>
                    <w:overflowPunct/>
                    <w:topLinePunct w:val="0"/>
                    <w:autoSpaceDE/>
                    <w:autoSpaceDN/>
                    <w:bidi w:val="0"/>
                    <w:adjustRightInd/>
                    <w:snapToGrid/>
                    <w:spacing w:line="240" w:lineRule="auto"/>
                    <w:ind w:left="-63" w:leftChars="-30" w:right="-63" w:rightChars="-30" w:firstLine="0" w:firstLineChars="0"/>
                    <w:jc w:val="both"/>
                    <w:textAlignment w:val="auto"/>
                    <w:rPr>
                      <w:rFonts w:hint="default" w:ascii="Times New Roman" w:hAnsi="Times New Roman" w:eastAsia="宋体" w:cs="Times New Roman"/>
                      <w:color w:val="auto"/>
                      <w:kern w:val="2"/>
                      <w:sz w:val="21"/>
                      <w:szCs w:val="21"/>
                      <w:highlight w:val="none"/>
                      <w:u w:val="none" w:color="auto"/>
                      <w:lang w:val="en-US" w:eastAsia="zh-CN" w:bidi="ar-SA"/>
                    </w:rPr>
                  </w:pPr>
                  <w:r>
                    <w:rPr>
                      <w:rFonts w:hint="eastAsia" w:ascii="Times New Roman" w:hAnsi="Times New Roman" w:eastAsia="宋体" w:cs="Times New Roman"/>
                      <w:color w:val="auto"/>
                      <w:sz w:val="21"/>
                      <w:szCs w:val="21"/>
                      <w:highlight w:val="none"/>
                      <w:u w:val="none" w:color="auto"/>
                      <w:lang w:val="en-US" w:eastAsia="zh-CN"/>
                    </w:rPr>
                    <w:t>项目生活用水</w:t>
                  </w:r>
                  <w:r>
                    <w:rPr>
                      <w:rFonts w:hint="eastAsia" w:cs="Times New Roman"/>
                      <w:color w:val="auto"/>
                      <w:sz w:val="21"/>
                      <w:szCs w:val="21"/>
                      <w:highlight w:val="none"/>
                      <w:u w:val="none" w:color="auto"/>
                      <w:lang w:val="en-US" w:eastAsia="zh-CN"/>
                    </w:rPr>
                    <w:t>、</w:t>
                  </w:r>
                  <w:r>
                    <w:rPr>
                      <w:rFonts w:hint="eastAsia" w:ascii="Times New Roman" w:hAnsi="Times New Roman" w:eastAsia="宋体" w:cs="Times New Roman"/>
                      <w:color w:val="auto"/>
                      <w:sz w:val="21"/>
                      <w:szCs w:val="21"/>
                      <w:highlight w:val="none"/>
                      <w:u w:val="none" w:color="auto"/>
                      <w:lang w:val="en-US" w:eastAsia="zh-CN"/>
                    </w:rPr>
                    <w:t>生产用水采用</w:t>
                  </w:r>
                  <w:r>
                    <w:rPr>
                      <w:rFonts w:hint="eastAsia" w:cs="Times New Roman"/>
                      <w:color w:val="auto"/>
                      <w:sz w:val="21"/>
                      <w:szCs w:val="21"/>
                      <w:highlight w:val="none"/>
                      <w:u w:val="none" w:color="auto"/>
                      <w:lang w:val="en-US" w:eastAsia="zh-CN"/>
                    </w:rPr>
                    <w:t>地下</w:t>
                  </w:r>
                  <w:r>
                    <w:rPr>
                      <w:rFonts w:hint="eastAsia" w:ascii="Times New Roman" w:hAnsi="Times New Roman" w:eastAsia="宋体" w:cs="Times New Roman"/>
                      <w:color w:val="auto"/>
                      <w:sz w:val="21"/>
                      <w:szCs w:val="21"/>
                      <w:highlight w:val="none"/>
                      <w:u w:val="none" w:color="auto"/>
                      <w:lang w:val="en-US" w:eastAsia="zh-CN"/>
                    </w:rPr>
                    <w:t>水，</w:t>
                  </w:r>
                  <w:r>
                    <w:rPr>
                      <w:rFonts w:hint="default" w:ascii="Times New Roman" w:hAnsi="Times New Roman" w:eastAsia="宋体" w:cs="Times New Roman"/>
                      <w:color w:val="auto"/>
                      <w:sz w:val="21"/>
                      <w:szCs w:val="21"/>
                      <w:highlight w:val="none"/>
                      <w:u w:val="none" w:color="auto"/>
                      <w:lang w:val="en-US" w:eastAsia="zh-CN"/>
                    </w:rPr>
                    <w:t>消耗新鲜水量</w:t>
                  </w:r>
                  <w:r>
                    <w:rPr>
                      <w:rFonts w:hint="eastAsia" w:ascii="Times New Roman" w:hAnsi="Times New Roman" w:eastAsia="宋体" w:cs="Times New Roman"/>
                      <w:color w:val="auto"/>
                      <w:sz w:val="21"/>
                      <w:szCs w:val="21"/>
                      <w:highlight w:val="none"/>
                      <w:u w:val="none" w:color="auto"/>
                      <w:lang w:val="en-US" w:eastAsia="zh-CN"/>
                    </w:rPr>
                    <w:t>较</w:t>
                  </w:r>
                  <w:r>
                    <w:rPr>
                      <w:rFonts w:hint="default" w:ascii="Times New Roman" w:hAnsi="Times New Roman" w:eastAsia="宋体" w:cs="Times New Roman"/>
                      <w:color w:val="auto"/>
                      <w:sz w:val="21"/>
                      <w:szCs w:val="21"/>
                      <w:highlight w:val="none"/>
                      <w:u w:val="none" w:color="auto"/>
                      <w:lang w:val="en-US" w:eastAsia="zh-CN"/>
                    </w:rPr>
                    <w:t>少，不会对区域</w:t>
                  </w:r>
                  <w:r>
                    <w:rPr>
                      <w:rFonts w:hint="eastAsia" w:ascii="Times New Roman" w:hAnsi="Times New Roman" w:eastAsia="宋体" w:cs="Times New Roman"/>
                      <w:color w:val="auto"/>
                      <w:sz w:val="21"/>
                      <w:szCs w:val="21"/>
                      <w:highlight w:val="none"/>
                      <w:u w:val="none" w:color="auto"/>
                      <w:lang w:val="en-US" w:eastAsia="zh-CN"/>
                    </w:rPr>
                    <w:t>水资源</w:t>
                  </w:r>
                  <w:r>
                    <w:rPr>
                      <w:rFonts w:hint="default" w:ascii="Times New Roman" w:hAnsi="Times New Roman" w:eastAsia="宋体" w:cs="Times New Roman"/>
                      <w:color w:val="auto"/>
                      <w:sz w:val="21"/>
                      <w:szCs w:val="21"/>
                      <w:highlight w:val="none"/>
                      <w:u w:val="none" w:color="auto"/>
                      <w:lang w:val="en-US" w:eastAsia="zh-CN"/>
                    </w:rPr>
                    <w:t>产生明显影响</w:t>
                  </w:r>
                  <w:r>
                    <w:rPr>
                      <w:rFonts w:hint="eastAsia" w:ascii="Times New Roman" w:hAnsi="Times New Roman" w:eastAsia="宋体" w:cs="Times New Roman"/>
                      <w:color w:val="auto"/>
                      <w:sz w:val="21"/>
                      <w:szCs w:val="21"/>
                      <w:highlight w:val="none"/>
                      <w:u w:val="none" w:color="auto"/>
                      <w:lang w:val="en-US" w:eastAsia="zh-CN"/>
                    </w:rPr>
                    <w:t>，符合</w:t>
                  </w:r>
                  <w:r>
                    <w:rPr>
                      <w:rFonts w:hint="default" w:ascii="Times New Roman" w:hAnsi="Times New Roman" w:eastAsia="宋体" w:cs="Times New Roman"/>
                      <w:color w:val="auto"/>
                      <w:sz w:val="21"/>
                      <w:szCs w:val="21"/>
                      <w:highlight w:val="none"/>
                      <w:u w:val="none" w:color="auto"/>
                      <w:lang w:val="zh-CN"/>
                    </w:rPr>
                    <w:t>开发强度</w:t>
                  </w:r>
                  <w:r>
                    <w:rPr>
                      <w:rFonts w:hint="eastAsia" w:ascii="Times New Roman" w:hAnsi="Times New Roman" w:eastAsia="宋体" w:cs="Times New Roman"/>
                      <w:color w:val="auto"/>
                      <w:sz w:val="21"/>
                      <w:szCs w:val="21"/>
                      <w:highlight w:val="none"/>
                      <w:u w:val="none" w:color="auto"/>
                      <w:lang w:val="zh-CN"/>
                    </w:rPr>
                    <w:t>要求</w:t>
                  </w:r>
                  <w:r>
                    <w:rPr>
                      <w:rFonts w:hint="default" w:ascii="Times New Roman" w:hAnsi="Times New Roman" w:eastAsia="宋体" w:cs="Times New Roman"/>
                      <w:color w:val="auto"/>
                      <w:kern w:val="2"/>
                      <w:sz w:val="21"/>
                      <w:szCs w:val="21"/>
                      <w:highlight w:val="none"/>
                      <w:u w:val="none" w:color="auto"/>
                      <w:lang w:val="en-US" w:eastAsia="zh-CN" w:bidi="ar-SA"/>
                    </w:rPr>
                    <w:t>。</w:t>
                  </w:r>
                  <w:r>
                    <w:rPr>
                      <w:rFonts w:hint="eastAsia" w:cs="Times New Roman"/>
                      <w:color w:val="auto"/>
                      <w:kern w:val="2"/>
                      <w:sz w:val="21"/>
                      <w:szCs w:val="21"/>
                      <w:highlight w:val="none"/>
                      <w:u w:val="none" w:color="auto"/>
                      <w:lang w:val="en-US" w:eastAsia="zh-CN" w:bidi="ar-SA"/>
                    </w:rPr>
                    <w:t>取水许可证正在办理中。</w:t>
                  </w:r>
                </w:p>
              </w:tc>
              <w:tc>
                <w:tcPr>
                  <w:tcW w:w="367" w:type="pct"/>
                  <w:shd w:val="clear" w:color="auto" w:fill="auto"/>
                  <w:noWrap w:val="0"/>
                  <w:vAlign w:val="center"/>
                </w:tcPr>
                <w:p w14:paraId="5E668800">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240" w:lineRule="auto"/>
                    <w:ind w:left="-105" w:leftChars="-50" w:right="-105" w:rightChars="-50" w:firstLine="0" w:firstLineChars="0"/>
                    <w:jc w:val="center"/>
                    <w:textAlignment w:val="baseline"/>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eastAsia="宋体" w:cs="Times New Roman"/>
                      <w:color w:val="auto"/>
                      <w:sz w:val="21"/>
                      <w:szCs w:val="21"/>
                      <w:highlight w:val="none"/>
                      <w:u w:val="none" w:color="auto"/>
                      <w:lang w:val="en-US" w:eastAsia="zh-CN"/>
                    </w:rPr>
                    <w:t>符合</w:t>
                  </w:r>
                </w:p>
              </w:tc>
            </w:tr>
          </w:tbl>
          <w:p w14:paraId="1FFCDF64">
            <w:pPr>
              <w:pStyle w:val="72"/>
              <w:numPr>
                <w:ilvl w:val="0"/>
                <w:numId w:val="0"/>
              </w:numPr>
              <w:bidi w:val="0"/>
              <w:spacing w:line="360" w:lineRule="auto"/>
              <w:ind w:leftChars="0"/>
              <w:jc w:val="center"/>
              <w:rPr>
                <w:rFonts w:hint="eastAsia" w:ascii="Times New Roman" w:hAnsi="Times New Roman" w:eastAsia="宋体" w:cs="Times New Roman"/>
                <w:color w:val="auto"/>
                <w:highlight w:val="none"/>
                <w:u w:val="single" w:color="auto"/>
                <w:lang w:val="en-US" w:eastAsia="zh-CN"/>
              </w:rPr>
            </w:pPr>
          </w:p>
          <w:p w14:paraId="485EF88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i w:val="0"/>
                <w:iCs w:val="0"/>
                <w:color w:val="auto"/>
                <w:sz w:val="24"/>
                <w:szCs w:val="24"/>
                <w:highlight w:val="none"/>
                <w:u w:val="none" w:color="auto"/>
                <w:lang w:val="en-US" w:eastAsia="zh-CN"/>
              </w:rPr>
            </w:pPr>
            <w:r>
              <w:rPr>
                <w:rFonts w:hint="eastAsia" w:ascii="Times New Roman" w:hAnsi="Times New Roman" w:eastAsia="宋体" w:cs="Times New Roman"/>
                <w:b w:val="0"/>
                <w:bCs w:val="0"/>
                <w:i w:val="0"/>
                <w:iCs w:val="0"/>
                <w:color w:val="auto"/>
                <w:sz w:val="24"/>
                <w:szCs w:val="24"/>
                <w:highlight w:val="none"/>
                <w:u w:val="none" w:color="auto"/>
                <w:lang w:val="en-US" w:eastAsia="zh-CN"/>
              </w:rPr>
              <w:t>②与白山市生态环境准入清单相符性</w:t>
            </w:r>
          </w:p>
          <w:p w14:paraId="1B540E8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i w:val="0"/>
                <w:iCs w:val="0"/>
                <w:color w:val="auto"/>
                <w:sz w:val="24"/>
                <w:szCs w:val="24"/>
                <w:highlight w:val="none"/>
                <w:u w:val="none" w:color="auto"/>
                <w:lang w:val="en-US" w:eastAsia="zh-CN"/>
              </w:rPr>
            </w:pPr>
            <w:r>
              <w:rPr>
                <w:rFonts w:hint="eastAsia" w:ascii="Times New Roman" w:hAnsi="Times New Roman" w:eastAsia="宋体" w:cs="Times New Roman"/>
                <w:b w:val="0"/>
                <w:bCs w:val="0"/>
                <w:i w:val="0"/>
                <w:iCs w:val="0"/>
                <w:color w:val="auto"/>
                <w:sz w:val="24"/>
                <w:szCs w:val="24"/>
                <w:highlight w:val="none"/>
                <w:u w:val="none" w:color="auto"/>
                <w:lang w:val="en-US" w:eastAsia="zh-CN"/>
              </w:rPr>
              <w:t>根据《白山市人民政府办公室关于印发白山市生态环境分区管控实施方案的通知》（白山政办发〔2024〕11号），本项目与白山市生态环境准入清单相符性分析如下。</w:t>
            </w:r>
          </w:p>
          <w:p w14:paraId="46D8A5C0">
            <w:pPr>
              <w:pStyle w:val="72"/>
              <w:numPr>
                <w:ilvl w:val="0"/>
                <w:numId w:val="0"/>
              </w:numPr>
              <w:bidi w:val="0"/>
              <w:ind w:leftChars="0"/>
              <w:jc w:val="center"/>
              <w:rPr>
                <w:b/>
                <w:color w:val="auto"/>
                <w:sz w:val="24"/>
                <w:highlight w:val="none"/>
                <w:u w:val="none" w:color="auto"/>
              </w:rPr>
            </w:pPr>
            <w:r>
              <w:rPr>
                <w:rFonts w:hint="eastAsia"/>
                <w:color w:val="auto"/>
                <w:highlight w:val="none"/>
                <w:u w:val="none" w:color="auto"/>
                <w:lang w:eastAsia="zh-CN"/>
              </w:rPr>
              <w:t>表</w:t>
            </w:r>
            <w:r>
              <w:rPr>
                <w:rFonts w:hint="eastAsia"/>
                <w:color w:val="auto"/>
                <w:highlight w:val="none"/>
                <w:u w:val="none" w:color="auto"/>
                <w:lang w:val="en-US" w:eastAsia="zh-CN"/>
              </w:rPr>
              <w:t xml:space="preserve">1-3  </w:t>
            </w:r>
            <w:r>
              <w:rPr>
                <w:rFonts w:hint="eastAsia" w:eastAsia="宋体"/>
                <w:b/>
                <w:color w:val="auto"/>
                <w:sz w:val="24"/>
                <w:highlight w:val="none"/>
                <w:u w:val="none" w:color="auto"/>
                <w:lang w:eastAsia="zh-CN"/>
              </w:rPr>
              <w:t>白山</w:t>
            </w:r>
            <w:r>
              <w:rPr>
                <w:b/>
                <w:color w:val="auto"/>
                <w:sz w:val="24"/>
                <w:highlight w:val="none"/>
                <w:u w:val="none" w:color="auto"/>
              </w:rPr>
              <w:t>市总体</w:t>
            </w:r>
            <w:r>
              <w:rPr>
                <w:rFonts w:hint="eastAsia"/>
                <w:b/>
                <w:color w:val="auto"/>
                <w:sz w:val="24"/>
                <w:highlight w:val="none"/>
                <w:u w:val="none" w:color="auto"/>
                <w:lang w:val="en-US" w:eastAsia="zh-CN"/>
              </w:rPr>
              <w:t>准入</w:t>
            </w:r>
            <w:r>
              <w:rPr>
                <w:b/>
                <w:color w:val="auto"/>
                <w:sz w:val="24"/>
                <w:highlight w:val="none"/>
                <w:u w:val="none" w:color="auto"/>
              </w:rPr>
              <w:t>要求</w:t>
            </w:r>
          </w:p>
          <w:tbl>
            <w:tblPr>
              <w:tblStyle w:val="25"/>
              <w:tblW w:w="4996" w:type="pct"/>
              <w:tblInd w:w="0" w:type="dxa"/>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676"/>
              <w:gridCol w:w="670"/>
              <w:gridCol w:w="4396"/>
              <w:gridCol w:w="1917"/>
            </w:tblGrid>
            <w:tr w14:paraId="56F833A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442" w:type="pct"/>
                  <w:noWrap w:val="0"/>
                  <w:vAlign w:val="center"/>
                </w:tcPr>
                <w:p w14:paraId="3682E505">
                  <w:pPr>
                    <w:adjustRightInd w:val="0"/>
                    <w:snapToGrid w:val="0"/>
                    <w:spacing w:line="240" w:lineRule="auto"/>
                    <w:jc w:val="center"/>
                    <w:rPr>
                      <w:rFonts w:hint="default" w:ascii="Times New Roman" w:hAnsi="Times New Roman" w:eastAsia="宋体" w:cs="Times New Roman"/>
                      <w:i w:val="0"/>
                      <w:iCs w:val="0"/>
                      <w:color w:val="auto"/>
                      <w:sz w:val="21"/>
                      <w:szCs w:val="21"/>
                      <w:highlight w:val="none"/>
                      <w:u w:val="none" w:color="auto"/>
                    </w:rPr>
                  </w:pPr>
                  <w:r>
                    <w:rPr>
                      <w:rFonts w:hint="default" w:ascii="Times New Roman" w:hAnsi="Times New Roman" w:eastAsia="宋体" w:cs="Times New Roman"/>
                      <w:i w:val="0"/>
                      <w:iCs w:val="0"/>
                      <w:color w:val="auto"/>
                      <w:sz w:val="21"/>
                      <w:szCs w:val="21"/>
                      <w:highlight w:val="none"/>
                      <w:u w:val="none" w:color="auto"/>
                    </w:rPr>
                    <w:t>管控</w:t>
                  </w:r>
                </w:p>
                <w:p w14:paraId="51006D59">
                  <w:pPr>
                    <w:adjustRightInd w:val="0"/>
                    <w:snapToGrid w:val="0"/>
                    <w:spacing w:line="240" w:lineRule="auto"/>
                    <w:jc w:val="center"/>
                    <w:rPr>
                      <w:rFonts w:hint="default" w:ascii="Times New Roman" w:hAnsi="Times New Roman" w:eastAsia="宋体" w:cs="Times New Roman"/>
                      <w:i w:val="0"/>
                      <w:iCs w:val="0"/>
                      <w:color w:val="auto"/>
                      <w:sz w:val="21"/>
                      <w:szCs w:val="21"/>
                      <w:highlight w:val="none"/>
                      <w:u w:val="none" w:color="auto"/>
                    </w:rPr>
                  </w:pPr>
                  <w:r>
                    <w:rPr>
                      <w:rFonts w:hint="default" w:ascii="Times New Roman" w:hAnsi="Times New Roman" w:eastAsia="宋体" w:cs="Times New Roman"/>
                      <w:i w:val="0"/>
                      <w:iCs w:val="0"/>
                      <w:color w:val="auto"/>
                      <w:sz w:val="21"/>
                      <w:szCs w:val="21"/>
                      <w:highlight w:val="none"/>
                      <w:u w:val="none" w:color="auto"/>
                    </w:rPr>
                    <w:t>领域</w:t>
                  </w:r>
                </w:p>
              </w:tc>
              <w:tc>
                <w:tcPr>
                  <w:tcW w:w="3306" w:type="pct"/>
                  <w:gridSpan w:val="2"/>
                  <w:noWrap w:val="0"/>
                  <w:vAlign w:val="center"/>
                </w:tcPr>
                <w:p w14:paraId="3C1FE76D">
                  <w:pPr>
                    <w:adjustRightInd w:val="0"/>
                    <w:snapToGrid w:val="0"/>
                    <w:spacing w:line="240" w:lineRule="auto"/>
                    <w:jc w:val="center"/>
                    <w:rPr>
                      <w:rFonts w:hint="default" w:ascii="Times New Roman" w:hAnsi="Times New Roman" w:eastAsia="宋体" w:cs="Times New Roman"/>
                      <w:i w:val="0"/>
                      <w:iCs w:val="0"/>
                      <w:color w:val="auto"/>
                      <w:sz w:val="21"/>
                      <w:szCs w:val="21"/>
                      <w:highlight w:val="none"/>
                      <w:u w:val="none" w:color="auto"/>
                    </w:rPr>
                  </w:pPr>
                  <w:r>
                    <w:rPr>
                      <w:rFonts w:hint="default" w:ascii="Times New Roman" w:hAnsi="Times New Roman" w:eastAsia="宋体" w:cs="Times New Roman"/>
                      <w:i w:val="0"/>
                      <w:iCs w:val="0"/>
                      <w:color w:val="auto"/>
                      <w:sz w:val="21"/>
                      <w:szCs w:val="21"/>
                      <w:highlight w:val="none"/>
                      <w:u w:val="none" w:color="auto"/>
                    </w:rPr>
                    <w:t>环境准入及管控要求</w:t>
                  </w:r>
                </w:p>
              </w:tc>
              <w:tc>
                <w:tcPr>
                  <w:tcW w:w="1251" w:type="pct"/>
                  <w:noWrap w:val="0"/>
                  <w:vAlign w:val="center"/>
                </w:tcPr>
                <w:p w14:paraId="24082B11">
                  <w:pPr>
                    <w:adjustRightInd w:val="0"/>
                    <w:snapToGrid w:val="0"/>
                    <w:spacing w:line="240" w:lineRule="auto"/>
                    <w:jc w:val="center"/>
                    <w:rPr>
                      <w:rFonts w:hint="default" w:ascii="Times New Roman" w:hAnsi="Times New Roman" w:eastAsia="宋体" w:cs="Times New Roman"/>
                      <w:i w:val="0"/>
                      <w:iCs w:val="0"/>
                      <w:color w:val="auto"/>
                      <w:sz w:val="21"/>
                      <w:szCs w:val="21"/>
                      <w:highlight w:val="none"/>
                      <w:u w:val="none" w:color="auto"/>
                    </w:rPr>
                  </w:pPr>
                  <w:r>
                    <w:rPr>
                      <w:rFonts w:hint="default" w:ascii="Times New Roman" w:hAnsi="Times New Roman" w:eastAsia="宋体" w:cs="Times New Roman"/>
                      <w:i w:val="0"/>
                      <w:iCs w:val="0"/>
                      <w:color w:val="auto"/>
                      <w:sz w:val="21"/>
                      <w:szCs w:val="21"/>
                      <w:highlight w:val="none"/>
                      <w:u w:val="none" w:color="auto"/>
                    </w:rPr>
                    <w:t>符合性</w:t>
                  </w:r>
                </w:p>
              </w:tc>
            </w:tr>
            <w:tr w14:paraId="2451C8C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442" w:type="pct"/>
                  <w:vMerge w:val="restart"/>
                  <w:noWrap w:val="0"/>
                  <w:vAlign w:val="center"/>
                </w:tcPr>
                <w:p w14:paraId="70DDDA06">
                  <w:pPr>
                    <w:adjustRightInd w:val="0"/>
                    <w:snapToGrid w:val="0"/>
                    <w:spacing w:line="240" w:lineRule="auto"/>
                    <w:jc w:val="center"/>
                    <w:rPr>
                      <w:rFonts w:hint="default" w:ascii="Times New Roman" w:hAnsi="Times New Roman" w:eastAsia="宋体" w:cs="Times New Roman"/>
                      <w:i w:val="0"/>
                      <w:iCs w:val="0"/>
                      <w:color w:val="auto"/>
                      <w:sz w:val="21"/>
                      <w:szCs w:val="21"/>
                      <w:highlight w:val="none"/>
                      <w:u w:val="none" w:color="auto"/>
                    </w:rPr>
                  </w:pPr>
                  <w:r>
                    <w:rPr>
                      <w:rFonts w:hint="default" w:ascii="Times New Roman" w:hAnsi="Times New Roman" w:eastAsia="宋体" w:cs="Times New Roman"/>
                      <w:i w:val="0"/>
                      <w:iCs w:val="0"/>
                      <w:color w:val="auto"/>
                      <w:sz w:val="21"/>
                      <w:szCs w:val="21"/>
                      <w:highlight w:val="none"/>
                      <w:u w:val="none" w:color="auto"/>
                    </w:rPr>
                    <w:t>空间布局约束</w:t>
                  </w:r>
                </w:p>
              </w:tc>
              <w:tc>
                <w:tcPr>
                  <w:tcW w:w="3306" w:type="pct"/>
                  <w:gridSpan w:val="2"/>
                  <w:noWrap w:val="0"/>
                  <w:vAlign w:val="center"/>
                </w:tcPr>
                <w:p w14:paraId="44BB0B1A">
                  <w:pPr>
                    <w:adjustRightInd w:val="0"/>
                    <w:snapToGrid w:val="0"/>
                    <w:spacing w:line="240" w:lineRule="auto"/>
                    <w:jc w:val="both"/>
                    <w:rPr>
                      <w:rFonts w:hint="default" w:ascii="Times New Roman" w:hAnsi="Times New Roman" w:eastAsia="宋体" w:cs="Times New Roman"/>
                      <w:i w:val="0"/>
                      <w:iCs w:val="0"/>
                      <w:color w:val="auto"/>
                      <w:sz w:val="21"/>
                      <w:szCs w:val="21"/>
                      <w:highlight w:val="none"/>
                      <w:u w:val="none" w:color="auto"/>
                    </w:rPr>
                  </w:pPr>
                  <w:r>
                    <w:rPr>
                      <w:rFonts w:hint="default" w:ascii="Times New Roman" w:hAnsi="Times New Roman" w:eastAsia="宋体" w:cs="Times New Roman"/>
                      <w:i w:val="0"/>
                      <w:iCs w:val="0"/>
                      <w:color w:val="auto"/>
                      <w:sz w:val="21"/>
                      <w:szCs w:val="21"/>
                      <w:highlight w:val="none"/>
                      <w:u w:val="none" w:color="auto"/>
                    </w:rPr>
                    <w:t>严格落实《中华人民共和国自然保护区条例（2017年修订）》《水产种质资源保护区管理暂行办法（2016年修正本）》《国家湿地公园管理办法》《国家级森林公园管理办法》《湿地保护管理规程》《中华人民共和国森林法》要求。</w:t>
                  </w:r>
                </w:p>
              </w:tc>
              <w:tc>
                <w:tcPr>
                  <w:tcW w:w="1251" w:type="pct"/>
                  <w:noWrap w:val="0"/>
                  <w:vAlign w:val="center"/>
                </w:tcPr>
                <w:p w14:paraId="6E0CD786">
                  <w:pPr>
                    <w:adjustRightInd w:val="0"/>
                    <w:snapToGrid w:val="0"/>
                    <w:spacing w:line="240" w:lineRule="auto"/>
                    <w:jc w:val="center"/>
                    <w:rPr>
                      <w:rFonts w:hint="default" w:ascii="Times New Roman" w:hAnsi="Times New Roman" w:eastAsia="宋体" w:cs="Times New Roman"/>
                      <w:i w:val="0"/>
                      <w:iCs w:val="0"/>
                      <w:color w:val="auto"/>
                      <w:sz w:val="21"/>
                      <w:szCs w:val="21"/>
                      <w:highlight w:val="none"/>
                      <w:u w:val="none" w:color="auto"/>
                    </w:rPr>
                  </w:pPr>
                  <w:r>
                    <w:rPr>
                      <w:rFonts w:hint="default" w:ascii="Times New Roman" w:hAnsi="Times New Roman" w:eastAsia="宋体" w:cs="Times New Roman"/>
                      <w:i w:val="0"/>
                      <w:iCs w:val="0"/>
                      <w:color w:val="auto"/>
                      <w:sz w:val="21"/>
                      <w:szCs w:val="21"/>
                      <w:highlight w:val="none"/>
                      <w:u w:val="none" w:color="auto"/>
                    </w:rPr>
                    <w:t>不涉及</w:t>
                  </w:r>
                </w:p>
              </w:tc>
            </w:tr>
            <w:tr w14:paraId="2954F3F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442" w:type="pct"/>
                  <w:vMerge w:val="continue"/>
                  <w:noWrap w:val="0"/>
                  <w:vAlign w:val="center"/>
                </w:tcPr>
                <w:p w14:paraId="4ECB73BF">
                  <w:pPr>
                    <w:adjustRightInd w:val="0"/>
                    <w:snapToGrid w:val="0"/>
                    <w:spacing w:line="240" w:lineRule="auto"/>
                    <w:jc w:val="center"/>
                    <w:rPr>
                      <w:rFonts w:hint="default" w:ascii="Times New Roman" w:hAnsi="Times New Roman" w:eastAsia="宋体" w:cs="Times New Roman"/>
                      <w:i w:val="0"/>
                      <w:iCs w:val="0"/>
                      <w:color w:val="auto"/>
                      <w:sz w:val="21"/>
                      <w:szCs w:val="21"/>
                      <w:highlight w:val="none"/>
                      <w:u w:val="none" w:color="auto"/>
                    </w:rPr>
                  </w:pPr>
                </w:p>
              </w:tc>
              <w:tc>
                <w:tcPr>
                  <w:tcW w:w="3306" w:type="pct"/>
                  <w:gridSpan w:val="2"/>
                  <w:noWrap w:val="0"/>
                  <w:vAlign w:val="center"/>
                </w:tcPr>
                <w:p w14:paraId="11C21D5E">
                  <w:pPr>
                    <w:adjustRightInd w:val="0"/>
                    <w:snapToGrid w:val="0"/>
                    <w:spacing w:line="240" w:lineRule="auto"/>
                    <w:jc w:val="both"/>
                    <w:rPr>
                      <w:rFonts w:hint="eastAsia" w:ascii="Times New Roman" w:hAnsi="Times New Roman" w:eastAsia="宋体" w:cs="Times New Roman"/>
                      <w:i w:val="0"/>
                      <w:iCs w:val="0"/>
                      <w:color w:val="auto"/>
                      <w:sz w:val="21"/>
                      <w:szCs w:val="21"/>
                      <w:highlight w:val="none"/>
                      <w:u w:val="none" w:color="auto"/>
                      <w:lang w:eastAsia="zh-CN"/>
                    </w:rPr>
                  </w:pPr>
                  <w:r>
                    <w:rPr>
                      <w:rFonts w:hint="default" w:ascii="Times New Roman" w:hAnsi="Times New Roman" w:eastAsia="宋体" w:cs="Times New Roman"/>
                      <w:i w:val="0"/>
                      <w:iCs w:val="0"/>
                      <w:color w:val="auto"/>
                      <w:sz w:val="21"/>
                      <w:szCs w:val="21"/>
                      <w:highlight w:val="none"/>
                      <w:u w:val="none" w:color="auto"/>
                    </w:rPr>
                    <w:t>禁止在自然保护区、森林公园，景区及附近林地；江河源头和两岸林地；水库湖泊周围等生态重要区位林地；国道、省道、县道两侧第一层山脊内林地；坡度25度以上的林地；山脊、沟壑等林地；不符合</w:t>
                  </w:r>
                  <w:r>
                    <w:rPr>
                      <w:rFonts w:hint="default" w:ascii="Times New Roman" w:hAnsi="Times New Roman" w:eastAsia="宋体" w:cs="Times New Roman"/>
                      <w:i w:val="0"/>
                      <w:iCs w:val="0"/>
                      <w:color w:val="auto"/>
                      <w:sz w:val="21"/>
                      <w:szCs w:val="21"/>
                      <w:highlight w:val="none"/>
                      <w:u w:val="none" w:color="auto"/>
                      <w:lang w:eastAsia="zh-CN"/>
                    </w:rPr>
                    <w:t>人参</w:t>
                  </w:r>
                  <w:r>
                    <w:rPr>
                      <w:rFonts w:hint="default" w:ascii="Times New Roman" w:hAnsi="Times New Roman" w:eastAsia="宋体" w:cs="Times New Roman"/>
                      <w:i w:val="0"/>
                      <w:iCs w:val="0"/>
                      <w:color w:val="auto"/>
                      <w:sz w:val="21"/>
                      <w:szCs w:val="21"/>
                      <w:highlight w:val="none"/>
                      <w:u w:val="none" w:color="auto"/>
                    </w:rPr>
                    <w:t>种植标准和要求的其他林地的采伐迹地种植人参</w:t>
                  </w:r>
                  <w:r>
                    <w:rPr>
                      <w:rFonts w:hint="eastAsia" w:ascii="Times New Roman" w:hAnsi="Times New Roman" w:eastAsia="宋体" w:cs="Times New Roman"/>
                      <w:i w:val="0"/>
                      <w:iCs w:val="0"/>
                      <w:color w:val="auto"/>
                      <w:sz w:val="21"/>
                      <w:szCs w:val="21"/>
                      <w:highlight w:val="none"/>
                      <w:u w:val="none" w:color="auto"/>
                      <w:lang w:eastAsia="zh-CN"/>
                    </w:rPr>
                    <w:t>。</w:t>
                  </w:r>
                </w:p>
              </w:tc>
              <w:tc>
                <w:tcPr>
                  <w:tcW w:w="1251" w:type="pct"/>
                  <w:noWrap w:val="0"/>
                  <w:vAlign w:val="center"/>
                </w:tcPr>
                <w:p w14:paraId="25D67AB0">
                  <w:pPr>
                    <w:adjustRightInd w:val="0"/>
                    <w:snapToGrid w:val="0"/>
                    <w:spacing w:line="240" w:lineRule="auto"/>
                    <w:jc w:val="center"/>
                    <w:rPr>
                      <w:rFonts w:hint="default" w:ascii="Times New Roman" w:hAnsi="Times New Roman" w:eastAsia="宋体" w:cs="Times New Roman"/>
                      <w:i w:val="0"/>
                      <w:iCs w:val="0"/>
                      <w:color w:val="auto"/>
                      <w:sz w:val="21"/>
                      <w:szCs w:val="21"/>
                      <w:highlight w:val="none"/>
                      <w:u w:val="none" w:color="auto"/>
                    </w:rPr>
                  </w:pPr>
                  <w:r>
                    <w:rPr>
                      <w:rFonts w:hint="default" w:ascii="Times New Roman" w:hAnsi="Times New Roman" w:eastAsia="宋体" w:cs="Times New Roman"/>
                      <w:i w:val="0"/>
                      <w:iCs w:val="0"/>
                      <w:color w:val="auto"/>
                      <w:sz w:val="21"/>
                      <w:szCs w:val="21"/>
                      <w:highlight w:val="none"/>
                      <w:u w:val="none" w:color="auto"/>
                    </w:rPr>
                    <w:t>不涉及</w:t>
                  </w:r>
                </w:p>
              </w:tc>
            </w:tr>
            <w:tr w14:paraId="433747D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PrEx>
              <w:tc>
                <w:tcPr>
                  <w:tcW w:w="442" w:type="pct"/>
                  <w:vMerge w:val="restart"/>
                  <w:noWrap w:val="0"/>
                  <w:vAlign w:val="center"/>
                </w:tcPr>
                <w:p w14:paraId="75180531">
                  <w:pPr>
                    <w:adjustRightInd w:val="0"/>
                    <w:snapToGrid w:val="0"/>
                    <w:spacing w:line="240" w:lineRule="auto"/>
                    <w:jc w:val="center"/>
                    <w:rPr>
                      <w:rFonts w:hint="default" w:ascii="Times New Roman" w:hAnsi="Times New Roman" w:eastAsia="宋体" w:cs="Times New Roman"/>
                      <w:i w:val="0"/>
                      <w:iCs w:val="0"/>
                      <w:color w:val="auto"/>
                      <w:sz w:val="21"/>
                      <w:szCs w:val="21"/>
                      <w:highlight w:val="none"/>
                      <w:u w:val="none" w:color="auto"/>
                    </w:rPr>
                  </w:pPr>
                  <w:r>
                    <w:rPr>
                      <w:rFonts w:hint="default" w:ascii="Times New Roman" w:hAnsi="Times New Roman" w:eastAsia="宋体" w:cs="Times New Roman"/>
                      <w:i w:val="0"/>
                      <w:iCs w:val="0"/>
                      <w:color w:val="auto"/>
                      <w:sz w:val="21"/>
                      <w:szCs w:val="21"/>
                      <w:highlight w:val="none"/>
                      <w:u w:val="none" w:color="auto"/>
                    </w:rPr>
                    <w:t>污染物排放管控</w:t>
                  </w:r>
                </w:p>
              </w:tc>
              <w:tc>
                <w:tcPr>
                  <w:tcW w:w="437" w:type="pct"/>
                  <w:vMerge w:val="restart"/>
                  <w:noWrap w:val="0"/>
                  <w:vAlign w:val="center"/>
                </w:tcPr>
                <w:p w14:paraId="5F9A48E9">
                  <w:pPr>
                    <w:adjustRightInd w:val="0"/>
                    <w:snapToGrid w:val="0"/>
                    <w:spacing w:line="240" w:lineRule="auto"/>
                    <w:jc w:val="both"/>
                    <w:rPr>
                      <w:rFonts w:hint="default" w:ascii="Times New Roman" w:hAnsi="Times New Roman" w:eastAsia="宋体" w:cs="Times New Roman"/>
                      <w:i w:val="0"/>
                      <w:iCs w:val="0"/>
                      <w:color w:val="auto"/>
                      <w:sz w:val="21"/>
                      <w:szCs w:val="21"/>
                      <w:highlight w:val="none"/>
                      <w:u w:val="none" w:color="auto"/>
                    </w:rPr>
                  </w:pPr>
                  <w:r>
                    <w:rPr>
                      <w:rFonts w:hint="default" w:ascii="Times New Roman" w:hAnsi="Times New Roman" w:eastAsia="宋体" w:cs="Times New Roman"/>
                      <w:i w:val="0"/>
                      <w:iCs w:val="0"/>
                      <w:color w:val="auto"/>
                      <w:sz w:val="21"/>
                      <w:szCs w:val="21"/>
                      <w:highlight w:val="none"/>
                      <w:u w:val="none" w:color="auto"/>
                    </w:rPr>
                    <w:t>环境质量目标</w:t>
                  </w:r>
                </w:p>
              </w:tc>
              <w:tc>
                <w:tcPr>
                  <w:tcW w:w="2869" w:type="pct"/>
                  <w:noWrap w:val="0"/>
                  <w:vAlign w:val="center"/>
                </w:tcPr>
                <w:p w14:paraId="351FEE7C">
                  <w:pPr>
                    <w:adjustRightInd w:val="0"/>
                    <w:snapToGrid w:val="0"/>
                    <w:spacing w:line="240" w:lineRule="auto"/>
                    <w:jc w:val="both"/>
                    <w:rPr>
                      <w:rFonts w:hint="eastAsia" w:ascii="Times New Roman" w:hAnsi="Times New Roman" w:eastAsia="宋体" w:cs="Times New Roman"/>
                      <w:i w:val="0"/>
                      <w:iCs w:val="0"/>
                      <w:color w:val="auto"/>
                      <w:sz w:val="21"/>
                      <w:szCs w:val="21"/>
                      <w:highlight w:val="none"/>
                      <w:u w:val="none" w:color="auto"/>
                      <w:lang w:eastAsia="zh-CN"/>
                    </w:rPr>
                  </w:pPr>
                  <w:r>
                    <w:rPr>
                      <w:rFonts w:hint="default" w:ascii="Times New Roman" w:hAnsi="Times New Roman" w:eastAsia="宋体" w:cs="Times New Roman"/>
                      <w:i w:val="0"/>
                      <w:iCs w:val="0"/>
                      <w:color w:val="auto"/>
                      <w:sz w:val="21"/>
                      <w:szCs w:val="21"/>
                      <w:highlight w:val="none"/>
                      <w:u w:val="none" w:color="auto"/>
                    </w:rPr>
                    <w:t>大气环境质量持续改善，2025年，实现空气质量优良率达到95%，PM</w:t>
                  </w:r>
                  <w:r>
                    <w:rPr>
                      <w:rFonts w:hint="default" w:ascii="Times New Roman" w:hAnsi="Times New Roman" w:eastAsia="宋体" w:cs="Times New Roman"/>
                      <w:i w:val="0"/>
                      <w:iCs w:val="0"/>
                      <w:color w:val="auto"/>
                      <w:sz w:val="21"/>
                      <w:szCs w:val="21"/>
                      <w:highlight w:val="none"/>
                      <w:u w:val="none" w:color="auto"/>
                      <w:vertAlign w:val="subscript"/>
                    </w:rPr>
                    <w:t>2</w:t>
                  </w:r>
                  <w:r>
                    <w:rPr>
                      <w:rFonts w:hint="default" w:ascii="Times New Roman" w:hAnsi="Times New Roman" w:eastAsia="宋体" w:cs="Times New Roman"/>
                      <w:i w:val="0"/>
                      <w:iCs w:val="0"/>
                      <w:color w:val="auto"/>
                      <w:sz w:val="21"/>
                      <w:szCs w:val="21"/>
                      <w:highlight w:val="none"/>
                      <w:u w:val="none" w:color="auto"/>
                      <w:vertAlign w:val="subscript"/>
                      <w:lang w:val="en-US" w:eastAsia="zh-CN"/>
                    </w:rPr>
                    <w:t>.</w:t>
                  </w:r>
                  <w:r>
                    <w:rPr>
                      <w:rFonts w:hint="default" w:ascii="Times New Roman" w:hAnsi="Times New Roman" w:eastAsia="宋体" w:cs="Times New Roman"/>
                      <w:i w:val="0"/>
                      <w:iCs w:val="0"/>
                      <w:color w:val="auto"/>
                      <w:sz w:val="21"/>
                      <w:szCs w:val="21"/>
                      <w:highlight w:val="none"/>
                      <w:u w:val="none" w:color="auto"/>
                      <w:vertAlign w:val="subscript"/>
                    </w:rPr>
                    <w:t>5</w:t>
                  </w:r>
                  <w:r>
                    <w:rPr>
                      <w:rFonts w:hint="default" w:ascii="Times New Roman" w:hAnsi="Times New Roman" w:eastAsia="宋体" w:cs="Times New Roman"/>
                      <w:i w:val="0"/>
                      <w:iCs w:val="0"/>
                      <w:color w:val="auto"/>
                      <w:sz w:val="21"/>
                      <w:szCs w:val="21"/>
                      <w:highlight w:val="none"/>
                      <w:u w:val="none" w:color="auto"/>
                    </w:rPr>
                    <w:t>年均浓度确保控制在28微克/立方米</w:t>
                  </w:r>
                  <w:r>
                    <w:rPr>
                      <w:rFonts w:hint="eastAsia" w:ascii="Times New Roman" w:hAnsi="Times New Roman" w:eastAsia="宋体" w:cs="Times New Roman"/>
                      <w:i w:val="0"/>
                      <w:iCs w:val="0"/>
                      <w:color w:val="auto"/>
                      <w:sz w:val="21"/>
                      <w:szCs w:val="21"/>
                      <w:highlight w:val="none"/>
                      <w:u w:val="none" w:color="auto"/>
                      <w:lang w:eastAsia="zh-CN"/>
                    </w:rPr>
                    <w:t>。</w:t>
                  </w:r>
                </w:p>
              </w:tc>
              <w:tc>
                <w:tcPr>
                  <w:tcW w:w="1251" w:type="pct"/>
                  <w:noWrap w:val="0"/>
                  <w:vAlign w:val="center"/>
                </w:tcPr>
                <w:p w14:paraId="4C591A68">
                  <w:pPr>
                    <w:adjustRightInd w:val="0"/>
                    <w:snapToGrid w:val="0"/>
                    <w:spacing w:line="240" w:lineRule="auto"/>
                    <w:jc w:val="center"/>
                    <w:rPr>
                      <w:rFonts w:hint="default" w:ascii="Times New Roman" w:hAnsi="Times New Roman" w:eastAsia="宋体" w:cs="Times New Roman"/>
                      <w:i w:val="0"/>
                      <w:iCs w:val="0"/>
                      <w:color w:val="auto"/>
                      <w:sz w:val="21"/>
                      <w:szCs w:val="21"/>
                      <w:highlight w:val="none"/>
                      <w:u w:val="none" w:color="auto"/>
                    </w:rPr>
                  </w:pPr>
                  <w:r>
                    <w:rPr>
                      <w:rFonts w:hint="default" w:ascii="Times New Roman" w:hAnsi="Times New Roman" w:eastAsia="宋体" w:cs="Times New Roman"/>
                      <w:i w:val="0"/>
                      <w:iCs w:val="0"/>
                      <w:color w:val="auto"/>
                      <w:sz w:val="21"/>
                      <w:szCs w:val="21"/>
                      <w:highlight w:val="none"/>
                      <w:u w:val="none" w:color="auto"/>
                    </w:rPr>
                    <w:t>符合。</w:t>
                  </w:r>
                </w:p>
                <w:p w14:paraId="769E10E6">
                  <w:pPr>
                    <w:adjustRightInd w:val="0"/>
                    <w:snapToGrid w:val="0"/>
                    <w:spacing w:line="240" w:lineRule="auto"/>
                    <w:jc w:val="center"/>
                    <w:rPr>
                      <w:rFonts w:hint="default" w:ascii="Times New Roman" w:hAnsi="Times New Roman" w:eastAsia="宋体" w:cs="Times New Roman"/>
                      <w:i w:val="0"/>
                      <w:iCs w:val="0"/>
                      <w:color w:val="auto"/>
                      <w:sz w:val="21"/>
                      <w:szCs w:val="21"/>
                      <w:highlight w:val="none"/>
                      <w:u w:val="none" w:color="auto"/>
                      <w:lang w:eastAsia="zh-CN"/>
                    </w:rPr>
                  </w:pPr>
                  <w:r>
                    <w:rPr>
                      <w:rFonts w:hint="default" w:ascii="Times New Roman" w:hAnsi="Times New Roman" w:eastAsia="宋体" w:cs="Times New Roman"/>
                      <w:i w:val="0"/>
                      <w:iCs w:val="0"/>
                      <w:color w:val="auto"/>
                      <w:sz w:val="21"/>
                      <w:szCs w:val="21"/>
                      <w:highlight w:val="none"/>
                      <w:u w:val="none" w:color="auto"/>
                      <w:lang w:eastAsia="zh-CN"/>
                    </w:rPr>
                    <w:t>2025年白山市PM</w:t>
                  </w:r>
                  <w:r>
                    <w:rPr>
                      <w:rFonts w:hint="default" w:ascii="Times New Roman" w:hAnsi="Times New Roman" w:eastAsia="宋体" w:cs="Times New Roman"/>
                      <w:i w:val="0"/>
                      <w:iCs w:val="0"/>
                      <w:color w:val="auto"/>
                      <w:sz w:val="21"/>
                      <w:szCs w:val="21"/>
                      <w:highlight w:val="none"/>
                      <w:u w:val="none" w:color="auto"/>
                      <w:vertAlign w:val="subscript"/>
                      <w:lang w:eastAsia="zh-CN"/>
                    </w:rPr>
                    <w:t>2.5</w:t>
                  </w:r>
                  <w:r>
                    <w:rPr>
                      <w:rFonts w:hint="default" w:ascii="Times New Roman" w:hAnsi="Times New Roman" w:eastAsia="宋体" w:cs="Times New Roman"/>
                      <w:i w:val="0"/>
                      <w:iCs w:val="0"/>
                      <w:color w:val="auto"/>
                      <w:sz w:val="21"/>
                      <w:szCs w:val="21"/>
                      <w:highlight w:val="none"/>
                      <w:u w:val="none" w:color="auto"/>
                      <w:lang w:eastAsia="zh-CN"/>
                    </w:rPr>
                    <w:t>年均浓度为</w:t>
                  </w:r>
                  <w:r>
                    <w:rPr>
                      <w:rFonts w:hint="eastAsia" w:ascii="Times New Roman" w:hAnsi="Times New Roman" w:eastAsia="宋体" w:cs="Times New Roman"/>
                      <w:i w:val="0"/>
                      <w:iCs w:val="0"/>
                      <w:color w:val="auto"/>
                      <w:sz w:val="21"/>
                      <w:szCs w:val="21"/>
                      <w:highlight w:val="none"/>
                      <w:u w:val="none" w:color="auto"/>
                      <w:lang w:val="en-US" w:eastAsia="zh-CN"/>
                    </w:rPr>
                    <w:t>22.8</w:t>
                  </w:r>
                  <w:r>
                    <w:rPr>
                      <w:rFonts w:hint="default" w:ascii="Times New Roman" w:hAnsi="Times New Roman" w:eastAsia="宋体" w:cs="Times New Roman"/>
                      <w:i w:val="0"/>
                      <w:iCs w:val="0"/>
                      <w:color w:val="auto"/>
                      <w:sz w:val="21"/>
                      <w:szCs w:val="21"/>
                      <w:highlight w:val="none"/>
                      <w:u w:val="none" w:color="auto"/>
                      <w:lang w:eastAsia="zh-CN"/>
                    </w:rPr>
                    <w:t>微克/立方米，大气环境质量在持续改善</w:t>
                  </w:r>
                  <w:r>
                    <w:rPr>
                      <w:rFonts w:hint="eastAsia" w:ascii="Times New Roman" w:hAnsi="Times New Roman" w:eastAsia="宋体" w:cs="Times New Roman"/>
                      <w:i w:val="0"/>
                      <w:iCs w:val="0"/>
                      <w:color w:val="auto"/>
                      <w:sz w:val="21"/>
                      <w:szCs w:val="21"/>
                      <w:highlight w:val="none"/>
                      <w:u w:val="none" w:color="auto"/>
                      <w:lang w:eastAsia="zh-CN"/>
                    </w:rPr>
                    <w:t>。</w:t>
                  </w:r>
                </w:p>
              </w:tc>
            </w:tr>
            <w:tr w14:paraId="771B176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442" w:type="pct"/>
                  <w:vMerge w:val="continue"/>
                  <w:noWrap w:val="0"/>
                  <w:vAlign w:val="center"/>
                </w:tcPr>
                <w:p w14:paraId="23627769">
                  <w:pPr>
                    <w:adjustRightInd w:val="0"/>
                    <w:snapToGrid w:val="0"/>
                    <w:spacing w:line="240" w:lineRule="auto"/>
                    <w:jc w:val="center"/>
                    <w:rPr>
                      <w:rFonts w:hint="default" w:ascii="Times New Roman" w:hAnsi="Times New Roman" w:eastAsia="宋体" w:cs="Times New Roman"/>
                      <w:i w:val="0"/>
                      <w:iCs w:val="0"/>
                      <w:color w:val="auto"/>
                      <w:sz w:val="21"/>
                      <w:szCs w:val="21"/>
                      <w:highlight w:val="none"/>
                      <w:u w:val="none" w:color="auto"/>
                    </w:rPr>
                  </w:pPr>
                </w:p>
              </w:tc>
              <w:tc>
                <w:tcPr>
                  <w:tcW w:w="437" w:type="pct"/>
                  <w:vMerge w:val="continue"/>
                  <w:noWrap w:val="0"/>
                  <w:vAlign w:val="center"/>
                </w:tcPr>
                <w:p w14:paraId="1DA75AA2">
                  <w:pPr>
                    <w:adjustRightInd w:val="0"/>
                    <w:snapToGrid w:val="0"/>
                    <w:spacing w:line="240" w:lineRule="auto"/>
                    <w:jc w:val="both"/>
                    <w:rPr>
                      <w:rFonts w:hint="default" w:ascii="Times New Roman" w:hAnsi="Times New Roman" w:eastAsia="宋体" w:cs="Times New Roman"/>
                      <w:i w:val="0"/>
                      <w:iCs w:val="0"/>
                      <w:color w:val="auto"/>
                      <w:sz w:val="21"/>
                      <w:szCs w:val="21"/>
                      <w:highlight w:val="none"/>
                      <w:u w:val="none" w:color="auto"/>
                    </w:rPr>
                  </w:pPr>
                </w:p>
              </w:tc>
              <w:tc>
                <w:tcPr>
                  <w:tcW w:w="2869" w:type="pct"/>
                  <w:noWrap w:val="0"/>
                  <w:vAlign w:val="center"/>
                </w:tcPr>
                <w:p w14:paraId="0FA3E408">
                  <w:pPr>
                    <w:adjustRightInd w:val="0"/>
                    <w:snapToGrid w:val="0"/>
                    <w:spacing w:line="240" w:lineRule="auto"/>
                    <w:jc w:val="both"/>
                    <w:rPr>
                      <w:rFonts w:hint="eastAsia" w:ascii="Times New Roman" w:hAnsi="Times New Roman" w:eastAsia="宋体" w:cs="Times New Roman"/>
                      <w:i w:val="0"/>
                      <w:iCs w:val="0"/>
                      <w:color w:val="auto"/>
                      <w:sz w:val="21"/>
                      <w:szCs w:val="21"/>
                      <w:highlight w:val="none"/>
                      <w:u w:val="none" w:color="auto"/>
                      <w:lang w:eastAsia="zh-CN"/>
                    </w:rPr>
                  </w:pPr>
                  <w:r>
                    <w:rPr>
                      <w:rFonts w:hint="default" w:ascii="Times New Roman" w:hAnsi="Times New Roman" w:eastAsia="宋体" w:cs="Times New Roman"/>
                      <w:i w:val="0"/>
                      <w:iCs w:val="0"/>
                      <w:color w:val="auto"/>
                      <w:sz w:val="21"/>
                      <w:szCs w:val="21"/>
                      <w:highlight w:val="none"/>
                      <w:u w:val="none" w:color="auto"/>
                    </w:rPr>
                    <w:t>水环境质量持续改善。到2025年，地表水优良比例达到95%、城市集中式饮用水水源达到或优于III类比例达到100%。到2055年，白山地区水生态环境质量在满足水生态功能区要求外，河流生态水量得到根本保障，水生态系统功能全面改善。断面均达到III类或III类以上水质目标</w:t>
                  </w:r>
                  <w:r>
                    <w:rPr>
                      <w:rFonts w:hint="eastAsia" w:ascii="Times New Roman" w:hAnsi="Times New Roman" w:eastAsia="宋体" w:cs="Times New Roman"/>
                      <w:i w:val="0"/>
                      <w:iCs w:val="0"/>
                      <w:color w:val="auto"/>
                      <w:sz w:val="21"/>
                      <w:szCs w:val="21"/>
                      <w:highlight w:val="none"/>
                      <w:u w:val="none" w:color="auto"/>
                      <w:lang w:eastAsia="zh-CN"/>
                    </w:rPr>
                    <w:t>。</w:t>
                  </w:r>
                </w:p>
              </w:tc>
              <w:tc>
                <w:tcPr>
                  <w:tcW w:w="1251" w:type="pct"/>
                  <w:noWrap w:val="0"/>
                  <w:vAlign w:val="center"/>
                </w:tcPr>
                <w:p w14:paraId="6AFE786F">
                  <w:pPr>
                    <w:adjustRightInd w:val="0"/>
                    <w:snapToGrid w:val="0"/>
                    <w:spacing w:line="240" w:lineRule="auto"/>
                    <w:jc w:val="center"/>
                    <w:rPr>
                      <w:rFonts w:hint="default" w:ascii="Times New Roman" w:hAnsi="Times New Roman" w:eastAsia="宋体" w:cs="Times New Roman"/>
                      <w:i w:val="0"/>
                      <w:iCs w:val="0"/>
                      <w:color w:val="auto"/>
                      <w:sz w:val="21"/>
                      <w:szCs w:val="21"/>
                      <w:highlight w:val="none"/>
                      <w:u w:val="none" w:color="auto"/>
                      <w:lang w:eastAsia="zh-CN"/>
                    </w:rPr>
                  </w:pPr>
                  <w:r>
                    <w:rPr>
                      <w:rFonts w:hint="default" w:ascii="Times New Roman" w:hAnsi="Times New Roman" w:eastAsia="宋体" w:cs="Times New Roman"/>
                      <w:i w:val="0"/>
                      <w:iCs w:val="0"/>
                      <w:color w:val="auto"/>
                      <w:sz w:val="21"/>
                      <w:szCs w:val="21"/>
                      <w:highlight w:val="none"/>
                      <w:u w:val="none" w:color="auto"/>
                    </w:rPr>
                    <w:t>符合</w:t>
                  </w:r>
                  <w:r>
                    <w:rPr>
                      <w:rFonts w:hint="default" w:ascii="Times New Roman" w:hAnsi="Times New Roman" w:eastAsia="宋体" w:cs="Times New Roman"/>
                      <w:i w:val="0"/>
                      <w:iCs w:val="0"/>
                      <w:color w:val="auto"/>
                      <w:sz w:val="21"/>
                      <w:szCs w:val="21"/>
                      <w:highlight w:val="none"/>
                      <w:u w:val="none" w:color="auto"/>
                      <w:lang w:eastAsia="zh-CN"/>
                    </w:rPr>
                    <w:t>。</w:t>
                  </w:r>
                </w:p>
                <w:p w14:paraId="1086F6C9">
                  <w:pPr>
                    <w:adjustRightInd w:val="0"/>
                    <w:snapToGrid w:val="0"/>
                    <w:spacing w:line="240" w:lineRule="auto"/>
                    <w:jc w:val="center"/>
                    <w:rPr>
                      <w:rFonts w:hint="default" w:ascii="Times New Roman" w:hAnsi="Times New Roman" w:eastAsia="宋体" w:cs="Times New Roman"/>
                      <w:i w:val="0"/>
                      <w:iCs w:val="0"/>
                      <w:color w:val="auto"/>
                      <w:sz w:val="21"/>
                      <w:szCs w:val="21"/>
                      <w:highlight w:val="none"/>
                      <w:u w:val="none" w:color="auto"/>
                      <w:lang w:val="en-US" w:eastAsia="zh-CN"/>
                    </w:rPr>
                  </w:pPr>
                  <w:r>
                    <w:rPr>
                      <w:rFonts w:hint="default" w:ascii="Times New Roman" w:hAnsi="Times New Roman" w:eastAsia="宋体" w:cs="Times New Roman"/>
                      <w:i w:val="0"/>
                      <w:iCs w:val="0"/>
                      <w:color w:val="auto"/>
                      <w:sz w:val="21"/>
                      <w:szCs w:val="21"/>
                      <w:highlight w:val="none"/>
                      <w:u w:val="none" w:color="auto"/>
                      <w:lang w:val="en-US" w:eastAsia="zh-CN"/>
                    </w:rPr>
                    <w:t>区域水体为鸭绿江，根据吉林省生态环境厅公布的202</w:t>
                  </w:r>
                  <w:r>
                    <w:rPr>
                      <w:rFonts w:hint="eastAsia" w:ascii="Times New Roman" w:hAnsi="Times New Roman" w:eastAsia="宋体" w:cs="Times New Roman"/>
                      <w:i w:val="0"/>
                      <w:iCs w:val="0"/>
                      <w:color w:val="auto"/>
                      <w:sz w:val="21"/>
                      <w:szCs w:val="21"/>
                      <w:highlight w:val="none"/>
                      <w:u w:val="none" w:color="auto"/>
                      <w:lang w:val="en-US" w:eastAsia="zh-CN"/>
                    </w:rPr>
                    <w:t>5</w:t>
                  </w:r>
                  <w:r>
                    <w:rPr>
                      <w:rFonts w:hint="default" w:ascii="Times New Roman" w:hAnsi="Times New Roman" w:eastAsia="宋体" w:cs="Times New Roman"/>
                      <w:i w:val="0"/>
                      <w:iCs w:val="0"/>
                      <w:color w:val="auto"/>
                      <w:sz w:val="21"/>
                      <w:szCs w:val="21"/>
                      <w:highlight w:val="none"/>
                      <w:u w:val="none" w:color="auto"/>
                      <w:lang w:val="en-US" w:eastAsia="zh-CN"/>
                    </w:rPr>
                    <w:t>年1月-12月《吉林省地表水国控断面水质月报》，水质满足标准要求，水生态系统功能全面改善。</w:t>
                  </w:r>
                </w:p>
              </w:tc>
            </w:tr>
            <w:tr w14:paraId="3D5AF81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442" w:type="pct"/>
                  <w:vMerge w:val="continue"/>
                  <w:noWrap w:val="0"/>
                  <w:vAlign w:val="center"/>
                </w:tcPr>
                <w:p w14:paraId="3458C4EE">
                  <w:pPr>
                    <w:adjustRightInd w:val="0"/>
                    <w:snapToGrid w:val="0"/>
                    <w:spacing w:line="240" w:lineRule="auto"/>
                    <w:jc w:val="center"/>
                    <w:rPr>
                      <w:rFonts w:hint="default" w:ascii="Times New Roman" w:hAnsi="Times New Roman" w:eastAsia="宋体" w:cs="Times New Roman"/>
                      <w:i w:val="0"/>
                      <w:iCs w:val="0"/>
                      <w:color w:val="auto"/>
                      <w:sz w:val="21"/>
                      <w:szCs w:val="21"/>
                      <w:highlight w:val="none"/>
                      <w:u w:val="none" w:color="auto"/>
                    </w:rPr>
                  </w:pPr>
                </w:p>
              </w:tc>
              <w:tc>
                <w:tcPr>
                  <w:tcW w:w="437" w:type="pct"/>
                  <w:vMerge w:val="continue"/>
                  <w:noWrap w:val="0"/>
                  <w:vAlign w:val="center"/>
                </w:tcPr>
                <w:p w14:paraId="14D34E4D">
                  <w:pPr>
                    <w:adjustRightInd w:val="0"/>
                    <w:snapToGrid w:val="0"/>
                    <w:spacing w:line="240" w:lineRule="auto"/>
                    <w:jc w:val="both"/>
                    <w:rPr>
                      <w:rFonts w:hint="default" w:ascii="Times New Roman" w:hAnsi="Times New Roman" w:eastAsia="宋体" w:cs="Times New Roman"/>
                      <w:i w:val="0"/>
                      <w:iCs w:val="0"/>
                      <w:color w:val="auto"/>
                      <w:sz w:val="21"/>
                      <w:szCs w:val="21"/>
                      <w:highlight w:val="none"/>
                      <w:u w:val="none" w:color="auto"/>
                    </w:rPr>
                  </w:pPr>
                </w:p>
              </w:tc>
              <w:tc>
                <w:tcPr>
                  <w:tcW w:w="2869" w:type="pct"/>
                  <w:noWrap w:val="0"/>
                  <w:vAlign w:val="center"/>
                </w:tcPr>
                <w:p w14:paraId="14520EC0">
                  <w:pPr>
                    <w:adjustRightInd w:val="0"/>
                    <w:snapToGrid w:val="0"/>
                    <w:spacing w:line="240" w:lineRule="auto"/>
                    <w:jc w:val="both"/>
                    <w:rPr>
                      <w:rFonts w:hint="eastAsia" w:ascii="Times New Roman" w:hAnsi="Times New Roman" w:eastAsia="宋体" w:cs="Times New Roman"/>
                      <w:i w:val="0"/>
                      <w:iCs w:val="0"/>
                      <w:color w:val="auto"/>
                      <w:sz w:val="21"/>
                      <w:szCs w:val="21"/>
                      <w:highlight w:val="none"/>
                      <w:u w:val="none" w:color="auto"/>
                      <w:lang w:eastAsia="zh-CN"/>
                    </w:rPr>
                  </w:pPr>
                  <w:r>
                    <w:rPr>
                      <w:rFonts w:hint="default" w:ascii="Times New Roman" w:hAnsi="Times New Roman" w:eastAsia="宋体" w:cs="Times New Roman"/>
                      <w:i w:val="0"/>
                      <w:iCs w:val="0"/>
                      <w:color w:val="auto"/>
                      <w:sz w:val="21"/>
                      <w:szCs w:val="21"/>
                      <w:highlight w:val="none"/>
                      <w:u w:val="none" w:color="auto"/>
                    </w:rPr>
                    <w:t>到2025年，受污染耕地安全利用率达到92%以上，污染地块安全利用率达到92%以上；到2035年，受污染耕地安全利用率达95%以上，污染地块安全利用率达95%以上</w:t>
                  </w:r>
                  <w:r>
                    <w:rPr>
                      <w:rFonts w:hint="eastAsia" w:ascii="Times New Roman" w:hAnsi="Times New Roman" w:eastAsia="宋体" w:cs="Times New Roman"/>
                      <w:i w:val="0"/>
                      <w:iCs w:val="0"/>
                      <w:color w:val="auto"/>
                      <w:sz w:val="21"/>
                      <w:szCs w:val="21"/>
                      <w:highlight w:val="none"/>
                      <w:u w:val="none" w:color="auto"/>
                      <w:lang w:eastAsia="zh-CN"/>
                    </w:rPr>
                    <w:t>。</w:t>
                  </w:r>
                </w:p>
              </w:tc>
              <w:tc>
                <w:tcPr>
                  <w:tcW w:w="1251" w:type="pct"/>
                  <w:noWrap w:val="0"/>
                  <w:vAlign w:val="center"/>
                </w:tcPr>
                <w:p w14:paraId="6729CA0E">
                  <w:pPr>
                    <w:adjustRightInd w:val="0"/>
                    <w:snapToGrid w:val="0"/>
                    <w:spacing w:line="240" w:lineRule="auto"/>
                    <w:jc w:val="center"/>
                    <w:rPr>
                      <w:rFonts w:hint="default" w:ascii="Times New Roman" w:hAnsi="Times New Roman" w:eastAsia="宋体" w:cs="Times New Roman"/>
                      <w:i w:val="0"/>
                      <w:iCs w:val="0"/>
                      <w:color w:val="auto"/>
                      <w:sz w:val="21"/>
                      <w:szCs w:val="21"/>
                      <w:highlight w:val="none"/>
                      <w:u w:val="none" w:color="auto"/>
                    </w:rPr>
                  </w:pPr>
                  <w:r>
                    <w:rPr>
                      <w:rFonts w:hint="default" w:ascii="Times New Roman" w:hAnsi="Times New Roman" w:eastAsia="宋体" w:cs="Times New Roman"/>
                      <w:i w:val="0"/>
                      <w:iCs w:val="0"/>
                      <w:color w:val="auto"/>
                      <w:sz w:val="21"/>
                      <w:szCs w:val="21"/>
                      <w:highlight w:val="none"/>
                      <w:u w:val="none" w:color="auto"/>
                    </w:rPr>
                    <w:t>不涉及</w:t>
                  </w:r>
                </w:p>
              </w:tc>
            </w:tr>
            <w:tr w14:paraId="120DC88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442" w:type="pct"/>
                  <w:vMerge w:val="continue"/>
                  <w:noWrap w:val="0"/>
                  <w:vAlign w:val="center"/>
                </w:tcPr>
                <w:p w14:paraId="0116F004">
                  <w:pPr>
                    <w:adjustRightInd w:val="0"/>
                    <w:snapToGrid w:val="0"/>
                    <w:spacing w:line="240" w:lineRule="auto"/>
                    <w:jc w:val="center"/>
                    <w:rPr>
                      <w:rFonts w:hint="default" w:ascii="Times New Roman" w:hAnsi="Times New Roman" w:eastAsia="宋体" w:cs="Times New Roman"/>
                      <w:i w:val="0"/>
                      <w:iCs w:val="0"/>
                      <w:color w:val="auto"/>
                      <w:sz w:val="21"/>
                      <w:szCs w:val="21"/>
                      <w:highlight w:val="none"/>
                      <w:u w:val="none" w:color="auto"/>
                    </w:rPr>
                  </w:pPr>
                </w:p>
              </w:tc>
              <w:tc>
                <w:tcPr>
                  <w:tcW w:w="437" w:type="pct"/>
                  <w:vMerge w:val="restart"/>
                  <w:noWrap w:val="0"/>
                  <w:vAlign w:val="center"/>
                </w:tcPr>
                <w:p w14:paraId="728839DF">
                  <w:pPr>
                    <w:adjustRightInd w:val="0"/>
                    <w:snapToGrid w:val="0"/>
                    <w:spacing w:line="240" w:lineRule="auto"/>
                    <w:jc w:val="center"/>
                    <w:rPr>
                      <w:rFonts w:hint="default" w:ascii="Times New Roman" w:hAnsi="Times New Roman" w:eastAsia="宋体" w:cs="Times New Roman"/>
                      <w:i w:val="0"/>
                      <w:iCs w:val="0"/>
                      <w:color w:val="auto"/>
                      <w:sz w:val="21"/>
                      <w:szCs w:val="21"/>
                      <w:highlight w:val="none"/>
                      <w:u w:val="none" w:color="auto"/>
                    </w:rPr>
                  </w:pPr>
                  <w:r>
                    <w:rPr>
                      <w:rFonts w:hint="default" w:ascii="Times New Roman" w:hAnsi="Times New Roman" w:eastAsia="宋体" w:cs="Times New Roman"/>
                      <w:i w:val="0"/>
                      <w:iCs w:val="0"/>
                      <w:color w:val="auto"/>
                      <w:sz w:val="21"/>
                      <w:szCs w:val="21"/>
                      <w:highlight w:val="none"/>
                      <w:u w:val="none" w:color="auto"/>
                    </w:rPr>
                    <w:t>污染物控制要求</w:t>
                  </w:r>
                </w:p>
              </w:tc>
              <w:tc>
                <w:tcPr>
                  <w:tcW w:w="2869" w:type="pct"/>
                  <w:noWrap w:val="0"/>
                  <w:vAlign w:val="center"/>
                </w:tcPr>
                <w:p w14:paraId="68CD3B98">
                  <w:pPr>
                    <w:adjustRightInd w:val="0"/>
                    <w:snapToGrid w:val="0"/>
                    <w:spacing w:line="240" w:lineRule="auto"/>
                    <w:jc w:val="center"/>
                    <w:rPr>
                      <w:rFonts w:hint="default" w:ascii="Times New Roman" w:hAnsi="Times New Roman" w:eastAsia="宋体" w:cs="Times New Roman"/>
                      <w:i w:val="0"/>
                      <w:iCs w:val="0"/>
                      <w:color w:val="auto"/>
                      <w:sz w:val="21"/>
                      <w:szCs w:val="21"/>
                      <w:highlight w:val="none"/>
                      <w:u w:val="none" w:color="auto"/>
                    </w:rPr>
                  </w:pPr>
                  <w:r>
                    <w:rPr>
                      <w:rFonts w:hint="default" w:ascii="Times New Roman" w:hAnsi="Times New Roman" w:eastAsia="宋体" w:cs="Times New Roman"/>
                      <w:i w:val="0"/>
                      <w:iCs w:val="0"/>
                      <w:color w:val="auto"/>
                      <w:sz w:val="21"/>
                      <w:szCs w:val="21"/>
                      <w:highlight w:val="none"/>
                      <w:u w:val="none" w:color="auto"/>
                    </w:rPr>
                    <w:t>1.加快建设生活污水收集管网，加快填补污水收集管网空白区，各县（市、区）建成区生活污水处理全面达到一级A排放标准。</w:t>
                  </w:r>
                </w:p>
                <w:p w14:paraId="7966DFE4">
                  <w:pPr>
                    <w:adjustRightInd w:val="0"/>
                    <w:snapToGrid w:val="0"/>
                    <w:spacing w:line="240" w:lineRule="auto"/>
                    <w:jc w:val="center"/>
                    <w:rPr>
                      <w:rFonts w:hint="default" w:ascii="Times New Roman" w:hAnsi="Times New Roman" w:eastAsia="宋体" w:cs="Times New Roman"/>
                      <w:i w:val="0"/>
                      <w:iCs w:val="0"/>
                      <w:color w:val="auto"/>
                      <w:sz w:val="21"/>
                      <w:szCs w:val="21"/>
                      <w:highlight w:val="none"/>
                      <w:u w:val="none" w:color="auto"/>
                    </w:rPr>
                  </w:pPr>
                  <w:r>
                    <w:rPr>
                      <w:rFonts w:hint="default" w:ascii="Times New Roman" w:hAnsi="Times New Roman" w:eastAsia="宋体" w:cs="Times New Roman"/>
                      <w:i w:val="0"/>
                      <w:iCs w:val="0"/>
                      <w:color w:val="auto"/>
                      <w:sz w:val="21"/>
                      <w:szCs w:val="21"/>
                      <w:highlight w:val="none"/>
                      <w:u w:val="none" w:color="auto"/>
                    </w:rPr>
                    <w:t>2.工业园区污水处理设施全部达标排放，完成</w:t>
                  </w:r>
                  <w:r>
                    <w:rPr>
                      <w:rFonts w:hint="default" w:ascii="Times New Roman" w:hAnsi="Times New Roman" w:eastAsia="宋体" w:cs="Times New Roman"/>
                      <w:i w:val="0"/>
                      <w:iCs w:val="0"/>
                      <w:color w:val="auto"/>
                      <w:sz w:val="21"/>
                      <w:szCs w:val="21"/>
                      <w:highlight w:val="none"/>
                      <w:u w:val="none" w:color="auto"/>
                      <w:lang w:eastAsia="zh-CN"/>
                    </w:rPr>
                    <w:t>区域</w:t>
                  </w:r>
                  <w:r>
                    <w:rPr>
                      <w:rFonts w:hint="default" w:ascii="Times New Roman" w:hAnsi="Times New Roman" w:eastAsia="宋体" w:cs="Times New Roman"/>
                      <w:i w:val="0"/>
                      <w:iCs w:val="0"/>
                      <w:color w:val="auto"/>
                      <w:sz w:val="21"/>
                      <w:szCs w:val="21"/>
                      <w:highlight w:val="none"/>
                      <w:u w:val="none" w:color="auto"/>
                    </w:rPr>
                    <w:t>内重点污染源企业的核查工作，督促其新建或改进污水处理设施，实现污水稳定达标排放。</w:t>
                  </w:r>
                </w:p>
                <w:p w14:paraId="558BE219">
                  <w:pPr>
                    <w:adjustRightInd w:val="0"/>
                    <w:snapToGrid w:val="0"/>
                    <w:spacing w:line="240" w:lineRule="auto"/>
                    <w:jc w:val="center"/>
                    <w:rPr>
                      <w:rFonts w:hint="eastAsia" w:ascii="Times New Roman" w:hAnsi="Times New Roman" w:eastAsia="宋体" w:cs="Times New Roman"/>
                      <w:i w:val="0"/>
                      <w:iCs w:val="0"/>
                      <w:color w:val="auto"/>
                      <w:sz w:val="21"/>
                      <w:szCs w:val="21"/>
                      <w:highlight w:val="none"/>
                      <w:u w:val="none" w:color="auto"/>
                      <w:lang w:eastAsia="zh-CN"/>
                    </w:rPr>
                  </w:pPr>
                  <w:r>
                    <w:rPr>
                      <w:rFonts w:hint="default" w:ascii="Times New Roman" w:hAnsi="Times New Roman" w:eastAsia="宋体" w:cs="Times New Roman"/>
                      <w:i w:val="0"/>
                      <w:iCs w:val="0"/>
                      <w:color w:val="auto"/>
                      <w:sz w:val="21"/>
                      <w:szCs w:val="21"/>
                      <w:highlight w:val="none"/>
                      <w:u w:val="none" w:color="auto"/>
                    </w:rPr>
                    <w:t>3.加强农村水污染防治，强化面源污染治理。统筹城乡环境综合整治，综合解决城乡各类垃圾污染延伸，强化城中村、老旧城区和城乡结合部的环境综合整治。持续梯次稳步推进重点流域建制镇生活污水处理设施建设，提升已建成处理设施的运行管理水平，完善生活污水收集处理设施体系，加大生活污水收集管网配套建设和改造力度，促进污水资源化利用，推进污泥无害化资源化处理处置</w:t>
                  </w:r>
                  <w:r>
                    <w:rPr>
                      <w:rFonts w:hint="eastAsia" w:ascii="Times New Roman" w:hAnsi="Times New Roman" w:eastAsia="宋体" w:cs="Times New Roman"/>
                      <w:i w:val="0"/>
                      <w:iCs w:val="0"/>
                      <w:color w:val="auto"/>
                      <w:sz w:val="21"/>
                      <w:szCs w:val="21"/>
                      <w:highlight w:val="none"/>
                      <w:u w:val="none" w:color="auto"/>
                      <w:lang w:eastAsia="zh-CN"/>
                    </w:rPr>
                    <w:t>。</w:t>
                  </w:r>
                </w:p>
              </w:tc>
              <w:tc>
                <w:tcPr>
                  <w:tcW w:w="1251" w:type="pct"/>
                  <w:noWrap w:val="0"/>
                  <w:vAlign w:val="center"/>
                </w:tcPr>
                <w:p w14:paraId="027B3FD1">
                  <w:pPr>
                    <w:adjustRightInd w:val="0"/>
                    <w:snapToGrid w:val="0"/>
                    <w:spacing w:line="240" w:lineRule="auto"/>
                    <w:jc w:val="center"/>
                    <w:rPr>
                      <w:rFonts w:hint="default" w:ascii="Times New Roman" w:hAnsi="Times New Roman" w:eastAsia="宋体" w:cs="Times New Roman"/>
                      <w:i w:val="0"/>
                      <w:iCs w:val="0"/>
                      <w:color w:val="auto"/>
                      <w:sz w:val="21"/>
                      <w:szCs w:val="21"/>
                      <w:highlight w:val="none"/>
                      <w:u w:val="none" w:color="auto"/>
                      <w:lang w:eastAsia="zh-CN"/>
                    </w:rPr>
                  </w:pPr>
                  <w:r>
                    <w:rPr>
                      <w:rFonts w:hint="default" w:ascii="Times New Roman" w:hAnsi="Times New Roman" w:eastAsia="宋体" w:cs="Times New Roman"/>
                      <w:i w:val="0"/>
                      <w:iCs w:val="0"/>
                      <w:color w:val="auto"/>
                      <w:sz w:val="21"/>
                      <w:szCs w:val="21"/>
                      <w:highlight w:val="none"/>
                      <w:u w:val="none" w:color="auto"/>
                    </w:rPr>
                    <w:t>符合</w:t>
                  </w:r>
                  <w:r>
                    <w:rPr>
                      <w:rFonts w:hint="default" w:ascii="Times New Roman" w:hAnsi="Times New Roman" w:eastAsia="宋体" w:cs="Times New Roman"/>
                      <w:i w:val="0"/>
                      <w:iCs w:val="0"/>
                      <w:color w:val="auto"/>
                      <w:sz w:val="21"/>
                      <w:szCs w:val="21"/>
                      <w:highlight w:val="none"/>
                      <w:u w:val="none" w:color="auto"/>
                      <w:lang w:eastAsia="zh-CN"/>
                    </w:rPr>
                    <w:t>。</w:t>
                  </w:r>
                </w:p>
                <w:p w14:paraId="518B97F0">
                  <w:pPr>
                    <w:adjustRightInd w:val="0"/>
                    <w:snapToGrid w:val="0"/>
                    <w:spacing w:line="240" w:lineRule="auto"/>
                    <w:jc w:val="center"/>
                    <w:rPr>
                      <w:rFonts w:hint="default" w:ascii="Times New Roman" w:hAnsi="Times New Roman" w:eastAsia="宋体" w:cs="Times New Roman"/>
                      <w:i w:val="0"/>
                      <w:iCs w:val="0"/>
                      <w:color w:val="auto"/>
                      <w:sz w:val="21"/>
                      <w:szCs w:val="21"/>
                      <w:highlight w:val="green"/>
                      <w:u w:val="none" w:color="auto"/>
                      <w:lang w:val="en-US" w:eastAsia="zh-CN"/>
                    </w:rPr>
                  </w:pPr>
                  <w:r>
                    <w:rPr>
                      <w:rFonts w:hint="default" w:ascii="Times New Roman" w:hAnsi="Times New Roman" w:eastAsia="宋体" w:cs="Times New Roman"/>
                      <w:i w:val="0"/>
                      <w:iCs w:val="0"/>
                      <w:color w:val="auto"/>
                      <w:sz w:val="21"/>
                      <w:szCs w:val="21"/>
                      <w:highlight w:val="none"/>
                      <w:u w:val="none" w:color="auto"/>
                      <w:lang w:val="en-US" w:eastAsia="zh-CN"/>
                    </w:rPr>
                    <w:t>本项目运营期无生产废水，生活污水排入防渗旱厕，定期清掏作农肥，不会影响区域水环境质量。</w:t>
                  </w:r>
                </w:p>
              </w:tc>
            </w:tr>
            <w:tr w14:paraId="694958B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PrEx>
              <w:tc>
                <w:tcPr>
                  <w:tcW w:w="442" w:type="pct"/>
                  <w:vMerge w:val="continue"/>
                  <w:noWrap w:val="0"/>
                  <w:vAlign w:val="center"/>
                </w:tcPr>
                <w:p w14:paraId="7CFB60D4">
                  <w:pPr>
                    <w:adjustRightInd w:val="0"/>
                    <w:snapToGrid w:val="0"/>
                    <w:spacing w:line="240" w:lineRule="auto"/>
                    <w:jc w:val="center"/>
                    <w:rPr>
                      <w:rFonts w:hint="default" w:ascii="Times New Roman" w:hAnsi="Times New Roman" w:eastAsia="宋体" w:cs="Times New Roman"/>
                      <w:i w:val="0"/>
                      <w:iCs w:val="0"/>
                      <w:color w:val="auto"/>
                      <w:sz w:val="21"/>
                      <w:szCs w:val="21"/>
                      <w:highlight w:val="none"/>
                      <w:u w:val="none" w:color="auto"/>
                    </w:rPr>
                  </w:pPr>
                </w:p>
              </w:tc>
              <w:tc>
                <w:tcPr>
                  <w:tcW w:w="437" w:type="pct"/>
                  <w:vMerge w:val="continue"/>
                  <w:noWrap w:val="0"/>
                  <w:vAlign w:val="top"/>
                </w:tcPr>
                <w:p w14:paraId="631EA6F6">
                  <w:pPr>
                    <w:adjustRightInd w:val="0"/>
                    <w:snapToGrid w:val="0"/>
                    <w:spacing w:line="240" w:lineRule="auto"/>
                    <w:jc w:val="center"/>
                    <w:rPr>
                      <w:rFonts w:hint="default" w:ascii="Times New Roman" w:hAnsi="Times New Roman" w:eastAsia="宋体" w:cs="Times New Roman"/>
                      <w:i w:val="0"/>
                      <w:iCs w:val="0"/>
                      <w:color w:val="auto"/>
                      <w:sz w:val="21"/>
                      <w:szCs w:val="21"/>
                      <w:highlight w:val="green"/>
                      <w:u w:val="none" w:color="auto"/>
                    </w:rPr>
                  </w:pPr>
                </w:p>
              </w:tc>
              <w:tc>
                <w:tcPr>
                  <w:tcW w:w="2869" w:type="pct"/>
                  <w:noWrap w:val="0"/>
                  <w:vAlign w:val="center"/>
                </w:tcPr>
                <w:p w14:paraId="06CD160E">
                  <w:pPr>
                    <w:adjustRightInd w:val="0"/>
                    <w:snapToGrid w:val="0"/>
                    <w:spacing w:line="240" w:lineRule="auto"/>
                    <w:jc w:val="both"/>
                    <w:rPr>
                      <w:rFonts w:hint="default" w:ascii="Times New Roman" w:hAnsi="Times New Roman" w:eastAsia="宋体" w:cs="Times New Roman"/>
                      <w:i w:val="0"/>
                      <w:iCs w:val="0"/>
                      <w:color w:val="auto"/>
                      <w:sz w:val="21"/>
                      <w:szCs w:val="21"/>
                      <w:highlight w:val="none"/>
                      <w:u w:val="none" w:color="auto"/>
                    </w:rPr>
                  </w:pPr>
                  <w:r>
                    <w:rPr>
                      <w:rFonts w:hint="default" w:ascii="Times New Roman" w:hAnsi="Times New Roman" w:eastAsia="宋体" w:cs="Times New Roman"/>
                      <w:i w:val="0"/>
                      <w:iCs w:val="0"/>
                      <w:color w:val="auto"/>
                      <w:sz w:val="21"/>
                      <w:szCs w:val="21"/>
                      <w:highlight w:val="none"/>
                      <w:u w:val="none" w:color="auto"/>
                    </w:rPr>
                    <w:t>1.做好土壤保护基础工作，开展土壤环境质量调查，掌握全市土壤环境污染和环境风险状况。建设土壤环境监测网络，采用“互联网+”技术，在全市域范围内合理设置监测点位，建设土壤环境监测网络，建立建设用地调查评估制度。</w:t>
                  </w:r>
                </w:p>
                <w:p w14:paraId="214C0A22">
                  <w:pPr>
                    <w:adjustRightInd w:val="0"/>
                    <w:snapToGrid w:val="0"/>
                    <w:spacing w:line="240" w:lineRule="auto"/>
                    <w:jc w:val="both"/>
                    <w:rPr>
                      <w:rFonts w:hint="default" w:ascii="Times New Roman" w:hAnsi="Times New Roman" w:eastAsia="宋体" w:cs="Times New Roman"/>
                      <w:i w:val="0"/>
                      <w:iCs w:val="0"/>
                      <w:color w:val="auto"/>
                      <w:sz w:val="21"/>
                      <w:szCs w:val="21"/>
                      <w:highlight w:val="none"/>
                      <w:u w:val="none" w:color="auto"/>
                    </w:rPr>
                  </w:pPr>
                  <w:r>
                    <w:rPr>
                      <w:rFonts w:hint="default" w:ascii="Times New Roman" w:hAnsi="Times New Roman" w:eastAsia="宋体" w:cs="Times New Roman"/>
                      <w:i w:val="0"/>
                      <w:iCs w:val="0"/>
                      <w:color w:val="auto"/>
                      <w:sz w:val="21"/>
                      <w:szCs w:val="21"/>
                      <w:highlight w:val="none"/>
                      <w:u w:val="none" w:color="auto"/>
                    </w:rPr>
                    <w:t>2.实施土壤分类别分用途管理。实施农用地</w:t>
                  </w:r>
                  <w:r>
                    <w:rPr>
                      <w:rFonts w:hint="default" w:ascii="Times New Roman" w:hAnsi="Times New Roman" w:eastAsia="宋体" w:cs="Times New Roman"/>
                      <w:i w:val="0"/>
                      <w:iCs w:val="0"/>
                      <w:color w:val="auto"/>
                      <w:sz w:val="21"/>
                      <w:szCs w:val="21"/>
                      <w:highlight w:val="none"/>
                      <w:u w:val="none" w:color="auto"/>
                      <w:lang w:eastAsia="zh-CN"/>
                    </w:rPr>
                    <w:t>分类</w:t>
                  </w:r>
                  <w:r>
                    <w:rPr>
                      <w:rFonts w:hint="default" w:ascii="Times New Roman" w:hAnsi="Times New Roman" w:eastAsia="宋体" w:cs="Times New Roman"/>
                      <w:i w:val="0"/>
                      <w:iCs w:val="0"/>
                      <w:color w:val="auto"/>
                      <w:sz w:val="21"/>
                      <w:szCs w:val="21"/>
                      <w:highlight w:val="none"/>
                      <w:u w:val="none" w:color="auto"/>
                    </w:rPr>
                    <w:t>管理。</w:t>
                  </w:r>
                </w:p>
                <w:p w14:paraId="18320978">
                  <w:pPr>
                    <w:adjustRightInd w:val="0"/>
                    <w:snapToGrid w:val="0"/>
                    <w:spacing w:line="240" w:lineRule="auto"/>
                    <w:jc w:val="both"/>
                    <w:rPr>
                      <w:rFonts w:hint="default" w:ascii="Times New Roman" w:hAnsi="Times New Roman" w:eastAsia="宋体" w:cs="Times New Roman"/>
                      <w:i w:val="0"/>
                      <w:iCs w:val="0"/>
                      <w:color w:val="auto"/>
                      <w:sz w:val="21"/>
                      <w:szCs w:val="21"/>
                      <w:highlight w:val="none"/>
                      <w:u w:val="none" w:color="auto"/>
                    </w:rPr>
                  </w:pPr>
                  <w:r>
                    <w:rPr>
                      <w:rFonts w:hint="default" w:ascii="Times New Roman" w:hAnsi="Times New Roman" w:eastAsia="宋体" w:cs="Times New Roman"/>
                      <w:i w:val="0"/>
                      <w:iCs w:val="0"/>
                      <w:color w:val="auto"/>
                      <w:sz w:val="21"/>
                      <w:szCs w:val="21"/>
                      <w:highlight w:val="none"/>
                      <w:u w:val="none" w:color="auto"/>
                    </w:rPr>
                    <w:t>3.推进农用地风险防控。严守永久基本农田控制线。对受污染农用地治理修复。</w:t>
                  </w:r>
                </w:p>
                <w:p w14:paraId="028AD67A">
                  <w:pPr>
                    <w:adjustRightInd w:val="0"/>
                    <w:snapToGrid w:val="0"/>
                    <w:spacing w:line="240" w:lineRule="auto"/>
                    <w:jc w:val="both"/>
                    <w:rPr>
                      <w:rFonts w:hint="default" w:ascii="Times New Roman" w:hAnsi="Times New Roman" w:eastAsia="宋体" w:cs="Times New Roman"/>
                      <w:i w:val="0"/>
                      <w:iCs w:val="0"/>
                      <w:color w:val="auto"/>
                      <w:sz w:val="21"/>
                      <w:szCs w:val="21"/>
                      <w:highlight w:val="none"/>
                      <w:u w:val="none" w:color="auto"/>
                    </w:rPr>
                  </w:pPr>
                  <w:r>
                    <w:rPr>
                      <w:rFonts w:hint="default" w:ascii="Times New Roman" w:hAnsi="Times New Roman" w:eastAsia="宋体" w:cs="Times New Roman"/>
                      <w:i w:val="0"/>
                      <w:iCs w:val="0"/>
                      <w:color w:val="auto"/>
                      <w:sz w:val="21"/>
                      <w:szCs w:val="21"/>
                      <w:highlight w:val="none"/>
                      <w:u w:val="none" w:color="auto"/>
                    </w:rPr>
                    <w:t>4.推动建设用地污染场地修复。建立土壤污染源头预防和风险管控体系。开展建设用地污染地块修复工程。按照科学有序原则开发利用未利用地。开展土壤和地下水污染场地修复治理工程，推动建设污染场地土壤治理试点示范。加快工矿污染地块治理与修复。</w:t>
                  </w:r>
                </w:p>
              </w:tc>
              <w:tc>
                <w:tcPr>
                  <w:tcW w:w="1251" w:type="pct"/>
                  <w:noWrap w:val="0"/>
                  <w:vAlign w:val="center"/>
                </w:tcPr>
                <w:p w14:paraId="6A7DFF7F">
                  <w:pPr>
                    <w:adjustRightInd w:val="0"/>
                    <w:snapToGrid w:val="0"/>
                    <w:spacing w:line="240" w:lineRule="auto"/>
                    <w:jc w:val="center"/>
                    <w:rPr>
                      <w:rFonts w:hint="default" w:ascii="Times New Roman" w:hAnsi="Times New Roman" w:eastAsia="宋体" w:cs="Times New Roman"/>
                      <w:i w:val="0"/>
                      <w:iCs w:val="0"/>
                      <w:color w:val="auto"/>
                      <w:sz w:val="21"/>
                      <w:szCs w:val="21"/>
                      <w:highlight w:val="none"/>
                      <w:u w:val="none" w:color="auto"/>
                    </w:rPr>
                  </w:pPr>
                  <w:r>
                    <w:rPr>
                      <w:rFonts w:hint="default" w:ascii="Times New Roman" w:hAnsi="Times New Roman" w:eastAsia="宋体" w:cs="Times New Roman"/>
                      <w:i w:val="0"/>
                      <w:iCs w:val="0"/>
                      <w:color w:val="auto"/>
                      <w:sz w:val="21"/>
                      <w:szCs w:val="21"/>
                      <w:highlight w:val="none"/>
                      <w:u w:val="none" w:color="auto"/>
                    </w:rPr>
                    <w:t>不涉及</w:t>
                  </w:r>
                </w:p>
              </w:tc>
            </w:tr>
            <w:tr w14:paraId="08E8D88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393" w:hRule="atLeast"/>
              </w:trPr>
              <w:tc>
                <w:tcPr>
                  <w:tcW w:w="442" w:type="pct"/>
                  <w:noWrap w:val="0"/>
                  <w:vAlign w:val="center"/>
                </w:tcPr>
                <w:p w14:paraId="4240AFCA">
                  <w:pPr>
                    <w:adjustRightInd w:val="0"/>
                    <w:snapToGrid w:val="0"/>
                    <w:spacing w:line="240" w:lineRule="auto"/>
                    <w:jc w:val="center"/>
                    <w:rPr>
                      <w:rFonts w:hint="default" w:ascii="Times New Roman" w:hAnsi="Times New Roman" w:eastAsia="宋体" w:cs="Times New Roman"/>
                      <w:i w:val="0"/>
                      <w:iCs w:val="0"/>
                      <w:color w:val="auto"/>
                      <w:sz w:val="21"/>
                      <w:szCs w:val="21"/>
                      <w:highlight w:val="none"/>
                      <w:u w:val="none" w:color="auto"/>
                    </w:rPr>
                  </w:pPr>
                  <w:r>
                    <w:rPr>
                      <w:rFonts w:hint="default" w:ascii="Times New Roman" w:hAnsi="Times New Roman" w:eastAsia="宋体" w:cs="Times New Roman"/>
                      <w:i w:val="0"/>
                      <w:iCs w:val="0"/>
                      <w:color w:val="auto"/>
                      <w:sz w:val="21"/>
                      <w:szCs w:val="21"/>
                      <w:highlight w:val="none"/>
                      <w:u w:val="none" w:color="auto"/>
                    </w:rPr>
                    <w:t>环境风险防控</w:t>
                  </w:r>
                </w:p>
              </w:tc>
              <w:tc>
                <w:tcPr>
                  <w:tcW w:w="3306" w:type="pct"/>
                  <w:gridSpan w:val="2"/>
                  <w:noWrap w:val="0"/>
                  <w:vAlign w:val="center"/>
                </w:tcPr>
                <w:p w14:paraId="6FFD5DB7">
                  <w:pPr>
                    <w:adjustRightInd w:val="0"/>
                    <w:snapToGrid w:val="0"/>
                    <w:spacing w:line="240" w:lineRule="auto"/>
                    <w:jc w:val="both"/>
                    <w:rPr>
                      <w:rFonts w:hint="default" w:ascii="Times New Roman" w:hAnsi="Times New Roman" w:eastAsia="宋体" w:cs="Times New Roman"/>
                      <w:i w:val="0"/>
                      <w:iCs w:val="0"/>
                      <w:color w:val="auto"/>
                      <w:sz w:val="21"/>
                      <w:szCs w:val="21"/>
                      <w:highlight w:val="none"/>
                      <w:u w:val="none" w:color="auto"/>
                    </w:rPr>
                  </w:pPr>
                  <w:r>
                    <w:rPr>
                      <w:rFonts w:hint="default" w:ascii="Times New Roman" w:hAnsi="Times New Roman" w:eastAsia="宋体" w:cs="Times New Roman"/>
                      <w:i w:val="0"/>
                      <w:iCs w:val="0"/>
                      <w:color w:val="auto"/>
                      <w:sz w:val="21"/>
                      <w:szCs w:val="21"/>
                      <w:highlight w:val="none"/>
                      <w:u w:val="none" w:color="auto"/>
                    </w:rPr>
                    <w:t>1.强化危险废物风险防控。强化固体废物全过程监管，加强环境风险评估，紧盯“一废一库一品”（危险废物、尾矿库、危险化学品），加强医疗废物收集和处置等全程跟踪监管，强化污水处理厂污泥处置和管理。</w:t>
                  </w:r>
                </w:p>
                <w:p w14:paraId="40E1C7C6">
                  <w:pPr>
                    <w:adjustRightInd w:val="0"/>
                    <w:snapToGrid w:val="0"/>
                    <w:spacing w:line="240" w:lineRule="auto"/>
                    <w:jc w:val="both"/>
                    <w:rPr>
                      <w:rFonts w:hint="default" w:ascii="Times New Roman" w:hAnsi="Times New Roman" w:eastAsia="宋体" w:cs="Times New Roman"/>
                      <w:i w:val="0"/>
                      <w:iCs w:val="0"/>
                      <w:color w:val="auto"/>
                      <w:sz w:val="21"/>
                      <w:szCs w:val="21"/>
                      <w:highlight w:val="none"/>
                      <w:u w:val="none" w:color="auto"/>
                    </w:rPr>
                  </w:pPr>
                  <w:r>
                    <w:rPr>
                      <w:rFonts w:hint="default" w:ascii="Times New Roman" w:hAnsi="Times New Roman" w:eastAsia="宋体" w:cs="Times New Roman"/>
                      <w:i w:val="0"/>
                      <w:iCs w:val="0"/>
                      <w:color w:val="auto"/>
                      <w:sz w:val="21"/>
                      <w:szCs w:val="21"/>
                      <w:highlight w:val="none"/>
                      <w:u w:val="none" w:color="auto"/>
                    </w:rPr>
                    <w:t>2.开展重点区域分级分类管理。加快实施建设用地分用途管理。严格建设用地规划，实施农用地土壤分类管控。</w:t>
                  </w:r>
                </w:p>
                <w:p w14:paraId="74065723">
                  <w:pPr>
                    <w:adjustRightInd w:val="0"/>
                    <w:snapToGrid w:val="0"/>
                    <w:spacing w:line="240" w:lineRule="auto"/>
                    <w:jc w:val="both"/>
                    <w:rPr>
                      <w:rFonts w:hint="default" w:ascii="Times New Roman" w:hAnsi="Times New Roman" w:eastAsia="宋体" w:cs="Times New Roman"/>
                      <w:i w:val="0"/>
                      <w:iCs w:val="0"/>
                      <w:color w:val="auto"/>
                      <w:sz w:val="21"/>
                      <w:szCs w:val="21"/>
                      <w:highlight w:val="none"/>
                      <w:u w:val="none" w:color="auto"/>
                    </w:rPr>
                  </w:pPr>
                  <w:r>
                    <w:rPr>
                      <w:rFonts w:hint="default" w:ascii="Times New Roman" w:hAnsi="Times New Roman" w:eastAsia="宋体" w:cs="Times New Roman"/>
                      <w:i w:val="0"/>
                      <w:iCs w:val="0"/>
                      <w:color w:val="auto"/>
                      <w:sz w:val="21"/>
                      <w:szCs w:val="21"/>
                      <w:highlight w:val="none"/>
                      <w:u w:val="none" w:color="auto"/>
                    </w:rPr>
                    <w:t>3.防范重点领域环境风险。加强涉重行业综合防控。强化白山市金属表面处理、燃煤火力发电等行业重金属污染防治措施。推进化学品环境风险防控。开展白山市有毒有害化学品企业调查，加强重点行业危险化学品全过程环境监管。加强核与辐射环境监管。健全核与辐射应急响应体系。加强危险废物监管。推广区域性医疗废物协同与应急处置机制。推进重金属污染风险防治。加强企业生产全过程污染管控，开展涉重历史遗留问题环境风险隐患排查。</w:t>
                  </w:r>
                </w:p>
                <w:p w14:paraId="2967C456">
                  <w:pPr>
                    <w:adjustRightInd w:val="0"/>
                    <w:snapToGrid w:val="0"/>
                    <w:spacing w:line="240" w:lineRule="auto"/>
                    <w:jc w:val="both"/>
                    <w:rPr>
                      <w:rFonts w:hint="default" w:ascii="Times New Roman" w:hAnsi="Times New Roman" w:eastAsia="宋体" w:cs="Times New Roman"/>
                      <w:i w:val="0"/>
                      <w:iCs w:val="0"/>
                      <w:color w:val="auto"/>
                      <w:sz w:val="21"/>
                      <w:szCs w:val="21"/>
                      <w:highlight w:val="none"/>
                      <w:u w:val="none" w:color="auto"/>
                    </w:rPr>
                  </w:pPr>
                  <w:r>
                    <w:rPr>
                      <w:rFonts w:hint="default" w:ascii="Times New Roman" w:hAnsi="Times New Roman" w:eastAsia="宋体" w:cs="Times New Roman"/>
                      <w:i w:val="0"/>
                      <w:iCs w:val="0"/>
                      <w:color w:val="auto"/>
                      <w:sz w:val="21"/>
                      <w:szCs w:val="21"/>
                      <w:highlight w:val="none"/>
                      <w:u w:val="none" w:color="auto"/>
                    </w:rPr>
                    <w:t>4.提升环境风险预警、排查、应对水平。完善化工企业环境风险预警体系，推动存在重大环境风险的化工园区、化工企业建设“一体化</w:t>
                  </w:r>
                  <w:r>
                    <w:rPr>
                      <w:rFonts w:hint="default" w:ascii="Times New Roman" w:hAnsi="Times New Roman" w:eastAsia="宋体" w:cs="Times New Roman"/>
                      <w:i w:val="0"/>
                      <w:iCs w:val="0"/>
                      <w:color w:val="auto"/>
                      <w:sz w:val="21"/>
                      <w:szCs w:val="21"/>
                      <w:highlight w:val="none"/>
                      <w:u w:val="none" w:color="auto"/>
                      <w:lang w:eastAsia="zh-CN"/>
                    </w:rPr>
                    <w:t>”“</w:t>
                  </w:r>
                  <w:r>
                    <w:rPr>
                      <w:rFonts w:hint="default" w:ascii="Times New Roman" w:hAnsi="Times New Roman" w:eastAsia="宋体" w:cs="Times New Roman"/>
                      <w:i w:val="0"/>
                      <w:iCs w:val="0"/>
                      <w:color w:val="auto"/>
                      <w:sz w:val="21"/>
                      <w:szCs w:val="21"/>
                      <w:highlight w:val="none"/>
                      <w:u w:val="none" w:color="auto"/>
                    </w:rPr>
                    <w:t>智能化”预警体系。</w:t>
                  </w:r>
                </w:p>
              </w:tc>
              <w:tc>
                <w:tcPr>
                  <w:tcW w:w="1251" w:type="pct"/>
                  <w:noWrap w:val="0"/>
                  <w:vAlign w:val="center"/>
                </w:tcPr>
                <w:p w14:paraId="1E7F8091">
                  <w:pPr>
                    <w:adjustRightInd w:val="0"/>
                    <w:snapToGrid w:val="0"/>
                    <w:spacing w:line="240" w:lineRule="auto"/>
                    <w:jc w:val="center"/>
                    <w:rPr>
                      <w:rFonts w:hint="default" w:ascii="Times New Roman" w:hAnsi="Times New Roman" w:eastAsia="宋体" w:cs="Times New Roman"/>
                      <w:i w:val="0"/>
                      <w:iCs w:val="0"/>
                      <w:color w:val="auto"/>
                      <w:sz w:val="21"/>
                      <w:szCs w:val="21"/>
                      <w:highlight w:val="none"/>
                      <w:u w:val="none" w:color="auto"/>
                      <w:lang w:val="en-US" w:eastAsia="zh-CN"/>
                    </w:rPr>
                  </w:pPr>
                  <w:r>
                    <w:rPr>
                      <w:rFonts w:hint="default" w:ascii="Times New Roman" w:hAnsi="Times New Roman" w:eastAsia="宋体" w:cs="Times New Roman"/>
                      <w:i w:val="0"/>
                      <w:iCs w:val="0"/>
                      <w:color w:val="auto"/>
                      <w:sz w:val="21"/>
                      <w:szCs w:val="21"/>
                      <w:highlight w:val="none"/>
                      <w:u w:val="none" w:color="auto"/>
                      <w:lang w:val="en-US" w:eastAsia="zh-CN"/>
                    </w:rPr>
                    <w:t>不涉及</w:t>
                  </w:r>
                </w:p>
              </w:tc>
            </w:tr>
            <w:tr w14:paraId="136A117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442" w:type="pct"/>
                  <w:noWrap w:val="0"/>
                  <w:vAlign w:val="center"/>
                </w:tcPr>
                <w:p w14:paraId="1C94A2A7">
                  <w:pPr>
                    <w:adjustRightInd w:val="0"/>
                    <w:snapToGrid w:val="0"/>
                    <w:spacing w:line="240" w:lineRule="auto"/>
                    <w:jc w:val="center"/>
                    <w:rPr>
                      <w:rFonts w:hint="default" w:ascii="Times New Roman" w:hAnsi="Times New Roman" w:eastAsia="宋体" w:cs="Times New Roman"/>
                      <w:i w:val="0"/>
                      <w:iCs w:val="0"/>
                      <w:color w:val="auto"/>
                      <w:sz w:val="21"/>
                      <w:szCs w:val="21"/>
                      <w:highlight w:val="none"/>
                      <w:u w:val="none" w:color="auto"/>
                    </w:rPr>
                  </w:pPr>
                  <w:r>
                    <w:rPr>
                      <w:rFonts w:hint="default" w:ascii="Times New Roman" w:hAnsi="Times New Roman" w:eastAsia="宋体" w:cs="Times New Roman"/>
                      <w:i w:val="0"/>
                      <w:iCs w:val="0"/>
                      <w:color w:val="auto"/>
                      <w:sz w:val="21"/>
                      <w:szCs w:val="21"/>
                      <w:highlight w:val="none"/>
                      <w:u w:val="none" w:color="auto"/>
                    </w:rPr>
                    <w:t>资源利用要求</w:t>
                  </w:r>
                </w:p>
              </w:tc>
              <w:tc>
                <w:tcPr>
                  <w:tcW w:w="437" w:type="pct"/>
                  <w:noWrap w:val="0"/>
                  <w:vAlign w:val="center"/>
                </w:tcPr>
                <w:p w14:paraId="3A515AEC">
                  <w:pPr>
                    <w:adjustRightInd w:val="0"/>
                    <w:snapToGrid w:val="0"/>
                    <w:spacing w:line="240" w:lineRule="auto"/>
                    <w:jc w:val="center"/>
                    <w:rPr>
                      <w:rFonts w:hint="default" w:ascii="Times New Roman" w:hAnsi="Times New Roman" w:eastAsia="宋体" w:cs="Times New Roman"/>
                      <w:i w:val="0"/>
                      <w:iCs w:val="0"/>
                      <w:color w:val="auto"/>
                      <w:sz w:val="21"/>
                      <w:szCs w:val="21"/>
                      <w:highlight w:val="none"/>
                      <w:u w:val="none" w:color="auto"/>
                    </w:rPr>
                  </w:pPr>
                  <w:r>
                    <w:rPr>
                      <w:rFonts w:hint="default" w:ascii="Times New Roman" w:hAnsi="Times New Roman" w:eastAsia="宋体" w:cs="Times New Roman"/>
                      <w:i w:val="0"/>
                      <w:iCs w:val="0"/>
                      <w:color w:val="auto"/>
                      <w:sz w:val="21"/>
                      <w:szCs w:val="21"/>
                      <w:highlight w:val="none"/>
                      <w:u w:val="none" w:color="auto"/>
                    </w:rPr>
                    <w:t>水资源</w:t>
                  </w:r>
                </w:p>
              </w:tc>
              <w:tc>
                <w:tcPr>
                  <w:tcW w:w="2869" w:type="pct"/>
                  <w:noWrap w:val="0"/>
                  <w:vAlign w:val="center"/>
                </w:tcPr>
                <w:p w14:paraId="18E78B4C">
                  <w:pPr>
                    <w:adjustRightInd w:val="0"/>
                    <w:snapToGrid w:val="0"/>
                    <w:spacing w:line="240" w:lineRule="auto"/>
                    <w:jc w:val="center"/>
                    <w:rPr>
                      <w:rFonts w:hint="default" w:ascii="Times New Roman" w:hAnsi="Times New Roman" w:eastAsia="宋体" w:cs="Times New Roman"/>
                      <w:i w:val="0"/>
                      <w:iCs w:val="0"/>
                      <w:color w:val="auto"/>
                      <w:sz w:val="21"/>
                      <w:szCs w:val="21"/>
                      <w:highlight w:val="none"/>
                      <w:u w:val="none" w:color="auto"/>
                    </w:rPr>
                  </w:pPr>
                  <w:r>
                    <w:rPr>
                      <w:rFonts w:hint="default" w:ascii="Times New Roman" w:hAnsi="Times New Roman" w:eastAsia="宋体" w:cs="Times New Roman"/>
                      <w:i w:val="0"/>
                      <w:iCs w:val="0"/>
                      <w:color w:val="auto"/>
                      <w:sz w:val="21"/>
                      <w:szCs w:val="21"/>
                      <w:highlight w:val="none"/>
                      <w:u w:val="none" w:color="auto"/>
                    </w:rPr>
                    <w:t>2025年，水资源管理控制指标为4.43亿m</w:t>
                  </w:r>
                  <w:r>
                    <w:rPr>
                      <w:rFonts w:hint="default" w:ascii="Times New Roman" w:hAnsi="Times New Roman" w:eastAsia="宋体" w:cs="Times New Roman"/>
                      <w:i w:val="0"/>
                      <w:iCs w:val="0"/>
                      <w:color w:val="auto"/>
                      <w:sz w:val="21"/>
                      <w:szCs w:val="21"/>
                      <w:highlight w:val="none"/>
                      <w:u w:val="none" w:color="auto"/>
                      <w:vertAlign w:val="superscript"/>
                    </w:rPr>
                    <w:t>2</w:t>
                  </w:r>
                  <w:r>
                    <w:rPr>
                      <w:rFonts w:hint="default" w:ascii="Times New Roman" w:hAnsi="Times New Roman" w:eastAsia="宋体" w:cs="Times New Roman"/>
                      <w:i w:val="0"/>
                      <w:iCs w:val="0"/>
                      <w:color w:val="auto"/>
                      <w:sz w:val="21"/>
                      <w:szCs w:val="21"/>
                      <w:highlight w:val="none"/>
                      <w:u w:val="none" w:color="auto"/>
                    </w:rPr>
                    <w:t>；2035年，水资源管理控制指标为4.81亿m</w:t>
                  </w:r>
                  <w:r>
                    <w:rPr>
                      <w:rFonts w:hint="default" w:ascii="Times New Roman" w:hAnsi="Times New Roman" w:eastAsia="宋体" w:cs="Times New Roman"/>
                      <w:i w:val="0"/>
                      <w:iCs w:val="0"/>
                      <w:color w:val="auto"/>
                      <w:sz w:val="21"/>
                      <w:szCs w:val="21"/>
                      <w:highlight w:val="none"/>
                      <w:u w:val="none" w:color="auto"/>
                      <w:vertAlign w:val="superscript"/>
                      <w:lang w:val="en-US" w:eastAsia="zh-CN"/>
                    </w:rPr>
                    <w:t>3</w:t>
                  </w:r>
                  <w:r>
                    <w:rPr>
                      <w:rFonts w:hint="default" w:ascii="Times New Roman" w:hAnsi="Times New Roman" w:eastAsia="宋体" w:cs="Times New Roman"/>
                      <w:i w:val="0"/>
                      <w:iCs w:val="0"/>
                      <w:color w:val="auto"/>
                      <w:sz w:val="21"/>
                      <w:szCs w:val="21"/>
                      <w:highlight w:val="none"/>
                      <w:u w:val="none" w:color="auto"/>
                    </w:rPr>
                    <w:t>。</w:t>
                  </w:r>
                </w:p>
              </w:tc>
              <w:tc>
                <w:tcPr>
                  <w:tcW w:w="1251" w:type="pct"/>
                  <w:noWrap w:val="0"/>
                  <w:vAlign w:val="center"/>
                </w:tcPr>
                <w:p w14:paraId="07D0D1D3">
                  <w:pPr>
                    <w:adjustRightInd w:val="0"/>
                    <w:snapToGrid w:val="0"/>
                    <w:spacing w:line="240" w:lineRule="auto"/>
                    <w:jc w:val="center"/>
                    <w:rPr>
                      <w:rFonts w:hint="eastAsia" w:ascii="Times New Roman" w:hAnsi="Times New Roman" w:eastAsia="宋体" w:cs="Times New Roman"/>
                      <w:i w:val="0"/>
                      <w:iCs w:val="0"/>
                      <w:color w:val="auto"/>
                      <w:sz w:val="21"/>
                      <w:szCs w:val="21"/>
                      <w:highlight w:val="green"/>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项目生活用水</w:t>
                  </w:r>
                  <w:r>
                    <w:rPr>
                      <w:rFonts w:hint="eastAsia" w:cs="Times New Roman"/>
                      <w:color w:val="auto"/>
                      <w:sz w:val="21"/>
                      <w:szCs w:val="21"/>
                      <w:highlight w:val="none"/>
                      <w:u w:val="none" w:color="auto"/>
                      <w:lang w:val="en-US" w:eastAsia="zh-CN"/>
                    </w:rPr>
                    <w:t>、</w:t>
                  </w:r>
                  <w:r>
                    <w:rPr>
                      <w:rFonts w:hint="eastAsia" w:ascii="Times New Roman" w:hAnsi="Times New Roman" w:eastAsia="宋体" w:cs="Times New Roman"/>
                      <w:color w:val="auto"/>
                      <w:sz w:val="21"/>
                      <w:szCs w:val="21"/>
                      <w:highlight w:val="none"/>
                      <w:u w:val="none" w:color="auto"/>
                      <w:lang w:val="en-US" w:eastAsia="zh-CN"/>
                    </w:rPr>
                    <w:t>生产用水采用</w:t>
                  </w:r>
                  <w:r>
                    <w:rPr>
                      <w:rFonts w:hint="eastAsia" w:cs="Times New Roman"/>
                      <w:color w:val="auto"/>
                      <w:sz w:val="21"/>
                      <w:szCs w:val="21"/>
                      <w:highlight w:val="none"/>
                      <w:u w:val="none" w:color="auto"/>
                      <w:lang w:val="en-US" w:eastAsia="zh-CN"/>
                    </w:rPr>
                    <w:t>地下</w:t>
                  </w:r>
                  <w:r>
                    <w:rPr>
                      <w:rFonts w:hint="eastAsia" w:ascii="Times New Roman" w:hAnsi="Times New Roman" w:eastAsia="宋体" w:cs="Times New Roman"/>
                      <w:color w:val="auto"/>
                      <w:sz w:val="21"/>
                      <w:szCs w:val="21"/>
                      <w:highlight w:val="none"/>
                      <w:u w:val="none" w:color="auto"/>
                      <w:lang w:val="en-US" w:eastAsia="zh-CN"/>
                    </w:rPr>
                    <w:t>水，</w:t>
                  </w:r>
                  <w:r>
                    <w:rPr>
                      <w:rFonts w:hint="default" w:ascii="Times New Roman" w:hAnsi="Times New Roman" w:eastAsia="宋体" w:cs="Times New Roman"/>
                      <w:color w:val="auto"/>
                      <w:sz w:val="21"/>
                      <w:szCs w:val="21"/>
                      <w:highlight w:val="none"/>
                      <w:u w:val="none" w:color="auto"/>
                      <w:lang w:val="en-US" w:eastAsia="zh-CN"/>
                    </w:rPr>
                    <w:t>消耗新鲜水量</w:t>
                  </w:r>
                  <w:r>
                    <w:rPr>
                      <w:rFonts w:hint="eastAsia" w:ascii="Times New Roman" w:hAnsi="Times New Roman" w:eastAsia="宋体" w:cs="Times New Roman"/>
                      <w:color w:val="auto"/>
                      <w:sz w:val="21"/>
                      <w:szCs w:val="21"/>
                      <w:highlight w:val="none"/>
                      <w:u w:val="none" w:color="auto"/>
                      <w:lang w:val="en-US" w:eastAsia="zh-CN"/>
                    </w:rPr>
                    <w:t>较</w:t>
                  </w:r>
                  <w:r>
                    <w:rPr>
                      <w:rFonts w:hint="default" w:ascii="Times New Roman" w:hAnsi="Times New Roman" w:eastAsia="宋体" w:cs="Times New Roman"/>
                      <w:color w:val="auto"/>
                      <w:sz w:val="21"/>
                      <w:szCs w:val="21"/>
                      <w:highlight w:val="none"/>
                      <w:u w:val="none" w:color="auto"/>
                      <w:lang w:val="en-US" w:eastAsia="zh-CN"/>
                    </w:rPr>
                    <w:t>少，不会对区域</w:t>
                  </w:r>
                  <w:r>
                    <w:rPr>
                      <w:rFonts w:hint="eastAsia" w:ascii="Times New Roman" w:hAnsi="Times New Roman" w:eastAsia="宋体" w:cs="Times New Roman"/>
                      <w:color w:val="auto"/>
                      <w:sz w:val="21"/>
                      <w:szCs w:val="21"/>
                      <w:highlight w:val="none"/>
                      <w:u w:val="none" w:color="auto"/>
                      <w:lang w:val="en-US" w:eastAsia="zh-CN"/>
                    </w:rPr>
                    <w:t>水资源</w:t>
                  </w:r>
                  <w:r>
                    <w:rPr>
                      <w:rFonts w:hint="default" w:ascii="Times New Roman" w:hAnsi="Times New Roman" w:eastAsia="宋体" w:cs="Times New Roman"/>
                      <w:color w:val="auto"/>
                      <w:sz w:val="21"/>
                      <w:szCs w:val="21"/>
                      <w:highlight w:val="none"/>
                      <w:u w:val="none" w:color="auto"/>
                      <w:lang w:val="en-US" w:eastAsia="zh-CN"/>
                    </w:rPr>
                    <w:t>产生明显影响</w:t>
                  </w:r>
                  <w:r>
                    <w:rPr>
                      <w:rFonts w:hint="eastAsia" w:ascii="Times New Roman" w:hAnsi="Times New Roman" w:eastAsia="宋体" w:cs="Times New Roman"/>
                      <w:color w:val="auto"/>
                      <w:sz w:val="21"/>
                      <w:szCs w:val="21"/>
                      <w:highlight w:val="none"/>
                      <w:u w:val="none" w:color="auto"/>
                      <w:lang w:val="en-US" w:eastAsia="zh-CN"/>
                    </w:rPr>
                    <w:t>，符合</w:t>
                  </w:r>
                  <w:r>
                    <w:rPr>
                      <w:rFonts w:hint="default" w:ascii="Times New Roman" w:hAnsi="Times New Roman" w:eastAsia="宋体" w:cs="Times New Roman"/>
                      <w:color w:val="auto"/>
                      <w:sz w:val="21"/>
                      <w:szCs w:val="21"/>
                      <w:highlight w:val="none"/>
                      <w:u w:val="none" w:color="auto"/>
                      <w:lang w:val="zh-CN"/>
                    </w:rPr>
                    <w:t>开发强度</w:t>
                  </w:r>
                  <w:r>
                    <w:rPr>
                      <w:rFonts w:hint="eastAsia" w:ascii="Times New Roman" w:hAnsi="Times New Roman" w:eastAsia="宋体" w:cs="Times New Roman"/>
                      <w:color w:val="auto"/>
                      <w:sz w:val="21"/>
                      <w:szCs w:val="21"/>
                      <w:highlight w:val="none"/>
                      <w:u w:val="none" w:color="auto"/>
                      <w:lang w:val="zh-CN"/>
                    </w:rPr>
                    <w:t>要求</w:t>
                  </w:r>
                  <w:r>
                    <w:rPr>
                      <w:rFonts w:hint="default" w:ascii="Times New Roman" w:hAnsi="Times New Roman" w:eastAsia="宋体" w:cs="Times New Roman"/>
                      <w:color w:val="auto"/>
                      <w:kern w:val="2"/>
                      <w:sz w:val="21"/>
                      <w:szCs w:val="21"/>
                      <w:highlight w:val="none"/>
                      <w:u w:val="none" w:color="auto"/>
                      <w:lang w:val="en-US" w:eastAsia="zh-CN" w:bidi="ar-SA"/>
                    </w:rPr>
                    <w:t>。</w:t>
                  </w:r>
                  <w:r>
                    <w:rPr>
                      <w:rFonts w:hint="eastAsia" w:cs="Times New Roman"/>
                      <w:color w:val="auto"/>
                      <w:kern w:val="2"/>
                      <w:sz w:val="21"/>
                      <w:szCs w:val="21"/>
                      <w:highlight w:val="none"/>
                      <w:u w:val="none" w:color="auto"/>
                      <w:lang w:val="en-US" w:eastAsia="zh-CN" w:bidi="ar-SA"/>
                    </w:rPr>
                    <w:t>取水许可证正在办理中。</w:t>
                  </w:r>
                </w:p>
              </w:tc>
            </w:tr>
          </w:tbl>
          <w:p w14:paraId="4878A3E5">
            <w:pPr>
              <w:spacing w:line="360" w:lineRule="auto"/>
              <w:jc w:val="center"/>
              <w:rPr>
                <w:b w:val="0"/>
                <w:bCs/>
                <w:color w:val="auto"/>
                <w:sz w:val="24"/>
                <w:highlight w:val="none"/>
                <w:u w:val="none" w:color="auto"/>
              </w:rPr>
            </w:pPr>
          </w:p>
          <w:p w14:paraId="1647986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i w:val="0"/>
                <w:iCs w:val="0"/>
                <w:color w:val="auto"/>
                <w:sz w:val="24"/>
                <w:szCs w:val="24"/>
                <w:highlight w:val="none"/>
                <w:u w:val="none" w:color="auto"/>
                <w:lang w:val="en-US" w:eastAsia="zh-CN"/>
              </w:rPr>
            </w:pPr>
            <w:r>
              <w:rPr>
                <w:rFonts w:hint="default" w:ascii="Times New Roman" w:hAnsi="Times New Roman" w:eastAsia="宋体" w:cs="Times New Roman"/>
                <w:b w:val="0"/>
                <w:bCs w:val="0"/>
                <w:i w:val="0"/>
                <w:iCs w:val="0"/>
                <w:color w:val="auto"/>
                <w:sz w:val="24"/>
                <w:szCs w:val="24"/>
                <w:highlight w:val="none"/>
                <w:u w:val="none" w:color="auto"/>
                <w:lang w:val="en-US" w:eastAsia="zh-CN"/>
              </w:rPr>
              <w:t>③与</w:t>
            </w:r>
            <w:r>
              <w:rPr>
                <w:rFonts w:hint="eastAsia" w:cs="Times New Roman"/>
                <w:b w:val="0"/>
                <w:bCs w:val="0"/>
                <w:i w:val="0"/>
                <w:iCs w:val="0"/>
                <w:color w:val="auto"/>
                <w:sz w:val="24"/>
                <w:szCs w:val="24"/>
                <w:highlight w:val="none"/>
                <w:u w:val="none" w:color="auto"/>
                <w:lang w:val="en-US" w:eastAsia="zh-CN"/>
              </w:rPr>
              <w:t>所在管控单元</w:t>
            </w:r>
            <w:r>
              <w:rPr>
                <w:rFonts w:hint="default" w:ascii="Times New Roman" w:hAnsi="Times New Roman" w:eastAsia="宋体" w:cs="Times New Roman"/>
                <w:b w:val="0"/>
                <w:bCs w:val="0"/>
                <w:i w:val="0"/>
                <w:iCs w:val="0"/>
                <w:color w:val="auto"/>
                <w:sz w:val="24"/>
                <w:szCs w:val="24"/>
                <w:highlight w:val="none"/>
                <w:u w:val="none" w:color="auto"/>
                <w:lang w:val="en-US" w:eastAsia="zh-CN"/>
              </w:rPr>
              <w:t>生态环境准入清单相符性</w:t>
            </w:r>
          </w:p>
          <w:p w14:paraId="22674B7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i w:val="0"/>
                <w:iCs w:val="0"/>
                <w:color w:val="auto"/>
                <w:sz w:val="24"/>
                <w:szCs w:val="24"/>
                <w:highlight w:val="none"/>
                <w:u w:val="none" w:color="auto"/>
                <w:lang w:val="en-US" w:eastAsia="zh-CN"/>
              </w:rPr>
            </w:pPr>
            <w:r>
              <w:rPr>
                <w:rFonts w:hint="default" w:ascii="Times New Roman" w:hAnsi="Times New Roman" w:eastAsia="宋体" w:cs="Times New Roman"/>
                <w:b w:val="0"/>
                <w:bCs w:val="0"/>
                <w:i w:val="0"/>
                <w:iCs w:val="0"/>
                <w:color w:val="auto"/>
                <w:sz w:val="24"/>
                <w:szCs w:val="24"/>
                <w:highlight w:val="none"/>
                <w:u w:val="none" w:color="auto"/>
                <w:lang w:val="en-US" w:eastAsia="zh-CN"/>
              </w:rPr>
              <w:t>本项目位于白山市临江市桦树镇西大川村，</w:t>
            </w:r>
            <w:r>
              <w:rPr>
                <w:rFonts w:hint="eastAsia" w:cs="Times New Roman"/>
                <w:b w:val="0"/>
                <w:bCs w:val="0"/>
                <w:i w:val="0"/>
                <w:iCs w:val="0"/>
                <w:color w:val="auto"/>
                <w:sz w:val="24"/>
                <w:szCs w:val="24"/>
                <w:highlight w:val="none"/>
                <w:u w:val="none" w:color="auto"/>
                <w:lang w:val="en-US" w:eastAsia="zh-CN"/>
              </w:rPr>
              <w:t>所在管控单元为</w:t>
            </w:r>
            <w:r>
              <w:rPr>
                <w:rFonts w:hint="default" w:ascii="Times New Roman" w:hAnsi="Times New Roman" w:eastAsia="宋体" w:cs="Times New Roman"/>
                <w:b w:val="0"/>
                <w:bCs w:val="0"/>
                <w:i w:val="0"/>
                <w:iCs w:val="0"/>
                <w:color w:val="auto"/>
                <w:sz w:val="24"/>
                <w:szCs w:val="24"/>
                <w:highlight w:val="none"/>
                <w:u w:val="none" w:color="auto"/>
                <w:lang w:val="en-US" w:eastAsia="zh-CN"/>
              </w:rPr>
              <w:t>临江市水源涵养功能重要区，项目与所在管控单元准入要求相符性分析如下。</w:t>
            </w:r>
          </w:p>
          <w:p w14:paraId="5901B0B0">
            <w:pPr>
              <w:pStyle w:val="72"/>
              <w:numPr>
                <w:ilvl w:val="0"/>
                <w:numId w:val="0"/>
              </w:numPr>
              <w:bidi w:val="0"/>
              <w:ind w:leftChars="0"/>
              <w:jc w:val="center"/>
              <w:rPr>
                <w:rFonts w:hint="eastAsia"/>
                <w:b/>
                <w:bCs/>
                <w:color w:val="auto"/>
                <w:kern w:val="8"/>
                <w:sz w:val="24"/>
                <w:highlight w:val="none"/>
                <w:u w:val="none" w:color="auto"/>
                <w:lang w:val="en-US" w:eastAsia="zh-CN"/>
              </w:rPr>
            </w:pPr>
            <w:r>
              <w:rPr>
                <w:rFonts w:hint="eastAsia"/>
                <w:color w:val="auto"/>
                <w:highlight w:val="none"/>
                <w:u w:val="none" w:color="auto"/>
                <w:lang w:val="en-US" w:eastAsia="zh-CN"/>
              </w:rPr>
              <w:t xml:space="preserve">表1-4  </w:t>
            </w:r>
            <w:r>
              <w:rPr>
                <w:rFonts w:hint="eastAsia"/>
                <w:b/>
                <w:bCs/>
                <w:color w:val="auto"/>
                <w:kern w:val="8"/>
                <w:sz w:val="24"/>
                <w:highlight w:val="none"/>
                <w:u w:val="none" w:color="auto"/>
                <w:lang w:val="en-US" w:eastAsia="zh-CN"/>
              </w:rPr>
              <w:t>临江市水源涵养功能重要区管控要求</w:t>
            </w:r>
          </w:p>
          <w:tbl>
            <w:tblPr>
              <w:tblStyle w:val="25"/>
              <w:tblpPr w:leftFromText="180" w:rightFromText="180" w:vertAnchor="text" w:horzAnchor="page" w:tblpX="134" w:tblpY="31"/>
              <w:tblOverlap w:val="never"/>
              <w:tblW w:w="4996" w:type="pct"/>
              <w:tblInd w:w="0" w:type="dxa"/>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933"/>
              <w:gridCol w:w="4789"/>
              <w:gridCol w:w="1235"/>
              <w:gridCol w:w="702"/>
            </w:tblGrid>
            <w:tr w14:paraId="52ECFA1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93" w:hRule="atLeast"/>
              </w:trPr>
              <w:tc>
                <w:tcPr>
                  <w:tcW w:w="609" w:type="pct"/>
                  <w:noWrap w:val="0"/>
                  <w:vAlign w:val="center"/>
                </w:tcPr>
                <w:p w14:paraId="625900F7">
                  <w:pPr>
                    <w:adjustRightInd w:val="0"/>
                    <w:snapToGrid w:val="0"/>
                    <w:jc w:val="center"/>
                    <w:rPr>
                      <w:b w:val="0"/>
                      <w:bCs w:val="0"/>
                      <w:color w:val="auto"/>
                      <w:szCs w:val="21"/>
                      <w:highlight w:val="none"/>
                      <w:u w:val="none" w:color="auto"/>
                    </w:rPr>
                  </w:pPr>
                  <w:r>
                    <w:rPr>
                      <w:rFonts w:hint="eastAsia"/>
                      <w:b w:val="0"/>
                      <w:bCs w:val="0"/>
                      <w:color w:val="auto"/>
                      <w:szCs w:val="21"/>
                      <w:highlight w:val="none"/>
                      <w:u w:val="none" w:color="auto"/>
                    </w:rPr>
                    <w:t>管控类型</w:t>
                  </w:r>
                </w:p>
              </w:tc>
              <w:tc>
                <w:tcPr>
                  <w:tcW w:w="3125" w:type="pct"/>
                  <w:noWrap w:val="0"/>
                  <w:vAlign w:val="center"/>
                </w:tcPr>
                <w:p w14:paraId="2A439095">
                  <w:pPr>
                    <w:adjustRightInd w:val="0"/>
                    <w:snapToGrid w:val="0"/>
                    <w:jc w:val="center"/>
                    <w:rPr>
                      <w:b w:val="0"/>
                      <w:bCs w:val="0"/>
                      <w:color w:val="auto"/>
                      <w:szCs w:val="21"/>
                      <w:highlight w:val="none"/>
                      <w:u w:val="none" w:color="auto"/>
                    </w:rPr>
                  </w:pPr>
                  <w:r>
                    <w:rPr>
                      <w:b w:val="0"/>
                      <w:bCs w:val="0"/>
                      <w:color w:val="auto"/>
                      <w:szCs w:val="21"/>
                      <w:highlight w:val="none"/>
                      <w:u w:val="none" w:color="auto"/>
                    </w:rPr>
                    <w:t>管控要求</w:t>
                  </w:r>
                </w:p>
              </w:tc>
              <w:tc>
                <w:tcPr>
                  <w:tcW w:w="806" w:type="pct"/>
                  <w:noWrap w:val="0"/>
                  <w:vAlign w:val="center"/>
                </w:tcPr>
                <w:p w14:paraId="160B9652">
                  <w:pPr>
                    <w:adjustRightInd w:val="0"/>
                    <w:snapToGrid w:val="0"/>
                    <w:jc w:val="center"/>
                    <w:rPr>
                      <w:rFonts w:hint="eastAsia"/>
                      <w:b w:val="0"/>
                      <w:bCs w:val="0"/>
                      <w:color w:val="auto"/>
                      <w:szCs w:val="21"/>
                      <w:highlight w:val="none"/>
                      <w:u w:val="none" w:color="auto"/>
                    </w:rPr>
                  </w:pPr>
                  <w:r>
                    <w:rPr>
                      <w:rFonts w:hint="eastAsia"/>
                      <w:b w:val="0"/>
                      <w:bCs w:val="0"/>
                      <w:color w:val="auto"/>
                      <w:szCs w:val="21"/>
                      <w:highlight w:val="none"/>
                      <w:u w:val="none" w:color="auto"/>
                    </w:rPr>
                    <w:t>本项目</w:t>
                  </w:r>
                </w:p>
              </w:tc>
              <w:tc>
                <w:tcPr>
                  <w:tcW w:w="458" w:type="pct"/>
                  <w:noWrap w:val="0"/>
                  <w:vAlign w:val="center"/>
                </w:tcPr>
                <w:p w14:paraId="16EC5470">
                  <w:pPr>
                    <w:adjustRightInd w:val="0"/>
                    <w:snapToGrid w:val="0"/>
                    <w:jc w:val="center"/>
                    <w:rPr>
                      <w:b w:val="0"/>
                      <w:bCs w:val="0"/>
                      <w:color w:val="auto"/>
                      <w:szCs w:val="21"/>
                      <w:highlight w:val="none"/>
                      <w:u w:val="none" w:color="auto"/>
                    </w:rPr>
                  </w:pPr>
                  <w:r>
                    <w:rPr>
                      <w:b w:val="0"/>
                      <w:bCs w:val="0"/>
                      <w:color w:val="auto"/>
                      <w:szCs w:val="21"/>
                      <w:highlight w:val="none"/>
                      <w:u w:val="none" w:color="auto"/>
                    </w:rPr>
                    <w:t>符合性</w:t>
                  </w:r>
                </w:p>
              </w:tc>
            </w:tr>
            <w:tr w14:paraId="0D34810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078" w:hRule="atLeast"/>
              </w:trPr>
              <w:tc>
                <w:tcPr>
                  <w:tcW w:w="609" w:type="pct"/>
                  <w:noWrap w:val="0"/>
                  <w:vAlign w:val="center"/>
                </w:tcPr>
                <w:p w14:paraId="2FF540F6">
                  <w:pPr>
                    <w:adjustRightInd w:val="0"/>
                    <w:snapToGrid w:val="0"/>
                    <w:jc w:val="center"/>
                    <w:rPr>
                      <w:rFonts w:hint="eastAsia" w:eastAsia="宋体"/>
                      <w:b w:val="0"/>
                      <w:bCs w:val="0"/>
                      <w:color w:val="auto"/>
                      <w:szCs w:val="21"/>
                      <w:highlight w:val="none"/>
                      <w:u w:val="none" w:color="auto"/>
                      <w:lang w:eastAsia="zh-CN"/>
                    </w:rPr>
                  </w:pPr>
                  <w:r>
                    <w:rPr>
                      <w:rFonts w:hint="eastAsia"/>
                      <w:b w:val="0"/>
                      <w:bCs w:val="0"/>
                      <w:color w:val="auto"/>
                      <w:szCs w:val="21"/>
                      <w:highlight w:val="none"/>
                      <w:u w:val="none" w:color="auto"/>
                      <w:lang w:eastAsia="zh-CN"/>
                    </w:rPr>
                    <w:t>空间约束布局</w:t>
                  </w:r>
                </w:p>
              </w:tc>
              <w:tc>
                <w:tcPr>
                  <w:tcW w:w="3125" w:type="pct"/>
                  <w:noWrap w:val="0"/>
                  <w:vAlign w:val="center"/>
                </w:tcPr>
                <w:p w14:paraId="2CE4B85F">
                  <w:pPr>
                    <w:adjustRightInd w:val="0"/>
                    <w:snapToGrid w:val="0"/>
                    <w:jc w:val="left"/>
                    <w:rPr>
                      <w:rFonts w:hint="eastAsia"/>
                      <w:b w:val="0"/>
                      <w:bCs w:val="0"/>
                      <w:color w:val="auto"/>
                      <w:szCs w:val="21"/>
                      <w:highlight w:val="none"/>
                      <w:u w:val="none" w:color="auto"/>
                    </w:rPr>
                  </w:pPr>
                  <w:r>
                    <w:rPr>
                      <w:rFonts w:hint="eastAsia"/>
                      <w:b w:val="0"/>
                      <w:bCs w:val="0"/>
                      <w:color w:val="auto"/>
                      <w:szCs w:val="21"/>
                      <w:highlight w:val="none"/>
                      <w:u w:val="none" w:color="auto"/>
                    </w:rPr>
                    <w:t>1</w:t>
                  </w:r>
                  <w:r>
                    <w:rPr>
                      <w:rFonts w:hint="eastAsia"/>
                      <w:b w:val="0"/>
                      <w:bCs w:val="0"/>
                      <w:color w:val="auto"/>
                      <w:szCs w:val="21"/>
                      <w:highlight w:val="none"/>
                      <w:u w:val="none" w:color="auto"/>
                      <w:lang w:eastAsia="zh-CN"/>
                    </w:rPr>
                    <w:t>、</w:t>
                  </w:r>
                  <w:r>
                    <w:rPr>
                      <w:rFonts w:hint="eastAsia"/>
                      <w:b w:val="0"/>
                      <w:bCs w:val="0"/>
                      <w:color w:val="auto"/>
                      <w:szCs w:val="21"/>
                      <w:highlight w:val="none"/>
                      <w:u w:val="none" w:color="auto"/>
                    </w:rPr>
                    <w:t>原则上按限制开发区域的要求进行管理。避免开发建设活动损害生态服务功能和生态产品质量。</w:t>
                  </w:r>
                </w:p>
                <w:p w14:paraId="06B86BA3">
                  <w:pPr>
                    <w:adjustRightInd w:val="0"/>
                    <w:snapToGrid w:val="0"/>
                    <w:jc w:val="left"/>
                    <w:rPr>
                      <w:rFonts w:hint="eastAsia"/>
                      <w:b w:val="0"/>
                      <w:bCs w:val="0"/>
                      <w:color w:val="auto"/>
                      <w:szCs w:val="21"/>
                      <w:highlight w:val="none"/>
                      <w:u w:val="none" w:color="auto"/>
                    </w:rPr>
                  </w:pPr>
                  <w:r>
                    <w:rPr>
                      <w:rFonts w:hint="eastAsia"/>
                      <w:b w:val="0"/>
                      <w:bCs w:val="0"/>
                      <w:color w:val="auto"/>
                      <w:szCs w:val="21"/>
                      <w:highlight w:val="none"/>
                      <w:u w:val="none" w:color="auto"/>
                    </w:rPr>
                    <w:t>2</w:t>
                  </w:r>
                  <w:r>
                    <w:rPr>
                      <w:rFonts w:hint="eastAsia"/>
                      <w:b w:val="0"/>
                      <w:bCs w:val="0"/>
                      <w:color w:val="auto"/>
                      <w:szCs w:val="21"/>
                      <w:highlight w:val="none"/>
                      <w:u w:val="none" w:color="auto"/>
                      <w:lang w:eastAsia="zh-CN"/>
                    </w:rPr>
                    <w:t>、</w:t>
                  </w:r>
                  <w:r>
                    <w:rPr>
                      <w:rFonts w:hint="eastAsia"/>
                      <w:b w:val="0"/>
                      <w:bCs w:val="0"/>
                      <w:color w:val="auto"/>
                      <w:szCs w:val="21"/>
                      <w:highlight w:val="none"/>
                      <w:u w:val="none" w:color="auto"/>
                    </w:rPr>
                    <w:t>禁止各种损害生态系统水源涵养功能的经济社会活动和生产方式，如无序采矿、毁林开荒、湿地和草地开垦、过度放牧等。</w:t>
                  </w:r>
                </w:p>
                <w:p w14:paraId="35340937">
                  <w:pPr>
                    <w:adjustRightInd w:val="0"/>
                    <w:snapToGrid w:val="0"/>
                    <w:jc w:val="left"/>
                    <w:rPr>
                      <w:rFonts w:hint="eastAsia"/>
                      <w:b w:val="0"/>
                      <w:bCs w:val="0"/>
                      <w:color w:val="auto"/>
                      <w:szCs w:val="21"/>
                      <w:highlight w:val="none"/>
                      <w:u w:val="none" w:color="auto"/>
                    </w:rPr>
                  </w:pPr>
                  <w:r>
                    <w:rPr>
                      <w:rFonts w:hint="eastAsia"/>
                      <w:b w:val="0"/>
                      <w:bCs w:val="0"/>
                      <w:color w:val="auto"/>
                      <w:szCs w:val="21"/>
                      <w:highlight w:val="none"/>
                      <w:u w:val="none" w:color="auto"/>
                    </w:rPr>
                    <w:t>3</w:t>
                  </w:r>
                  <w:r>
                    <w:rPr>
                      <w:rFonts w:hint="eastAsia"/>
                      <w:b w:val="0"/>
                      <w:bCs w:val="0"/>
                      <w:color w:val="auto"/>
                      <w:szCs w:val="21"/>
                      <w:highlight w:val="none"/>
                      <w:u w:val="none" w:color="auto"/>
                      <w:lang w:eastAsia="zh-CN"/>
                    </w:rPr>
                    <w:t>、</w:t>
                  </w:r>
                  <w:r>
                    <w:rPr>
                      <w:rFonts w:hint="eastAsia"/>
                      <w:b w:val="0"/>
                      <w:bCs w:val="0"/>
                      <w:color w:val="auto"/>
                      <w:szCs w:val="21"/>
                      <w:highlight w:val="none"/>
                      <w:u w:val="none" w:color="auto"/>
                    </w:rPr>
                    <w:t>禁止导致水体污染的产业发展。</w:t>
                  </w:r>
                </w:p>
                <w:p w14:paraId="2E41985F">
                  <w:pPr>
                    <w:adjustRightInd w:val="0"/>
                    <w:snapToGrid w:val="0"/>
                    <w:jc w:val="left"/>
                    <w:rPr>
                      <w:rFonts w:hint="eastAsia"/>
                      <w:b w:val="0"/>
                      <w:bCs w:val="0"/>
                      <w:color w:val="auto"/>
                      <w:szCs w:val="21"/>
                      <w:highlight w:val="none"/>
                      <w:u w:val="none" w:color="auto"/>
                    </w:rPr>
                  </w:pPr>
                  <w:r>
                    <w:rPr>
                      <w:rFonts w:hint="eastAsia"/>
                      <w:b w:val="0"/>
                      <w:bCs w:val="0"/>
                      <w:color w:val="auto"/>
                      <w:szCs w:val="21"/>
                      <w:highlight w:val="none"/>
                      <w:u w:val="none" w:color="auto"/>
                    </w:rPr>
                    <w:t>4</w:t>
                  </w:r>
                  <w:r>
                    <w:rPr>
                      <w:rFonts w:hint="eastAsia"/>
                      <w:b w:val="0"/>
                      <w:bCs w:val="0"/>
                      <w:color w:val="auto"/>
                      <w:szCs w:val="21"/>
                      <w:highlight w:val="none"/>
                      <w:u w:val="none" w:color="auto"/>
                      <w:lang w:eastAsia="zh-CN"/>
                    </w:rPr>
                    <w:t>、</w:t>
                  </w:r>
                  <w:r>
                    <w:rPr>
                      <w:rFonts w:hint="eastAsia"/>
                      <w:b w:val="0"/>
                      <w:bCs w:val="0"/>
                      <w:color w:val="auto"/>
                      <w:szCs w:val="21"/>
                      <w:highlight w:val="none"/>
                      <w:u w:val="none" w:color="auto"/>
                    </w:rPr>
                    <w:t>禁止在沙化土地上砍挖灌木、药材及其他固沙植物。在沙化土地封禁保护区范围内，禁止一切破坏植被的活动。禁止在沙化土地封禁保护区范围内安置移民。</w:t>
                  </w:r>
                </w:p>
                <w:p w14:paraId="257F16E9">
                  <w:pPr>
                    <w:adjustRightInd w:val="0"/>
                    <w:snapToGrid w:val="0"/>
                    <w:jc w:val="left"/>
                    <w:rPr>
                      <w:rFonts w:hint="eastAsia"/>
                      <w:b w:val="0"/>
                      <w:bCs w:val="0"/>
                      <w:color w:val="auto"/>
                      <w:szCs w:val="21"/>
                      <w:highlight w:val="none"/>
                      <w:u w:val="none" w:color="auto"/>
                    </w:rPr>
                  </w:pPr>
                  <w:r>
                    <w:rPr>
                      <w:rFonts w:hint="eastAsia"/>
                      <w:b w:val="0"/>
                      <w:bCs w:val="0"/>
                      <w:color w:val="auto"/>
                      <w:szCs w:val="21"/>
                      <w:highlight w:val="none"/>
                      <w:u w:val="none" w:color="auto"/>
                    </w:rPr>
                    <w:t>5</w:t>
                  </w:r>
                  <w:r>
                    <w:rPr>
                      <w:rFonts w:hint="eastAsia"/>
                      <w:b w:val="0"/>
                      <w:bCs w:val="0"/>
                      <w:color w:val="auto"/>
                      <w:szCs w:val="21"/>
                      <w:highlight w:val="none"/>
                      <w:u w:val="none" w:color="auto"/>
                      <w:lang w:eastAsia="zh-CN"/>
                    </w:rPr>
                    <w:t>、</w:t>
                  </w:r>
                  <w:r>
                    <w:rPr>
                      <w:rFonts w:hint="eastAsia"/>
                      <w:b w:val="0"/>
                      <w:bCs w:val="0"/>
                      <w:color w:val="auto"/>
                      <w:szCs w:val="21"/>
                      <w:highlight w:val="none"/>
                      <w:u w:val="none" w:color="auto"/>
                    </w:rPr>
                    <w:t>禁止在崩塌、滑坡危险区和泥石流易发区从事取土、挖砂、采石等可能造成水土流失的活动。禁止开垦、开发植物保护带。禁止在二十度以上陡坡地开垦种植农作物，种植人参开垦坡度不得超过二十五度。禁止毁林、毁草开垦。禁止在水土流失重点预防区和重点治理区铲草皮、挖树蔸等。</w:t>
                  </w:r>
                </w:p>
                <w:p w14:paraId="5F3A1BF4">
                  <w:pPr>
                    <w:adjustRightInd w:val="0"/>
                    <w:snapToGrid w:val="0"/>
                    <w:jc w:val="left"/>
                    <w:rPr>
                      <w:rFonts w:hint="eastAsia"/>
                      <w:b w:val="0"/>
                      <w:bCs w:val="0"/>
                      <w:color w:val="auto"/>
                      <w:szCs w:val="21"/>
                      <w:highlight w:val="none"/>
                      <w:u w:val="none" w:color="auto"/>
                    </w:rPr>
                  </w:pPr>
                  <w:r>
                    <w:rPr>
                      <w:rFonts w:hint="eastAsia"/>
                      <w:b w:val="0"/>
                      <w:bCs w:val="0"/>
                      <w:color w:val="auto"/>
                      <w:szCs w:val="21"/>
                      <w:highlight w:val="none"/>
                      <w:u w:val="none" w:color="auto"/>
                    </w:rPr>
                    <w:t>6</w:t>
                  </w:r>
                  <w:r>
                    <w:rPr>
                      <w:rFonts w:hint="eastAsia"/>
                      <w:b w:val="0"/>
                      <w:bCs w:val="0"/>
                      <w:color w:val="auto"/>
                      <w:szCs w:val="21"/>
                      <w:highlight w:val="none"/>
                      <w:u w:val="none" w:color="auto"/>
                      <w:lang w:eastAsia="zh-CN"/>
                    </w:rPr>
                    <w:t>、</w:t>
                  </w:r>
                  <w:r>
                    <w:rPr>
                      <w:rFonts w:hint="eastAsia"/>
                      <w:b w:val="0"/>
                      <w:bCs w:val="0"/>
                      <w:color w:val="auto"/>
                      <w:szCs w:val="21"/>
                      <w:highlight w:val="none"/>
                      <w:u w:val="none" w:color="auto"/>
                    </w:rPr>
                    <w:t>原则上不再新建各类产业园区，严禁随意扩大现有产业园区范围。以工业为主的产业园区应加快完成园区的循环化改造，鼓励推进低消耗、可循环、少排放的生态型工业区建设。</w:t>
                  </w:r>
                </w:p>
                <w:p w14:paraId="7A9D2CF3">
                  <w:pPr>
                    <w:adjustRightInd w:val="0"/>
                    <w:snapToGrid w:val="0"/>
                    <w:jc w:val="left"/>
                    <w:rPr>
                      <w:b w:val="0"/>
                      <w:bCs w:val="0"/>
                      <w:color w:val="auto"/>
                      <w:szCs w:val="21"/>
                      <w:highlight w:val="none"/>
                      <w:u w:val="none" w:color="auto"/>
                    </w:rPr>
                  </w:pPr>
                  <w:r>
                    <w:rPr>
                      <w:rFonts w:hint="eastAsia"/>
                      <w:b w:val="0"/>
                      <w:bCs w:val="0"/>
                      <w:color w:val="auto"/>
                      <w:szCs w:val="21"/>
                      <w:highlight w:val="none"/>
                      <w:u w:val="none" w:color="auto"/>
                    </w:rPr>
                    <w:t>7</w:t>
                  </w:r>
                  <w:r>
                    <w:rPr>
                      <w:rFonts w:hint="eastAsia"/>
                      <w:b w:val="0"/>
                      <w:bCs w:val="0"/>
                      <w:color w:val="auto"/>
                      <w:szCs w:val="21"/>
                      <w:highlight w:val="none"/>
                      <w:u w:val="none" w:color="auto"/>
                      <w:lang w:eastAsia="zh-CN"/>
                    </w:rPr>
                    <w:t>、</w:t>
                  </w:r>
                  <w:r>
                    <w:rPr>
                      <w:rFonts w:hint="eastAsia"/>
                      <w:b w:val="0"/>
                      <w:bCs w:val="0"/>
                      <w:color w:val="auto"/>
                      <w:szCs w:val="21"/>
                      <w:highlight w:val="none"/>
                      <w:u w:val="none" w:color="auto"/>
                    </w:rPr>
                    <w:t>区内不符合主体功能定位的的现有产业，实施搬迁或关闭。对已造成的污染或损害，应限期治理。</w:t>
                  </w:r>
                </w:p>
              </w:tc>
              <w:tc>
                <w:tcPr>
                  <w:tcW w:w="806" w:type="pct"/>
                  <w:noWrap w:val="0"/>
                  <w:vAlign w:val="center"/>
                </w:tcPr>
                <w:p w14:paraId="65B1145E">
                  <w:pPr>
                    <w:adjustRightInd w:val="0"/>
                    <w:snapToGrid w:val="0"/>
                    <w:jc w:val="center"/>
                    <w:rPr>
                      <w:rFonts w:hint="default" w:eastAsia="宋体"/>
                      <w:b w:val="0"/>
                      <w:bCs w:val="0"/>
                      <w:color w:val="auto"/>
                      <w:szCs w:val="21"/>
                      <w:highlight w:val="cyan"/>
                      <w:u w:val="none" w:color="auto"/>
                      <w:lang w:val="en-US" w:eastAsia="zh-CN"/>
                    </w:rPr>
                  </w:pPr>
                  <w:r>
                    <w:rPr>
                      <w:color w:val="auto"/>
                      <w:sz w:val="21"/>
                      <w:szCs w:val="21"/>
                      <w:highlight w:val="none"/>
                      <w:u w:val="single" w:color="auto"/>
                    </w:rPr>
                    <w:t>本</w:t>
                  </w:r>
                  <w:r>
                    <w:rPr>
                      <w:rFonts w:hint="eastAsia"/>
                      <w:color w:val="auto"/>
                      <w:sz w:val="21"/>
                      <w:szCs w:val="21"/>
                      <w:highlight w:val="none"/>
                      <w:u w:val="single" w:color="auto"/>
                    </w:rPr>
                    <w:t>项目占用林地与草地，项目已取得临时用地审批手续，服务期满后土地恢复为原状</w:t>
                  </w:r>
                  <w:r>
                    <w:rPr>
                      <w:rFonts w:hint="eastAsia"/>
                      <w:b w:val="0"/>
                      <w:bCs w:val="0"/>
                      <w:color w:val="auto"/>
                      <w:szCs w:val="21"/>
                      <w:highlight w:val="none"/>
                      <w:u w:val="single" w:color="auto"/>
                      <w:lang w:eastAsia="zh-CN"/>
                    </w:rPr>
                    <w:t>；</w:t>
                  </w:r>
                  <w:r>
                    <w:rPr>
                      <w:rFonts w:hint="default" w:ascii="Times New Roman" w:hAnsi="Times New Roman" w:eastAsia="宋体" w:cs="Times New Roman"/>
                      <w:i w:val="0"/>
                      <w:iCs w:val="0"/>
                      <w:color w:val="auto"/>
                      <w:sz w:val="21"/>
                      <w:szCs w:val="21"/>
                      <w:highlight w:val="none"/>
                      <w:u w:val="single" w:color="auto"/>
                      <w:lang w:val="en-US" w:eastAsia="zh-CN"/>
                    </w:rPr>
                    <w:t>本项目运营期无生产废水，生活污水排入防渗旱厕，定期清掏作农肥，</w:t>
                  </w:r>
                  <w:r>
                    <w:rPr>
                      <w:rFonts w:hint="eastAsia" w:ascii="Times New Roman" w:hAnsi="Times New Roman" w:eastAsia="宋体" w:cs="Times New Roman"/>
                      <w:i w:val="0"/>
                      <w:iCs w:val="0"/>
                      <w:color w:val="auto"/>
                      <w:sz w:val="21"/>
                      <w:szCs w:val="21"/>
                      <w:highlight w:val="none"/>
                      <w:u w:val="single" w:color="auto"/>
                      <w:lang w:val="en-US" w:eastAsia="zh-CN"/>
                    </w:rPr>
                    <w:t>不外排</w:t>
                  </w:r>
                  <w:r>
                    <w:rPr>
                      <w:rFonts w:hint="eastAsia" w:cs="Times New Roman"/>
                      <w:i w:val="0"/>
                      <w:iCs w:val="0"/>
                      <w:color w:val="auto"/>
                      <w:sz w:val="21"/>
                      <w:szCs w:val="21"/>
                      <w:highlight w:val="none"/>
                      <w:u w:val="single" w:color="auto"/>
                      <w:lang w:val="en-US" w:eastAsia="zh-CN"/>
                    </w:rPr>
                    <w:t>，不会导致水体污染；项目不属于沙化土地、崩塌、滑坡危险区和泥石流易发区。</w:t>
                  </w:r>
                </w:p>
              </w:tc>
              <w:tc>
                <w:tcPr>
                  <w:tcW w:w="458" w:type="pct"/>
                  <w:noWrap w:val="0"/>
                  <w:vAlign w:val="center"/>
                </w:tcPr>
                <w:p w14:paraId="0E011E2E">
                  <w:pPr>
                    <w:adjustRightInd w:val="0"/>
                    <w:snapToGrid w:val="0"/>
                    <w:jc w:val="center"/>
                    <w:rPr>
                      <w:rFonts w:hint="eastAsia" w:eastAsia="宋体"/>
                      <w:b w:val="0"/>
                      <w:bCs w:val="0"/>
                      <w:color w:val="auto"/>
                      <w:szCs w:val="21"/>
                      <w:highlight w:val="none"/>
                      <w:u w:val="none" w:color="auto"/>
                      <w:lang w:eastAsia="zh-CN"/>
                    </w:rPr>
                  </w:pPr>
                  <w:r>
                    <w:rPr>
                      <w:rFonts w:hint="eastAsia"/>
                      <w:b w:val="0"/>
                      <w:bCs w:val="0"/>
                      <w:color w:val="auto"/>
                      <w:szCs w:val="21"/>
                      <w:highlight w:val="none"/>
                      <w:u w:val="none" w:color="auto"/>
                      <w:lang w:eastAsia="zh-CN"/>
                    </w:rPr>
                    <w:t>符合</w:t>
                  </w:r>
                </w:p>
              </w:tc>
            </w:tr>
          </w:tbl>
          <w:p w14:paraId="040F0801">
            <w:pPr>
              <w:spacing w:line="360" w:lineRule="auto"/>
              <w:jc w:val="center"/>
              <w:rPr>
                <w:rFonts w:hint="default"/>
                <w:b w:val="0"/>
                <w:bCs w:val="0"/>
              </w:rPr>
            </w:pPr>
          </w:p>
          <w:p w14:paraId="729DA2F5">
            <w:pPr>
              <w:pStyle w:val="8"/>
              <w:spacing w:line="360" w:lineRule="auto"/>
              <w:ind w:firstLine="480" w:firstLineChars="200"/>
              <w:rPr>
                <w:rFonts w:hint="eastAsia"/>
                <w:b/>
                <w:bCs/>
                <w:sz w:val="24"/>
                <w:szCs w:val="24"/>
                <w:highlight w:val="cyan"/>
                <w:lang w:val="en-US" w:eastAsia="zh-CN"/>
              </w:rPr>
            </w:pPr>
            <w:r>
              <w:rPr>
                <w:rFonts w:hint="default" w:ascii="Times New Roman" w:hAnsi="Times New Roman" w:cs="Times New Roman"/>
                <w:i w:val="0"/>
                <w:iCs w:val="0"/>
                <w:color w:val="auto"/>
                <w:sz w:val="24"/>
                <w:szCs w:val="24"/>
                <w:highlight w:val="none"/>
                <w:u w:val="none" w:color="auto"/>
              </w:rPr>
              <w:t>综上，经过与生态环境分区管控进行对照后，项目不在生态保护红线内、未超出环境质量底线及资源利用上线、未列入环境准入负面清单内。</w:t>
            </w:r>
          </w:p>
          <w:p w14:paraId="0CC6D4E1">
            <w:pPr>
              <w:pStyle w:val="8"/>
              <w:spacing w:line="360" w:lineRule="auto"/>
              <w:ind w:firstLine="482" w:firstLineChars="200"/>
              <w:rPr>
                <w:b/>
                <w:bCs/>
                <w:color w:val="auto"/>
                <w:sz w:val="24"/>
                <w:szCs w:val="24"/>
                <w:highlight w:val="none"/>
              </w:rPr>
            </w:pPr>
            <w:r>
              <w:rPr>
                <w:rFonts w:hint="eastAsia"/>
                <w:b/>
                <w:bCs/>
                <w:color w:val="auto"/>
                <w:sz w:val="24"/>
                <w:szCs w:val="24"/>
                <w:highlight w:val="none"/>
                <w:lang w:val="en-US" w:eastAsia="zh-CN"/>
              </w:rPr>
              <w:t>3</w:t>
            </w:r>
            <w:r>
              <w:rPr>
                <w:b/>
                <w:bCs/>
                <w:color w:val="auto"/>
                <w:sz w:val="24"/>
                <w:szCs w:val="24"/>
                <w:highlight w:val="none"/>
              </w:rPr>
              <w:t>、选址合理性分析</w:t>
            </w:r>
          </w:p>
          <w:p w14:paraId="3ED33B62">
            <w:pPr>
              <w:pStyle w:val="8"/>
              <w:spacing w:line="360" w:lineRule="auto"/>
              <w:ind w:firstLine="480" w:firstLineChars="200"/>
              <w:jc w:val="both"/>
              <w:rPr>
                <w:color w:val="auto"/>
                <w:sz w:val="24"/>
                <w:szCs w:val="24"/>
                <w:highlight w:val="none"/>
                <w:u w:val="single"/>
              </w:rPr>
            </w:pPr>
            <w:r>
              <w:rPr>
                <w:color w:val="auto"/>
                <w:sz w:val="24"/>
                <w:szCs w:val="24"/>
                <w:highlight w:val="none"/>
                <w:u w:val="single"/>
              </w:rPr>
              <w:t>本项目位于</w:t>
            </w:r>
            <w:r>
              <w:rPr>
                <w:rFonts w:hint="eastAsia"/>
                <w:color w:val="auto"/>
                <w:sz w:val="24"/>
                <w:szCs w:val="24"/>
                <w:highlight w:val="none"/>
                <w:u w:val="single"/>
              </w:rPr>
              <w:t>吉林省</w:t>
            </w:r>
            <w:r>
              <w:rPr>
                <w:rFonts w:hint="eastAsia"/>
                <w:color w:val="auto"/>
                <w:sz w:val="24"/>
                <w:szCs w:val="24"/>
                <w:highlight w:val="none"/>
                <w:u w:val="single"/>
                <w:lang w:eastAsia="zh-CN"/>
              </w:rPr>
              <w:t>白山市临江市桦树镇西大川村</w:t>
            </w:r>
            <w:r>
              <w:rPr>
                <w:rFonts w:hint="eastAsia"/>
                <w:color w:val="auto"/>
                <w:sz w:val="24"/>
                <w:szCs w:val="24"/>
                <w:highlight w:val="none"/>
                <w:u w:val="single"/>
                <w:lang w:val="en-US" w:eastAsia="zh-CN"/>
              </w:rPr>
              <w:t>，用地</w:t>
            </w:r>
            <w:r>
              <w:rPr>
                <w:color w:val="auto"/>
                <w:sz w:val="24"/>
                <w:szCs w:val="24"/>
                <w:highlight w:val="none"/>
                <w:u w:val="single"/>
              </w:rPr>
              <w:t>性质为</w:t>
            </w:r>
            <w:r>
              <w:rPr>
                <w:rFonts w:hint="eastAsia"/>
                <w:color w:val="auto"/>
                <w:sz w:val="24"/>
                <w:szCs w:val="24"/>
                <w:highlight w:val="none"/>
                <w:u w:val="single"/>
                <w:lang w:val="en-US" w:eastAsia="zh-CN"/>
              </w:rPr>
              <w:t>临时</w:t>
            </w:r>
            <w:r>
              <w:rPr>
                <w:rFonts w:hint="eastAsia"/>
                <w:color w:val="auto"/>
                <w:sz w:val="24"/>
                <w:szCs w:val="24"/>
                <w:highlight w:val="none"/>
                <w:u w:val="single"/>
              </w:rPr>
              <w:t>用地，</w:t>
            </w:r>
            <w:r>
              <w:rPr>
                <w:rFonts w:hint="default" w:ascii="Times New Roman" w:hAnsi="Times New Roman" w:cs="Times New Roman"/>
                <w:color w:val="auto"/>
                <w:sz w:val="24"/>
                <w:szCs w:val="24"/>
                <w:highlight w:val="none"/>
                <w:u w:val="single"/>
              </w:rPr>
              <w:t>项目厂界</w:t>
            </w:r>
            <w:r>
              <w:rPr>
                <w:rFonts w:hint="default" w:ascii="Times New Roman" w:hAnsi="Times New Roman" w:cs="Times New Roman"/>
                <w:color w:val="auto"/>
                <w:sz w:val="24"/>
                <w:szCs w:val="24"/>
                <w:highlight w:val="none"/>
                <w:u w:val="single"/>
                <w:lang w:val="en-US" w:eastAsia="zh-CN"/>
              </w:rPr>
              <w:t>东北侧为</w:t>
            </w:r>
            <w:r>
              <w:rPr>
                <w:rFonts w:hint="default" w:ascii="Times New Roman" w:hAnsi="Times New Roman" w:cs="Times New Roman"/>
                <w:color w:val="auto"/>
                <w:sz w:val="24"/>
                <w:szCs w:val="32"/>
                <w:highlight w:val="none"/>
                <w:u w:val="single"/>
                <w:lang w:val="en-US" w:eastAsia="zh-CN"/>
              </w:rPr>
              <w:t>临江市长白山生态产业园</w:t>
            </w:r>
            <w:r>
              <w:rPr>
                <w:rFonts w:hint="default" w:ascii="Times New Roman" w:hAnsi="Times New Roman" w:cs="Times New Roman"/>
                <w:color w:val="auto"/>
                <w:sz w:val="24"/>
                <w:szCs w:val="24"/>
                <w:highlight w:val="none"/>
                <w:u w:val="single"/>
                <w:lang w:val="en-US" w:eastAsia="zh-CN"/>
              </w:rPr>
              <w:t>，</w:t>
            </w:r>
            <w:r>
              <w:rPr>
                <w:rFonts w:hint="default" w:ascii="Times New Roman" w:hAnsi="Times New Roman" w:cs="Times New Roman"/>
                <w:color w:val="auto"/>
                <w:sz w:val="24"/>
                <w:szCs w:val="32"/>
                <w:highlight w:val="none"/>
                <w:u w:val="single"/>
                <w:lang w:val="en-US" w:eastAsia="zh-CN"/>
              </w:rPr>
              <w:t>东南侧</w:t>
            </w:r>
            <w:r>
              <w:rPr>
                <w:rFonts w:hint="default" w:ascii="Times New Roman" w:hAnsi="Times New Roman" w:cs="Times New Roman"/>
                <w:color w:val="auto"/>
                <w:sz w:val="24"/>
                <w:szCs w:val="24"/>
                <w:highlight w:val="none"/>
                <w:u w:val="single"/>
                <w:lang w:val="en-US" w:eastAsia="zh-CN"/>
              </w:rPr>
              <w:t>为</w:t>
            </w:r>
            <w:r>
              <w:rPr>
                <w:rFonts w:hint="default" w:ascii="Times New Roman" w:hAnsi="Times New Roman" w:cs="Times New Roman"/>
                <w:color w:val="auto"/>
                <w:sz w:val="24"/>
                <w:szCs w:val="32"/>
                <w:highlight w:val="none"/>
                <w:u w:val="single"/>
                <w:lang w:val="en-US" w:eastAsia="zh-CN"/>
              </w:rPr>
              <w:t>砂石路，隔砂石路为中交路桥建设有限公司国道漫临线（G612）分水（县界）至临江段工程MLSG01标段预制梁场项目预留场地</w:t>
            </w:r>
            <w:r>
              <w:rPr>
                <w:rFonts w:hint="default" w:ascii="Times New Roman" w:hAnsi="Times New Roman" w:cs="Times New Roman"/>
                <w:color w:val="auto"/>
                <w:sz w:val="24"/>
                <w:szCs w:val="24"/>
                <w:highlight w:val="none"/>
                <w:u w:val="single"/>
                <w:lang w:val="en-US" w:eastAsia="zh-CN"/>
              </w:rPr>
              <w:t>，</w:t>
            </w:r>
            <w:r>
              <w:rPr>
                <w:rFonts w:hint="eastAsia"/>
                <w:color w:val="auto"/>
                <w:sz w:val="24"/>
                <w:szCs w:val="24"/>
                <w:highlight w:val="none"/>
                <w:u w:val="single"/>
                <w:lang w:val="en-US" w:eastAsia="zh-CN"/>
              </w:rPr>
              <w:t>西北侧和西南侧为林地。</w:t>
            </w:r>
            <w:r>
              <w:rPr>
                <w:rFonts w:hint="eastAsia"/>
                <w:color w:val="auto"/>
                <w:sz w:val="24"/>
                <w:szCs w:val="24"/>
                <w:highlight w:val="none"/>
                <w:u w:val="single"/>
                <w:shd w:val="clear"/>
                <w:lang w:val="en-US" w:eastAsia="zh-CN"/>
              </w:rPr>
              <w:t>距离本项目最近的敏感点为项目东侧约540m的西大川村</w:t>
            </w:r>
            <w:r>
              <w:rPr>
                <w:rFonts w:hint="eastAsia"/>
                <w:color w:val="auto"/>
                <w:sz w:val="24"/>
                <w:szCs w:val="24"/>
                <w:highlight w:val="none"/>
                <w:u w:val="single"/>
                <w:shd w:val="clear"/>
              </w:rPr>
              <w:t>居民</w:t>
            </w:r>
            <w:r>
              <w:rPr>
                <w:rFonts w:hint="eastAsia"/>
                <w:color w:val="auto"/>
                <w:sz w:val="24"/>
                <w:szCs w:val="24"/>
                <w:highlight w:val="none"/>
                <w:u w:val="single"/>
              </w:rPr>
              <w:t>。</w:t>
            </w:r>
          </w:p>
          <w:p w14:paraId="0B5D70FA">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cs="Times New Roman"/>
                <w:color w:val="auto"/>
                <w:sz w:val="24"/>
                <w:highlight w:val="none"/>
                <w:u w:val="single"/>
                <w:lang w:val="en-US" w:eastAsia="zh-CN"/>
              </w:rPr>
            </w:pPr>
            <w:r>
              <w:rPr>
                <w:color w:val="auto"/>
                <w:sz w:val="24"/>
                <w:szCs w:val="24"/>
                <w:highlight w:val="none"/>
                <w:u w:val="single"/>
              </w:rPr>
              <w:t>本项目所在区域既不是饮用水源保护区、自然保护区等经规划确定或县级以上政府批准的需特殊保护地区，也不是严重缺水区、重要湿地等生态敏感与脆弱区，同时也不是文教区、疗养地及具历史、文化、科学、民族意义的保护区等社会关注区。</w:t>
            </w:r>
            <w:r>
              <w:rPr>
                <w:rFonts w:hint="eastAsia"/>
                <w:color w:val="auto"/>
                <w:sz w:val="24"/>
                <w:szCs w:val="24"/>
                <w:highlight w:val="none"/>
                <w:u w:val="single"/>
              </w:rPr>
              <w:t>本项目用地为临时用地，依据《建设项目环境影响评价分类管理名录》中环境敏感区界定要求，项目选址不属于环境敏感区。</w:t>
            </w:r>
            <w:r>
              <w:rPr>
                <w:rFonts w:hint="default" w:ascii="Times New Roman" w:hAnsi="Times New Roman" w:cs="Times New Roman"/>
                <w:color w:val="auto"/>
                <w:sz w:val="24"/>
                <w:highlight w:val="none"/>
                <w:u w:val="single"/>
              </w:rPr>
              <w:t>根据《吉林省主体功能区》规划中的相关内容，本项目不属于自然保护区、世界文化遗产、森林公园、湿地公园、地质公园、风景名胜区等禁止开发区域</w:t>
            </w:r>
            <w:r>
              <w:rPr>
                <w:rFonts w:hint="eastAsia" w:cs="Times New Roman"/>
                <w:color w:val="auto"/>
                <w:sz w:val="24"/>
                <w:highlight w:val="none"/>
                <w:u w:val="single"/>
                <w:lang w:eastAsia="zh-CN"/>
              </w:rPr>
              <w:t>，项目不涉及生态保护红线区域</w:t>
            </w:r>
            <w:r>
              <w:rPr>
                <w:rFonts w:hint="default" w:ascii="Times New Roman" w:hAnsi="Times New Roman" w:cs="Times New Roman"/>
                <w:color w:val="auto"/>
                <w:sz w:val="24"/>
                <w:highlight w:val="none"/>
                <w:u w:val="single"/>
              </w:rPr>
              <w:t>。项目周边无文物古迹、珍稀动植物等生态保护目标，区域环境结构简单</w:t>
            </w:r>
            <w:r>
              <w:rPr>
                <w:rFonts w:hint="default" w:ascii="Times New Roman" w:hAnsi="Times New Roman" w:cs="Times New Roman"/>
                <w:color w:val="auto"/>
                <w:sz w:val="24"/>
                <w:highlight w:val="none"/>
                <w:u w:val="single"/>
                <w:lang w:val="en-US" w:eastAsia="zh-CN"/>
              </w:rPr>
              <w:t>，周边基础设施良好，路网已建成，交通便利，电已接通，满足项目营运的需要。项目周边环境结构简单，所在地环境空气质量现状符合功能区区划要求，地表水水质现状符合水环境功能区划要求，区域</w:t>
            </w:r>
            <w:r>
              <w:rPr>
                <w:rFonts w:hint="eastAsia" w:cs="Times New Roman"/>
                <w:color w:val="auto"/>
                <w:sz w:val="24"/>
                <w:highlight w:val="none"/>
                <w:u w:val="single"/>
                <w:lang w:val="en-US" w:eastAsia="zh-CN"/>
              </w:rPr>
              <w:t>声环境</w:t>
            </w:r>
            <w:r>
              <w:rPr>
                <w:rFonts w:hint="default" w:ascii="Times New Roman" w:hAnsi="Times New Roman" w:cs="Times New Roman"/>
                <w:color w:val="auto"/>
                <w:sz w:val="24"/>
                <w:highlight w:val="none"/>
                <w:u w:val="single"/>
                <w:lang w:val="en-US" w:eastAsia="zh-CN"/>
              </w:rPr>
              <w:t>现状符合声环境功能区划要求，项目区环境容量满足项目建设的需要。</w:t>
            </w:r>
          </w:p>
          <w:p w14:paraId="60119BA6">
            <w:pPr>
              <w:autoSpaceDE w:val="0"/>
              <w:autoSpaceDN w:val="0"/>
              <w:adjustRightInd w:val="0"/>
              <w:snapToGrid w:val="0"/>
              <w:spacing w:line="360" w:lineRule="auto"/>
              <w:ind w:firstLine="480" w:firstLineChars="200"/>
              <w:jc w:val="both"/>
              <w:rPr>
                <w:rFonts w:hint="default" w:ascii="Times New Roman" w:hAnsi="Times New Roman" w:cs="Times New Roman"/>
                <w:color w:val="auto"/>
                <w:sz w:val="24"/>
                <w:highlight w:val="none"/>
                <w:u w:val="single"/>
                <w:lang w:val="en-US" w:eastAsia="zh-CN"/>
              </w:rPr>
            </w:pPr>
            <w:r>
              <w:rPr>
                <w:rFonts w:hint="eastAsia" w:cs="Times New Roman"/>
                <w:color w:val="auto"/>
                <w:sz w:val="24"/>
                <w:highlight w:val="none"/>
                <w:u w:val="single"/>
                <w:lang w:val="en-US" w:eastAsia="zh-CN"/>
              </w:rPr>
              <w:t>综上，</w:t>
            </w:r>
            <w:r>
              <w:rPr>
                <w:rFonts w:hint="default" w:ascii="Times New Roman" w:hAnsi="Times New Roman" w:cs="Times New Roman"/>
                <w:color w:val="auto"/>
                <w:sz w:val="24"/>
                <w:highlight w:val="none"/>
                <w:u w:val="single"/>
                <w:lang w:val="en-US" w:eastAsia="zh-CN"/>
              </w:rPr>
              <w:t>分析认为，项目对外环境无明显制约因素，因此本项目选址合理。</w:t>
            </w:r>
          </w:p>
          <w:p w14:paraId="6ABD7AF8">
            <w:pPr>
              <w:pStyle w:val="8"/>
              <w:spacing w:line="360" w:lineRule="auto"/>
              <w:ind w:firstLine="482" w:firstLineChars="200"/>
              <w:rPr>
                <w:b/>
                <w:bCs/>
                <w:color w:val="auto"/>
                <w:sz w:val="24"/>
                <w:szCs w:val="24"/>
                <w:highlight w:val="none"/>
              </w:rPr>
            </w:pPr>
            <w:r>
              <w:rPr>
                <w:rFonts w:hint="eastAsia"/>
                <w:b/>
                <w:bCs/>
                <w:color w:val="auto"/>
                <w:sz w:val="24"/>
                <w:szCs w:val="24"/>
                <w:highlight w:val="none"/>
                <w:lang w:val="en-US" w:eastAsia="zh-CN"/>
              </w:rPr>
              <w:t>4</w:t>
            </w:r>
            <w:r>
              <w:rPr>
                <w:b/>
                <w:bCs/>
                <w:color w:val="auto"/>
                <w:sz w:val="24"/>
                <w:szCs w:val="24"/>
                <w:highlight w:val="none"/>
              </w:rPr>
              <w:t>、</w:t>
            </w:r>
            <w:r>
              <w:rPr>
                <w:rFonts w:hint="eastAsia"/>
                <w:b/>
                <w:bCs/>
                <w:color w:val="auto"/>
                <w:sz w:val="24"/>
                <w:szCs w:val="24"/>
                <w:highlight w:val="none"/>
                <w:lang w:eastAsia="zh-CN"/>
              </w:rPr>
              <w:t>其他</w:t>
            </w:r>
            <w:r>
              <w:rPr>
                <w:b/>
                <w:bCs/>
                <w:color w:val="auto"/>
                <w:sz w:val="24"/>
                <w:szCs w:val="24"/>
                <w:highlight w:val="none"/>
              </w:rPr>
              <w:t>符合性分析</w:t>
            </w:r>
          </w:p>
          <w:p w14:paraId="3B95B880">
            <w:pPr>
              <w:pStyle w:val="8"/>
              <w:spacing w:line="360" w:lineRule="auto"/>
              <w:ind w:firstLine="482" w:firstLineChars="200"/>
              <w:rPr>
                <w:rFonts w:hint="default" w:ascii="Times New Roman" w:hAnsi="Times New Roman" w:eastAsia="宋体" w:cs="黑体"/>
                <w:b/>
                <w:bCs/>
                <w:color w:val="auto"/>
                <w:sz w:val="24"/>
                <w:szCs w:val="24"/>
                <w:highlight w:val="none"/>
                <w:u w:val="single" w:color="auto"/>
                <w:lang w:val="en-US" w:eastAsia="zh-CN"/>
              </w:rPr>
            </w:pPr>
            <w:r>
              <w:rPr>
                <w:rFonts w:hint="eastAsia" w:cs="黑体"/>
                <w:b/>
                <w:bCs/>
                <w:color w:val="auto"/>
                <w:sz w:val="24"/>
                <w:szCs w:val="24"/>
                <w:highlight w:val="none"/>
                <w:u w:val="single" w:color="auto"/>
                <w:lang w:val="en-US" w:eastAsia="zh-CN"/>
              </w:rPr>
              <w:t>4.1与《空气质量持续改善行动计划》相符性分析</w:t>
            </w:r>
          </w:p>
          <w:p w14:paraId="37A3B116">
            <w:pPr>
              <w:pStyle w:val="8"/>
              <w:spacing w:line="360" w:lineRule="auto"/>
              <w:ind w:firstLine="480" w:firstLineChars="200"/>
              <w:rPr>
                <w:rFonts w:hint="eastAsia" w:ascii="Times New Roman" w:hAnsi="Times New Roman" w:eastAsia="宋体" w:cs="黑体"/>
                <w:b w:val="0"/>
                <w:bCs w:val="0"/>
                <w:color w:val="auto"/>
                <w:sz w:val="24"/>
                <w:szCs w:val="24"/>
                <w:highlight w:val="none"/>
                <w:u w:val="single" w:color="auto"/>
                <w:lang w:val="en-US" w:eastAsia="zh-CN"/>
              </w:rPr>
            </w:pPr>
            <w:r>
              <w:rPr>
                <w:rFonts w:hint="eastAsia" w:cs="黑体"/>
                <w:b w:val="0"/>
                <w:bCs w:val="0"/>
                <w:color w:val="auto"/>
                <w:sz w:val="24"/>
                <w:szCs w:val="24"/>
                <w:highlight w:val="none"/>
                <w:u w:val="single" w:color="auto"/>
                <w:lang w:val="en-US" w:eastAsia="zh-CN"/>
              </w:rPr>
              <w:t>项目与《空气质量持续改善行动计划》（国发〔2023〕24号）相符性分析如下。</w:t>
            </w:r>
          </w:p>
          <w:p w14:paraId="694971B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i w:val="0"/>
                <w:iCs w:val="0"/>
                <w:caps w:val="0"/>
                <w:color w:val="auto"/>
                <w:sz w:val="24"/>
                <w:szCs w:val="24"/>
                <w:highlight w:val="none"/>
                <w:u w:val="single" w:color="auto"/>
                <w:lang w:val="en-US" w:eastAsia="zh-CN"/>
              </w:rPr>
            </w:pPr>
            <w:r>
              <w:rPr>
                <w:rFonts w:hint="eastAsia" w:ascii="Times New Roman" w:hAnsi="Times New Roman" w:eastAsia="宋体" w:cs="Times New Roman"/>
                <w:b/>
                <w:i w:val="0"/>
                <w:iCs w:val="0"/>
                <w:caps w:val="0"/>
                <w:color w:val="auto"/>
                <w:sz w:val="24"/>
                <w:szCs w:val="24"/>
                <w:highlight w:val="none"/>
                <w:u w:val="single" w:color="auto"/>
                <w:lang w:val="en-US" w:eastAsia="zh-CN"/>
              </w:rPr>
              <w:t>表1-</w:t>
            </w:r>
            <w:r>
              <w:rPr>
                <w:rFonts w:hint="eastAsia" w:cs="Times New Roman"/>
                <w:b/>
                <w:i w:val="0"/>
                <w:iCs w:val="0"/>
                <w:caps w:val="0"/>
                <w:color w:val="auto"/>
                <w:sz w:val="24"/>
                <w:szCs w:val="24"/>
                <w:highlight w:val="none"/>
                <w:u w:val="single" w:color="auto"/>
                <w:lang w:val="en-US" w:eastAsia="zh-CN"/>
              </w:rPr>
              <w:t>5</w:t>
            </w:r>
            <w:r>
              <w:rPr>
                <w:rFonts w:hint="eastAsia" w:ascii="Times New Roman" w:hAnsi="Times New Roman" w:eastAsia="宋体" w:cs="Times New Roman"/>
                <w:b/>
                <w:i w:val="0"/>
                <w:iCs w:val="0"/>
                <w:caps w:val="0"/>
                <w:color w:val="auto"/>
                <w:sz w:val="24"/>
                <w:szCs w:val="24"/>
                <w:highlight w:val="none"/>
                <w:u w:val="single" w:color="auto"/>
                <w:lang w:val="en-US" w:eastAsia="zh-CN"/>
              </w:rPr>
              <w:t xml:space="preserve">  与《空气质量持续改善行动计划》符合性分析</w:t>
            </w:r>
          </w:p>
          <w:tbl>
            <w:tblPr>
              <w:tblStyle w:val="25"/>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668"/>
              <w:gridCol w:w="2997"/>
            </w:tblGrid>
            <w:tr w14:paraId="5465A1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2"/>
                  <w:noWrap w:val="0"/>
                  <w:vAlign w:val="center"/>
                </w:tcPr>
                <w:p w14:paraId="6A6DB09D">
                  <w:pPr>
                    <w:widowControl/>
                    <w:snapToGrid w:val="0"/>
                    <w:jc w:val="center"/>
                    <w:rPr>
                      <w:rFonts w:hint="eastAsia" w:ascii="Times New Roman" w:hAnsi="Times New Roman" w:eastAsia="宋体" w:cs="Times New Roman"/>
                      <w:color w:val="auto"/>
                      <w:szCs w:val="21"/>
                      <w:highlight w:val="none"/>
                      <w:lang w:eastAsia="zh-CN"/>
                    </w:rPr>
                  </w:pPr>
                  <w:r>
                    <w:rPr>
                      <w:rFonts w:hint="default" w:ascii="Times New Roman" w:hAnsi="Times New Roman" w:eastAsia="宋体" w:cs="Times New Roman"/>
                      <w:b/>
                      <w:bCs/>
                      <w:color w:val="auto"/>
                      <w:szCs w:val="21"/>
                      <w:highlight w:val="none"/>
                    </w:rPr>
                    <w:t>（国发〔2023〕24号）</w:t>
                  </w:r>
                  <w:r>
                    <w:rPr>
                      <w:rFonts w:hint="eastAsia" w:ascii="Times New Roman" w:hAnsi="Times New Roman" w:eastAsia="宋体" w:cs="Times New Roman"/>
                      <w:b/>
                      <w:bCs/>
                      <w:color w:val="auto"/>
                      <w:szCs w:val="21"/>
                      <w:highlight w:val="none"/>
                      <w:lang w:eastAsia="zh-CN"/>
                    </w:rPr>
                    <w:t>摘录</w:t>
                  </w:r>
                </w:p>
              </w:tc>
            </w:tr>
            <w:tr w14:paraId="379F05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3045" w:type="pct"/>
                  <w:noWrap w:val="0"/>
                  <w:vAlign w:val="center"/>
                </w:tcPr>
                <w:p w14:paraId="7387EEE2">
                  <w:pPr>
                    <w:widowControl/>
                    <w:snapToGrid w:val="0"/>
                    <w:jc w:val="center"/>
                    <w:rPr>
                      <w:rFonts w:hint="default" w:ascii="Times New Roman" w:hAnsi="Times New Roman" w:eastAsia="宋体" w:cs="Times New Roman"/>
                      <w:b/>
                      <w:bCs/>
                      <w:color w:val="auto"/>
                      <w:szCs w:val="21"/>
                      <w:highlight w:val="none"/>
                      <w:u w:val="single"/>
                      <w:shd w:val="clear" w:color="auto" w:fill="FFFFFF"/>
                    </w:rPr>
                  </w:pPr>
                  <w:r>
                    <w:rPr>
                      <w:rFonts w:hint="default" w:ascii="Times New Roman" w:hAnsi="Times New Roman" w:eastAsia="宋体" w:cs="Times New Roman"/>
                      <w:b/>
                      <w:bCs/>
                      <w:color w:val="auto"/>
                      <w:szCs w:val="21"/>
                      <w:highlight w:val="none"/>
                      <w:u w:val="single"/>
                      <w:shd w:val="clear" w:color="auto" w:fill="FFFFFF"/>
                    </w:rPr>
                    <w:t>产业结构准入管控</w:t>
                  </w:r>
                </w:p>
                <w:p w14:paraId="1DE7B0A9">
                  <w:pPr>
                    <w:widowControl/>
                    <w:snapToGrid w:val="0"/>
                    <w:jc w:val="left"/>
                    <w:rPr>
                      <w:rFonts w:hint="default" w:ascii="Times New Roman" w:hAnsi="Times New Roman" w:eastAsia="宋体" w:cs="Times New Roman"/>
                      <w:color w:val="auto"/>
                      <w:szCs w:val="21"/>
                      <w:highlight w:val="none"/>
                      <w:u w:val="single"/>
                      <w:shd w:val="clear" w:color="auto" w:fill="FFFFFF"/>
                    </w:rPr>
                  </w:pPr>
                  <w:r>
                    <w:rPr>
                      <w:rFonts w:hint="default" w:ascii="Times New Roman" w:hAnsi="Times New Roman" w:eastAsia="宋体" w:cs="Times New Roman"/>
                      <w:color w:val="auto"/>
                      <w:szCs w:val="21"/>
                      <w:highlight w:val="none"/>
                      <w:u w:val="single"/>
                      <w:shd w:val="clear" w:color="auto" w:fill="FFFFFF"/>
                    </w:rPr>
                    <w:t>（一、持续优化产业结构</w:t>
                  </w:r>
                  <w:r>
                    <w:rPr>
                      <w:rFonts w:hint="eastAsia" w:ascii="Times New Roman" w:hAnsi="Times New Roman" w:eastAsia="宋体" w:cs="Times New Roman"/>
                      <w:color w:val="auto"/>
                      <w:szCs w:val="21"/>
                      <w:highlight w:val="none"/>
                      <w:u w:val="single"/>
                      <w:shd w:val="clear" w:color="auto" w:fill="FFFFFF"/>
                      <w:lang w:val="en-US" w:eastAsia="zh-CN"/>
                    </w:rPr>
                    <w:t>-</w:t>
                  </w:r>
                  <w:r>
                    <w:rPr>
                      <w:rFonts w:hint="default" w:ascii="Times New Roman" w:hAnsi="Times New Roman" w:eastAsia="宋体" w:cs="Times New Roman"/>
                      <w:color w:val="auto"/>
                      <w:szCs w:val="21"/>
                      <w:highlight w:val="none"/>
                      <w:u w:val="single"/>
                      <w:shd w:val="clear" w:color="auto" w:fill="FFFFFF"/>
                    </w:rPr>
                    <w:t>坚决遏制高耗能高排放低水平项目盲目上马）</w:t>
                  </w:r>
                </w:p>
                <w:p w14:paraId="1C757876">
                  <w:pPr>
                    <w:widowControl/>
                    <w:snapToGrid w:val="0"/>
                    <w:jc w:val="left"/>
                    <w:rPr>
                      <w:rFonts w:hint="default" w:ascii="Times New Roman" w:hAnsi="Times New Roman" w:eastAsia="宋体" w:cs="Times New Roman"/>
                      <w:color w:val="auto"/>
                      <w:szCs w:val="21"/>
                      <w:highlight w:val="none"/>
                      <w:u w:val="single"/>
                      <w:shd w:val="clear" w:color="auto" w:fill="FFFFFF"/>
                    </w:rPr>
                  </w:pPr>
                  <w:r>
                    <w:rPr>
                      <w:rFonts w:hint="default" w:ascii="Times New Roman" w:hAnsi="Times New Roman" w:eastAsia="宋体" w:cs="Times New Roman"/>
                      <w:color w:val="auto"/>
                      <w:szCs w:val="21"/>
                      <w:highlight w:val="none"/>
                      <w:u w:val="single"/>
                      <w:shd w:val="clear" w:color="auto" w:fill="FFFFFF"/>
                    </w:rPr>
                    <w:t>严格执行产业政策，严禁新增落后、过剩产能，严控高耗能高排放低水平项目建设，推动产业绿色转型。</w:t>
                  </w:r>
                </w:p>
              </w:tc>
              <w:tc>
                <w:tcPr>
                  <w:tcW w:w="1954" w:type="pct"/>
                  <w:noWrap w:val="0"/>
                  <w:vAlign w:val="center"/>
                </w:tcPr>
                <w:p w14:paraId="2E81C760">
                  <w:pPr>
                    <w:widowControl/>
                    <w:snapToGrid w:val="0"/>
                    <w:jc w:val="both"/>
                    <w:rPr>
                      <w:rFonts w:hint="default" w:ascii="Times New Roman" w:hAnsi="Times New Roman" w:eastAsia="宋体" w:cs="Times New Roman"/>
                      <w:color w:val="auto"/>
                      <w:szCs w:val="21"/>
                      <w:highlight w:val="none"/>
                    </w:rPr>
                  </w:pPr>
                  <w:r>
                    <w:rPr>
                      <w:rFonts w:hint="default" w:ascii="Times New Roman" w:hAnsi="Times New Roman" w:eastAsia="宋体" w:cs="Times New Roman"/>
                      <w:b w:val="0"/>
                      <w:bCs w:val="0"/>
                      <w:color w:val="auto"/>
                      <w:sz w:val="21"/>
                      <w:szCs w:val="21"/>
                      <w:highlight w:val="none"/>
                      <w:u w:val="single" w:color="auto"/>
                      <w:lang w:eastAsia="zh-CN"/>
                    </w:rPr>
                    <w:t>本项目不属于</w:t>
                  </w:r>
                  <w:r>
                    <w:rPr>
                      <w:rFonts w:hint="eastAsia" w:ascii="Times New Roman" w:eastAsia="宋体" w:cs="Times New Roman"/>
                      <w:b w:val="0"/>
                      <w:bCs w:val="0"/>
                      <w:color w:val="auto"/>
                      <w:sz w:val="21"/>
                      <w:szCs w:val="21"/>
                      <w:highlight w:val="none"/>
                      <w:u w:val="single" w:color="auto"/>
                      <w:lang w:val="en-US" w:eastAsia="zh-CN"/>
                    </w:rPr>
                    <w:t>现行《产业结构调整指导目录》中</w:t>
                  </w:r>
                  <w:r>
                    <w:rPr>
                      <w:rFonts w:hint="default" w:ascii="Times New Roman" w:hAnsi="Times New Roman" w:eastAsia="宋体" w:cs="Times New Roman"/>
                      <w:b w:val="0"/>
                      <w:bCs w:val="0"/>
                      <w:color w:val="auto"/>
                      <w:sz w:val="21"/>
                      <w:szCs w:val="21"/>
                      <w:highlight w:val="none"/>
                      <w:u w:val="single" w:color="auto"/>
                      <w:lang w:eastAsia="zh-CN"/>
                    </w:rPr>
                    <w:t>“鼓励类”、“限制类”和“淘汰类”范围内，</w:t>
                  </w:r>
                  <w:r>
                    <w:rPr>
                      <w:rFonts w:hint="eastAsia" w:ascii="Times New Roman" w:eastAsia="宋体" w:cs="Times New Roman"/>
                      <w:b w:val="0"/>
                      <w:bCs w:val="0"/>
                      <w:color w:val="auto"/>
                      <w:sz w:val="21"/>
                      <w:szCs w:val="21"/>
                      <w:highlight w:val="none"/>
                      <w:u w:val="single" w:color="auto"/>
                      <w:lang w:val="en-US" w:eastAsia="zh-CN"/>
                    </w:rPr>
                    <w:t>属于</w:t>
                  </w:r>
                  <w:r>
                    <w:rPr>
                      <w:rFonts w:hint="default" w:ascii="Times New Roman" w:hAnsi="Times New Roman" w:eastAsia="宋体" w:cs="Times New Roman"/>
                      <w:b w:val="0"/>
                      <w:bCs w:val="0"/>
                      <w:color w:val="auto"/>
                      <w:sz w:val="21"/>
                      <w:szCs w:val="21"/>
                      <w:highlight w:val="none"/>
                      <w:u w:val="single" w:color="auto"/>
                      <w:lang w:eastAsia="zh-CN"/>
                    </w:rPr>
                    <w:t>允许类</w:t>
                  </w:r>
                  <w:r>
                    <w:rPr>
                      <w:rFonts w:hint="eastAsia" w:ascii="Times New Roman" w:eastAsia="宋体" w:cs="Times New Roman"/>
                      <w:b w:val="0"/>
                      <w:bCs w:val="0"/>
                      <w:color w:val="auto"/>
                      <w:sz w:val="21"/>
                      <w:szCs w:val="21"/>
                      <w:highlight w:val="none"/>
                      <w:u w:val="single" w:color="auto"/>
                      <w:lang w:eastAsia="zh-CN"/>
                    </w:rPr>
                    <w:t>建设项目，不属于高耗能高排放低水平项目范畴</w:t>
                  </w:r>
                </w:p>
              </w:tc>
            </w:tr>
            <w:tr w14:paraId="5852CA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3045" w:type="pct"/>
                  <w:noWrap w:val="0"/>
                  <w:vAlign w:val="center"/>
                </w:tcPr>
                <w:p w14:paraId="01226AD8">
                  <w:pPr>
                    <w:widowControl/>
                    <w:snapToGrid w:val="0"/>
                    <w:jc w:val="center"/>
                    <w:rPr>
                      <w:rFonts w:hint="default" w:ascii="Times New Roman" w:hAnsi="Times New Roman" w:eastAsia="宋体" w:cs="Times New Roman"/>
                      <w:b/>
                      <w:bCs/>
                      <w:color w:val="auto"/>
                      <w:szCs w:val="21"/>
                      <w:highlight w:val="none"/>
                      <w:u w:val="single"/>
                      <w:shd w:val="clear" w:color="auto" w:fill="FFFFFF"/>
                    </w:rPr>
                  </w:pPr>
                  <w:r>
                    <w:rPr>
                      <w:rFonts w:hint="default" w:ascii="Times New Roman" w:hAnsi="Times New Roman" w:eastAsia="宋体" w:cs="Times New Roman"/>
                      <w:b/>
                      <w:bCs/>
                      <w:color w:val="auto"/>
                      <w:szCs w:val="21"/>
                      <w:highlight w:val="none"/>
                      <w:u w:val="single"/>
                      <w:shd w:val="clear" w:color="auto" w:fill="FFFFFF"/>
                    </w:rPr>
                    <w:t>工业无组织粉尘深度治理</w:t>
                  </w:r>
                </w:p>
                <w:p w14:paraId="2E677CC7">
                  <w:pPr>
                    <w:widowControl/>
                    <w:snapToGrid w:val="0"/>
                    <w:jc w:val="left"/>
                    <w:rPr>
                      <w:rFonts w:hint="default" w:ascii="Times New Roman" w:hAnsi="Times New Roman" w:eastAsia="宋体" w:cs="Times New Roman"/>
                      <w:color w:val="auto"/>
                      <w:szCs w:val="21"/>
                      <w:highlight w:val="none"/>
                      <w:u w:val="single"/>
                      <w:shd w:val="clear" w:color="auto" w:fill="FFFFFF"/>
                    </w:rPr>
                  </w:pPr>
                  <w:r>
                    <w:rPr>
                      <w:rFonts w:hint="default" w:ascii="Times New Roman" w:hAnsi="Times New Roman" w:eastAsia="宋体" w:cs="Times New Roman"/>
                      <w:color w:val="auto"/>
                      <w:szCs w:val="21"/>
                      <w:highlight w:val="none"/>
                      <w:u w:val="single"/>
                      <w:shd w:val="clear" w:color="auto" w:fill="FFFFFF"/>
                    </w:rPr>
                    <w:t>（二、深入推进工业污染治理</w:t>
                  </w:r>
                  <w:r>
                    <w:rPr>
                      <w:rFonts w:hint="eastAsia" w:ascii="Times New Roman" w:hAnsi="Times New Roman" w:eastAsia="宋体" w:cs="Times New Roman"/>
                      <w:color w:val="auto"/>
                      <w:szCs w:val="21"/>
                      <w:highlight w:val="none"/>
                      <w:u w:val="single"/>
                      <w:shd w:val="clear" w:color="auto" w:fill="FFFFFF"/>
                      <w:lang w:val="en-US" w:eastAsia="zh-CN"/>
                    </w:rPr>
                    <w:t>-</w:t>
                  </w:r>
                  <w:r>
                    <w:rPr>
                      <w:rFonts w:hint="default" w:ascii="Times New Roman" w:hAnsi="Times New Roman" w:eastAsia="宋体" w:cs="Times New Roman"/>
                      <w:color w:val="auto"/>
                      <w:szCs w:val="21"/>
                      <w:highlight w:val="none"/>
                      <w:u w:val="single"/>
                      <w:shd w:val="clear" w:color="auto" w:fill="FFFFFF"/>
                    </w:rPr>
                    <w:t>强化多污染物协同控制）</w:t>
                  </w:r>
                </w:p>
                <w:p w14:paraId="678ADD62">
                  <w:pPr>
                    <w:widowControl/>
                    <w:snapToGrid w:val="0"/>
                    <w:jc w:val="left"/>
                    <w:rPr>
                      <w:rFonts w:hint="default" w:ascii="Times New Roman" w:hAnsi="Times New Roman" w:eastAsia="宋体" w:cs="Times New Roman"/>
                      <w:color w:val="auto"/>
                      <w:szCs w:val="21"/>
                      <w:highlight w:val="none"/>
                      <w:u w:val="single"/>
                      <w:shd w:val="clear" w:color="auto" w:fill="FFFFFF"/>
                    </w:rPr>
                  </w:pPr>
                  <w:r>
                    <w:rPr>
                      <w:rFonts w:hint="default" w:ascii="Times New Roman" w:hAnsi="Times New Roman" w:eastAsia="宋体" w:cs="Times New Roman"/>
                      <w:color w:val="auto"/>
                      <w:szCs w:val="21"/>
                      <w:highlight w:val="none"/>
                      <w:u w:val="single"/>
                      <w:shd w:val="clear" w:color="auto" w:fill="FFFFFF"/>
                    </w:rPr>
                    <w:t>深化建材行业无组织排放整治，物料储存、输送、生产环节落实密闭、负压收集、高效除尘措施，严控颗粒物无组织排放。</w:t>
                  </w:r>
                </w:p>
              </w:tc>
              <w:tc>
                <w:tcPr>
                  <w:tcW w:w="1954" w:type="pct"/>
                  <w:noWrap w:val="0"/>
                  <w:vAlign w:val="center"/>
                </w:tcPr>
                <w:p w14:paraId="3D6CA40F">
                  <w:pPr>
                    <w:pStyle w:val="2"/>
                    <w:ind w:left="0" w:leftChars="0" w:firstLine="0" w:firstLineChars="0"/>
                    <w:jc w:val="both"/>
                    <w:rPr>
                      <w:rFonts w:hint="eastAsia"/>
                      <w:color w:val="auto"/>
                      <w:sz w:val="21"/>
                      <w:szCs w:val="21"/>
                      <w:highlight w:val="none"/>
                      <w:u w:val="single" w:color="auto"/>
                      <w:lang w:val="en-US" w:eastAsia="zh-CN"/>
                    </w:rPr>
                  </w:pPr>
                  <w:r>
                    <w:rPr>
                      <w:rFonts w:hint="eastAsia"/>
                      <w:color w:val="auto"/>
                      <w:sz w:val="21"/>
                      <w:szCs w:val="21"/>
                      <w:highlight w:val="none"/>
                      <w:u w:val="single" w:color="auto"/>
                      <w:lang w:val="en-US" w:eastAsia="zh-CN"/>
                    </w:rPr>
                    <w:t>装卸扬尘：洒水降尘。</w:t>
                  </w:r>
                </w:p>
                <w:p w14:paraId="6D24A331">
                  <w:pPr>
                    <w:jc w:val="both"/>
                    <w:rPr>
                      <w:rFonts w:hint="eastAsia"/>
                      <w:color w:val="auto"/>
                      <w:sz w:val="21"/>
                      <w:szCs w:val="21"/>
                      <w:highlight w:val="none"/>
                      <w:u w:val="single" w:color="auto"/>
                      <w:lang w:val="en-US" w:eastAsia="zh-CN"/>
                    </w:rPr>
                  </w:pPr>
                  <w:r>
                    <w:rPr>
                      <w:rFonts w:hint="eastAsia"/>
                      <w:color w:val="auto"/>
                      <w:sz w:val="21"/>
                      <w:szCs w:val="21"/>
                      <w:highlight w:val="none"/>
                      <w:u w:val="single" w:color="auto"/>
                      <w:lang w:val="en-US" w:eastAsia="zh-CN"/>
                    </w:rPr>
                    <w:t>料棚粉尘：半封闭彩钢棚，洒水降尘。</w:t>
                  </w:r>
                </w:p>
                <w:p w14:paraId="55E9AC9A">
                  <w:pPr>
                    <w:pStyle w:val="2"/>
                    <w:ind w:left="0" w:leftChars="0" w:firstLine="0" w:firstLineChars="0"/>
                    <w:jc w:val="both"/>
                    <w:rPr>
                      <w:rFonts w:hint="eastAsia"/>
                      <w:color w:val="auto"/>
                      <w:sz w:val="21"/>
                      <w:szCs w:val="21"/>
                      <w:highlight w:val="none"/>
                      <w:u w:val="single" w:color="auto"/>
                      <w:lang w:val="en-US" w:eastAsia="zh-CN"/>
                    </w:rPr>
                  </w:pPr>
                  <w:r>
                    <w:rPr>
                      <w:rFonts w:hint="eastAsia"/>
                      <w:color w:val="auto"/>
                      <w:sz w:val="21"/>
                      <w:szCs w:val="21"/>
                      <w:highlight w:val="none"/>
                      <w:u w:val="single" w:color="auto"/>
                      <w:lang w:val="en-US" w:eastAsia="zh-CN"/>
                    </w:rPr>
                    <w:t>上料粉尘：洒水降尘。</w:t>
                  </w:r>
                </w:p>
                <w:p w14:paraId="50C5E5AE">
                  <w:pPr>
                    <w:widowControl/>
                    <w:snapToGrid w:val="0"/>
                    <w:jc w:val="left"/>
                    <w:rPr>
                      <w:rFonts w:hint="eastAsia" w:ascii="Times New Roman" w:hAnsi="Times New Roman" w:eastAsia="宋体" w:cs="Times New Roman"/>
                      <w:color w:val="auto"/>
                      <w:szCs w:val="21"/>
                      <w:highlight w:val="none"/>
                      <w:lang w:val="en-US" w:eastAsia="zh-CN"/>
                    </w:rPr>
                  </w:pPr>
                  <w:r>
                    <w:rPr>
                      <w:rFonts w:hint="eastAsia"/>
                      <w:color w:val="auto"/>
                      <w:sz w:val="21"/>
                      <w:szCs w:val="21"/>
                      <w:highlight w:val="none"/>
                      <w:u w:val="single" w:color="auto"/>
                      <w:lang w:val="en-US" w:eastAsia="zh-CN"/>
                    </w:rPr>
                    <w:t>运输扬尘：洒水降尘。</w:t>
                  </w:r>
                </w:p>
              </w:tc>
            </w:tr>
            <w:tr w14:paraId="223B19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3045" w:type="pct"/>
                  <w:noWrap w:val="0"/>
                  <w:vAlign w:val="center"/>
                </w:tcPr>
                <w:p w14:paraId="50EEBFE4">
                  <w:pPr>
                    <w:widowControl/>
                    <w:snapToGrid w:val="0"/>
                    <w:jc w:val="center"/>
                    <w:rPr>
                      <w:rFonts w:hint="default" w:ascii="Times New Roman" w:hAnsi="Times New Roman" w:eastAsia="宋体" w:cs="Times New Roman"/>
                      <w:b/>
                      <w:bCs/>
                      <w:color w:val="auto"/>
                      <w:szCs w:val="21"/>
                      <w:highlight w:val="none"/>
                      <w:u w:val="single"/>
                      <w:shd w:val="clear" w:color="auto" w:fill="FFFFFF"/>
                    </w:rPr>
                  </w:pPr>
                  <w:r>
                    <w:rPr>
                      <w:rFonts w:hint="default" w:ascii="Times New Roman" w:hAnsi="Times New Roman" w:eastAsia="宋体" w:cs="Times New Roman"/>
                      <w:b/>
                      <w:bCs/>
                      <w:color w:val="auto"/>
                      <w:szCs w:val="21"/>
                      <w:highlight w:val="none"/>
                      <w:u w:val="single"/>
                      <w:shd w:val="clear" w:color="auto" w:fill="FFFFFF"/>
                    </w:rPr>
                    <w:t>物料运输与移动源管控</w:t>
                  </w:r>
                </w:p>
                <w:p w14:paraId="02196529">
                  <w:pPr>
                    <w:widowControl/>
                    <w:snapToGrid w:val="0"/>
                    <w:jc w:val="left"/>
                    <w:rPr>
                      <w:rFonts w:hint="default" w:ascii="Times New Roman" w:hAnsi="Times New Roman" w:eastAsia="宋体" w:cs="Times New Roman"/>
                      <w:color w:val="auto"/>
                      <w:szCs w:val="21"/>
                      <w:highlight w:val="none"/>
                      <w:u w:val="single"/>
                      <w:shd w:val="clear" w:color="auto" w:fill="FFFFFF"/>
                    </w:rPr>
                  </w:pPr>
                  <w:r>
                    <w:rPr>
                      <w:rFonts w:hint="default" w:ascii="Times New Roman" w:hAnsi="Times New Roman" w:eastAsia="宋体" w:cs="Times New Roman"/>
                      <w:color w:val="auto"/>
                      <w:szCs w:val="21"/>
                      <w:highlight w:val="none"/>
                      <w:u w:val="single"/>
                      <w:shd w:val="clear" w:color="auto" w:fill="FFFFFF"/>
                    </w:rPr>
                    <w:t>（</w:t>
                  </w:r>
                  <w:r>
                    <w:rPr>
                      <w:rFonts w:hint="eastAsia" w:ascii="Times New Roman" w:hAnsi="Times New Roman" w:eastAsia="宋体" w:cs="Times New Roman"/>
                      <w:color w:val="auto"/>
                      <w:szCs w:val="21"/>
                      <w:highlight w:val="none"/>
                      <w:u w:val="single"/>
                      <w:shd w:val="clear" w:color="auto" w:fill="FFFFFF"/>
                      <w:lang w:eastAsia="zh-CN"/>
                    </w:rPr>
                    <w:t>三</w:t>
                  </w:r>
                  <w:r>
                    <w:rPr>
                      <w:rFonts w:hint="default" w:ascii="Times New Roman" w:hAnsi="Times New Roman" w:eastAsia="宋体" w:cs="Times New Roman"/>
                      <w:color w:val="auto"/>
                      <w:szCs w:val="21"/>
                      <w:highlight w:val="none"/>
                      <w:u w:val="single"/>
                      <w:shd w:val="clear" w:color="auto" w:fill="FFFFFF"/>
                    </w:rPr>
                    <w:t>、持续优化交通运输结构</w:t>
                  </w:r>
                  <w:r>
                    <w:rPr>
                      <w:rFonts w:hint="eastAsia" w:ascii="Times New Roman" w:hAnsi="Times New Roman" w:eastAsia="宋体" w:cs="Times New Roman"/>
                      <w:color w:val="auto"/>
                      <w:szCs w:val="21"/>
                      <w:highlight w:val="none"/>
                      <w:u w:val="single"/>
                      <w:shd w:val="clear" w:color="auto" w:fill="FFFFFF"/>
                      <w:lang w:val="en-US" w:eastAsia="zh-CN"/>
                    </w:rPr>
                    <w:t>-</w:t>
                  </w:r>
                  <w:r>
                    <w:rPr>
                      <w:rFonts w:hint="default" w:ascii="Times New Roman" w:hAnsi="Times New Roman" w:eastAsia="宋体" w:cs="Times New Roman"/>
                      <w:color w:val="auto"/>
                      <w:szCs w:val="21"/>
                      <w:highlight w:val="none"/>
                      <w:u w:val="single"/>
                      <w:shd w:val="clear" w:color="auto" w:fill="FFFFFF"/>
                    </w:rPr>
                    <w:t>强化移动源污染管控）</w:t>
                  </w:r>
                </w:p>
                <w:p w14:paraId="446C6C80">
                  <w:pPr>
                    <w:widowControl/>
                    <w:snapToGrid w:val="0"/>
                    <w:jc w:val="left"/>
                    <w:rPr>
                      <w:rFonts w:hint="default" w:ascii="Times New Roman" w:hAnsi="Times New Roman" w:eastAsia="宋体" w:cs="Times New Roman"/>
                      <w:color w:val="auto"/>
                      <w:szCs w:val="21"/>
                      <w:highlight w:val="none"/>
                      <w:u w:val="single"/>
                      <w:shd w:val="clear" w:color="auto" w:fill="FFFFFF"/>
                    </w:rPr>
                  </w:pPr>
                  <w:r>
                    <w:rPr>
                      <w:rFonts w:hint="default" w:ascii="Times New Roman" w:hAnsi="Times New Roman" w:eastAsia="宋体" w:cs="Times New Roman"/>
                      <w:color w:val="auto"/>
                      <w:szCs w:val="21"/>
                      <w:highlight w:val="none"/>
                      <w:u w:val="single"/>
                      <w:shd w:val="clear" w:color="auto" w:fill="FFFFFF"/>
                    </w:rPr>
                    <w:t>加强大宗物料运输扬尘管控，运输车辆落实密闭措施，严控运输车辆、非道路移动机械污染排放。</w:t>
                  </w:r>
                </w:p>
              </w:tc>
              <w:tc>
                <w:tcPr>
                  <w:tcW w:w="1954" w:type="pct"/>
                  <w:noWrap w:val="0"/>
                  <w:vAlign w:val="center"/>
                </w:tcPr>
                <w:p w14:paraId="7ADABD71">
                  <w:pPr>
                    <w:widowControl/>
                    <w:snapToGrid w:val="0"/>
                    <w:jc w:val="left"/>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u w:val="single"/>
                      <w:lang w:val="en-US" w:eastAsia="zh-CN"/>
                    </w:rPr>
                    <w:t>运输车辆应保证车辆清洁，原料及成品运输车辆全覆盖苫布</w:t>
                  </w:r>
                </w:p>
              </w:tc>
            </w:tr>
            <w:tr w14:paraId="3B3580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3045" w:type="pct"/>
                  <w:noWrap w:val="0"/>
                  <w:vAlign w:val="center"/>
                </w:tcPr>
                <w:p w14:paraId="42841665">
                  <w:pPr>
                    <w:widowControl/>
                    <w:snapToGrid w:val="0"/>
                    <w:jc w:val="center"/>
                    <w:rPr>
                      <w:rFonts w:hint="default" w:ascii="Times New Roman" w:hAnsi="Times New Roman" w:eastAsia="宋体" w:cs="Times New Roman"/>
                      <w:b/>
                      <w:bCs/>
                      <w:color w:val="auto"/>
                      <w:szCs w:val="21"/>
                      <w:highlight w:val="none"/>
                      <w:u w:val="single"/>
                      <w:shd w:val="clear" w:color="auto" w:fill="FFFFFF"/>
                    </w:rPr>
                  </w:pPr>
                  <w:r>
                    <w:rPr>
                      <w:rFonts w:hint="default" w:ascii="Times New Roman" w:hAnsi="Times New Roman" w:eastAsia="宋体" w:cs="Times New Roman"/>
                      <w:b/>
                      <w:bCs/>
                      <w:color w:val="auto"/>
                      <w:szCs w:val="21"/>
                      <w:highlight w:val="none"/>
                      <w:u w:val="single"/>
                      <w:shd w:val="clear" w:color="auto" w:fill="FFFFFF"/>
                    </w:rPr>
                    <w:t>施工期扬尘管控</w:t>
                  </w:r>
                </w:p>
                <w:p w14:paraId="4326A0F0">
                  <w:pPr>
                    <w:widowControl/>
                    <w:snapToGrid w:val="0"/>
                    <w:jc w:val="left"/>
                    <w:rPr>
                      <w:rFonts w:hint="default" w:ascii="Times New Roman" w:hAnsi="Times New Roman" w:eastAsia="宋体" w:cs="Times New Roman"/>
                      <w:color w:val="auto"/>
                      <w:szCs w:val="21"/>
                      <w:highlight w:val="none"/>
                      <w:u w:val="single"/>
                      <w:shd w:val="clear" w:color="auto" w:fill="FFFFFF"/>
                    </w:rPr>
                  </w:pPr>
                  <w:r>
                    <w:rPr>
                      <w:rFonts w:hint="default" w:ascii="Times New Roman" w:hAnsi="Times New Roman" w:eastAsia="宋体" w:cs="Times New Roman"/>
                      <w:color w:val="auto"/>
                      <w:szCs w:val="21"/>
                      <w:highlight w:val="none"/>
                      <w:u w:val="single"/>
                      <w:shd w:val="clear" w:color="auto" w:fill="FFFFFF"/>
                    </w:rPr>
                    <w:t>（</w:t>
                  </w:r>
                  <w:r>
                    <w:rPr>
                      <w:rFonts w:hint="eastAsia" w:ascii="Times New Roman" w:hAnsi="Times New Roman" w:eastAsia="宋体" w:cs="Times New Roman"/>
                      <w:color w:val="auto"/>
                      <w:szCs w:val="21"/>
                      <w:highlight w:val="none"/>
                      <w:u w:val="single"/>
                      <w:shd w:val="clear" w:color="auto" w:fill="FFFFFF"/>
                      <w:lang w:eastAsia="zh-CN"/>
                    </w:rPr>
                    <w:t>四</w:t>
                  </w:r>
                  <w:r>
                    <w:rPr>
                      <w:rFonts w:hint="default" w:ascii="Times New Roman" w:hAnsi="Times New Roman" w:eastAsia="宋体" w:cs="Times New Roman"/>
                      <w:color w:val="auto"/>
                      <w:szCs w:val="21"/>
                      <w:highlight w:val="none"/>
                      <w:u w:val="single"/>
                      <w:shd w:val="clear" w:color="auto" w:fill="FFFFFF"/>
                    </w:rPr>
                    <w:t>、深化面源污染综合治理</w:t>
                  </w:r>
                  <w:r>
                    <w:rPr>
                      <w:rFonts w:hint="eastAsia" w:ascii="Times New Roman" w:hAnsi="Times New Roman" w:eastAsia="宋体" w:cs="Times New Roman"/>
                      <w:color w:val="auto"/>
                      <w:szCs w:val="21"/>
                      <w:highlight w:val="none"/>
                      <w:u w:val="single"/>
                      <w:shd w:val="clear" w:color="auto" w:fill="FFFFFF"/>
                      <w:lang w:val="en-US" w:eastAsia="zh-CN"/>
                    </w:rPr>
                    <w:t>-</w:t>
                  </w:r>
                  <w:r>
                    <w:rPr>
                      <w:rFonts w:hint="default" w:ascii="Times New Roman" w:hAnsi="Times New Roman" w:eastAsia="宋体" w:cs="Times New Roman"/>
                      <w:color w:val="auto"/>
                      <w:szCs w:val="21"/>
                      <w:highlight w:val="none"/>
                      <w:u w:val="single"/>
                      <w:shd w:val="clear" w:color="auto" w:fill="FFFFFF"/>
                    </w:rPr>
                    <w:t>深入推进扬尘综合整治）</w:t>
                  </w:r>
                </w:p>
                <w:p w14:paraId="71B2141C">
                  <w:pPr>
                    <w:widowControl/>
                    <w:snapToGrid w:val="0"/>
                    <w:jc w:val="left"/>
                    <w:rPr>
                      <w:rFonts w:hint="default" w:ascii="Times New Roman" w:hAnsi="Times New Roman" w:eastAsia="宋体" w:cs="Times New Roman"/>
                      <w:color w:val="auto"/>
                      <w:szCs w:val="21"/>
                      <w:highlight w:val="none"/>
                      <w:u w:val="single"/>
                      <w:shd w:val="clear" w:color="auto" w:fill="FFFFFF"/>
                    </w:rPr>
                  </w:pPr>
                  <w:r>
                    <w:rPr>
                      <w:rFonts w:hint="default" w:ascii="Times New Roman" w:hAnsi="Times New Roman" w:eastAsia="宋体" w:cs="Times New Roman"/>
                      <w:color w:val="auto"/>
                      <w:szCs w:val="21"/>
                      <w:highlight w:val="none"/>
                      <w:u w:val="single"/>
                      <w:shd w:val="clear" w:color="auto" w:fill="FFFFFF"/>
                    </w:rPr>
                    <w:t>严格落实施工工地扬尘管控措施，全面推行绿色施工，严控施工扬尘污染。</w:t>
                  </w:r>
                </w:p>
              </w:tc>
              <w:tc>
                <w:tcPr>
                  <w:tcW w:w="1954" w:type="pct"/>
                  <w:noWrap w:val="0"/>
                  <w:vAlign w:val="center"/>
                </w:tcPr>
                <w:p w14:paraId="33E6BC31">
                  <w:pPr>
                    <w:widowControl/>
                    <w:snapToGrid w:val="0"/>
                    <w:jc w:val="left"/>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u w:val="single"/>
                      <w:lang w:val="en-US" w:eastAsia="zh-CN"/>
                    </w:rPr>
                    <w:t>粉状、散装物料运输车辆必须加盖苫布，场内堆存物料适时洒水增湿，抑制扬尘产生。</w:t>
                  </w:r>
                </w:p>
              </w:tc>
            </w:tr>
            <w:tr w14:paraId="737C81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3045" w:type="pct"/>
                  <w:noWrap w:val="0"/>
                  <w:vAlign w:val="center"/>
                </w:tcPr>
                <w:p w14:paraId="086903D2">
                  <w:pPr>
                    <w:widowControl/>
                    <w:snapToGrid w:val="0"/>
                    <w:jc w:val="center"/>
                    <w:rPr>
                      <w:rFonts w:hint="default" w:ascii="Times New Roman" w:hAnsi="Times New Roman" w:eastAsia="宋体" w:cs="Times New Roman"/>
                      <w:b/>
                      <w:bCs/>
                      <w:color w:val="auto"/>
                      <w:szCs w:val="21"/>
                      <w:highlight w:val="none"/>
                      <w:u w:val="single"/>
                      <w:shd w:val="clear" w:color="auto" w:fill="FFFFFF"/>
                    </w:rPr>
                  </w:pPr>
                  <w:r>
                    <w:rPr>
                      <w:rFonts w:hint="default" w:ascii="Times New Roman" w:hAnsi="Times New Roman" w:eastAsia="宋体" w:cs="Times New Roman"/>
                      <w:b/>
                      <w:bCs/>
                      <w:color w:val="auto"/>
                      <w:szCs w:val="21"/>
                      <w:highlight w:val="none"/>
                      <w:u w:val="single"/>
                      <w:shd w:val="clear" w:color="auto" w:fill="FFFFFF"/>
                    </w:rPr>
                    <w:t>排污许可与精细化监管</w:t>
                  </w:r>
                </w:p>
                <w:p w14:paraId="187E3208">
                  <w:pPr>
                    <w:widowControl/>
                    <w:snapToGrid w:val="0"/>
                    <w:jc w:val="left"/>
                    <w:rPr>
                      <w:rFonts w:hint="default" w:ascii="Times New Roman" w:hAnsi="Times New Roman" w:eastAsia="宋体" w:cs="Times New Roman"/>
                      <w:color w:val="auto"/>
                      <w:szCs w:val="21"/>
                      <w:highlight w:val="none"/>
                      <w:u w:val="single"/>
                      <w:shd w:val="clear" w:color="auto" w:fill="FFFFFF"/>
                    </w:rPr>
                  </w:pPr>
                  <w:r>
                    <w:rPr>
                      <w:rFonts w:hint="default" w:ascii="Times New Roman" w:hAnsi="Times New Roman" w:eastAsia="宋体" w:cs="Times New Roman"/>
                      <w:color w:val="auto"/>
                      <w:szCs w:val="21"/>
                      <w:highlight w:val="none"/>
                      <w:u w:val="single"/>
                      <w:shd w:val="clear" w:color="auto" w:fill="FFFFFF"/>
                    </w:rPr>
                    <w:t>（</w:t>
                  </w:r>
                  <w:r>
                    <w:rPr>
                      <w:rFonts w:hint="eastAsia" w:ascii="Times New Roman" w:hAnsi="Times New Roman" w:eastAsia="宋体" w:cs="Times New Roman"/>
                      <w:color w:val="auto"/>
                      <w:szCs w:val="21"/>
                      <w:highlight w:val="none"/>
                      <w:u w:val="single"/>
                      <w:shd w:val="clear" w:color="auto" w:fill="FFFFFF"/>
                      <w:lang w:eastAsia="zh-CN"/>
                    </w:rPr>
                    <w:t>五</w:t>
                  </w:r>
                  <w:r>
                    <w:rPr>
                      <w:rFonts w:hint="default" w:ascii="Times New Roman" w:hAnsi="Times New Roman" w:eastAsia="宋体" w:cs="Times New Roman"/>
                      <w:color w:val="auto"/>
                      <w:szCs w:val="21"/>
                      <w:highlight w:val="none"/>
                      <w:u w:val="single"/>
                      <w:shd w:val="clear" w:color="auto" w:fill="FFFFFF"/>
                    </w:rPr>
                    <w:t>、健全大气环境管理体系</w:t>
                  </w:r>
                  <w:r>
                    <w:rPr>
                      <w:rFonts w:hint="eastAsia" w:ascii="Times New Roman" w:hAnsi="Times New Roman" w:eastAsia="宋体" w:cs="Times New Roman"/>
                      <w:color w:val="auto"/>
                      <w:szCs w:val="21"/>
                      <w:highlight w:val="none"/>
                      <w:u w:val="single"/>
                      <w:shd w:val="clear" w:color="auto" w:fill="FFFFFF"/>
                      <w:lang w:val="en-US" w:eastAsia="zh-CN"/>
                    </w:rPr>
                    <w:t>-</w:t>
                  </w:r>
                  <w:r>
                    <w:rPr>
                      <w:rFonts w:hint="default" w:ascii="Times New Roman" w:hAnsi="Times New Roman" w:eastAsia="宋体" w:cs="Times New Roman"/>
                      <w:color w:val="auto"/>
                      <w:szCs w:val="21"/>
                      <w:highlight w:val="none"/>
                      <w:u w:val="single"/>
                      <w:shd w:val="clear" w:color="auto" w:fill="FFFFFF"/>
                    </w:rPr>
                    <w:t>强化依法依规监管）</w:t>
                  </w:r>
                </w:p>
                <w:p w14:paraId="4B26E6A4">
                  <w:pPr>
                    <w:widowControl/>
                    <w:snapToGrid w:val="0"/>
                    <w:jc w:val="left"/>
                    <w:rPr>
                      <w:rFonts w:hint="default" w:ascii="Times New Roman" w:hAnsi="Times New Roman" w:eastAsia="宋体" w:cs="Times New Roman"/>
                      <w:color w:val="auto"/>
                      <w:szCs w:val="21"/>
                      <w:highlight w:val="none"/>
                      <w:u w:val="single"/>
                      <w:shd w:val="clear" w:color="auto" w:fill="FFFFFF"/>
                    </w:rPr>
                  </w:pPr>
                  <w:r>
                    <w:rPr>
                      <w:rFonts w:hint="default" w:ascii="Times New Roman" w:hAnsi="Times New Roman" w:eastAsia="宋体" w:cs="Times New Roman"/>
                      <w:color w:val="auto"/>
                      <w:szCs w:val="21"/>
                      <w:highlight w:val="none"/>
                      <w:u w:val="single"/>
                      <w:shd w:val="clear" w:color="auto" w:fill="FFFFFF"/>
                    </w:rPr>
                    <w:t>严格落实排污许可制度，企业按证排污，落实自行监测、环境管理台账等精细化管理要求。</w:t>
                  </w:r>
                </w:p>
              </w:tc>
              <w:tc>
                <w:tcPr>
                  <w:tcW w:w="1954" w:type="pct"/>
                  <w:noWrap w:val="0"/>
                  <w:vAlign w:val="center"/>
                </w:tcPr>
                <w:p w14:paraId="1B84F6F0">
                  <w:pPr>
                    <w:widowControl/>
                    <w:snapToGrid w:val="0"/>
                    <w:jc w:val="left"/>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u w:val="single"/>
                      <w:lang w:val="en-US" w:eastAsia="zh-CN"/>
                    </w:rPr>
                    <w:t>项目投产前将按规定申领排污许可证，建立完善的环保设施运维、污染物监测、生产运行等环境管理台账，落实颗粒物自行监测要求，确保污染物长期稳定达标排放。</w:t>
                  </w:r>
                </w:p>
              </w:tc>
            </w:tr>
          </w:tbl>
          <w:p w14:paraId="0AD235B1">
            <w:pPr>
              <w:pStyle w:val="8"/>
              <w:spacing w:line="360" w:lineRule="auto"/>
              <w:ind w:firstLine="480" w:firstLineChars="200"/>
              <w:rPr>
                <w:rFonts w:hint="eastAsia" w:cs="黑体"/>
                <w:b w:val="0"/>
                <w:bCs w:val="0"/>
                <w:color w:val="auto"/>
                <w:sz w:val="24"/>
                <w:szCs w:val="24"/>
                <w:highlight w:val="none"/>
                <w:u w:val="single" w:color="auto"/>
                <w:lang w:val="en-US" w:eastAsia="zh-CN"/>
              </w:rPr>
            </w:pPr>
          </w:p>
          <w:p w14:paraId="2430F250">
            <w:pPr>
              <w:pStyle w:val="8"/>
              <w:spacing w:line="360" w:lineRule="auto"/>
              <w:ind w:firstLine="482" w:firstLineChars="200"/>
              <w:rPr>
                <w:rFonts w:hint="default" w:ascii="Times New Roman" w:hAnsi="Times New Roman" w:eastAsia="宋体" w:cs="黑体"/>
                <w:b/>
                <w:bCs/>
                <w:color w:val="auto"/>
                <w:sz w:val="24"/>
                <w:szCs w:val="24"/>
                <w:highlight w:val="none"/>
                <w:u w:val="single" w:color="auto"/>
                <w:lang w:val="en-US" w:eastAsia="zh-CN"/>
              </w:rPr>
            </w:pPr>
            <w:r>
              <w:rPr>
                <w:rFonts w:hint="eastAsia" w:cs="黑体"/>
                <w:b/>
                <w:bCs/>
                <w:color w:val="auto"/>
                <w:sz w:val="24"/>
                <w:szCs w:val="24"/>
                <w:highlight w:val="none"/>
                <w:u w:val="single" w:color="auto"/>
                <w:lang w:val="en-US" w:eastAsia="zh-CN"/>
              </w:rPr>
              <w:t>4.2与《吉林省落实〈空气质量持续改善行动计划〉实施方案》相符性分析</w:t>
            </w:r>
          </w:p>
          <w:p w14:paraId="63CA1D3D">
            <w:pPr>
              <w:pStyle w:val="8"/>
              <w:spacing w:line="360" w:lineRule="auto"/>
              <w:ind w:firstLine="480" w:firstLineChars="200"/>
              <w:rPr>
                <w:rFonts w:hint="eastAsia" w:cs="黑体"/>
                <w:b w:val="0"/>
                <w:bCs w:val="0"/>
                <w:color w:val="auto"/>
                <w:sz w:val="24"/>
                <w:szCs w:val="24"/>
                <w:highlight w:val="none"/>
                <w:u w:val="single" w:color="auto"/>
                <w:lang w:val="en-US" w:eastAsia="zh-CN"/>
              </w:rPr>
            </w:pPr>
            <w:r>
              <w:rPr>
                <w:rFonts w:hint="eastAsia" w:cs="黑体"/>
                <w:b w:val="0"/>
                <w:bCs w:val="0"/>
                <w:color w:val="auto"/>
                <w:sz w:val="24"/>
                <w:szCs w:val="24"/>
                <w:highlight w:val="none"/>
                <w:u w:val="single" w:color="auto"/>
                <w:lang w:val="en-US" w:eastAsia="zh-CN"/>
              </w:rPr>
              <w:t>项目与《吉林省落实〈空气质量持续改善行动计划〉实施方案》（吉政发〔2024〕8号）相符性分析如下。</w:t>
            </w:r>
          </w:p>
          <w:p w14:paraId="290637B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i w:val="0"/>
                <w:iCs w:val="0"/>
                <w:caps w:val="0"/>
                <w:color w:val="auto"/>
                <w:sz w:val="24"/>
                <w:szCs w:val="24"/>
                <w:highlight w:val="none"/>
                <w:u w:val="single" w:color="auto"/>
                <w:lang w:val="en-US" w:eastAsia="zh-CN"/>
              </w:rPr>
            </w:pPr>
            <w:r>
              <w:rPr>
                <w:rFonts w:hint="eastAsia" w:ascii="Times New Roman" w:hAnsi="Times New Roman" w:eastAsia="宋体" w:cs="Times New Roman"/>
                <w:b/>
                <w:i w:val="0"/>
                <w:iCs w:val="0"/>
                <w:caps w:val="0"/>
                <w:color w:val="auto"/>
                <w:sz w:val="24"/>
                <w:szCs w:val="24"/>
                <w:highlight w:val="none"/>
                <w:u w:val="single" w:color="auto"/>
                <w:lang w:val="en-US" w:eastAsia="zh-CN"/>
              </w:rPr>
              <w:t>表1-</w:t>
            </w:r>
            <w:r>
              <w:rPr>
                <w:rFonts w:hint="eastAsia" w:cs="Times New Roman"/>
                <w:b/>
                <w:i w:val="0"/>
                <w:iCs w:val="0"/>
                <w:caps w:val="0"/>
                <w:color w:val="auto"/>
                <w:sz w:val="24"/>
                <w:szCs w:val="24"/>
                <w:highlight w:val="none"/>
                <w:u w:val="single" w:color="auto"/>
                <w:lang w:val="en-US" w:eastAsia="zh-CN"/>
              </w:rPr>
              <w:t>6</w:t>
            </w:r>
            <w:r>
              <w:rPr>
                <w:rFonts w:hint="eastAsia" w:ascii="Times New Roman" w:hAnsi="Times New Roman" w:eastAsia="宋体" w:cs="Times New Roman"/>
                <w:b/>
                <w:i w:val="0"/>
                <w:iCs w:val="0"/>
                <w:caps w:val="0"/>
                <w:color w:val="auto"/>
                <w:sz w:val="24"/>
                <w:szCs w:val="24"/>
                <w:highlight w:val="none"/>
                <w:u w:val="single" w:color="auto"/>
                <w:lang w:val="en-US" w:eastAsia="zh-CN"/>
              </w:rPr>
              <w:t xml:space="preserve">  与《空气质量持续改善行动计划》符合性分析</w:t>
            </w:r>
          </w:p>
          <w:tbl>
            <w:tblPr>
              <w:tblStyle w:val="25"/>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668"/>
              <w:gridCol w:w="2997"/>
            </w:tblGrid>
            <w:tr w14:paraId="151869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2"/>
                  <w:noWrap w:val="0"/>
                  <w:vAlign w:val="center"/>
                </w:tcPr>
                <w:p w14:paraId="47AB7FF5">
                  <w:pPr>
                    <w:widowControl/>
                    <w:snapToGrid w:val="0"/>
                    <w:jc w:val="center"/>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b/>
                      <w:bCs/>
                      <w:color w:val="auto"/>
                      <w:szCs w:val="21"/>
                      <w:highlight w:val="none"/>
                      <w:lang w:eastAsia="zh-CN"/>
                    </w:rPr>
                    <w:t>（吉政发〔2024〕8号）</w:t>
                  </w:r>
                </w:p>
              </w:tc>
            </w:tr>
            <w:tr w14:paraId="4CD7C9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3045" w:type="pct"/>
                  <w:noWrap w:val="0"/>
                  <w:vAlign w:val="center"/>
                </w:tcPr>
                <w:p w14:paraId="1916B614">
                  <w:pPr>
                    <w:widowControl/>
                    <w:snapToGrid w:val="0"/>
                    <w:jc w:val="center"/>
                    <w:rPr>
                      <w:rFonts w:hint="default" w:ascii="Times New Roman" w:hAnsi="Times New Roman" w:eastAsia="宋体" w:cs="Times New Roman"/>
                      <w:b/>
                      <w:bCs/>
                      <w:color w:val="auto"/>
                      <w:szCs w:val="21"/>
                      <w:highlight w:val="none"/>
                      <w:u w:val="single"/>
                      <w:shd w:val="clear" w:color="auto" w:fill="FFFFFF"/>
                    </w:rPr>
                  </w:pPr>
                  <w:r>
                    <w:rPr>
                      <w:rFonts w:hint="default" w:ascii="Times New Roman" w:hAnsi="Times New Roman" w:eastAsia="宋体" w:cs="Times New Roman"/>
                      <w:b/>
                      <w:bCs/>
                      <w:color w:val="auto"/>
                      <w:szCs w:val="21"/>
                      <w:highlight w:val="none"/>
                      <w:u w:val="single"/>
                      <w:shd w:val="clear" w:color="auto" w:fill="FFFFFF"/>
                    </w:rPr>
                    <w:t>产业准入与生态管控</w:t>
                  </w:r>
                </w:p>
                <w:p w14:paraId="72F1AF39">
                  <w:pPr>
                    <w:widowControl/>
                    <w:snapToGrid w:val="0"/>
                    <w:jc w:val="left"/>
                    <w:rPr>
                      <w:rFonts w:hint="default" w:ascii="Times New Roman" w:hAnsi="Times New Roman" w:eastAsia="宋体" w:cs="Times New Roman"/>
                      <w:color w:val="auto"/>
                      <w:szCs w:val="21"/>
                      <w:highlight w:val="none"/>
                      <w:u w:val="single"/>
                      <w:shd w:val="clear" w:color="auto" w:fill="FFFFFF"/>
                    </w:rPr>
                  </w:pPr>
                  <w:r>
                    <w:rPr>
                      <w:rFonts w:hint="default" w:ascii="Times New Roman" w:hAnsi="Times New Roman" w:eastAsia="宋体" w:cs="Times New Roman"/>
                      <w:color w:val="auto"/>
                      <w:szCs w:val="21"/>
                      <w:highlight w:val="none"/>
                      <w:u w:val="single"/>
                      <w:shd w:val="clear" w:color="auto" w:fill="FFFFFF"/>
                    </w:rPr>
                    <w:t>（二、重点任务（一）持续优化产业结构）</w:t>
                  </w:r>
                </w:p>
                <w:p w14:paraId="34BBC468">
                  <w:pPr>
                    <w:widowControl/>
                    <w:snapToGrid w:val="0"/>
                    <w:jc w:val="left"/>
                    <w:rPr>
                      <w:rFonts w:hint="default" w:ascii="Times New Roman" w:hAnsi="Times New Roman" w:eastAsia="宋体" w:cs="Times New Roman"/>
                      <w:color w:val="auto"/>
                      <w:szCs w:val="21"/>
                      <w:highlight w:val="none"/>
                      <w:u w:val="single"/>
                      <w:shd w:val="clear" w:color="auto" w:fill="FFFFFF"/>
                    </w:rPr>
                  </w:pPr>
                  <w:r>
                    <w:rPr>
                      <w:rFonts w:hint="default" w:ascii="Times New Roman" w:hAnsi="Times New Roman" w:eastAsia="宋体" w:cs="Times New Roman"/>
                      <w:color w:val="auto"/>
                      <w:szCs w:val="21"/>
                      <w:highlight w:val="none"/>
                      <w:u w:val="single"/>
                      <w:shd w:val="clear" w:color="auto" w:fill="FFFFFF"/>
                    </w:rPr>
                    <w:t>严格新建项目生态环境准入，坚决遏制“两高一低”项目盲目上马，落实“三线一单”生态环境分区管控要求，严禁新增落后、过剩产能，推动建材等传统产业绿色转型。</w:t>
                  </w:r>
                </w:p>
              </w:tc>
              <w:tc>
                <w:tcPr>
                  <w:tcW w:w="1954" w:type="pct"/>
                  <w:noWrap w:val="0"/>
                  <w:vAlign w:val="center"/>
                </w:tcPr>
                <w:p w14:paraId="117F5505">
                  <w:pPr>
                    <w:widowControl/>
                    <w:snapToGrid w:val="0"/>
                    <w:jc w:val="both"/>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u w:val="single"/>
                    </w:rPr>
                    <w:t>本项目为商品混凝土生产项目，属于《产业结构调整指导目录（2024年本）》允许类项目，不属于高耗能、高排放、低水平项目范畴，符合区域“三线一单”生态环境分区管控要求，未新增落后产能，契合建材行业绿色转型导向。</w:t>
                  </w:r>
                </w:p>
              </w:tc>
            </w:tr>
            <w:tr w14:paraId="573759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3045" w:type="pct"/>
                  <w:noWrap w:val="0"/>
                  <w:vAlign w:val="center"/>
                </w:tcPr>
                <w:p w14:paraId="5C8FF6D8">
                  <w:pPr>
                    <w:widowControl/>
                    <w:snapToGrid w:val="0"/>
                    <w:jc w:val="center"/>
                    <w:rPr>
                      <w:rFonts w:hint="default" w:ascii="Times New Roman" w:hAnsi="Times New Roman" w:eastAsia="宋体" w:cs="Times New Roman"/>
                      <w:b/>
                      <w:bCs/>
                      <w:color w:val="auto"/>
                      <w:szCs w:val="21"/>
                      <w:highlight w:val="none"/>
                      <w:u w:val="single"/>
                      <w:shd w:val="clear" w:color="auto" w:fill="FFFFFF"/>
                    </w:rPr>
                  </w:pPr>
                  <w:r>
                    <w:rPr>
                      <w:rFonts w:hint="default" w:ascii="Times New Roman" w:hAnsi="Times New Roman" w:eastAsia="宋体" w:cs="Times New Roman"/>
                      <w:b/>
                      <w:bCs/>
                      <w:color w:val="auto"/>
                      <w:szCs w:val="21"/>
                      <w:highlight w:val="none"/>
                      <w:u w:val="single"/>
                      <w:shd w:val="clear" w:color="auto" w:fill="FFFFFF"/>
                    </w:rPr>
                    <w:t>建材行业无组织粉尘深度治理</w:t>
                  </w:r>
                </w:p>
                <w:p w14:paraId="11A050B7">
                  <w:pPr>
                    <w:widowControl/>
                    <w:snapToGrid w:val="0"/>
                    <w:jc w:val="left"/>
                    <w:rPr>
                      <w:rFonts w:hint="default" w:ascii="Times New Roman" w:hAnsi="Times New Roman" w:eastAsia="宋体" w:cs="Times New Roman"/>
                      <w:color w:val="auto"/>
                      <w:szCs w:val="21"/>
                      <w:highlight w:val="none"/>
                      <w:u w:val="single"/>
                      <w:shd w:val="clear" w:color="auto" w:fill="FFFFFF"/>
                    </w:rPr>
                  </w:pPr>
                  <w:r>
                    <w:rPr>
                      <w:rFonts w:hint="default" w:ascii="Times New Roman" w:hAnsi="Times New Roman" w:eastAsia="宋体" w:cs="Times New Roman"/>
                      <w:color w:val="auto"/>
                      <w:szCs w:val="21"/>
                      <w:highlight w:val="none"/>
                      <w:u w:val="single"/>
                      <w:shd w:val="clear" w:color="auto" w:fill="FFFFFF"/>
                    </w:rPr>
                    <w:t>（二、重点任务（四）深化工业污染治理）</w:t>
                  </w:r>
                </w:p>
                <w:p w14:paraId="3B962F89">
                  <w:pPr>
                    <w:widowControl/>
                    <w:snapToGrid w:val="0"/>
                    <w:jc w:val="left"/>
                    <w:rPr>
                      <w:rFonts w:hint="default" w:ascii="Times New Roman" w:hAnsi="Times New Roman" w:eastAsia="宋体" w:cs="Times New Roman"/>
                      <w:color w:val="auto"/>
                      <w:szCs w:val="21"/>
                      <w:highlight w:val="none"/>
                      <w:u w:val="single"/>
                      <w:shd w:val="clear" w:color="auto" w:fill="FFFFFF"/>
                    </w:rPr>
                  </w:pPr>
                  <w:r>
                    <w:rPr>
                      <w:rFonts w:hint="default" w:ascii="Times New Roman" w:hAnsi="Times New Roman" w:eastAsia="宋体" w:cs="Times New Roman"/>
                      <w:color w:val="auto"/>
                      <w:szCs w:val="21"/>
                      <w:highlight w:val="none"/>
                      <w:u w:val="single"/>
                      <w:shd w:val="clear" w:color="auto" w:fill="FFFFFF"/>
                    </w:rPr>
                    <w:t>深化建材行业无组织排放专项整治，物料储存、输送、生产全环节落实密闭管控，配套高效除尘收集设施，严控颗粒物无组织排放，实现生产环节粉尘应收尽收。</w:t>
                  </w:r>
                </w:p>
              </w:tc>
              <w:tc>
                <w:tcPr>
                  <w:tcW w:w="1954" w:type="pct"/>
                  <w:noWrap w:val="0"/>
                  <w:vAlign w:val="center"/>
                </w:tcPr>
                <w:p w14:paraId="037DB11E">
                  <w:pPr>
                    <w:pStyle w:val="2"/>
                    <w:ind w:left="0" w:leftChars="0" w:firstLine="0" w:firstLineChars="0"/>
                    <w:jc w:val="both"/>
                    <w:rPr>
                      <w:rFonts w:hint="eastAsia"/>
                      <w:color w:val="auto"/>
                      <w:sz w:val="21"/>
                      <w:szCs w:val="21"/>
                      <w:highlight w:val="none"/>
                      <w:u w:val="single" w:color="auto"/>
                      <w:lang w:val="en-US" w:eastAsia="zh-CN"/>
                    </w:rPr>
                  </w:pPr>
                  <w:r>
                    <w:rPr>
                      <w:rFonts w:hint="eastAsia"/>
                      <w:color w:val="auto"/>
                      <w:sz w:val="21"/>
                      <w:szCs w:val="21"/>
                      <w:highlight w:val="none"/>
                      <w:u w:val="single" w:color="auto"/>
                      <w:lang w:val="en-US" w:eastAsia="zh-CN"/>
                    </w:rPr>
                    <w:t>装卸扬尘：洒水降尘。</w:t>
                  </w:r>
                </w:p>
                <w:p w14:paraId="3699444D">
                  <w:pPr>
                    <w:jc w:val="both"/>
                    <w:rPr>
                      <w:rFonts w:hint="eastAsia"/>
                      <w:color w:val="auto"/>
                      <w:sz w:val="21"/>
                      <w:szCs w:val="21"/>
                      <w:highlight w:val="none"/>
                      <w:u w:val="single" w:color="auto"/>
                      <w:lang w:val="en-US" w:eastAsia="zh-CN"/>
                    </w:rPr>
                  </w:pPr>
                  <w:r>
                    <w:rPr>
                      <w:rFonts w:hint="eastAsia"/>
                      <w:color w:val="auto"/>
                      <w:sz w:val="21"/>
                      <w:szCs w:val="21"/>
                      <w:highlight w:val="none"/>
                      <w:u w:val="single" w:color="auto"/>
                      <w:lang w:val="en-US" w:eastAsia="zh-CN"/>
                    </w:rPr>
                    <w:t>料棚粉尘：半封闭彩钢棚，洒水降尘。</w:t>
                  </w:r>
                </w:p>
                <w:p w14:paraId="39A0AF04">
                  <w:pPr>
                    <w:pStyle w:val="2"/>
                    <w:ind w:left="0" w:leftChars="0" w:firstLine="0" w:firstLineChars="0"/>
                    <w:jc w:val="both"/>
                    <w:rPr>
                      <w:rFonts w:hint="eastAsia"/>
                      <w:color w:val="auto"/>
                      <w:sz w:val="21"/>
                      <w:szCs w:val="21"/>
                      <w:highlight w:val="none"/>
                      <w:u w:val="single" w:color="auto"/>
                      <w:lang w:val="en-US" w:eastAsia="zh-CN"/>
                    </w:rPr>
                  </w:pPr>
                  <w:r>
                    <w:rPr>
                      <w:rFonts w:hint="eastAsia"/>
                      <w:color w:val="auto"/>
                      <w:sz w:val="21"/>
                      <w:szCs w:val="21"/>
                      <w:highlight w:val="none"/>
                      <w:u w:val="single" w:color="auto"/>
                      <w:lang w:val="en-US" w:eastAsia="zh-CN"/>
                    </w:rPr>
                    <w:t>上料粉尘：洒水降尘。</w:t>
                  </w:r>
                </w:p>
                <w:p w14:paraId="1BB25927">
                  <w:pPr>
                    <w:widowControl/>
                    <w:snapToGrid w:val="0"/>
                    <w:jc w:val="left"/>
                    <w:rPr>
                      <w:rFonts w:hint="eastAsia" w:ascii="Times New Roman" w:hAnsi="Times New Roman" w:eastAsia="宋体" w:cs="Times New Roman"/>
                      <w:color w:val="auto"/>
                      <w:szCs w:val="21"/>
                      <w:highlight w:val="none"/>
                      <w:lang w:val="en-US" w:eastAsia="zh-CN"/>
                    </w:rPr>
                  </w:pPr>
                  <w:r>
                    <w:rPr>
                      <w:rFonts w:hint="eastAsia"/>
                      <w:color w:val="auto"/>
                      <w:sz w:val="21"/>
                      <w:szCs w:val="21"/>
                      <w:highlight w:val="none"/>
                      <w:u w:val="single" w:color="auto"/>
                      <w:lang w:val="en-US" w:eastAsia="zh-CN"/>
                    </w:rPr>
                    <w:t>运输扬尘：洒水降尘。</w:t>
                  </w:r>
                </w:p>
              </w:tc>
            </w:tr>
            <w:tr w14:paraId="4EC8BA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3045" w:type="pct"/>
                  <w:noWrap w:val="0"/>
                  <w:vAlign w:val="center"/>
                </w:tcPr>
                <w:p w14:paraId="2803670F">
                  <w:pPr>
                    <w:widowControl/>
                    <w:snapToGrid w:val="0"/>
                    <w:jc w:val="center"/>
                    <w:rPr>
                      <w:rFonts w:hint="default" w:ascii="Times New Roman" w:hAnsi="Times New Roman" w:eastAsia="宋体" w:cs="Times New Roman"/>
                      <w:b/>
                      <w:bCs/>
                      <w:color w:val="auto"/>
                      <w:szCs w:val="21"/>
                      <w:highlight w:val="none"/>
                      <w:u w:val="single"/>
                      <w:shd w:val="clear" w:color="auto" w:fill="FFFFFF"/>
                    </w:rPr>
                  </w:pPr>
                  <w:r>
                    <w:rPr>
                      <w:rFonts w:hint="default" w:ascii="Times New Roman" w:hAnsi="Times New Roman" w:eastAsia="宋体" w:cs="Times New Roman"/>
                      <w:b/>
                      <w:bCs/>
                      <w:color w:val="auto"/>
                      <w:szCs w:val="21"/>
                      <w:highlight w:val="none"/>
                      <w:u w:val="single"/>
                      <w:shd w:val="clear" w:color="auto" w:fill="FFFFFF"/>
                    </w:rPr>
                    <w:t>能源结构清洁替代管控</w:t>
                  </w:r>
                </w:p>
                <w:p w14:paraId="640FE4B0">
                  <w:pPr>
                    <w:widowControl/>
                    <w:snapToGrid w:val="0"/>
                    <w:jc w:val="left"/>
                    <w:rPr>
                      <w:rFonts w:hint="default" w:ascii="Times New Roman" w:hAnsi="Times New Roman" w:eastAsia="宋体" w:cs="Times New Roman"/>
                      <w:color w:val="auto"/>
                      <w:szCs w:val="21"/>
                      <w:highlight w:val="none"/>
                      <w:u w:val="single"/>
                      <w:shd w:val="clear" w:color="auto" w:fill="FFFFFF"/>
                    </w:rPr>
                  </w:pPr>
                  <w:r>
                    <w:rPr>
                      <w:rFonts w:hint="default" w:ascii="Times New Roman" w:hAnsi="Times New Roman" w:eastAsia="宋体" w:cs="Times New Roman"/>
                      <w:color w:val="auto"/>
                      <w:szCs w:val="21"/>
                      <w:highlight w:val="none"/>
                      <w:u w:val="single"/>
                      <w:shd w:val="clear" w:color="auto" w:fill="FFFFFF"/>
                    </w:rPr>
                    <w:t>（二、重点任务（二）加快优化能源结构）</w:t>
                  </w:r>
                </w:p>
                <w:p w14:paraId="1B436A9D">
                  <w:pPr>
                    <w:widowControl/>
                    <w:snapToGrid w:val="0"/>
                    <w:jc w:val="left"/>
                    <w:rPr>
                      <w:rFonts w:hint="default" w:ascii="Times New Roman" w:hAnsi="Times New Roman" w:eastAsia="宋体" w:cs="Times New Roman"/>
                      <w:color w:val="auto"/>
                      <w:szCs w:val="21"/>
                      <w:highlight w:val="none"/>
                      <w:u w:val="single"/>
                      <w:shd w:val="clear" w:color="auto" w:fill="FFFFFF"/>
                    </w:rPr>
                  </w:pPr>
                  <w:r>
                    <w:rPr>
                      <w:rFonts w:hint="default" w:ascii="Times New Roman" w:hAnsi="Times New Roman" w:eastAsia="宋体" w:cs="Times New Roman"/>
                      <w:color w:val="auto"/>
                      <w:szCs w:val="21"/>
                      <w:highlight w:val="none"/>
                      <w:u w:val="single"/>
                      <w:shd w:val="clear" w:color="auto" w:fill="FFFFFF"/>
                    </w:rPr>
                    <w:t>严格控制煤炭消费总量，推进工业领域电能、天然气等清洁能源替代，淘汰10蒸吨/小时及以下燃煤锅炉，提升终端电能消费占比。</w:t>
                  </w:r>
                </w:p>
              </w:tc>
              <w:tc>
                <w:tcPr>
                  <w:tcW w:w="1954" w:type="pct"/>
                  <w:noWrap w:val="0"/>
                  <w:vAlign w:val="center"/>
                </w:tcPr>
                <w:p w14:paraId="7DAAF3AF">
                  <w:pPr>
                    <w:widowControl/>
                    <w:snapToGrid w:val="0"/>
                    <w:jc w:val="left"/>
                    <w:rPr>
                      <w:rFonts w:hint="eastAsia"/>
                      <w:color w:val="auto"/>
                      <w:sz w:val="21"/>
                      <w:szCs w:val="21"/>
                      <w:highlight w:val="none"/>
                      <w:u w:val="single" w:color="auto"/>
                      <w:lang w:val="en-US" w:eastAsia="zh-CN"/>
                    </w:rPr>
                  </w:pPr>
                  <w:r>
                    <w:rPr>
                      <w:rFonts w:hint="eastAsia"/>
                      <w:color w:val="auto"/>
                      <w:sz w:val="21"/>
                      <w:szCs w:val="21"/>
                      <w:highlight w:val="none"/>
                      <w:u w:val="single" w:color="auto"/>
                      <w:lang w:val="en-US" w:eastAsia="zh-CN"/>
                    </w:rPr>
                    <w:t>项目生产设备、辅助配套设施全部采用电能驱动，不建设燃煤、燃生物质锅炉，未新增区域煤炭消费总量，符合能源清洁化管控要求。</w:t>
                  </w:r>
                </w:p>
              </w:tc>
            </w:tr>
            <w:tr w14:paraId="094B34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3045" w:type="pct"/>
                  <w:noWrap w:val="0"/>
                  <w:vAlign w:val="center"/>
                </w:tcPr>
                <w:p w14:paraId="2D3F4324">
                  <w:pPr>
                    <w:widowControl/>
                    <w:snapToGrid w:val="0"/>
                    <w:jc w:val="center"/>
                    <w:rPr>
                      <w:rFonts w:hint="default" w:ascii="Times New Roman" w:hAnsi="Times New Roman" w:eastAsia="宋体" w:cs="Times New Roman"/>
                      <w:b/>
                      <w:bCs/>
                      <w:color w:val="auto"/>
                      <w:szCs w:val="21"/>
                      <w:highlight w:val="none"/>
                      <w:u w:val="single"/>
                      <w:shd w:val="clear" w:color="auto" w:fill="FFFFFF"/>
                    </w:rPr>
                  </w:pPr>
                  <w:r>
                    <w:rPr>
                      <w:rFonts w:hint="default" w:ascii="Times New Roman" w:hAnsi="Times New Roman" w:eastAsia="宋体" w:cs="Times New Roman"/>
                      <w:b/>
                      <w:bCs/>
                      <w:color w:val="auto"/>
                      <w:szCs w:val="21"/>
                      <w:highlight w:val="none"/>
                      <w:u w:val="single"/>
                      <w:shd w:val="clear" w:color="auto" w:fill="FFFFFF"/>
                    </w:rPr>
                    <w:t>物料运输与移动源污染管控</w:t>
                  </w:r>
                </w:p>
                <w:p w14:paraId="70F9F100">
                  <w:pPr>
                    <w:widowControl/>
                    <w:snapToGrid w:val="0"/>
                    <w:jc w:val="left"/>
                    <w:rPr>
                      <w:rFonts w:hint="default" w:ascii="Times New Roman" w:hAnsi="Times New Roman" w:eastAsia="宋体" w:cs="Times New Roman"/>
                      <w:color w:val="auto"/>
                      <w:szCs w:val="21"/>
                      <w:highlight w:val="none"/>
                      <w:u w:val="single"/>
                      <w:shd w:val="clear" w:color="auto" w:fill="FFFFFF"/>
                    </w:rPr>
                  </w:pPr>
                  <w:r>
                    <w:rPr>
                      <w:rFonts w:hint="default" w:ascii="Times New Roman" w:hAnsi="Times New Roman" w:eastAsia="宋体" w:cs="Times New Roman"/>
                      <w:color w:val="auto"/>
                      <w:szCs w:val="21"/>
                      <w:highlight w:val="none"/>
                      <w:u w:val="single"/>
                      <w:shd w:val="clear" w:color="auto" w:fill="FFFFFF"/>
                    </w:rPr>
                    <w:t>（二、重点任务（三）持续优化交通运输结构）</w:t>
                  </w:r>
                </w:p>
                <w:p w14:paraId="0203F793">
                  <w:pPr>
                    <w:widowControl/>
                    <w:snapToGrid w:val="0"/>
                    <w:jc w:val="left"/>
                    <w:rPr>
                      <w:rFonts w:hint="default" w:ascii="Times New Roman" w:hAnsi="Times New Roman" w:eastAsia="宋体" w:cs="Times New Roman"/>
                      <w:color w:val="auto"/>
                      <w:szCs w:val="21"/>
                      <w:highlight w:val="none"/>
                      <w:u w:val="single"/>
                      <w:shd w:val="clear" w:color="auto" w:fill="FFFFFF"/>
                    </w:rPr>
                  </w:pPr>
                  <w:r>
                    <w:rPr>
                      <w:rFonts w:hint="default" w:ascii="Times New Roman" w:hAnsi="Times New Roman" w:eastAsia="宋体" w:cs="Times New Roman"/>
                      <w:color w:val="auto"/>
                      <w:szCs w:val="21"/>
                      <w:highlight w:val="none"/>
                      <w:u w:val="single"/>
                      <w:shd w:val="clear" w:color="auto" w:fill="FFFFFF"/>
                    </w:rPr>
                    <w:t>强化大宗散料运输扬尘管控，散装物料运输车辆全程密闭；严格非道路移动机械准入，禁止使用超标排放机械，严控移动源颗粒物排放。</w:t>
                  </w:r>
                </w:p>
              </w:tc>
              <w:tc>
                <w:tcPr>
                  <w:tcW w:w="1954" w:type="pct"/>
                  <w:noWrap w:val="0"/>
                  <w:vAlign w:val="center"/>
                </w:tcPr>
                <w:p w14:paraId="6589D96B">
                  <w:pPr>
                    <w:widowControl/>
                    <w:snapToGrid w:val="0"/>
                    <w:jc w:val="left"/>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u w:val="single"/>
                      <w:lang w:val="en-US" w:eastAsia="zh-CN"/>
                    </w:rPr>
                    <w:t>运输车辆应保证车辆清洁，原料及成品运输车辆全覆盖苫布</w:t>
                  </w:r>
                </w:p>
              </w:tc>
            </w:tr>
            <w:tr w14:paraId="0B258F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3045" w:type="pct"/>
                  <w:noWrap w:val="0"/>
                  <w:vAlign w:val="center"/>
                </w:tcPr>
                <w:p w14:paraId="37CE26CF">
                  <w:pPr>
                    <w:widowControl/>
                    <w:snapToGrid w:val="0"/>
                    <w:jc w:val="center"/>
                    <w:rPr>
                      <w:rFonts w:hint="default" w:ascii="Times New Roman" w:hAnsi="Times New Roman" w:eastAsia="宋体" w:cs="Times New Roman"/>
                      <w:b/>
                      <w:bCs/>
                      <w:color w:val="auto"/>
                      <w:szCs w:val="21"/>
                      <w:highlight w:val="none"/>
                      <w:u w:val="single"/>
                      <w:shd w:val="clear" w:color="auto" w:fill="FFFFFF"/>
                    </w:rPr>
                  </w:pPr>
                  <w:r>
                    <w:rPr>
                      <w:rFonts w:hint="default" w:ascii="Times New Roman" w:hAnsi="Times New Roman" w:eastAsia="宋体" w:cs="Times New Roman"/>
                      <w:b/>
                      <w:bCs/>
                      <w:color w:val="auto"/>
                      <w:szCs w:val="21"/>
                      <w:highlight w:val="none"/>
                      <w:u w:val="single"/>
                      <w:shd w:val="clear" w:color="auto" w:fill="FFFFFF"/>
                    </w:rPr>
                    <w:t>施工期扬尘管控</w:t>
                  </w:r>
                </w:p>
                <w:p w14:paraId="339223B5">
                  <w:pPr>
                    <w:widowControl/>
                    <w:snapToGrid w:val="0"/>
                    <w:jc w:val="left"/>
                    <w:rPr>
                      <w:rFonts w:hint="default" w:ascii="Times New Roman" w:hAnsi="Times New Roman" w:eastAsia="宋体" w:cs="Times New Roman"/>
                      <w:color w:val="auto"/>
                      <w:szCs w:val="21"/>
                      <w:highlight w:val="none"/>
                      <w:u w:val="single"/>
                      <w:shd w:val="clear" w:color="auto" w:fill="FFFFFF"/>
                    </w:rPr>
                  </w:pPr>
                  <w:r>
                    <w:rPr>
                      <w:rFonts w:hint="default" w:ascii="Times New Roman" w:hAnsi="Times New Roman" w:eastAsia="宋体" w:cs="Times New Roman"/>
                      <w:color w:val="auto"/>
                      <w:szCs w:val="21"/>
                      <w:highlight w:val="none"/>
                      <w:u w:val="single"/>
                      <w:shd w:val="clear" w:color="auto" w:fill="FFFFFF"/>
                    </w:rPr>
                    <w:t>（二、重点任务（五）深化面源污染治理）</w:t>
                  </w:r>
                </w:p>
                <w:p w14:paraId="7D191283">
                  <w:pPr>
                    <w:widowControl/>
                    <w:snapToGrid w:val="0"/>
                    <w:jc w:val="both"/>
                    <w:rPr>
                      <w:rFonts w:hint="default" w:ascii="Times New Roman" w:hAnsi="Times New Roman" w:eastAsia="宋体" w:cs="Times New Roman"/>
                      <w:color w:val="auto"/>
                      <w:szCs w:val="21"/>
                      <w:highlight w:val="none"/>
                      <w:u w:val="single"/>
                      <w:shd w:val="clear" w:color="auto" w:fill="FFFFFF"/>
                    </w:rPr>
                  </w:pPr>
                  <w:r>
                    <w:rPr>
                      <w:rFonts w:hint="default" w:ascii="Times New Roman" w:hAnsi="Times New Roman" w:eastAsia="宋体" w:cs="Times New Roman"/>
                      <w:color w:val="auto"/>
                      <w:szCs w:val="21"/>
                      <w:highlight w:val="none"/>
                      <w:u w:val="single"/>
                      <w:shd w:val="clear" w:color="auto" w:fill="FFFFFF"/>
                    </w:rPr>
                    <w:t>严格落实施工工地扬尘管控 “六个百分百”要求，施工场地围挡、裸土覆盖、物料密闭、车辆冲洗、洒水降尘、渣土密闭运输全覆盖，严控施工扬尘污染。</w:t>
                  </w:r>
                </w:p>
              </w:tc>
              <w:tc>
                <w:tcPr>
                  <w:tcW w:w="1954" w:type="pct"/>
                  <w:noWrap w:val="0"/>
                  <w:vAlign w:val="center"/>
                </w:tcPr>
                <w:p w14:paraId="774E3E7B">
                  <w:pPr>
                    <w:widowControl/>
                    <w:snapToGrid w:val="0"/>
                    <w:jc w:val="left"/>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u w:val="single"/>
                      <w:lang w:val="en-US" w:eastAsia="zh-CN"/>
                    </w:rPr>
                    <w:t>项目施工期全面落实扬尘管控“六个百分百”要求：施工边界设置连续围挡、裸土及临时堆放物料全覆盖防尘网、散料密闭存放、出入口设置车辆冲洗设施、场地定期洒水降尘、渣土运输车辆全程密闭，有效控制施工期扬尘影响。</w:t>
                  </w:r>
                </w:p>
              </w:tc>
            </w:tr>
            <w:tr w14:paraId="724FE6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3045" w:type="pct"/>
                  <w:noWrap w:val="0"/>
                  <w:vAlign w:val="center"/>
                </w:tcPr>
                <w:p w14:paraId="3E38CE0E">
                  <w:pPr>
                    <w:widowControl/>
                    <w:snapToGrid w:val="0"/>
                    <w:jc w:val="center"/>
                    <w:rPr>
                      <w:rFonts w:hint="default" w:ascii="Times New Roman" w:hAnsi="Times New Roman" w:eastAsia="宋体" w:cs="Times New Roman"/>
                      <w:b/>
                      <w:bCs/>
                      <w:color w:val="auto"/>
                      <w:szCs w:val="21"/>
                      <w:highlight w:val="none"/>
                      <w:u w:val="single"/>
                      <w:shd w:val="clear" w:color="auto" w:fill="FFFFFF"/>
                    </w:rPr>
                  </w:pPr>
                  <w:r>
                    <w:rPr>
                      <w:rFonts w:hint="default" w:ascii="Times New Roman" w:hAnsi="Times New Roman" w:eastAsia="宋体" w:cs="Times New Roman"/>
                      <w:b/>
                      <w:bCs/>
                      <w:color w:val="auto"/>
                      <w:szCs w:val="21"/>
                      <w:highlight w:val="none"/>
                      <w:u w:val="single"/>
                      <w:shd w:val="clear" w:color="auto" w:fill="FFFFFF"/>
                    </w:rPr>
                    <w:t>清洁生产与资源高效利用</w:t>
                  </w:r>
                </w:p>
                <w:p w14:paraId="1D84DDE1">
                  <w:pPr>
                    <w:widowControl/>
                    <w:snapToGrid w:val="0"/>
                    <w:jc w:val="both"/>
                    <w:rPr>
                      <w:rFonts w:hint="default" w:ascii="Times New Roman" w:hAnsi="Times New Roman" w:eastAsia="宋体" w:cs="Times New Roman"/>
                      <w:color w:val="auto"/>
                      <w:szCs w:val="21"/>
                      <w:highlight w:val="none"/>
                      <w:u w:val="single"/>
                      <w:shd w:val="clear" w:color="auto" w:fill="FFFFFF"/>
                    </w:rPr>
                  </w:pPr>
                  <w:r>
                    <w:rPr>
                      <w:rFonts w:hint="default" w:ascii="Times New Roman" w:hAnsi="Times New Roman" w:eastAsia="宋体" w:cs="Times New Roman"/>
                      <w:color w:val="auto"/>
                      <w:szCs w:val="21"/>
                      <w:highlight w:val="none"/>
                      <w:u w:val="single"/>
                      <w:shd w:val="clear" w:color="auto" w:fill="FFFFFF"/>
                    </w:rPr>
                    <w:t>（二、重点任务（一）持续优化产业结构）</w:t>
                  </w:r>
                </w:p>
                <w:p w14:paraId="4DE977A4">
                  <w:pPr>
                    <w:widowControl/>
                    <w:snapToGrid w:val="0"/>
                    <w:jc w:val="both"/>
                    <w:rPr>
                      <w:rFonts w:hint="default" w:ascii="Times New Roman" w:hAnsi="Times New Roman" w:eastAsia="宋体" w:cs="Times New Roman"/>
                      <w:color w:val="auto"/>
                      <w:szCs w:val="21"/>
                      <w:highlight w:val="none"/>
                      <w:u w:val="single"/>
                      <w:shd w:val="clear" w:color="auto" w:fill="FFFFFF"/>
                    </w:rPr>
                  </w:pPr>
                  <w:r>
                    <w:rPr>
                      <w:rFonts w:hint="default" w:ascii="Times New Roman" w:hAnsi="Times New Roman" w:eastAsia="宋体" w:cs="Times New Roman"/>
                      <w:color w:val="auto"/>
                      <w:szCs w:val="21"/>
                      <w:highlight w:val="none"/>
                      <w:u w:val="single"/>
                      <w:shd w:val="clear" w:color="auto" w:fill="FFFFFF"/>
                    </w:rPr>
                    <w:t>推进工业行业清洁生产改造，推广绿色制造模式，提升工业固废资源化利用水平，推动产业绿色低碳升级。</w:t>
                  </w:r>
                </w:p>
              </w:tc>
              <w:tc>
                <w:tcPr>
                  <w:tcW w:w="1954" w:type="pct"/>
                  <w:noWrap w:val="0"/>
                  <w:vAlign w:val="center"/>
                </w:tcPr>
                <w:p w14:paraId="1CD8DA04">
                  <w:pPr>
                    <w:widowControl/>
                    <w:snapToGrid w:val="0"/>
                    <w:jc w:val="left"/>
                    <w:rPr>
                      <w:rFonts w:hint="eastAsia" w:ascii="Times New Roman" w:hAnsi="Times New Roman" w:eastAsia="宋体" w:cs="Times New Roman"/>
                      <w:color w:val="auto"/>
                      <w:szCs w:val="21"/>
                      <w:highlight w:val="none"/>
                      <w:u w:val="single"/>
                      <w:lang w:val="en-US" w:eastAsia="zh-CN"/>
                    </w:rPr>
                  </w:pPr>
                  <w:r>
                    <w:rPr>
                      <w:rFonts w:hint="eastAsia" w:ascii="Times New Roman" w:hAnsi="Times New Roman" w:eastAsia="宋体" w:cs="Times New Roman"/>
                      <w:color w:val="auto"/>
                      <w:szCs w:val="21"/>
                      <w:highlight w:val="none"/>
                      <w:u w:val="single"/>
                      <w:lang w:val="en-US" w:eastAsia="zh-CN"/>
                    </w:rPr>
                    <w:t>项目采用节能型生产设备，优化生产工艺减少物料损耗；布袋除尘器回收的生产粉尘全部回用于生产工序，提升资源利用效率；项目可按要求定期开展清洁生产审核，契合绿色低碳升级导向。</w:t>
                  </w:r>
                </w:p>
              </w:tc>
            </w:tr>
            <w:tr w14:paraId="4DFEFC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3045" w:type="pct"/>
                  <w:noWrap w:val="0"/>
                  <w:vAlign w:val="center"/>
                </w:tcPr>
                <w:p w14:paraId="1486E6F0">
                  <w:pPr>
                    <w:widowControl/>
                    <w:snapToGrid w:val="0"/>
                    <w:jc w:val="center"/>
                    <w:rPr>
                      <w:rFonts w:hint="default" w:ascii="Times New Roman" w:hAnsi="Times New Roman" w:eastAsia="宋体" w:cs="Times New Roman"/>
                      <w:b/>
                      <w:bCs/>
                      <w:color w:val="auto"/>
                      <w:szCs w:val="21"/>
                      <w:highlight w:val="none"/>
                      <w:u w:val="single"/>
                      <w:shd w:val="clear" w:color="auto" w:fill="FFFFFF"/>
                    </w:rPr>
                  </w:pPr>
                  <w:r>
                    <w:rPr>
                      <w:rFonts w:hint="default" w:ascii="Times New Roman" w:hAnsi="Times New Roman" w:eastAsia="宋体" w:cs="Times New Roman"/>
                      <w:b/>
                      <w:bCs/>
                      <w:color w:val="auto"/>
                      <w:szCs w:val="21"/>
                      <w:highlight w:val="none"/>
                      <w:u w:val="single"/>
                      <w:shd w:val="clear" w:color="auto" w:fill="FFFFFF"/>
                    </w:rPr>
                    <w:t>排污许可与精细化监管</w:t>
                  </w:r>
                </w:p>
                <w:p w14:paraId="13014FEA">
                  <w:pPr>
                    <w:widowControl/>
                    <w:snapToGrid w:val="0"/>
                    <w:jc w:val="left"/>
                    <w:rPr>
                      <w:rFonts w:hint="default" w:ascii="Times New Roman" w:hAnsi="Times New Roman" w:eastAsia="宋体" w:cs="Times New Roman"/>
                      <w:color w:val="auto"/>
                      <w:szCs w:val="21"/>
                      <w:highlight w:val="none"/>
                      <w:u w:val="single"/>
                      <w:shd w:val="clear" w:color="auto" w:fill="FFFFFF"/>
                    </w:rPr>
                  </w:pPr>
                  <w:r>
                    <w:rPr>
                      <w:rFonts w:hint="default" w:ascii="Times New Roman" w:hAnsi="Times New Roman" w:eastAsia="宋体" w:cs="Times New Roman"/>
                      <w:color w:val="auto"/>
                      <w:szCs w:val="21"/>
                      <w:highlight w:val="none"/>
                      <w:u w:val="single"/>
                      <w:shd w:val="clear" w:color="auto" w:fill="FFFFFF"/>
                    </w:rPr>
                    <w:t>（</w:t>
                  </w:r>
                  <w:r>
                    <w:rPr>
                      <w:rFonts w:hint="eastAsia" w:ascii="Times New Roman" w:hAnsi="Times New Roman" w:eastAsia="宋体" w:cs="Times New Roman"/>
                      <w:color w:val="auto"/>
                      <w:szCs w:val="21"/>
                      <w:highlight w:val="none"/>
                      <w:u w:val="single"/>
                      <w:shd w:val="clear" w:color="auto" w:fill="FFFFFF"/>
                      <w:lang w:eastAsia="zh-CN"/>
                    </w:rPr>
                    <w:t>五</w:t>
                  </w:r>
                  <w:r>
                    <w:rPr>
                      <w:rFonts w:hint="default" w:ascii="Times New Roman" w:hAnsi="Times New Roman" w:eastAsia="宋体" w:cs="Times New Roman"/>
                      <w:color w:val="auto"/>
                      <w:szCs w:val="21"/>
                      <w:highlight w:val="none"/>
                      <w:u w:val="single"/>
                      <w:shd w:val="clear" w:color="auto" w:fill="FFFFFF"/>
                    </w:rPr>
                    <w:t>、健全大气环境管理体系</w:t>
                  </w:r>
                  <w:r>
                    <w:rPr>
                      <w:rFonts w:hint="eastAsia" w:ascii="Times New Roman" w:hAnsi="Times New Roman" w:eastAsia="宋体" w:cs="Times New Roman"/>
                      <w:color w:val="auto"/>
                      <w:szCs w:val="21"/>
                      <w:highlight w:val="none"/>
                      <w:u w:val="single"/>
                      <w:shd w:val="clear" w:color="auto" w:fill="FFFFFF"/>
                      <w:lang w:val="en-US" w:eastAsia="zh-CN"/>
                    </w:rPr>
                    <w:t>-</w:t>
                  </w:r>
                  <w:r>
                    <w:rPr>
                      <w:rFonts w:hint="default" w:ascii="Times New Roman" w:hAnsi="Times New Roman" w:eastAsia="宋体" w:cs="Times New Roman"/>
                      <w:color w:val="auto"/>
                      <w:szCs w:val="21"/>
                      <w:highlight w:val="none"/>
                      <w:u w:val="single"/>
                      <w:shd w:val="clear" w:color="auto" w:fill="FFFFFF"/>
                    </w:rPr>
                    <w:t>强化依法依规监管）</w:t>
                  </w:r>
                </w:p>
                <w:p w14:paraId="73EE3D62">
                  <w:pPr>
                    <w:widowControl/>
                    <w:snapToGrid w:val="0"/>
                    <w:jc w:val="left"/>
                    <w:rPr>
                      <w:rFonts w:hint="default" w:ascii="Times New Roman" w:hAnsi="Times New Roman" w:eastAsia="宋体" w:cs="Times New Roman"/>
                      <w:color w:val="auto"/>
                      <w:szCs w:val="21"/>
                      <w:highlight w:val="none"/>
                      <w:u w:val="single"/>
                      <w:shd w:val="clear" w:color="auto" w:fill="FFFFFF"/>
                    </w:rPr>
                  </w:pPr>
                  <w:r>
                    <w:rPr>
                      <w:rFonts w:hint="default" w:ascii="Times New Roman" w:hAnsi="Times New Roman" w:eastAsia="宋体" w:cs="Times New Roman"/>
                      <w:color w:val="auto"/>
                      <w:szCs w:val="21"/>
                      <w:highlight w:val="none"/>
                      <w:u w:val="single"/>
                      <w:shd w:val="clear" w:color="auto" w:fill="FFFFFF"/>
                    </w:rPr>
                    <w:t>严格落实排污许可制度，企业按证排污，落实自行监测、环境管理台账等精细化管理要求。</w:t>
                  </w:r>
                </w:p>
              </w:tc>
              <w:tc>
                <w:tcPr>
                  <w:tcW w:w="1954" w:type="pct"/>
                  <w:noWrap w:val="0"/>
                  <w:vAlign w:val="center"/>
                </w:tcPr>
                <w:p w14:paraId="17D5CCE3">
                  <w:pPr>
                    <w:widowControl/>
                    <w:snapToGrid w:val="0"/>
                    <w:jc w:val="left"/>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u w:val="single"/>
                      <w:lang w:val="en-US" w:eastAsia="zh-CN"/>
                    </w:rPr>
                    <w:t>项目投产前将按规定申领排污许可证，建立完善的环保设施运维、污染物监测、生产运行等环境管理台账，落实颗粒物自行监测要求，确保污染物长期稳定达标排放。</w:t>
                  </w:r>
                </w:p>
              </w:tc>
            </w:tr>
          </w:tbl>
          <w:p w14:paraId="50D94CF2">
            <w:pPr>
              <w:pStyle w:val="8"/>
              <w:spacing w:line="360" w:lineRule="auto"/>
              <w:ind w:firstLine="482" w:firstLineChars="200"/>
              <w:rPr>
                <w:rFonts w:hint="eastAsia" w:ascii="Times New Roman" w:hAnsi="Times New Roman" w:eastAsia="宋体" w:cs="黑体"/>
                <w:b/>
                <w:bCs/>
                <w:color w:val="auto"/>
                <w:sz w:val="24"/>
                <w:szCs w:val="24"/>
                <w:highlight w:val="green"/>
                <w:u w:val="none" w:color="auto"/>
                <w:lang w:val="en-US" w:eastAsia="zh-CN"/>
              </w:rPr>
            </w:pPr>
          </w:p>
          <w:p w14:paraId="777178B5">
            <w:pPr>
              <w:pStyle w:val="8"/>
              <w:spacing w:line="360" w:lineRule="auto"/>
              <w:ind w:firstLine="482" w:firstLineChars="200"/>
              <w:rPr>
                <w:sz w:val="24"/>
                <w:szCs w:val="24"/>
                <w:highlight w:val="none"/>
              </w:rPr>
            </w:pPr>
            <w:r>
              <w:rPr>
                <w:rFonts w:hint="eastAsia" w:ascii="Times New Roman" w:hAnsi="Times New Roman" w:eastAsia="宋体" w:cs="黑体"/>
                <w:b/>
                <w:bCs/>
                <w:color w:val="auto"/>
                <w:sz w:val="24"/>
                <w:szCs w:val="24"/>
                <w:highlight w:val="none"/>
                <w:u w:val="none" w:color="auto"/>
                <w:lang w:val="en-US" w:eastAsia="zh-CN"/>
              </w:rPr>
              <w:t>4.</w:t>
            </w:r>
            <w:r>
              <w:rPr>
                <w:rFonts w:hint="eastAsia" w:cs="黑体"/>
                <w:b/>
                <w:bCs/>
                <w:color w:val="auto"/>
                <w:sz w:val="24"/>
                <w:szCs w:val="24"/>
                <w:highlight w:val="none"/>
                <w:u w:val="none" w:color="auto"/>
                <w:lang w:val="en-US" w:eastAsia="zh-CN"/>
              </w:rPr>
              <w:t>3</w:t>
            </w:r>
            <w:r>
              <w:rPr>
                <w:rFonts w:hint="eastAsia" w:ascii="Times New Roman" w:hAnsi="Times New Roman" w:eastAsia="宋体" w:cs="黑体"/>
                <w:b/>
                <w:bCs/>
                <w:color w:val="auto"/>
                <w:sz w:val="24"/>
                <w:szCs w:val="24"/>
                <w:highlight w:val="none"/>
                <w:u w:val="none" w:color="auto"/>
                <w:lang w:val="en-US" w:eastAsia="zh-CN"/>
              </w:rPr>
              <w:t>与《白山市空气环境质量巩固提升行动方案》、《白山市水环境质量巩固提升行动方案》相符性分析</w:t>
            </w:r>
          </w:p>
          <w:p w14:paraId="13A0EF49">
            <w:pPr>
              <w:pStyle w:val="8"/>
              <w:spacing w:line="360" w:lineRule="auto"/>
              <w:ind w:firstLine="480" w:firstLineChars="200"/>
              <w:rPr>
                <w:rFonts w:hint="eastAsia" w:cs="黑体"/>
                <w:b w:val="0"/>
                <w:bCs w:val="0"/>
                <w:color w:val="auto"/>
                <w:sz w:val="24"/>
                <w:szCs w:val="24"/>
                <w:highlight w:val="none"/>
                <w:u w:val="none" w:color="auto"/>
                <w:lang w:val="en-US" w:eastAsia="zh-CN"/>
              </w:rPr>
            </w:pPr>
            <w:r>
              <w:rPr>
                <w:rFonts w:hint="eastAsia" w:cs="黑体"/>
                <w:b w:val="0"/>
                <w:bCs w:val="0"/>
                <w:color w:val="auto"/>
                <w:sz w:val="24"/>
                <w:szCs w:val="24"/>
                <w:highlight w:val="none"/>
                <w:u w:val="none" w:color="auto"/>
                <w:lang w:val="en-US" w:eastAsia="zh-CN"/>
              </w:rPr>
              <w:t>本项目与《白山市空气环境质量巩固提升行动方案》、《白山市水环境质量巩固提升行动方案》相符性分析详见下表。</w:t>
            </w:r>
          </w:p>
          <w:p w14:paraId="4708D15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i w:val="0"/>
                <w:iCs w:val="0"/>
                <w:caps w:val="0"/>
                <w:color w:val="auto"/>
                <w:sz w:val="24"/>
                <w:szCs w:val="24"/>
                <w:highlight w:val="none"/>
                <w:u w:val="none" w:color="auto"/>
                <w:lang w:val="en-US" w:eastAsia="zh-CN"/>
              </w:rPr>
            </w:pPr>
            <w:r>
              <w:rPr>
                <w:rFonts w:hint="eastAsia" w:ascii="Times New Roman" w:hAnsi="Times New Roman" w:eastAsia="宋体" w:cs="Times New Roman"/>
                <w:b/>
                <w:i w:val="0"/>
                <w:iCs w:val="0"/>
                <w:caps w:val="0"/>
                <w:color w:val="auto"/>
                <w:sz w:val="24"/>
                <w:szCs w:val="24"/>
                <w:highlight w:val="none"/>
                <w:u w:val="none" w:color="auto"/>
                <w:lang w:val="en-US" w:eastAsia="zh-CN"/>
              </w:rPr>
              <w:t>表1-</w:t>
            </w:r>
            <w:r>
              <w:rPr>
                <w:rFonts w:hint="eastAsia" w:cs="Times New Roman"/>
                <w:b/>
                <w:i w:val="0"/>
                <w:iCs w:val="0"/>
                <w:caps w:val="0"/>
                <w:color w:val="auto"/>
                <w:sz w:val="24"/>
                <w:szCs w:val="24"/>
                <w:highlight w:val="none"/>
                <w:u w:val="none" w:color="auto"/>
                <w:lang w:val="en-US" w:eastAsia="zh-CN"/>
              </w:rPr>
              <w:t>7</w:t>
            </w:r>
            <w:r>
              <w:rPr>
                <w:rFonts w:hint="eastAsia" w:ascii="Times New Roman" w:hAnsi="Times New Roman" w:eastAsia="宋体" w:cs="Times New Roman"/>
                <w:b/>
                <w:i w:val="0"/>
                <w:iCs w:val="0"/>
                <w:caps w:val="0"/>
                <w:color w:val="auto"/>
                <w:sz w:val="24"/>
                <w:szCs w:val="24"/>
                <w:highlight w:val="none"/>
                <w:u w:val="none" w:color="auto"/>
                <w:lang w:val="en-US" w:eastAsia="zh-CN"/>
              </w:rPr>
              <w:t xml:space="preserve">  与《白山市空气质量巩固提升行动方案》、《白山市水环境质量巩固提升行动方案》符合性分析</w:t>
            </w:r>
          </w:p>
          <w:tbl>
            <w:tblPr>
              <w:tblStyle w:val="25"/>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668"/>
              <w:gridCol w:w="2997"/>
            </w:tblGrid>
            <w:tr w14:paraId="6BE579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2"/>
                  <w:noWrap w:val="0"/>
                  <w:vAlign w:val="center"/>
                </w:tcPr>
                <w:p w14:paraId="1F38245A">
                  <w:pPr>
                    <w:widowControl/>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b/>
                      <w:bCs/>
                      <w:color w:val="auto"/>
                      <w:spacing w:val="7"/>
                      <w:szCs w:val="21"/>
                      <w:highlight w:val="none"/>
                    </w:rPr>
                    <w:t>《白山市空气质量巩固提升行动方案》摘录</w:t>
                  </w:r>
                </w:p>
              </w:tc>
            </w:tr>
            <w:tr w14:paraId="54053C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45" w:type="pct"/>
                  <w:noWrap w:val="0"/>
                  <w:vAlign w:val="center"/>
                </w:tcPr>
                <w:p w14:paraId="3B9F86BF">
                  <w:pPr>
                    <w:widowControl/>
                    <w:snapToGrid w:val="0"/>
                    <w:jc w:val="center"/>
                    <w:rPr>
                      <w:rFonts w:hint="default" w:ascii="Times New Roman" w:hAnsi="Times New Roman" w:eastAsia="宋体" w:cs="Times New Roman"/>
                      <w:color w:val="auto"/>
                      <w:szCs w:val="21"/>
                      <w:highlight w:val="none"/>
                      <w:shd w:val="clear" w:color="auto" w:fill="FFFFFF"/>
                    </w:rPr>
                  </w:pPr>
                  <w:r>
                    <w:rPr>
                      <w:rFonts w:hint="default" w:ascii="Times New Roman" w:hAnsi="Times New Roman" w:eastAsia="宋体" w:cs="Times New Roman"/>
                      <w:color w:val="auto"/>
                      <w:szCs w:val="21"/>
                      <w:highlight w:val="none"/>
                      <w:shd w:val="clear" w:color="auto" w:fill="FFFFFF"/>
                    </w:rPr>
                    <w:t>严格煤炭消费总量控制。制定煤炭消费总量控制目标，加快清洁能源替代，大力提高天然气利用水平。优化调控煤炭消费，积极推广应用煤炭清洁高效利用和新型节能技术，逐步关停改造分散燃煤锅炉、热电联产以及小火电，推进煤炭清洁利用，探索绿色电厂建设。完善能源消费政策机制，加大经济政策调节力度，促进能源结构调整和节能减排。</w:t>
                  </w:r>
                </w:p>
              </w:tc>
              <w:tc>
                <w:tcPr>
                  <w:tcW w:w="1954" w:type="pct"/>
                  <w:noWrap w:val="0"/>
                  <w:vAlign w:val="center"/>
                </w:tcPr>
                <w:p w14:paraId="776253B5">
                  <w:pPr>
                    <w:widowControl/>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本项目</w:t>
                  </w:r>
                  <w:r>
                    <w:rPr>
                      <w:rFonts w:hint="eastAsia" w:ascii="Times New Roman" w:hAnsi="Times New Roman" w:eastAsia="宋体" w:cs="Times New Roman"/>
                      <w:color w:val="auto"/>
                      <w:szCs w:val="21"/>
                      <w:highlight w:val="none"/>
                      <w:lang w:eastAsia="zh-CN"/>
                    </w:rPr>
                    <w:t>不涉及燃煤锅炉</w:t>
                  </w:r>
                  <w:r>
                    <w:rPr>
                      <w:rFonts w:hint="default" w:ascii="Times New Roman" w:hAnsi="Times New Roman" w:eastAsia="宋体" w:cs="Times New Roman"/>
                      <w:color w:val="auto"/>
                      <w:szCs w:val="21"/>
                      <w:highlight w:val="none"/>
                    </w:rPr>
                    <w:t>。</w:t>
                  </w:r>
                </w:p>
              </w:tc>
            </w:tr>
            <w:tr w14:paraId="4DB603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3045" w:type="pct"/>
                  <w:noWrap w:val="0"/>
                  <w:vAlign w:val="center"/>
                </w:tcPr>
                <w:p w14:paraId="18FD7176">
                  <w:pPr>
                    <w:widowControl/>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shd w:val="clear" w:color="auto" w:fill="FFFFFF"/>
                    </w:rPr>
                    <w:t>推进工业污染源全面达标排放。推动工业污染源烟气高效脱硫脱硝、除尘改造，确保各项污染物稳定达标排放。重点排污单位要安装自动监控设备并与生态环境部门联网，对排放不达标的，加大行政处罚和联合惩戒力度，限期整改到位。加强无组织排放深度治理，提高无组织排放管控水平。</w:t>
                  </w:r>
                </w:p>
              </w:tc>
              <w:tc>
                <w:tcPr>
                  <w:tcW w:w="1954" w:type="pct"/>
                  <w:noWrap w:val="0"/>
                  <w:vAlign w:val="center"/>
                </w:tcPr>
                <w:p w14:paraId="70834E74">
                  <w:pPr>
                    <w:widowControl/>
                    <w:snapToGrid w:val="0"/>
                    <w:jc w:val="center"/>
                    <w:rPr>
                      <w:rFonts w:hint="eastAsia" w:ascii="Times New Roman" w:hAnsi="Times New Roman" w:eastAsia="宋体" w:cs="Times New Roman"/>
                      <w:color w:val="auto"/>
                      <w:szCs w:val="21"/>
                      <w:highlight w:val="none"/>
                      <w:lang w:val="en-US" w:eastAsia="zh-CN"/>
                    </w:rPr>
                  </w:pPr>
                  <w:r>
                    <w:rPr>
                      <w:rFonts w:hint="default" w:ascii="Times New Roman" w:hAnsi="Times New Roman" w:eastAsia="宋体" w:cs="Times New Roman"/>
                      <w:b w:val="0"/>
                      <w:bCs w:val="0"/>
                      <w:color w:val="auto"/>
                      <w:sz w:val="21"/>
                      <w:szCs w:val="21"/>
                      <w:highlight w:val="none"/>
                      <w:u w:val="none" w:color="auto"/>
                      <w:lang w:val="en-US" w:eastAsia="zh-CN"/>
                    </w:rPr>
                    <w:t>厂区地面全部进行水泥硬化处理，</w:t>
                  </w:r>
                  <w:r>
                    <w:rPr>
                      <w:rFonts w:hint="eastAsia" w:cs="Times New Roman"/>
                      <w:b w:val="0"/>
                      <w:bCs w:val="0"/>
                      <w:color w:val="auto"/>
                      <w:sz w:val="21"/>
                      <w:szCs w:val="21"/>
                      <w:highlight w:val="none"/>
                      <w:u w:val="none" w:color="auto"/>
                      <w:lang w:val="en-US" w:eastAsia="zh-CN"/>
                    </w:rPr>
                    <w:t>料棚</w:t>
                  </w:r>
                  <w:r>
                    <w:rPr>
                      <w:rFonts w:hint="default" w:ascii="Times New Roman" w:hAnsi="Times New Roman" w:eastAsia="宋体" w:cs="Times New Roman"/>
                      <w:b w:val="0"/>
                      <w:bCs w:val="0"/>
                      <w:color w:val="auto"/>
                      <w:sz w:val="21"/>
                      <w:szCs w:val="21"/>
                      <w:highlight w:val="none"/>
                      <w:u w:val="none" w:color="auto"/>
                      <w:lang w:val="en-US" w:eastAsia="zh-CN"/>
                    </w:rPr>
                    <w:t>采用苫布遮盖、洒水降尘，搅拌楼进行全封闭处理，粉状原料采用密闭筒仓储存，进出厂区车辆进行清洗，厂区随时清扫，定期洒水降尘</w:t>
                  </w:r>
                </w:p>
              </w:tc>
            </w:tr>
            <w:tr w14:paraId="67AB3B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2"/>
                  <w:noWrap w:val="0"/>
                  <w:vAlign w:val="center"/>
                </w:tcPr>
                <w:p w14:paraId="6C6D78CD">
                  <w:pPr>
                    <w:widowControl/>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b/>
                      <w:bCs/>
                      <w:color w:val="auto"/>
                      <w:szCs w:val="21"/>
                      <w:highlight w:val="none"/>
                      <w:shd w:val="clear" w:color="auto" w:fill="FFFFFF"/>
                    </w:rPr>
                    <w:t>《白山市水环境质量巩固提升行动方案》</w:t>
                  </w:r>
                  <w:r>
                    <w:rPr>
                      <w:rFonts w:hint="default" w:ascii="Times New Roman" w:hAnsi="Times New Roman" w:eastAsia="宋体" w:cs="Times New Roman"/>
                      <w:b/>
                      <w:bCs/>
                      <w:color w:val="auto"/>
                      <w:spacing w:val="7"/>
                      <w:szCs w:val="21"/>
                      <w:highlight w:val="none"/>
                    </w:rPr>
                    <w:t>摘录</w:t>
                  </w:r>
                </w:p>
              </w:tc>
            </w:tr>
            <w:tr w14:paraId="4A78BE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45" w:type="pct"/>
                  <w:noWrap w:val="0"/>
                  <w:vAlign w:val="center"/>
                </w:tcPr>
                <w:p w14:paraId="3A64180D">
                  <w:pPr>
                    <w:widowControl/>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shd w:val="clear" w:color="auto" w:fill="FFFFFF"/>
                    </w:rPr>
                    <w:t>推进“散乱污”企业深度整治。开展“散乱污”企业整治回头看，对存在严重涉水环境问题的企业，按照规范改造一批、扶持提升一批、搬迁入园一批的要求，分类实施整改。</w:t>
                  </w:r>
                </w:p>
              </w:tc>
              <w:tc>
                <w:tcPr>
                  <w:tcW w:w="1954" w:type="pct"/>
                  <w:noWrap w:val="0"/>
                  <w:vAlign w:val="center"/>
                </w:tcPr>
                <w:p w14:paraId="44D20C18">
                  <w:pPr>
                    <w:widowControl/>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符合</w:t>
                  </w:r>
                </w:p>
                <w:p w14:paraId="2CDFDD99">
                  <w:pPr>
                    <w:widowControl/>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i w:val="0"/>
                      <w:iCs w:val="0"/>
                      <w:color w:val="auto"/>
                      <w:sz w:val="21"/>
                      <w:szCs w:val="21"/>
                      <w:highlight w:val="none"/>
                      <w:u w:val="none" w:color="auto"/>
                      <w:lang w:val="en-US" w:eastAsia="zh-CN"/>
                    </w:rPr>
                    <w:t>本项目运营期无生产废水，生活污水排入防渗旱厕，定期清掏作农肥，</w:t>
                  </w:r>
                  <w:r>
                    <w:rPr>
                      <w:rFonts w:hint="eastAsia" w:ascii="Times New Roman" w:hAnsi="Times New Roman" w:eastAsia="宋体" w:cs="Times New Roman"/>
                      <w:i w:val="0"/>
                      <w:iCs w:val="0"/>
                      <w:color w:val="auto"/>
                      <w:sz w:val="21"/>
                      <w:szCs w:val="21"/>
                      <w:highlight w:val="none"/>
                      <w:u w:val="none" w:color="auto"/>
                      <w:lang w:val="en-US" w:eastAsia="zh-CN"/>
                    </w:rPr>
                    <w:t>不外排。</w:t>
                  </w:r>
                </w:p>
              </w:tc>
            </w:tr>
          </w:tbl>
          <w:p w14:paraId="22A2BA9E">
            <w:pPr>
              <w:pStyle w:val="8"/>
              <w:spacing w:line="360" w:lineRule="auto"/>
              <w:jc w:val="center"/>
              <w:rPr>
                <w:sz w:val="24"/>
                <w:szCs w:val="24"/>
                <w:highlight w:val="none"/>
              </w:rPr>
            </w:pPr>
          </w:p>
          <w:p w14:paraId="55DDAC67">
            <w:pPr>
              <w:pStyle w:val="8"/>
              <w:spacing w:line="360" w:lineRule="auto"/>
              <w:ind w:firstLine="480" w:firstLineChars="200"/>
              <w:rPr>
                <w:rFonts w:hint="eastAsia" w:cs="黑体"/>
                <w:b w:val="0"/>
                <w:bCs w:val="0"/>
                <w:color w:val="auto"/>
                <w:sz w:val="24"/>
                <w:szCs w:val="24"/>
                <w:highlight w:val="none"/>
                <w:u w:val="none" w:color="auto"/>
                <w:lang w:val="en-US" w:eastAsia="zh-CN"/>
              </w:rPr>
            </w:pPr>
            <w:r>
              <w:rPr>
                <w:rFonts w:hint="eastAsia" w:cs="黑体"/>
                <w:b w:val="0"/>
                <w:bCs w:val="0"/>
                <w:color w:val="auto"/>
                <w:sz w:val="24"/>
                <w:szCs w:val="24"/>
                <w:highlight w:val="none"/>
                <w:u w:val="none" w:color="auto"/>
                <w:lang w:val="en-US" w:eastAsia="zh-CN"/>
              </w:rPr>
              <w:t>综上，本项目建设符合吉林省、白山市大气、水、土壤环境质量巩固提升相关行动方案要求。</w:t>
            </w:r>
          </w:p>
          <w:p w14:paraId="631A68CE">
            <w:pPr>
              <w:pStyle w:val="8"/>
              <w:spacing w:line="360" w:lineRule="auto"/>
              <w:ind w:firstLine="482" w:firstLineChars="200"/>
              <w:rPr>
                <w:rFonts w:hint="default" w:cs="黑体"/>
                <w:b/>
                <w:bCs/>
                <w:color w:val="auto"/>
                <w:sz w:val="24"/>
                <w:szCs w:val="24"/>
                <w:highlight w:val="none"/>
                <w:u w:val="none" w:color="auto"/>
                <w:lang w:val="en-US" w:eastAsia="zh-CN"/>
              </w:rPr>
            </w:pPr>
            <w:r>
              <w:rPr>
                <w:rFonts w:hint="eastAsia" w:cs="黑体"/>
                <w:b/>
                <w:bCs/>
                <w:color w:val="auto"/>
                <w:sz w:val="24"/>
                <w:szCs w:val="24"/>
                <w:highlight w:val="none"/>
                <w:u w:val="none" w:color="auto"/>
                <w:lang w:val="en-US" w:eastAsia="zh-CN"/>
              </w:rPr>
              <w:t>4.4与《公路工程施工环境保护技术规范》（JTG/T 3602-2025）、</w:t>
            </w:r>
            <w:r>
              <w:rPr>
                <w:rFonts w:hint="eastAsia"/>
                <w:b/>
                <w:bCs/>
                <w:color w:val="auto"/>
                <w:sz w:val="24"/>
                <w:szCs w:val="24"/>
                <w:highlight w:val="none"/>
                <w:lang w:val="en-US" w:eastAsia="zh-CN"/>
              </w:rPr>
              <w:t>《公路环境保护设计规范》（JTG B04—2010）</w:t>
            </w:r>
            <w:r>
              <w:rPr>
                <w:rFonts w:hint="eastAsia" w:ascii="Times New Roman" w:hAnsi="Times New Roman" w:eastAsia="宋体" w:cs="Times New Roman"/>
                <w:b/>
                <w:i w:val="0"/>
                <w:iCs w:val="0"/>
                <w:caps w:val="0"/>
                <w:color w:val="auto"/>
                <w:sz w:val="24"/>
                <w:szCs w:val="24"/>
                <w:highlight w:val="none"/>
                <w:u w:val="none" w:color="auto"/>
                <w:lang w:val="en-US" w:eastAsia="zh-CN"/>
              </w:rPr>
              <w:t>符合性分析</w:t>
            </w:r>
          </w:p>
          <w:p w14:paraId="3E5BE914">
            <w:pPr>
              <w:pStyle w:val="8"/>
              <w:spacing w:line="360" w:lineRule="auto"/>
              <w:ind w:firstLine="482" w:firstLineChars="200"/>
              <w:jc w:val="both"/>
              <w:rPr>
                <w:rFonts w:hint="eastAsia"/>
                <w:b/>
                <w:bCs/>
                <w:color w:val="auto"/>
                <w:sz w:val="24"/>
                <w:szCs w:val="24"/>
                <w:highlight w:val="none"/>
                <w:lang w:val="en-US" w:eastAsia="zh-CN"/>
              </w:rPr>
            </w:pPr>
            <w:r>
              <w:rPr>
                <w:rFonts w:hint="eastAsia"/>
                <w:b/>
                <w:bCs/>
                <w:color w:val="auto"/>
                <w:sz w:val="24"/>
                <w:szCs w:val="24"/>
                <w:highlight w:val="none"/>
                <w:lang w:val="en-US" w:eastAsia="zh-CN"/>
              </w:rPr>
              <w:t>（一）《公路工程施工环境保护技术规范》JTG/T 3602-2025第4.4.1条（施工期拌和场站选址）</w:t>
            </w:r>
          </w:p>
          <w:p w14:paraId="19AC2E92">
            <w:pPr>
              <w:pStyle w:val="8"/>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（1）水稳/混凝土拌和站（集料拌和场）：与二类区居民集中居住区不宜小于200m；</w:t>
            </w:r>
          </w:p>
          <w:p w14:paraId="12567F32">
            <w:pPr>
              <w:pStyle w:val="8"/>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（2）场站布置在当地主导风向下风侧、严禁选址环境空气一类区、配套完整除尘、防渗、降噪、抑尘设施，废气噪声达标排放。</w:t>
            </w:r>
          </w:p>
          <w:p w14:paraId="19C8D432">
            <w:pPr>
              <w:pStyle w:val="8"/>
              <w:spacing w:line="360" w:lineRule="auto"/>
              <w:ind w:firstLine="482" w:firstLineChars="200"/>
              <w:rPr>
                <w:rFonts w:hint="eastAsia"/>
                <w:b/>
                <w:bCs/>
                <w:color w:val="auto"/>
                <w:sz w:val="24"/>
                <w:szCs w:val="24"/>
                <w:highlight w:val="none"/>
                <w:lang w:val="en-US" w:eastAsia="zh-CN"/>
              </w:rPr>
            </w:pPr>
            <w:r>
              <w:rPr>
                <w:rFonts w:hint="eastAsia"/>
                <w:b/>
                <w:bCs/>
                <w:color w:val="auto"/>
                <w:sz w:val="24"/>
                <w:szCs w:val="24"/>
                <w:highlight w:val="none"/>
                <w:lang w:val="en-US" w:eastAsia="zh-CN"/>
              </w:rPr>
              <w:t>（二）《公路环境保护设计规范》JTG B04—2010（设计阶段拌和站控制要求）</w:t>
            </w:r>
          </w:p>
          <w:p w14:paraId="0370CE07">
            <w:pPr>
              <w:pStyle w:val="8"/>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（1）水稳、普通混凝土集料拌和站：距环境敏感点不宜小于200m；</w:t>
            </w:r>
          </w:p>
          <w:p w14:paraId="522A9CCB">
            <w:pPr>
              <w:pStyle w:val="8"/>
              <w:spacing w:line="360" w:lineRule="auto"/>
              <w:ind w:firstLine="480" w:firstLineChars="200"/>
              <w:jc w:val="both"/>
              <w:rPr>
                <w:rFonts w:hint="eastAsia"/>
                <w:color w:val="auto"/>
                <w:sz w:val="24"/>
                <w:szCs w:val="24"/>
                <w:highlight w:val="none"/>
                <w:lang w:val="en-US" w:eastAsia="zh-CN"/>
              </w:rPr>
            </w:pPr>
            <w:r>
              <w:rPr>
                <w:rFonts w:hint="eastAsia"/>
                <w:color w:val="auto"/>
                <w:sz w:val="24"/>
                <w:szCs w:val="24"/>
                <w:highlight w:val="none"/>
                <w:lang w:val="en-US" w:eastAsia="zh-CN"/>
              </w:rPr>
              <w:t>（2）风向要求：场站设置在施工季最小频率风向的敏感点上风侧，降低常年废气、扬尘影响。</w:t>
            </w:r>
          </w:p>
          <w:p w14:paraId="2ECD9DA2">
            <w:pPr>
              <w:pStyle w:val="8"/>
              <w:spacing w:line="360" w:lineRule="auto"/>
              <w:ind w:firstLine="482" w:firstLineChars="200"/>
              <w:jc w:val="both"/>
              <w:rPr>
                <w:rFonts w:hint="eastAsia" w:ascii="Times New Roman" w:hAnsi="Times New Roman" w:eastAsia="宋体" w:cs="Times New Roman"/>
                <w:b/>
                <w:bCs/>
                <w:color w:val="auto"/>
                <w:sz w:val="24"/>
                <w:szCs w:val="24"/>
                <w:highlight w:val="none"/>
                <w:lang w:eastAsia="zh-CN"/>
              </w:rPr>
            </w:pPr>
            <w:r>
              <w:rPr>
                <w:rFonts w:hint="eastAsia" w:ascii="Times New Roman" w:hAnsi="Times New Roman" w:eastAsia="宋体" w:cs="Times New Roman"/>
                <w:b/>
                <w:bCs/>
                <w:color w:val="auto"/>
                <w:sz w:val="24"/>
                <w:szCs w:val="24"/>
                <w:highlight w:val="none"/>
                <w:lang w:eastAsia="zh-CN"/>
              </w:rPr>
              <w:t>项目符合性分析：</w:t>
            </w:r>
          </w:p>
          <w:p w14:paraId="1001D643">
            <w:pPr>
              <w:pStyle w:val="8"/>
              <w:spacing w:line="360" w:lineRule="auto"/>
              <w:ind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val="0"/>
                <w:bCs w:val="0"/>
                <w:color w:val="auto"/>
                <w:sz w:val="24"/>
                <w:szCs w:val="24"/>
                <w:highlight w:val="none"/>
              </w:rPr>
              <w:t>本项目中交路桥建设有限公司国道漫临线（G612）分水（县界）至临江段工程MLSG01标段拌合站和实验室项目距离本项目最近的敏感点为项目东侧约540m的西大川村居民</w:t>
            </w:r>
            <w:r>
              <w:rPr>
                <w:rFonts w:hint="default" w:ascii="Times New Roman" w:hAnsi="Times New Roman" w:eastAsia="宋体" w:cs="Times New Roman"/>
                <w:color w:val="auto"/>
                <w:sz w:val="24"/>
                <w:szCs w:val="24"/>
                <w:highlight w:val="none"/>
              </w:rPr>
              <w:t>，满足《公路工程施工环境保护技术规范》（JTG/T 3602-2025）、《公路环境保护设计规范》（JTG B04—2010）中</w:t>
            </w:r>
            <w:r>
              <w:rPr>
                <w:rFonts w:hint="eastAsia"/>
                <w:color w:val="auto"/>
                <w:sz w:val="24"/>
                <w:szCs w:val="24"/>
                <w:highlight w:val="none"/>
                <w:lang w:val="en-US" w:eastAsia="zh-CN"/>
              </w:rPr>
              <w:t>混凝土拌和站</w:t>
            </w:r>
            <w:r>
              <w:rPr>
                <w:rFonts w:hint="default" w:ascii="Times New Roman" w:hAnsi="Times New Roman" w:eastAsia="宋体" w:cs="Times New Roman"/>
                <w:color w:val="auto"/>
                <w:sz w:val="24"/>
                <w:szCs w:val="24"/>
                <w:highlight w:val="none"/>
              </w:rPr>
              <w:t>不小于200m的距离控制要求，距离符合性达标。</w:t>
            </w:r>
          </w:p>
          <w:p w14:paraId="23C7A734">
            <w:pPr>
              <w:pStyle w:val="8"/>
              <w:spacing w:line="360" w:lineRule="auto"/>
              <w:ind w:firstLine="480" w:firstLineChars="200"/>
              <w:jc w:val="both"/>
              <w:rPr>
                <w:rFonts w:hint="default" w:ascii="Times New Roman" w:hAnsi="Times New Roman"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eastAsia="zh-CN"/>
              </w:rPr>
              <w:t>白山市临江市</w:t>
            </w:r>
            <w:r>
              <w:rPr>
                <w:rFonts w:hint="default" w:ascii="Times New Roman" w:hAnsi="Times New Roman" w:eastAsia="宋体" w:cs="Times New Roman"/>
                <w:color w:val="auto"/>
                <w:sz w:val="24"/>
                <w:szCs w:val="24"/>
                <w:highlight w:val="none"/>
              </w:rPr>
              <w:t>桦树镇常年主导风向为西南风，拌和站位于居民区西南风</w:t>
            </w:r>
            <w:r>
              <w:rPr>
                <w:rFonts w:hint="eastAsia" w:ascii="Times New Roman" w:hAnsi="Times New Roman" w:eastAsia="宋体" w:cs="Times New Roman"/>
                <w:color w:val="auto"/>
                <w:sz w:val="24"/>
                <w:szCs w:val="24"/>
                <w:highlight w:val="none"/>
                <w:lang w:eastAsia="zh-CN"/>
              </w:rPr>
              <w:t>向的侧</w:t>
            </w:r>
            <w:r>
              <w:rPr>
                <w:rFonts w:hint="default" w:ascii="Times New Roman" w:hAnsi="Times New Roman" w:eastAsia="宋体" w:cs="Times New Roman"/>
                <w:color w:val="auto"/>
                <w:sz w:val="24"/>
                <w:szCs w:val="24"/>
                <w:highlight w:val="none"/>
              </w:rPr>
              <w:t>上风</w:t>
            </w:r>
            <w:r>
              <w:rPr>
                <w:rFonts w:hint="eastAsia" w:ascii="Times New Roman" w:hAnsi="Times New Roman" w:eastAsia="宋体" w:cs="Times New Roman"/>
                <w:color w:val="auto"/>
                <w:sz w:val="24"/>
                <w:szCs w:val="24"/>
                <w:highlight w:val="none"/>
                <w:lang w:eastAsia="zh-CN"/>
              </w:rPr>
              <w:t>向</w:t>
            </w:r>
            <w:r>
              <w:rPr>
                <w:rFonts w:hint="default" w:ascii="Times New Roman" w:hAnsi="Times New Roman" w:eastAsia="宋体" w:cs="Times New Roman"/>
                <w:color w:val="auto"/>
                <w:sz w:val="24"/>
                <w:szCs w:val="24"/>
                <w:highlight w:val="none"/>
              </w:rPr>
              <w:t>，与规范拌和站下风侧选址要求不符，春季西南大风工况扬尘易扩散至居民区。因线路线型、征地条件、运距约束等客观条件限制，拌和站不具备重新选址条件，项目采取全套强化环保削减措施抵消风向不利带来的环境影响：采取全场密闭筒仓（储罐）、不间断喷淋、大风天停工、限时生产、运输密闭冲洗等综合抑尘措施，大幅削减顺风扬尘影响，叠加环境跟踪监测，可将不利环境影响控制在可接受范围。</w:t>
            </w:r>
          </w:p>
          <w:p w14:paraId="380FC536">
            <w:pPr>
              <w:pStyle w:val="8"/>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综上，经上述措施处理后，项目满足《公路工程施工环境保护技术规范》（JTG/T 3602-2025）、《公路环境保护设计规范》（JTG B04—2010）要求。</w:t>
            </w:r>
          </w:p>
          <w:p w14:paraId="786DF03C">
            <w:pPr>
              <w:pStyle w:val="8"/>
              <w:spacing w:line="360" w:lineRule="auto"/>
              <w:ind w:firstLine="480" w:firstLineChars="200"/>
              <w:rPr>
                <w:rFonts w:hint="eastAsia"/>
                <w:color w:val="auto"/>
                <w:sz w:val="24"/>
                <w:szCs w:val="24"/>
                <w:highlight w:val="none"/>
                <w:lang w:val="en-US" w:eastAsia="zh-CN"/>
              </w:rPr>
            </w:pPr>
          </w:p>
          <w:p w14:paraId="10844FC6">
            <w:pPr>
              <w:pStyle w:val="8"/>
              <w:spacing w:line="360" w:lineRule="auto"/>
              <w:ind w:firstLine="480" w:firstLineChars="200"/>
              <w:rPr>
                <w:rFonts w:hint="eastAsia"/>
                <w:color w:val="auto"/>
                <w:sz w:val="24"/>
                <w:szCs w:val="24"/>
                <w:highlight w:val="none"/>
                <w:lang w:val="en-US" w:eastAsia="zh-CN"/>
              </w:rPr>
            </w:pPr>
          </w:p>
          <w:p w14:paraId="26625FA7">
            <w:pPr>
              <w:pStyle w:val="8"/>
              <w:spacing w:line="360" w:lineRule="auto"/>
              <w:ind w:firstLine="480" w:firstLineChars="200"/>
              <w:rPr>
                <w:rFonts w:hint="eastAsia"/>
                <w:color w:val="FF0000"/>
                <w:sz w:val="24"/>
                <w:szCs w:val="24"/>
                <w:highlight w:val="none"/>
                <w:lang w:val="en-US" w:eastAsia="zh-CN"/>
              </w:rPr>
            </w:pPr>
          </w:p>
          <w:p w14:paraId="5CFF7E35">
            <w:pPr>
              <w:pStyle w:val="8"/>
              <w:spacing w:line="360" w:lineRule="auto"/>
              <w:ind w:firstLine="480" w:firstLineChars="200"/>
              <w:rPr>
                <w:rFonts w:hint="eastAsia"/>
                <w:color w:val="FF0000"/>
                <w:sz w:val="24"/>
                <w:szCs w:val="24"/>
                <w:highlight w:val="none"/>
                <w:lang w:val="en-US" w:eastAsia="zh-CN"/>
              </w:rPr>
            </w:pPr>
          </w:p>
          <w:p w14:paraId="4809F221">
            <w:pPr>
              <w:pStyle w:val="8"/>
              <w:spacing w:line="360" w:lineRule="auto"/>
              <w:ind w:firstLine="480" w:firstLineChars="200"/>
              <w:rPr>
                <w:rFonts w:hint="eastAsia"/>
                <w:color w:val="FF0000"/>
                <w:sz w:val="24"/>
                <w:szCs w:val="24"/>
                <w:highlight w:val="none"/>
                <w:lang w:val="en-US" w:eastAsia="zh-CN"/>
              </w:rPr>
            </w:pPr>
          </w:p>
          <w:p w14:paraId="3253F039">
            <w:pPr>
              <w:pStyle w:val="8"/>
              <w:spacing w:line="360" w:lineRule="auto"/>
              <w:ind w:firstLine="480" w:firstLineChars="200"/>
              <w:rPr>
                <w:rFonts w:hint="eastAsia"/>
                <w:color w:val="FF0000"/>
                <w:sz w:val="24"/>
                <w:szCs w:val="24"/>
                <w:highlight w:val="none"/>
                <w:lang w:val="en-US" w:eastAsia="zh-CN"/>
              </w:rPr>
            </w:pPr>
          </w:p>
          <w:p w14:paraId="6C8A799B">
            <w:pPr>
              <w:pStyle w:val="8"/>
              <w:spacing w:line="360" w:lineRule="auto"/>
              <w:ind w:firstLine="480" w:firstLineChars="200"/>
              <w:rPr>
                <w:rFonts w:hint="eastAsia"/>
                <w:color w:val="FF0000"/>
                <w:sz w:val="24"/>
                <w:szCs w:val="24"/>
                <w:highlight w:val="none"/>
                <w:lang w:val="en-US" w:eastAsia="zh-CN"/>
              </w:rPr>
            </w:pPr>
          </w:p>
          <w:p w14:paraId="60CADEBF">
            <w:pPr>
              <w:pStyle w:val="8"/>
              <w:spacing w:line="360" w:lineRule="auto"/>
              <w:ind w:firstLine="480" w:firstLineChars="200"/>
              <w:rPr>
                <w:rFonts w:hint="eastAsia"/>
                <w:color w:val="FF0000"/>
                <w:sz w:val="24"/>
                <w:szCs w:val="24"/>
                <w:highlight w:val="none"/>
                <w:lang w:val="en-US" w:eastAsia="zh-CN"/>
              </w:rPr>
            </w:pPr>
          </w:p>
          <w:p w14:paraId="76A6283D">
            <w:pPr>
              <w:pStyle w:val="8"/>
              <w:spacing w:line="360" w:lineRule="auto"/>
              <w:ind w:firstLine="480" w:firstLineChars="200"/>
              <w:rPr>
                <w:rFonts w:hint="eastAsia"/>
                <w:color w:val="FF0000"/>
                <w:sz w:val="24"/>
                <w:szCs w:val="24"/>
                <w:highlight w:val="none"/>
                <w:lang w:val="en-US" w:eastAsia="zh-CN"/>
              </w:rPr>
            </w:pPr>
          </w:p>
          <w:p w14:paraId="62DBDEE4">
            <w:pPr>
              <w:pStyle w:val="8"/>
              <w:spacing w:line="360" w:lineRule="auto"/>
              <w:ind w:firstLine="480" w:firstLineChars="200"/>
              <w:rPr>
                <w:rFonts w:hint="eastAsia"/>
                <w:color w:val="FF0000"/>
                <w:sz w:val="24"/>
                <w:szCs w:val="24"/>
                <w:highlight w:val="none"/>
                <w:lang w:val="en-US" w:eastAsia="zh-CN"/>
              </w:rPr>
            </w:pPr>
          </w:p>
          <w:p w14:paraId="5757F386">
            <w:pPr>
              <w:pStyle w:val="8"/>
              <w:spacing w:line="360" w:lineRule="auto"/>
              <w:ind w:firstLine="480" w:firstLineChars="200"/>
              <w:rPr>
                <w:rFonts w:hint="eastAsia"/>
                <w:color w:val="FF0000"/>
                <w:sz w:val="24"/>
                <w:szCs w:val="24"/>
                <w:highlight w:val="none"/>
                <w:lang w:val="en-US" w:eastAsia="zh-CN"/>
              </w:rPr>
            </w:pPr>
          </w:p>
          <w:p w14:paraId="39AFACA3">
            <w:pPr>
              <w:pStyle w:val="8"/>
              <w:spacing w:line="360" w:lineRule="auto"/>
              <w:ind w:firstLine="480" w:firstLineChars="200"/>
              <w:rPr>
                <w:rFonts w:hint="eastAsia"/>
                <w:color w:val="FF0000"/>
                <w:sz w:val="24"/>
                <w:szCs w:val="24"/>
                <w:highlight w:val="none"/>
                <w:lang w:val="en-US" w:eastAsia="zh-CN"/>
              </w:rPr>
            </w:pPr>
          </w:p>
          <w:p w14:paraId="1E35E4FE">
            <w:pPr>
              <w:pStyle w:val="8"/>
              <w:spacing w:line="360" w:lineRule="auto"/>
              <w:ind w:firstLine="480" w:firstLineChars="200"/>
              <w:rPr>
                <w:rFonts w:hint="eastAsia"/>
                <w:color w:val="FF0000"/>
                <w:sz w:val="24"/>
                <w:szCs w:val="24"/>
                <w:highlight w:val="none"/>
                <w:lang w:val="en-US" w:eastAsia="zh-CN"/>
              </w:rPr>
            </w:pPr>
          </w:p>
          <w:p w14:paraId="620F4FAD">
            <w:pPr>
              <w:pStyle w:val="8"/>
              <w:spacing w:line="360" w:lineRule="auto"/>
              <w:ind w:firstLine="480" w:firstLineChars="200"/>
              <w:rPr>
                <w:rFonts w:hint="default"/>
                <w:color w:val="FF0000"/>
                <w:sz w:val="24"/>
                <w:szCs w:val="24"/>
                <w:highlight w:val="cyan"/>
                <w:lang w:val="en-US" w:eastAsia="zh-CN"/>
              </w:rPr>
            </w:pPr>
          </w:p>
        </w:tc>
      </w:tr>
    </w:tbl>
    <w:p w14:paraId="706B232B">
      <w:pPr>
        <w:spacing w:line="360" w:lineRule="auto"/>
        <w:outlineLvl w:val="0"/>
        <w:rPr>
          <w:rFonts w:eastAsia="黑体"/>
          <w:sz w:val="30"/>
          <w:highlight w:val="cyan"/>
        </w:rPr>
        <w:sectPr>
          <w:footerReference r:id="rId4"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4A50650F">
      <w:pPr>
        <w:pStyle w:val="21"/>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outlineLvl w:val="0"/>
        <w:rPr>
          <w:rFonts w:hint="eastAsia" w:ascii="黑体" w:hAnsi="黑体" w:eastAsia="黑体" w:cs="Times New Roman"/>
          <w:snapToGrid w:val="0"/>
          <w:color w:val="auto"/>
          <w:sz w:val="30"/>
          <w:szCs w:val="30"/>
          <w:highlight w:val="none"/>
          <w:u w:val="none" w:color="auto"/>
        </w:rPr>
      </w:pPr>
      <w:r>
        <w:rPr>
          <w:rFonts w:hint="eastAsia" w:ascii="黑体" w:hAnsi="黑体" w:eastAsia="黑体" w:cs="Times New Roman"/>
          <w:snapToGrid w:val="0"/>
          <w:color w:val="auto"/>
          <w:sz w:val="30"/>
          <w:szCs w:val="30"/>
          <w:highlight w:val="none"/>
          <w:u w:val="none" w:color="auto"/>
        </w:rPr>
        <w:t>二、建设项目工程分析</w:t>
      </w:r>
    </w:p>
    <w:tbl>
      <w:tblPr>
        <w:tblStyle w:val="2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33"/>
        <w:gridCol w:w="8527"/>
      </w:tblGrid>
      <w:tr w14:paraId="531C7D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3" w:type="dxa"/>
            <w:noWrap w:val="0"/>
            <w:vAlign w:val="center"/>
          </w:tcPr>
          <w:p w14:paraId="3042BF7F">
            <w:pPr>
              <w:pStyle w:val="21"/>
              <w:adjustRightInd w:val="0"/>
              <w:snapToGrid w:val="0"/>
              <w:spacing w:before="0" w:beforeAutospacing="0" w:after="0" w:afterAutospacing="0"/>
              <w:jc w:val="center"/>
              <w:rPr>
                <w:rFonts w:cs="宋体"/>
                <w:sz w:val="24"/>
                <w:szCs w:val="24"/>
                <w:highlight w:val="none"/>
              </w:rPr>
            </w:pPr>
            <w:r>
              <w:rPr>
                <w:rFonts w:hint="eastAsia" w:cs="宋体"/>
                <w:b/>
                <w:bCs/>
                <w:sz w:val="24"/>
                <w:szCs w:val="24"/>
                <w:highlight w:val="none"/>
              </w:rPr>
              <w:t>建设内容</w:t>
            </w:r>
          </w:p>
        </w:tc>
        <w:tc>
          <w:tcPr>
            <w:tcW w:w="8527" w:type="dxa"/>
            <w:noWrap w:val="0"/>
            <w:vAlign w:val="top"/>
          </w:tcPr>
          <w:p w14:paraId="315DB0E8">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2" w:firstLineChars="200"/>
              <w:textAlignment w:val="auto"/>
              <w:rPr>
                <w:rFonts w:hint="default" w:ascii="Times New Roman" w:hAnsi="Times New Roman" w:eastAsia="宋体" w:cs="Times New Roman"/>
                <w:b w:val="0"/>
                <w:bCs w:val="0"/>
                <w:color w:val="auto"/>
                <w:sz w:val="24"/>
                <w:szCs w:val="24"/>
                <w:highlight w:val="none"/>
                <w:u w:val="none" w:color="auto"/>
                <w:lang w:val="en-US" w:eastAsia="zh-CN"/>
              </w:rPr>
            </w:pPr>
            <w:r>
              <w:rPr>
                <w:rFonts w:hint="eastAsia" w:ascii="Times New Roman" w:hAnsi="Times New Roman" w:eastAsia="宋体" w:cs="Times New Roman"/>
                <w:b/>
                <w:bCs/>
                <w:color w:val="auto"/>
                <w:kern w:val="2"/>
                <w:sz w:val="24"/>
                <w:szCs w:val="24"/>
                <w:highlight w:val="none"/>
                <w:u w:val="none"/>
                <w:lang w:val="en-US" w:eastAsia="zh-CN" w:bidi="ar-SA"/>
              </w:rPr>
              <w:t>1、</w:t>
            </w:r>
            <w:r>
              <w:rPr>
                <w:rFonts w:hint="eastAsia" w:ascii="Times New Roman" w:hAnsi="Times New Roman" w:eastAsia="宋体" w:cs="宋体"/>
                <w:b/>
                <w:bCs/>
                <w:color w:val="auto"/>
                <w:kern w:val="0"/>
                <w:sz w:val="24"/>
                <w:szCs w:val="24"/>
                <w:highlight w:val="none"/>
                <w:u w:val="none" w:color="auto"/>
                <w:lang w:val="en-US" w:eastAsia="zh-CN" w:bidi="ar-SA"/>
              </w:rPr>
              <w:t>建设地点</w:t>
            </w:r>
            <w:r>
              <w:rPr>
                <w:rFonts w:hint="eastAsia" w:cs="宋体"/>
                <w:b/>
                <w:bCs/>
                <w:color w:val="auto"/>
                <w:kern w:val="0"/>
                <w:sz w:val="24"/>
                <w:szCs w:val="24"/>
                <w:highlight w:val="none"/>
                <w:u w:val="none" w:color="auto"/>
                <w:lang w:val="en-US" w:eastAsia="zh-CN" w:bidi="ar-SA"/>
              </w:rPr>
              <w:t>及周围环境概况</w:t>
            </w:r>
          </w:p>
          <w:p w14:paraId="214F9014">
            <w:pPr>
              <w:spacing w:line="360" w:lineRule="auto"/>
              <w:ind w:firstLine="480" w:firstLineChars="200"/>
              <w:rPr>
                <w:rFonts w:hint="default" w:ascii="Times New Roman" w:hAnsi="Times New Roman" w:cs="Times New Roman"/>
                <w:color w:val="auto"/>
                <w:sz w:val="24"/>
                <w:szCs w:val="24"/>
                <w:highlight w:val="none"/>
              </w:rPr>
            </w:pPr>
            <w:r>
              <w:rPr>
                <w:rFonts w:hint="eastAsia" w:ascii="Times New Roman" w:hAnsi="Times New Roman" w:eastAsia="宋体" w:cs="宋体"/>
                <w:color w:val="auto"/>
                <w:sz w:val="24"/>
                <w:highlight w:val="none"/>
                <w:u w:val="none" w:color="auto"/>
                <w:lang w:eastAsia="zh-CN"/>
              </w:rPr>
              <w:t>本项目</w:t>
            </w:r>
            <w:r>
              <w:rPr>
                <w:rFonts w:hint="eastAsia" w:ascii="Times New Roman" w:hAnsi="Times New Roman" w:eastAsia="宋体" w:cs="宋体"/>
                <w:color w:val="auto"/>
                <w:sz w:val="24"/>
                <w:highlight w:val="none"/>
                <w:u w:val="none" w:color="auto"/>
                <w:lang w:val="en-US" w:eastAsia="zh-CN"/>
              </w:rPr>
              <w:t>位于临江市桦树镇西大川村</w:t>
            </w:r>
            <w:r>
              <w:rPr>
                <w:rFonts w:hint="default" w:ascii="Times New Roman" w:hAnsi="Times New Roman" w:eastAsia="宋体" w:cs="Times New Roman"/>
                <w:color w:val="auto"/>
                <w:sz w:val="24"/>
                <w:highlight w:val="none"/>
                <w:u w:val="none" w:color="auto"/>
                <w:lang w:val="en-US" w:eastAsia="zh-CN"/>
              </w:rPr>
              <w:t>，</w:t>
            </w:r>
            <w:r>
              <w:rPr>
                <w:rFonts w:hint="default" w:ascii="Times New Roman" w:hAnsi="Times New Roman" w:cs="Times New Roman"/>
                <w:color w:val="auto"/>
                <w:sz w:val="24"/>
                <w:szCs w:val="24"/>
                <w:highlight w:val="none"/>
              </w:rPr>
              <w:t>项目厂界</w:t>
            </w:r>
            <w:r>
              <w:rPr>
                <w:rFonts w:hint="default" w:ascii="Times New Roman" w:hAnsi="Times New Roman" w:cs="Times New Roman"/>
                <w:color w:val="auto"/>
                <w:sz w:val="24"/>
                <w:szCs w:val="24"/>
                <w:highlight w:val="none"/>
                <w:lang w:val="en-US" w:eastAsia="zh-CN"/>
              </w:rPr>
              <w:t>东北侧为</w:t>
            </w:r>
            <w:r>
              <w:rPr>
                <w:rFonts w:hint="default" w:ascii="Times New Roman" w:hAnsi="Times New Roman" w:cs="Times New Roman"/>
                <w:color w:val="auto"/>
                <w:sz w:val="24"/>
                <w:szCs w:val="32"/>
                <w:highlight w:val="none"/>
                <w:lang w:val="en-US" w:eastAsia="zh-CN"/>
              </w:rPr>
              <w:t>临江市长白山生态产业园</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32"/>
                <w:highlight w:val="none"/>
                <w:lang w:val="en-US" w:eastAsia="zh-CN"/>
              </w:rPr>
              <w:t>东南侧</w:t>
            </w:r>
            <w:r>
              <w:rPr>
                <w:rFonts w:hint="default" w:ascii="Times New Roman" w:hAnsi="Times New Roman" w:cs="Times New Roman"/>
                <w:color w:val="auto"/>
                <w:sz w:val="24"/>
                <w:szCs w:val="24"/>
                <w:highlight w:val="none"/>
                <w:lang w:val="en-US" w:eastAsia="zh-CN"/>
              </w:rPr>
              <w:t>为</w:t>
            </w:r>
            <w:r>
              <w:rPr>
                <w:rFonts w:hint="default" w:ascii="Times New Roman" w:hAnsi="Times New Roman" w:cs="Times New Roman"/>
                <w:color w:val="auto"/>
                <w:sz w:val="24"/>
                <w:szCs w:val="32"/>
                <w:highlight w:val="none"/>
                <w:lang w:val="en-US" w:eastAsia="zh-CN"/>
              </w:rPr>
              <w:t>砂石路，隔砂石路为中交路桥建设有限公司国道漫临线（G612）分水（县界）至临江段工程MLSG01标段预制梁场项目预留场地</w:t>
            </w:r>
            <w:r>
              <w:rPr>
                <w:rFonts w:hint="default" w:ascii="Times New Roman" w:hAnsi="Times New Roman" w:cs="Times New Roman"/>
                <w:color w:val="auto"/>
                <w:sz w:val="24"/>
                <w:szCs w:val="24"/>
                <w:highlight w:val="none"/>
                <w:lang w:val="en-US" w:eastAsia="zh-CN"/>
              </w:rPr>
              <w:t>，西北侧和西南侧为林地。</w:t>
            </w:r>
            <w:r>
              <w:rPr>
                <w:rFonts w:hint="default" w:ascii="Times New Roman" w:hAnsi="Times New Roman" w:cs="Times New Roman"/>
                <w:color w:val="auto"/>
                <w:sz w:val="24"/>
                <w:szCs w:val="24"/>
                <w:highlight w:val="none"/>
                <w:shd w:val="clear"/>
                <w:lang w:val="en-US" w:eastAsia="zh-CN"/>
              </w:rPr>
              <w:t>距离本项目最近的敏感点为项目东侧约540m的西大川村</w:t>
            </w:r>
            <w:r>
              <w:rPr>
                <w:rFonts w:hint="default" w:ascii="Times New Roman" w:hAnsi="Times New Roman" w:cs="Times New Roman"/>
                <w:color w:val="auto"/>
                <w:sz w:val="24"/>
                <w:szCs w:val="24"/>
                <w:highlight w:val="none"/>
                <w:shd w:val="clear"/>
              </w:rPr>
              <w:t>居民</w:t>
            </w:r>
            <w:r>
              <w:rPr>
                <w:rFonts w:hint="default" w:ascii="Times New Roman" w:hAnsi="Times New Roman" w:cs="Times New Roman"/>
                <w:color w:val="auto"/>
                <w:sz w:val="24"/>
                <w:szCs w:val="24"/>
                <w:highlight w:val="none"/>
              </w:rPr>
              <w:t>。</w:t>
            </w:r>
          </w:p>
          <w:p w14:paraId="71B70C5E">
            <w:pPr>
              <w:spacing w:line="360" w:lineRule="auto"/>
              <w:ind w:firstLine="480" w:firstLineChars="200"/>
              <w:rPr>
                <w:rFonts w:hint="default" w:ascii="Times New Roman" w:hAnsi="Times New Roman" w:eastAsia="宋体" w:cs="宋体"/>
                <w:color w:val="auto"/>
                <w:sz w:val="24"/>
                <w:highlight w:val="none"/>
                <w:u w:val="none" w:color="auto"/>
                <w:lang w:val="en-US" w:eastAsia="zh-CN"/>
              </w:rPr>
            </w:pPr>
            <w:r>
              <w:rPr>
                <w:rFonts w:hint="eastAsia" w:ascii="Times New Roman" w:hAnsi="Times New Roman" w:eastAsia="宋体" w:cs="宋体"/>
                <w:color w:val="auto"/>
                <w:sz w:val="24"/>
                <w:highlight w:val="none"/>
                <w:u w:val="none" w:color="auto"/>
                <w:lang w:val="en-US" w:eastAsia="zh-CN"/>
              </w:rPr>
              <w:t>项目地理位置详见附图1</w:t>
            </w:r>
            <w:r>
              <w:rPr>
                <w:rFonts w:hint="eastAsia" w:cs="宋体"/>
                <w:color w:val="auto"/>
                <w:sz w:val="24"/>
                <w:highlight w:val="none"/>
                <w:u w:val="none" w:color="auto"/>
                <w:lang w:val="en-US" w:eastAsia="zh-CN"/>
              </w:rPr>
              <w:t>，</w:t>
            </w:r>
            <w:r>
              <w:rPr>
                <w:rFonts w:hint="eastAsia"/>
                <w:color w:val="auto"/>
                <w:sz w:val="24"/>
                <w:highlight w:val="none"/>
                <w:u w:val="none" w:color="auto"/>
                <w:lang w:val="en-US" w:eastAsia="zh-CN"/>
              </w:rPr>
              <w:t>厂区平面布置及周围环境关系图</w:t>
            </w:r>
            <w:r>
              <w:rPr>
                <w:rFonts w:hint="eastAsia" w:ascii="Times New Roman" w:hAnsi="Times New Roman" w:eastAsia="宋体" w:cs="宋体"/>
                <w:color w:val="auto"/>
                <w:sz w:val="24"/>
                <w:highlight w:val="none"/>
                <w:u w:val="none" w:color="auto"/>
                <w:lang w:val="en-US" w:eastAsia="zh-CN"/>
              </w:rPr>
              <w:t>详见附图3。</w:t>
            </w:r>
          </w:p>
          <w:p w14:paraId="701BBF3B">
            <w:pPr>
              <w:adjustRightInd w:val="0"/>
              <w:spacing w:line="360" w:lineRule="auto"/>
              <w:ind w:firstLine="482" w:firstLineChars="200"/>
              <w:rPr>
                <w:rFonts w:hint="eastAsia" w:eastAsia="宋体"/>
                <w:b/>
                <w:bCs/>
                <w:color w:val="auto"/>
                <w:sz w:val="24"/>
                <w:szCs w:val="24"/>
                <w:highlight w:val="none"/>
                <w:lang w:eastAsia="zh-CN"/>
              </w:rPr>
            </w:pPr>
            <w:r>
              <w:rPr>
                <w:rFonts w:hint="eastAsia"/>
                <w:b/>
                <w:bCs/>
                <w:color w:val="auto"/>
                <w:sz w:val="24"/>
                <w:szCs w:val="24"/>
                <w:highlight w:val="none"/>
                <w:lang w:val="en-US" w:eastAsia="zh-CN"/>
              </w:rPr>
              <w:t>2</w:t>
            </w:r>
            <w:r>
              <w:rPr>
                <w:rFonts w:hint="eastAsia"/>
                <w:b/>
                <w:bCs/>
                <w:color w:val="auto"/>
                <w:sz w:val="24"/>
                <w:szCs w:val="24"/>
                <w:highlight w:val="none"/>
              </w:rPr>
              <w:t>、</w:t>
            </w:r>
            <w:r>
              <w:rPr>
                <w:rFonts w:hint="eastAsia"/>
                <w:b/>
                <w:bCs/>
                <w:color w:val="auto"/>
                <w:sz w:val="24"/>
                <w:szCs w:val="24"/>
                <w:highlight w:val="none"/>
                <w:lang w:eastAsia="zh-CN"/>
              </w:rPr>
              <w:t>建设规模及工程组成</w:t>
            </w:r>
          </w:p>
          <w:p w14:paraId="2920BB66">
            <w:pPr>
              <w:pStyle w:val="35"/>
              <w:keepNext w:val="0"/>
              <w:keepLines w:val="0"/>
              <w:pageBreakBefore w:val="0"/>
              <w:widowControl w:val="0"/>
              <w:numPr>
                <w:ilvl w:val="0"/>
                <w:numId w:val="0"/>
              </w:numPr>
              <w:kinsoku/>
              <w:wordWrap/>
              <w:overflowPunct/>
              <w:topLinePunct w:val="0"/>
              <w:autoSpaceDE w:val="0"/>
              <w:autoSpaceDN w:val="0"/>
              <w:bidi w:val="0"/>
              <w:adjustRightInd w:val="0"/>
              <w:spacing w:line="360" w:lineRule="auto"/>
              <w:ind w:firstLine="480" w:firstLineChars="200"/>
              <w:textAlignment w:val="auto"/>
              <w:rPr>
                <w:rFonts w:hint="default" w:ascii="Times New Roman" w:hAnsi="Times New Roman" w:eastAsia="宋体" w:cs="Times New Roman"/>
                <w:color w:val="auto"/>
                <w:highlight w:val="cyan"/>
                <w:u w:val="none" w:color="auto"/>
              </w:rPr>
            </w:pPr>
            <w:r>
              <w:rPr>
                <w:rFonts w:hint="default" w:ascii="Times New Roman" w:hAnsi="Times New Roman" w:eastAsia="宋体" w:cs="Times New Roman"/>
                <w:color w:val="auto"/>
                <w:highlight w:val="none"/>
                <w:u w:val="none" w:color="auto"/>
              </w:rPr>
              <w:t>本项目</w:t>
            </w:r>
            <w:r>
              <w:rPr>
                <w:rFonts w:hint="eastAsia" w:ascii="Times New Roman" w:hAnsi="Times New Roman" w:eastAsia="宋体" w:cs="Times New Roman"/>
                <w:color w:val="auto"/>
                <w:highlight w:val="none"/>
                <w:u w:val="none" w:color="auto"/>
                <w:lang w:val="en-US" w:eastAsia="zh-CN"/>
              </w:rPr>
              <w:t>为国道漫临线（G612）分水（县界）至临江段工程MLSG01标段工程配套的临时工程，项目</w:t>
            </w:r>
            <w:r>
              <w:rPr>
                <w:rFonts w:hint="default" w:ascii="Times New Roman" w:hAnsi="Times New Roman" w:eastAsia="宋体" w:cs="Times New Roman"/>
                <w:color w:val="auto"/>
                <w:sz w:val="24"/>
                <w:highlight w:val="none"/>
                <w:u w:val="none" w:color="auto"/>
                <w:lang w:eastAsia="zh-CN"/>
              </w:rPr>
              <w:t>购置</w:t>
            </w:r>
            <w:r>
              <w:rPr>
                <w:rFonts w:hint="eastAsia" w:ascii="Times New Roman" w:hAnsi="Times New Roman" w:eastAsia="宋体" w:cs="Times New Roman"/>
                <w:color w:val="auto"/>
                <w:sz w:val="24"/>
                <w:highlight w:val="none"/>
                <w:u w:val="none" w:color="auto"/>
                <w:lang w:val="en-US" w:eastAsia="zh-CN"/>
              </w:rPr>
              <w:t>搅拌站设备、铲车、罐车等</w:t>
            </w:r>
            <w:r>
              <w:rPr>
                <w:rFonts w:hint="default" w:ascii="Times New Roman" w:hAnsi="Times New Roman" w:eastAsia="宋体" w:cs="Times New Roman"/>
                <w:color w:val="auto"/>
                <w:sz w:val="24"/>
                <w:highlight w:val="none"/>
                <w:u w:val="none" w:color="auto"/>
                <w:lang w:eastAsia="zh-CN"/>
              </w:rPr>
              <w:t>，</w:t>
            </w:r>
            <w:r>
              <w:rPr>
                <w:rFonts w:hint="eastAsia" w:ascii="Times New Roman" w:hAnsi="Times New Roman" w:eastAsia="宋体" w:cs="Times New Roman"/>
                <w:color w:val="auto"/>
                <w:sz w:val="24"/>
                <w:highlight w:val="none"/>
                <w:u w:val="none" w:color="auto"/>
                <w:lang w:val="en-US" w:eastAsia="zh-CN"/>
              </w:rPr>
              <w:t>新建化验室、搅拌站作业区等，厂区地面全部进行混凝土硬化</w:t>
            </w:r>
            <w:r>
              <w:rPr>
                <w:rFonts w:hint="eastAsia" w:ascii="Times New Roman" w:hAnsi="Times New Roman" w:eastAsia="宋体" w:cs="Times New Roman"/>
                <w:color w:val="auto"/>
                <w:sz w:val="24"/>
                <w:highlight w:val="none"/>
                <w:u w:val="none" w:color="auto"/>
                <w:lang w:eastAsia="zh-CN"/>
              </w:rPr>
              <w:t>，</w:t>
            </w:r>
            <w:r>
              <w:rPr>
                <w:rFonts w:hint="default" w:ascii="Times New Roman" w:hAnsi="Times New Roman" w:eastAsia="宋体" w:cs="Times New Roman"/>
                <w:color w:val="auto"/>
                <w:sz w:val="24"/>
                <w:szCs w:val="24"/>
                <w:highlight w:val="none"/>
                <w:u w:val="none" w:color="auto"/>
              </w:rPr>
              <w:t>年产商品混凝土</w:t>
            </w:r>
            <w:r>
              <w:rPr>
                <w:rFonts w:hint="eastAsia" w:ascii="Times New Roman" w:hAnsi="Times New Roman" w:eastAsia="宋体" w:cs="Times New Roman"/>
                <w:color w:val="auto"/>
                <w:sz w:val="24"/>
                <w:szCs w:val="24"/>
                <w:highlight w:val="none"/>
                <w:u w:val="none" w:color="auto"/>
                <w:lang w:val="en-US" w:eastAsia="zh-CN"/>
              </w:rPr>
              <w:t>15</w:t>
            </w:r>
            <w:r>
              <w:rPr>
                <w:rFonts w:hint="default" w:ascii="Times New Roman" w:hAnsi="Times New Roman" w:eastAsia="宋体" w:cs="Times New Roman"/>
                <w:color w:val="auto"/>
                <w:sz w:val="24"/>
                <w:szCs w:val="24"/>
                <w:highlight w:val="none"/>
                <w:u w:val="none" w:color="auto"/>
              </w:rPr>
              <w:t>万m³（折合约</w:t>
            </w:r>
            <w:r>
              <w:rPr>
                <w:rFonts w:hint="eastAsia" w:ascii="Times New Roman" w:hAnsi="Times New Roman" w:eastAsia="宋体" w:cs="Times New Roman"/>
                <w:color w:val="auto"/>
                <w:sz w:val="24"/>
                <w:szCs w:val="24"/>
                <w:highlight w:val="none"/>
                <w:u w:val="none" w:color="auto"/>
                <w:lang w:val="en-US" w:eastAsia="zh-CN"/>
              </w:rPr>
              <w:t>36万</w:t>
            </w:r>
            <w:r>
              <w:rPr>
                <w:rFonts w:hint="default" w:ascii="Times New Roman" w:hAnsi="Times New Roman" w:eastAsia="宋体" w:cs="Times New Roman"/>
                <w:color w:val="auto"/>
                <w:sz w:val="24"/>
                <w:szCs w:val="24"/>
                <w:highlight w:val="none"/>
                <w:u w:val="none" w:color="auto"/>
              </w:rPr>
              <w:t>t/a）</w:t>
            </w:r>
            <w:r>
              <w:rPr>
                <w:rFonts w:hint="eastAsia" w:ascii="Times New Roman" w:hAnsi="Times New Roman" w:eastAsia="宋体" w:cs="Times New Roman"/>
                <w:color w:val="auto"/>
                <w:sz w:val="24"/>
                <w:szCs w:val="24"/>
                <w:highlight w:val="none"/>
                <w:u w:val="none" w:color="auto"/>
                <w:lang w:eastAsia="zh-CN"/>
              </w:rPr>
              <w:t>，</w:t>
            </w:r>
            <w:r>
              <w:rPr>
                <w:rFonts w:hint="eastAsia" w:ascii="Times New Roman" w:hAnsi="Times New Roman" w:eastAsia="宋体" w:cs="Times New Roman"/>
                <w:color w:val="auto"/>
                <w:sz w:val="24"/>
                <w:szCs w:val="24"/>
                <w:highlight w:val="none"/>
                <w:u w:val="none" w:color="auto"/>
                <w:lang w:val="en-US" w:eastAsia="zh-CN"/>
              </w:rPr>
              <w:t>全部用于国道漫临线（G612）分水（县界）至临江段工程MLSG01标段建设使用，不对外销售，</w:t>
            </w:r>
            <w:r>
              <w:rPr>
                <w:rFonts w:hint="eastAsia" w:ascii="Times New Roman" w:hAnsi="Times New Roman" w:eastAsia="宋体" w:cs="Times New Roman"/>
                <w:color w:val="auto"/>
                <w:sz w:val="24"/>
                <w:szCs w:val="24"/>
                <w:highlight w:val="none"/>
                <w:u w:val="single" w:color="auto"/>
                <w:lang w:val="en-US" w:eastAsia="zh-CN"/>
              </w:rPr>
              <w:t>项目服务年限为2年</w:t>
            </w:r>
            <w:r>
              <w:rPr>
                <w:rFonts w:hint="default" w:ascii="Times New Roman" w:hAnsi="Times New Roman" w:eastAsia="宋体" w:cs="Times New Roman"/>
                <w:color w:val="auto"/>
                <w:sz w:val="24"/>
                <w:szCs w:val="24"/>
                <w:highlight w:val="none"/>
                <w:u w:val="single" w:color="auto"/>
                <w:lang w:eastAsia="zh-CN"/>
              </w:rPr>
              <w:t>。</w:t>
            </w:r>
            <w:r>
              <w:rPr>
                <w:rFonts w:hint="eastAsia" w:ascii="Times New Roman" w:hAnsi="Times New Roman" w:eastAsia="宋体" w:cs="Times New Roman"/>
                <w:color w:val="auto"/>
                <w:sz w:val="24"/>
                <w:szCs w:val="24"/>
                <w:highlight w:val="none"/>
                <w:u w:val="none" w:color="auto"/>
                <w:lang w:val="en-US" w:eastAsia="zh-CN"/>
              </w:rPr>
              <w:t>具体工程组成详见下表。</w:t>
            </w:r>
          </w:p>
          <w:p w14:paraId="4B6BAB7B">
            <w:pPr>
              <w:pStyle w:val="55"/>
              <w:keepNext w:val="0"/>
              <w:keepLines w:val="0"/>
              <w:pageBreakBefore w:val="0"/>
              <w:widowControl/>
              <w:kinsoku/>
              <w:wordWrap/>
              <w:overflowPunct/>
              <w:topLinePunct w:val="0"/>
              <w:autoSpaceDE/>
              <w:autoSpaceDN/>
              <w:bidi w:val="0"/>
              <w:adjustRightInd/>
              <w:snapToGrid/>
              <w:spacing w:beforeLines="0" w:afterLines="0"/>
              <w:textAlignment w:val="auto"/>
              <w:rPr>
                <w:color w:val="auto"/>
                <w:highlight w:val="none"/>
                <w:u w:val="none" w:color="auto"/>
              </w:rPr>
            </w:pPr>
            <w:r>
              <w:rPr>
                <w:color w:val="auto"/>
                <w:highlight w:val="none"/>
                <w:u w:val="none" w:color="auto"/>
              </w:rPr>
              <w:t>表</w:t>
            </w:r>
            <w:r>
              <w:rPr>
                <w:rFonts w:hint="eastAsia"/>
                <w:color w:val="auto"/>
                <w:highlight w:val="none"/>
                <w:u w:val="none" w:color="auto"/>
                <w:lang w:val="en-US" w:eastAsia="zh-CN"/>
              </w:rPr>
              <w:t>2-1</w:t>
            </w:r>
            <w:r>
              <w:rPr>
                <w:color w:val="auto"/>
                <w:highlight w:val="none"/>
                <w:u w:val="none" w:color="auto"/>
              </w:rPr>
              <w:t xml:space="preserve">  项目组成一览表</w:t>
            </w:r>
          </w:p>
          <w:tbl>
            <w:tblPr>
              <w:tblStyle w:val="25"/>
              <w:tblW w:w="499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43"/>
              <w:gridCol w:w="1528"/>
              <w:gridCol w:w="6323"/>
            </w:tblGrid>
            <w:tr w14:paraId="2E1BD4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97" w:hRule="atLeast"/>
              </w:trPr>
              <w:tc>
                <w:tcPr>
                  <w:tcW w:w="1188" w:type="pct"/>
                  <w:gridSpan w:val="2"/>
                  <w:noWrap w:val="0"/>
                  <w:tcMar>
                    <w:left w:w="57" w:type="dxa"/>
                    <w:right w:w="57" w:type="dxa"/>
                  </w:tcMar>
                  <w:vAlign w:val="center"/>
                </w:tcPr>
                <w:p w14:paraId="150D8423">
                  <w:pPr>
                    <w:jc w:val="center"/>
                    <w:rPr>
                      <w:color w:val="auto"/>
                      <w:sz w:val="21"/>
                      <w:szCs w:val="21"/>
                      <w:highlight w:val="none"/>
                      <w:u w:val="none" w:color="auto"/>
                    </w:rPr>
                  </w:pPr>
                  <w:r>
                    <w:rPr>
                      <w:color w:val="auto"/>
                      <w:sz w:val="21"/>
                      <w:szCs w:val="21"/>
                      <w:highlight w:val="none"/>
                      <w:u w:val="none" w:color="auto"/>
                    </w:rPr>
                    <w:t>项目组成</w:t>
                  </w:r>
                </w:p>
              </w:tc>
              <w:tc>
                <w:tcPr>
                  <w:tcW w:w="3811" w:type="pct"/>
                  <w:noWrap w:val="0"/>
                  <w:vAlign w:val="center"/>
                </w:tcPr>
                <w:p w14:paraId="66ACB315">
                  <w:pPr>
                    <w:jc w:val="center"/>
                    <w:rPr>
                      <w:rFonts w:hint="eastAsia"/>
                      <w:color w:val="auto"/>
                      <w:sz w:val="21"/>
                      <w:szCs w:val="21"/>
                      <w:highlight w:val="none"/>
                      <w:u w:val="none" w:color="auto"/>
                    </w:rPr>
                  </w:pPr>
                  <w:r>
                    <w:rPr>
                      <w:rFonts w:hint="eastAsia"/>
                      <w:color w:val="auto"/>
                      <w:sz w:val="21"/>
                      <w:szCs w:val="21"/>
                      <w:highlight w:val="none"/>
                      <w:u w:val="none" w:color="auto"/>
                    </w:rPr>
                    <w:t>建设内容</w:t>
                  </w:r>
                </w:p>
              </w:tc>
            </w:tr>
            <w:tr w14:paraId="770239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62" w:hRule="atLeast"/>
              </w:trPr>
              <w:tc>
                <w:tcPr>
                  <w:tcW w:w="267" w:type="pct"/>
                  <w:noWrap w:val="0"/>
                  <w:tcMar>
                    <w:left w:w="57" w:type="dxa"/>
                    <w:right w:w="57" w:type="dxa"/>
                  </w:tcMar>
                  <w:vAlign w:val="center"/>
                </w:tcPr>
                <w:p w14:paraId="37B19906">
                  <w:pPr>
                    <w:jc w:val="center"/>
                    <w:rPr>
                      <w:color w:val="auto"/>
                      <w:sz w:val="21"/>
                      <w:szCs w:val="21"/>
                      <w:highlight w:val="none"/>
                      <w:u w:val="none" w:color="auto"/>
                    </w:rPr>
                  </w:pPr>
                  <w:r>
                    <w:rPr>
                      <w:color w:val="auto"/>
                      <w:sz w:val="21"/>
                      <w:szCs w:val="21"/>
                      <w:highlight w:val="none"/>
                      <w:u w:val="none" w:color="auto"/>
                    </w:rPr>
                    <w:t>主体工程</w:t>
                  </w:r>
                </w:p>
              </w:tc>
              <w:tc>
                <w:tcPr>
                  <w:tcW w:w="921" w:type="pct"/>
                  <w:noWrap w:val="0"/>
                  <w:vAlign w:val="center"/>
                </w:tcPr>
                <w:p w14:paraId="5219E547">
                  <w:pPr>
                    <w:jc w:val="center"/>
                    <w:rPr>
                      <w:color w:val="auto"/>
                      <w:sz w:val="21"/>
                      <w:szCs w:val="21"/>
                      <w:highlight w:val="none"/>
                      <w:u w:val="none" w:color="auto"/>
                    </w:rPr>
                  </w:pPr>
                  <w:r>
                    <w:rPr>
                      <w:rFonts w:hint="eastAsia"/>
                      <w:color w:val="auto"/>
                      <w:sz w:val="21"/>
                      <w:szCs w:val="21"/>
                      <w:highlight w:val="none"/>
                      <w:u w:val="none" w:color="auto"/>
                      <w:lang w:eastAsia="zh-CN"/>
                    </w:rPr>
                    <w:t>搅拌站</w:t>
                  </w:r>
                  <w:r>
                    <w:rPr>
                      <w:color w:val="auto"/>
                      <w:sz w:val="21"/>
                      <w:szCs w:val="21"/>
                      <w:highlight w:val="none"/>
                      <w:u w:val="none" w:color="auto"/>
                    </w:rPr>
                    <w:t>作业区</w:t>
                  </w:r>
                </w:p>
              </w:tc>
              <w:tc>
                <w:tcPr>
                  <w:tcW w:w="3811" w:type="pct"/>
                  <w:noWrap w:val="0"/>
                  <w:vAlign w:val="center"/>
                </w:tcPr>
                <w:p w14:paraId="7B0DCFE2">
                  <w:pPr>
                    <w:jc w:val="center"/>
                    <w:rPr>
                      <w:rFonts w:hint="eastAsia" w:eastAsia="宋体"/>
                      <w:color w:val="auto"/>
                      <w:sz w:val="21"/>
                      <w:szCs w:val="21"/>
                      <w:highlight w:val="none"/>
                      <w:u w:val="none" w:color="auto"/>
                      <w:lang w:eastAsia="zh-CN"/>
                    </w:rPr>
                  </w:pPr>
                  <w:r>
                    <w:rPr>
                      <w:rFonts w:hint="eastAsia"/>
                      <w:bCs/>
                      <w:iCs/>
                      <w:color w:val="auto"/>
                      <w:sz w:val="21"/>
                      <w:szCs w:val="21"/>
                      <w:highlight w:val="none"/>
                      <w:u w:val="none" w:color="auto"/>
                    </w:rPr>
                    <w:t>混凝土</w:t>
                  </w:r>
                  <w:r>
                    <w:rPr>
                      <w:rFonts w:hint="eastAsia"/>
                      <w:bCs/>
                      <w:iCs/>
                      <w:color w:val="auto"/>
                      <w:sz w:val="21"/>
                      <w:szCs w:val="21"/>
                      <w:highlight w:val="none"/>
                      <w:u w:val="none" w:color="auto"/>
                      <w:lang w:eastAsia="zh-CN"/>
                    </w:rPr>
                    <w:t>搅拌</w:t>
                  </w:r>
                  <w:r>
                    <w:rPr>
                      <w:rFonts w:hint="eastAsia"/>
                      <w:bCs/>
                      <w:iCs/>
                      <w:color w:val="auto"/>
                      <w:sz w:val="21"/>
                      <w:szCs w:val="21"/>
                      <w:highlight w:val="none"/>
                      <w:u w:val="none" w:color="auto"/>
                    </w:rPr>
                    <w:t>站占地</w:t>
                  </w:r>
                  <w:r>
                    <w:rPr>
                      <w:rFonts w:hint="eastAsia"/>
                      <w:bCs/>
                      <w:iCs/>
                      <w:color w:val="auto"/>
                      <w:sz w:val="21"/>
                      <w:szCs w:val="21"/>
                      <w:highlight w:val="none"/>
                      <w:u w:val="none" w:color="auto"/>
                      <w:lang w:val="en-US" w:eastAsia="zh-CN"/>
                    </w:rPr>
                    <w:t>300</w:t>
                  </w:r>
                  <w:r>
                    <w:rPr>
                      <w:rFonts w:hint="eastAsia"/>
                      <w:bCs/>
                      <w:iCs/>
                      <w:color w:val="auto"/>
                      <w:sz w:val="21"/>
                      <w:szCs w:val="21"/>
                      <w:highlight w:val="none"/>
                      <w:u w:val="none" w:color="auto"/>
                    </w:rPr>
                    <w:t>m</w:t>
                  </w:r>
                  <w:r>
                    <w:rPr>
                      <w:rFonts w:hint="eastAsia"/>
                      <w:bCs/>
                      <w:iCs/>
                      <w:color w:val="auto"/>
                      <w:sz w:val="21"/>
                      <w:szCs w:val="21"/>
                      <w:highlight w:val="none"/>
                      <w:u w:val="none" w:color="auto"/>
                      <w:vertAlign w:val="superscript"/>
                    </w:rPr>
                    <w:t>2</w:t>
                  </w:r>
                  <w:r>
                    <w:rPr>
                      <w:rFonts w:hint="eastAsia"/>
                      <w:bCs/>
                      <w:iCs/>
                      <w:color w:val="auto"/>
                      <w:sz w:val="21"/>
                      <w:szCs w:val="21"/>
                      <w:highlight w:val="none"/>
                      <w:u w:val="none" w:color="auto"/>
                    </w:rPr>
                    <w:t>，</w:t>
                  </w:r>
                  <w:r>
                    <w:rPr>
                      <w:rFonts w:hint="eastAsia"/>
                      <w:bCs/>
                      <w:iCs/>
                      <w:color w:val="auto"/>
                      <w:sz w:val="21"/>
                      <w:szCs w:val="21"/>
                      <w:highlight w:val="none"/>
                      <w:u w:val="none" w:color="auto"/>
                      <w:lang w:eastAsia="zh-CN"/>
                    </w:rPr>
                    <w:t>建设</w:t>
                  </w:r>
                  <w:r>
                    <w:rPr>
                      <w:rFonts w:hint="eastAsia"/>
                      <w:bCs/>
                      <w:iCs/>
                      <w:color w:val="auto"/>
                      <w:sz w:val="21"/>
                      <w:szCs w:val="21"/>
                      <w:highlight w:val="none"/>
                      <w:u w:val="none" w:color="auto"/>
                    </w:rPr>
                    <w:t>混凝土生产线</w:t>
                  </w:r>
                  <w:r>
                    <w:rPr>
                      <w:rFonts w:hint="eastAsia"/>
                      <w:bCs/>
                      <w:iCs/>
                      <w:color w:val="auto"/>
                      <w:sz w:val="21"/>
                      <w:szCs w:val="21"/>
                      <w:highlight w:val="none"/>
                      <w:u w:val="none" w:color="auto"/>
                      <w:lang w:val="en-US" w:eastAsia="zh-CN"/>
                    </w:rPr>
                    <w:t>2</w:t>
                  </w:r>
                  <w:r>
                    <w:rPr>
                      <w:rFonts w:hint="eastAsia"/>
                      <w:bCs/>
                      <w:iCs/>
                      <w:color w:val="auto"/>
                      <w:sz w:val="21"/>
                      <w:szCs w:val="21"/>
                      <w:highlight w:val="none"/>
                      <w:u w:val="none" w:color="auto"/>
                    </w:rPr>
                    <w:t>条</w:t>
                  </w:r>
                  <w:r>
                    <w:rPr>
                      <w:rFonts w:hint="eastAsia"/>
                      <w:bCs/>
                      <w:iCs/>
                      <w:color w:val="auto"/>
                      <w:sz w:val="21"/>
                      <w:szCs w:val="21"/>
                      <w:highlight w:val="none"/>
                      <w:u w:val="none" w:color="auto"/>
                      <w:lang w:eastAsia="zh-CN"/>
                    </w:rPr>
                    <w:t>，设置</w:t>
                  </w:r>
                  <w:r>
                    <w:rPr>
                      <w:rFonts w:hint="eastAsia"/>
                      <w:bCs/>
                      <w:iCs/>
                      <w:color w:val="auto"/>
                      <w:sz w:val="21"/>
                      <w:szCs w:val="21"/>
                      <w:highlight w:val="none"/>
                      <w:u w:val="none" w:color="auto"/>
                      <w:lang w:val="en-US" w:eastAsia="zh-CN"/>
                    </w:rPr>
                    <w:t>2</w:t>
                  </w:r>
                  <w:r>
                    <w:rPr>
                      <w:rFonts w:hint="eastAsia"/>
                      <w:bCs/>
                      <w:iCs/>
                      <w:color w:val="auto"/>
                      <w:sz w:val="21"/>
                      <w:szCs w:val="21"/>
                      <w:highlight w:val="none"/>
                      <w:u w:val="none" w:color="auto"/>
                      <w:lang w:eastAsia="zh-CN"/>
                    </w:rPr>
                    <w:t>台搅拌机、电子称量系统（独立骨料秤、水泥秤、粉煤灰秤、水秤、加外剂秤）、物料输送装置等</w:t>
                  </w:r>
                  <w:r>
                    <w:rPr>
                      <w:rFonts w:hint="eastAsia"/>
                      <w:bCs/>
                      <w:iCs/>
                      <w:color w:val="auto"/>
                      <w:sz w:val="21"/>
                      <w:szCs w:val="21"/>
                      <w:highlight w:val="none"/>
                      <w:u w:val="none" w:color="auto"/>
                    </w:rPr>
                    <w:t>。</w:t>
                  </w:r>
                </w:p>
              </w:tc>
            </w:tr>
            <w:tr w14:paraId="75CBFC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059" w:hRule="atLeast"/>
              </w:trPr>
              <w:tc>
                <w:tcPr>
                  <w:tcW w:w="267" w:type="pct"/>
                  <w:vMerge w:val="restart"/>
                  <w:noWrap w:val="0"/>
                  <w:tcMar>
                    <w:left w:w="57" w:type="dxa"/>
                    <w:right w:w="57" w:type="dxa"/>
                  </w:tcMar>
                  <w:vAlign w:val="center"/>
                </w:tcPr>
                <w:p w14:paraId="56B6FDDF">
                  <w:pPr>
                    <w:jc w:val="center"/>
                    <w:rPr>
                      <w:color w:val="auto"/>
                      <w:sz w:val="21"/>
                      <w:szCs w:val="21"/>
                      <w:highlight w:val="none"/>
                      <w:u w:val="none" w:color="auto"/>
                    </w:rPr>
                  </w:pPr>
                  <w:r>
                    <w:rPr>
                      <w:color w:val="auto"/>
                      <w:sz w:val="21"/>
                      <w:szCs w:val="21"/>
                      <w:highlight w:val="none"/>
                      <w:u w:val="none" w:color="auto"/>
                    </w:rPr>
                    <w:t>辅助</w:t>
                  </w:r>
                </w:p>
                <w:p w14:paraId="1BCE3B33">
                  <w:pPr>
                    <w:jc w:val="center"/>
                    <w:rPr>
                      <w:color w:val="auto"/>
                      <w:sz w:val="21"/>
                      <w:szCs w:val="21"/>
                      <w:highlight w:val="none"/>
                      <w:u w:val="none" w:color="auto"/>
                    </w:rPr>
                  </w:pPr>
                  <w:r>
                    <w:rPr>
                      <w:color w:val="auto"/>
                      <w:sz w:val="21"/>
                      <w:szCs w:val="21"/>
                      <w:highlight w:val="none"/>
                      <w:u w:val="none" w:color="auto"/>
                    </w:rPr>
                    <w:t>工程</w:t>
                  </w:r>
                </w:p>
              </w:tc>
              <w:tc>
                <w:tcPr>
                  <w:tcW w:w="921" w:type="pct"/>
                  <w:noWrap w:val="0"/>
                  <w:vAlign w:val="center"/>
                </w:tcPr>
                <w:p w14:paraId="533018DC">
                  <w:pPr>
                    <w:jc w:val="center"/>
                    <w:rPr>
                      <w:rFonts w:hint="eastAsia" w:eastAsia="宋体"/>
                      <w:color w:val="auto"/>
                      <w:sz w:val="21"/>
                      <w:szCs w:val="21"/>
                      <w:highlight w:val="none"/>
                      <w:u w:val="none" w:color="auto"/>
                      <w:lang w:eastAsia="zh-CN"/>
                    </w:rPr>
                  </w:pPr>
                  <w:r>
                    <w:rPr>
                      <w:rFonts w:hint="eastAsia"/>
                      <w:color w:val="auto"/>
                      <w:sz w:val="21"/>
                      <w:szCs w:val="21"/>
                      <w:highlight w:val="none"/>
                      <w:u w:val="none" w:color="auto"/>
                      <w:lang w:val="en-US" w:eastAsia="zh-CN"/>
                    </w:rPr>
                    <w:t>办公生活区</w:t>
                  </w:r>
                </w:p>
              </w:tc>
              <w:tc>
                <w:tcPr>
                  <w:tcW w:w="3811" w:type="pct"/>
                  <w:noWrap w:val="0"/>
                  <w:vAlign w:val="center"/>
                </w:tcPr>
                <w:p w14:paraId="46432573">
                  <w:pPr>
                    <w:jc w:val="center"/>
                    <w:rPr>
                      <w:rFonts w:hint="default"/>
                      <w:color w:val="auto"/>
                      <w:sz w:val="21"/>
                      <w:szCs w:val="21"/>
                      <w:highlight w:val="none"/>
                      <w:u w:val="none" w:color="auto"/>
                      <w:lang w:val="en-US" w:eastAsia="zh-CN"/>
                    </w:rPr>
                  </w:pPr>
                  <w:r>
                    <w:rPr>
                      <w:rFonts w:hint="eastAsia"/>
                      <w:color w:val="auto"/>
                      <w:sz w:val="21"/>
                      <w:szCs w:val="21"/>
                      <w:highlight w:val="none"/>
                      <w:u w:val="none" w:color="auto"/>
                    </w:rPr>
                    <w:t>占地面积为</w:t>
                  </w:r>
                  <w:r>
                    <w:rPr>
                      <w:rFonts w:hint="eastAsia"/>
                      <w:color w:val="auto"/>
                      <w:sz w:val="21"/>
                      <w:szCs w:val="21"/>
                      <w:highlight w:val="none"/>
                      <w:u w:val="none" w:color="auto"/>
                      <w:lang w:val="en-US" w:eastAsia="zh-CN"/>
                    </w:rPr>
                    <w:t>360.2</w:t>
                  </w:r>
                  <w:r>
                    <w:rPr>
                      <w:rFonts w:hint="eastAsia"/>
                      <w:color w:val="auto"/>
                      <w:sz w:val="21"/>
                      <w:szCs w:val="21"/>
                      <w:highlight w:val="none"/>
                      <w:u w:val="none" w:color="auto"/>
                    </w:rPr>
                    <w:t>m</w:t>
                  </w:r>
                  <w:r>
                    <w:rPr>
                      <w:rFonts w:hint="eastAsia"/>
                      <w:color w:val="auto"/>
                      <w:sz w:val="21"/>
                      <w:szCs w:val="21"/>
                      <w:highlight w:val="none"/>
                      <w:u w:val="none" w:color="auto"/>
                      <w:vertAlign w:val="superscript"/>
                    </w:rPr>
                    <w:t>2</w:t>
                  </w:r>
                  <w:r>
                    <w:rPr>
                      <w:rFonts w:hint="eastAsia"/>
                      <w:color w:val="auto"/>
                      <w:sz w:val="21"/>
                      <w:szCs w:val="21"/>
                      <w:highlight w:val="none"/>
                      <w:u w:val="none" w:color="auto"/>
                      <w:vertAlign w:val="baseline"/>
                      <w:lang w:eastAsia="zh-CN"/>
                    </w:rPr>
                    <w:t>，</w:t>
                  </w:r>
                  <w:r>
                    <w:rPr>
                      <w:rFonts w:hint="eastAsia"/>
                      <w:color w:val="auto"/>
                      <w:sz w:val="21"/>
                      <w:szCs w:val="21"/>
                      <w:highlight w:val="none"/>
                      <w:u w:val="none" w:color="auto"/>
                      <w:vertAlign w:val="baseline"/>
                      <w:lang w:val="en-US" w:eastAsia="zh-CN"/>
                    </w:rPr>
                    <w:t>1层</w:t>
                  </w:r>
                  <w:r>
                    <w:rPr>
                      <w:rFonts w:hint="eastAsia"/>
                      <w:color w:val="auto"/>
                      <w:sz w:val="21"/>
                      <w:szCs w:val="21"/>
                      <w:highlight w:val="none"/>
                      <w:u w:val="none" w:color="auto"/>
                      <w:lang w:eastAsia="zh-CN"/>
                    </w:rPr>
                    <w:t>，</w:t>
                  </w:r>
                  <w:r>
                    <w:rPr>
                      <w:rFonts w:hint="eastAsia"/>
                      <w:color w:val="auto"/>
                      <w:sz w:val="21"/>
                      <w:szCs w:val="21"/>
                      <w:highlight w:val="none"/>
                      <w:u w:val="none" w:color="auto"/>
                      <w:lang w:val="en-US" w:eastAsia="zh-CN"/>
                    </w:rPr>
                    <w:t>彩钢结构。</w:t>
                  </w:r>
                  <w:r>
                    <w:rPr>
                      <w:rFonts w:hint="eastAsia"/>
                      <w:color w:val="auto"/>
                      <w:sz w:val="21"/>
                      <w:szCs w:val="21"/>
                      <w:highlight w:val="none"/>
                      <w:u w:val="none" w:color="auto"/>
                      <w:vertAlign w:val="baseline"/>
                      <w:lang w:val="en-US" w:eastAsia="zh-CN"/>
                    </w:rPr>
                    <w:t>本项目化验室仅开展物理性能检测，不使用化学试剂，无实验废水产生</w:t>
                  </w:r>
                  <w:r>
                    <w:rPr>
                      <w:rFonts w:hint="eastAsia"/>
                      <w:color w:val="auto"/>
                      <w:sz w:val="21"/>
                      <w:szCs w:val="21"/>
                      <w:highlight w:val="none"/>
                      <w:u w:val="none" w:color="auto"/>
                    </w:rPr>
                    <w:t>。</w:t>
                  </w:r>
                </w:p>
              </w:tc>
            </w:tr>
            <w:tr w14:paraId="55327E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4" w:hRule="atLeast"/>
              </w:trPr>
              <w:tc>
                <w:tcPr>
                  <w:tcW w:w="267" w:type="pct"/>
                  <w:vMerge w:val="restart"/>
                  <w:noWrap w:val="0"/>
                  <w:tcMar>
                    <w:left w:w="57" w:type="dxa"/>
                    <w:right w:w="57" w:type="dxa"/>
                  </w:tcMar>
                  <w:vAlign w:val="center"/>
                </w:tcPr>
                <w:p w14:paraId="47715910">
                  <w:pPr>
                    <w:jc w:val="center"/>
                    <w:rPr>
                      <w:color w:val="auto"/>
                      <w:sz w:val="21"/>
                      <w:szCs w:val="21"/>
                      <w:highlight w:val="none"/>
                      <w:u w:val="none" w:color="auto"/>
                    </w:rPr>
                  </w:pPr>
                  <w:r>
                    <w:rPr>
                      <w:rFonts w:hint="eastAsia"/>
                      <w:color w:val="auto"/>
                      <w:sz w:val="21"/>
                      <w:szCs w:val="21"/>
                      <w:highlight w:val="none"/>
                      <w:u w:val="none" w:color="auto"/>
                    </w:rPr>
                    <w:t>储运工程</w:t>
                  </w:r>
                </w:p>
              </w:tc>
              <w:tc>
                <w:tcPr>
                  <w:tcW w:w="921" w:type="pct"/>
                  <w:noWrap w:val="0"/>
                  <w:vAlign w:val="center"/>
                </w:tcPr>
                <w:p w14:paraId="54BB5BEC">
                  <w:pPr>
                    <w:jc w:val="center"/>
                    <w:rPr>
                      <w:rFonts w:hint="eastAsia" w:eastAsia="宋体"/>
                      <w:color w:val="auto"/>
                      <w:sz w:val="21"/>
                      <w:szCs w:val="21"/>
                      <w:highlight w:val="none"/>
                      <w:u w:val="none" w:color="auto"/>
                      <w:lang w:eastAsia="zh-CN"/>
                    </w:rPr>
                  </w:pPr>
                  <w:r>
                    <w:rPr>
                      <w:rFonts w:hint="eastAsia"/>
                      <w:color w:val="auto"/>
                      <w:sz w:val="21"/>
                      <w:szCs w:val="21"/>
                      <w:highlight w:val="none"/>
                      <w:u w:val="none" w:color="auto"/>
                      <w:lang w:eastAsia="zh-CN"/>
                    </w:rPr>
                    <w:t>原料筒仓</w:t>
                  </w:r>
                </w:p>
              </w:tc>
              <w:tc>
                <w:tcPr>
                  <w:tcW w:w="3811" w:type="pct"/>
                  <w:noWrap w:val="0"/>
                  <w:vAlign w:val="center"/>
                </w:tcPr>
                <w:p w14:paraId="7BB57A13">
                  <w:pPr>
                    <w:rPr>
                      <w:color w:val="auto"/>
                      <w:sz w:val="21"/>
                      <w:szCs w:val="21"/>
                      <w:highlight w:val="none"/>
                      <w:u w:val="none" w:color="auto"/>
                    </w:rPr>
                  </w:pPr>
                  <w:r>
                    <w:rPr>
                      <w:rFonts w:hint="eastAsia"/>
                      <w:color w:val="auto"/>
                      <w:sz w:val="21"/>
                      <w:szCs w:val="21"/>
                      <w:highlight w:val="none"/>
                      <w:u w:val="none" w:color="auto"/>
                    </w:rPr>
                    <w:t>设置</w:t>
                  </w:r>
                  <w:r>
                    <w:rPr>
                      <w:rFonts w:hint="eastAsia"/>
                      <w:color w:val="auto"/>
                      <w:sz w:val="21"/>
                      <w:szCs w:val="21"/>
                      <w:highlight w:val="none"/>
                      <w:u w:val="none" w:color="auto"/>
                      <w:lang w:val="en-US" w:eastAsia="zh-CN"/>
                    </w:rPr>
                    <w:t>6</w:t>
                  </w:r>
                  <w:r>
                    <w:rPr>
                      <w:rFonts w:hint="eastAsia"/>
                      <w:color w:val="auto"/>
                      <w:sz w:val="21"/>
                      <w:szCs w:val="21"/>
                      <w:highlight w:val="none"/>
                      <w:u w:val="none" w:color="auto"/>
                    </w:rPr>
                    <w:t>座</w:t>
                  </w:r>
                  <w:r>
                    <w:rPr>
                      <w:rFonts w:hint="eastAsia"/>
                      <w:color w:val="auto"/>
                      <w:sz w:val="21"/>
                      <w:szCs w:val="21"/>
                      <w:highlight w:val="none"/>
                      <w:u w:val="none" w:color="auto"/>
                      <w:lang w:val="en-US" w:eastAsia="zh-CN"/>
                    </w:rPr>
                    <w:t>水泥筒仓（储罐）</w:t>
                  </w:r>
                  <w:r>
                    <w:rPr>
                      <w:rFonts w:hint="eastAsia"/>
                      <w:color w:val="auto"/>
                      <w:sz w:val="21"/>
                      <w:szCs w:val="21"/>
                      <w:highlight w:val="none"/>
                      <w:u w:val="none" w:color="auto"/>
                    </w:rPr>
                    <w:t>，</w:t>
                  </w:r>
                  <w:r>
                    <w:rPr>
                      <w:rFonts w:hint="eastAsia"/>
                      <w:color w:val="auto"/>
                      <w:sz w:val="21"/>
                      <w:szCs w:val="21"/>
                      <w:highlight w:val="none"/>
                      <w:u w:val="none" w:color="auto"/>
                      <w:lang w:val="en-US" w:eastAsia="zh-CN"/>
                    </w:rPr>
                    <w:t>立式</w:t>
                  </w:r>
                  <w:r>
                    <w:rPr>
                      <w:rFonts w:hint="eastAsia"/>
                      <w:color w:val="auto"/>
                      <w:sz w:val="21"/>
                      <w:szCs w:val="21"/>
                      <w:highlight w:val="none"/>
                      <w:u w:val="none" w:color="auto"/>
                    </w:rPr>
                    <w:t>，钢结构，</w:t>
                  </w:r>
                  <w:r>
                    <w:rPr>
                      <w:rFonts w:hint="eastAsia"/>
                      <w:color w:val="auto"/>
                      <w:sz w:val="21"/>
                      <w:szCs w:val="21"/>
                      <w:highlight w:val="none"/>
                      <w:u w:val="none" w:color="auto"/>
                      <w:lang w:eastAsia="zh-CN"/>
                    </w:rPr>
                    <w:t>单个</w:t>
                  </w:r>
                  <w:r>
                    <w:rPr>
                      <w:rFonts w:hint="eastAsia"/>
                      <w:color w:val="auto"/>
                      <w:sz w:val="21"/>
                      <w:szCs w:val="21"/>
                      <w:highlight w:val="none"/>
                      <w:u w:val="none" w:color="auto"/>
                    </w:rPr>
                    <w:t>容积为</w:t>
                  </w:r>
                  <w:r>
                    <w:rPr>
                      <w:rFonts w:hint="eastAsia"/>
                      <w:color w:val="auto"/>
                      <w:sz w:val="21"/>
                      <w:szCs w:val="21"/>
                      <w:highlight w:val="none"/>
                      <w:u w:val="none" w:color="auto"/>
                      <w:lang w:val="en-US" w:eastAsia="zh-CN"/>
                    </w:rPr>
                    <w:t>100</w:t>
                  </w:r>
                  <w:r>
                    <w:rPr>
                      <w:rFonts w:hint="eastAsia"/>
                      <w:color w:val="auto"/>
                      <w:sz w:val="21"/>
                      <w:szCs w:val="21"/>
                      <w:highlight w:val="none"/>
                      <w:u w:val="none" w:color="auto"/>
                    </w:rPr>
                    <w:t>t，</w:t>
                  </w:r>
                  <w:r>
                    <w:rPr>
                      <w:rFonts w:hint="eastAsia"/>
                      <w:color w:val="auto"/>
                      <w:sz w:val="21"/>
                      <w:szCs w:val="21"/>
                      <w:highlight w:val="none"/>
                      <w:u w:val="none" w:color="auto"/>
                      <w:lang w:eastAsia="zh-CN"/>
                    </w:rPr>
                    <w:t>直径</w:t>
                  </w:r>
                  <w:r>
                    <w:rPr>
                      <w:rFonts w:hint="eastAsia"/>
                      <w:color w:val="auto"/>
                      <w:sz w:val="21"/>
                      <w:szCs w:val="21"/>
                      <w:highlight w:val="none"/>
                      <w:u w:val="none" w:color="auto"/>
                      <w:lang w:val="en-US" w:eastAsia="zh-CN"/>
                    </w:rPr>
                    <w:t>3m，</w:t>
                  </w:r>
                  <w:r>
                    <w:rPr>
                      <w:rFonts w:hint="eastAsia"/>
                      <w:color w:val="auto"/>
                      <w:sz w:val="21"/>
                      <w:szCs w:val="21"/>
                      <w:highlight w:val="none"/>
                      <w:u w:val="none" w:color="auto"/>
                      <w:lang w:eastAsia="zh-CN"/>
                    </w:rPr>
                    <w:t>筒仓</w:t>
                  </w:r>
                  <w:r>
                    <w:rPr>
                      <w:rFonts w:hint="eastAsia"/>
                      <w:color w:val="auto"/>
                      <w:sz w:val="21"/>
                      <w:szCs w:val="21"/>
                      <w:highlight w:val="none"/>
                      <w:u w:val="none" w:color="auto"/>
                    </w:rPr>
                    <w:t>密封，负压，</w:t>
                  </w:r>
                  <w:r>
                    <w:rPr>
                      <w:rFonts w:hint="eastAsia"/>
                      <w:color w:val="auto"/>
                      <w:sz w:val="21"/>
                      <w:szCs w:val="21"/>
                      <w:highlight w:val="none"/>
                      <w:u w:val="none" w:color="auto"/>
                      <w:lang w:eastAsia="zh-CN"/>
                    </w:rPr>
                    <w:t>下</w:t>
                  </w:r>
                  <w:r>
                    <w:rPr>
                      <w:rFonts w:hint="eastAsia"/>
                      <w:color w:val="auto"/>
                      <w:sz w:val="21"/>
                      <w:szCs w:val="21"/>
                      <w:highlight w:val="none"/>
                      <w:u w:val="none" w:color="auto"/>
                    </w:rPr>
                    <w:t>部设有</w:t>
                  </w:r>
                  <w:r>
                    <w:rPr>
                      <w:rFonts w:hint="eastAsia"/>
                      <w:color w:val="auto"/>
                      <w:sz w:val="21"/>
                      <w:szCs w:val="21"/>
                      <w:highlight w:val="none"/>
                      <w:u w:val="none" w:color="auto"/>
                      <w:lang w:eastAsia="zh-CN"/>
                    </w:rPr>
                    <w:t>脉冲袋式</w:t>
                  </w:r>
                  <w:r>
                    <w:rPr>
                      <w:rFonts w:hint="eastAsia"/>
                      <w:color w:val="auto"/>
                      <w:sz w:val="21"/>
                      <w:szCs w:val="21"/>
                      <w:highlight w:val="none"/>
                      <w:u w:val="none" w:color="auto"/>
                    </w:rPr>
                    <w:t>除尘装置；</w:t>
                  </w:r>
                </w:p>
                <w:p w14:paraId="6970833E">
                  <w:pPr>
                    <w:rPr>
                      <w:rFonts w:hint="eastAsia"/>
                      <w:color w:val="auto"/>
                      <w:sz w:val="21"/>
                      <w:szCs w:val="21"/>
                      <w:highlight w:val="none"/>
                      <w:u w:val="none" w:color="auto"/>
                    </w:rPr>
                  </w:pPr>
                  <w:r>
                    <w:rPr>
                      <w:rFonts w:hint="eastAsia"/>
                      <w:color w:val="auto"/>
                      <w:sz w:val="21"/>
                      <w:szCs w:val="21"/>
                      <w:highlight w:val="none"/>
                      <w:u w:val="none" w:color="auto"/>
                    </w:rPr>
                    <w:t>设置</w:t>
                  </w:r>
                  <w:r>
                    <w:rPr>
                      <w:rFonts w:hint="eastAsia"/>
                      <w:color w:val="auto"/>
                      <w:sz w:val="21"/>
                      <w:szCs w:val="21"/>
                      <w:highlight w:val="none"/>
                      <w:u w:val="none" w:color="auto"/>
                      <w:lang w:val="en-US" w:eastAsia="zh-CN"/>
                    </w:rPr>
                    <w:t>2</w:t>
                  </w:r>
                  <w:r>
                    <w:rPr>
                      <w:rFonts w:hint="eastAsia"/>
                      <w:color w:val="auto"/>
                      <w:sz w:val="21"/>
                      <w:szCs w:val="21"/>
                      <w:highlight w:val="none"/>
                      <w:u w:val="none" w:color="auto"/>
                    </w:rPr>
                    <w:t>座</w:t>
                  </w:r>
                  <w:r>
                    <w:rPr>
                      <w:rFonts w:hint="eastAsia"/>
                      <w:color w:val="auto"/>
                      <w:sz w:val="21"/>
                      <w:szCs w:val="21"/>
                      <w:highlight w:val="none"/>
                      <w:u w:val="none" w:color="auto"/>
                      <w:lang w:val="en-US" w:eastAsia="zh-CN"/>
                    </w:rPr>
                    <w:t>粉煤灰</w:t>
                  </w:r>
                  <w:r>
                    <w:rPr>
                      <w:rFonts w:hint="eastAsia"/>
                      <w:color w:val="auto"/>
                      <w:sz w:val="21"/>
                      <w:szCs w:val="21"/>
                      <w:highlight w:val="none"/>
                      <w:u w:val="none" w:color="auto"/>
                      <w:lang w:eastAsia="zh-CN"/>
                    </w:rPr>
                    <w:t>筒仓</w:t>
                  </w:r>
                  <w:r>
                    <w:rPr>
                      <w:rFonts w:hint="eastAsia"/>
                      <w:color w:val="auto"/>
                      <w:sz w:val="21"/>
                      <w:szCs w:val="21"/>
                      <w:highlight w:val="none"/>
                      <w:u w:val="none" w:color="auto"/>
                      <w:lang w:val="en-US" w:eastAsia="zh-CN"/>
                    </w:rPr>
                    <w:t>（储罐）</w:t>
                  </w:r>
                  <w:r>
                    <w:rPr>
                      <w:rFonts w:hint="eastAsia"/>
                      <w:color w:val="auto"/>
                      <w:sz w:val="21"/>
                      <w:szCs w:val="21"/>
                      <w:highlight w:val="none"/>
                      <w:u w:val="none" w:color="auto"/>
                    </w:rPr>
                    <w:t>，</w:t>
                  </w:r>
                  <w:r>
                    <w:rPr>
                      <w:rFonts w:hint="eastAsia"/>
                      <w:color w:val="auto"/>
                      <w:sz w:val="21"/>
                      <w:szCs w:val="21"/>
                      <w:highlight w:val="none"/>
                      <w:u w:val="none" w:color="auto"/>
                      <w:lang w:val="en-US" w:eastAsia="zh-CN"/>
                    </w:rPr>
                    <w:t>立式</w:t>
                  </w:r>
                  <w:r>
                    <w:rPr>
                      <w:rFonts w:hint="eastAsia"/>
                      <w:color w:val="auto"/>
                      <w:sz w:val="21"/>
                      <w:szCs w:val="21"/>
                      <w:highlight w:val="none"/>
                      <w:u w:val="none" w:color="auto"/>
                    </w:rPr>
                    <w:t>，钢结构，</w:t>
                  </w:r>
                  <w:r>
                    <w:rPr>
                      <w:rFonts w:hint="eastAsia"/>
                      <w:color w:val="auto"/>
                      <w:sz w:val="21"/>
                      <w:szCs w:val="21"/>
                      <w:highlight w:val="none"/>
                      <w:u w:val="none" w:color="auto"/>
                      <w:lang w:eastAsia="zh-CN"/>
                    </w:rPr>
                    <w:t>单个</w:t>
                  </w:r>
                  <w:r>
                    <w:rPr>
                      <w:rFonts w:hint="eastAsia"/>
                      <w:color w:val="auto"/>
                      <w:sz w:val="21"/>
                      <w:szCs w:val="21"/>
                      <w:highlight w:val="none"/>
                      <w:u w:val="none" w:color="auto"/>
                    </w:rPr>
                    <w:t>容积为</w:t>
                  </w:r>
                  <w:r>
                    <w:rPr>
                      <w:rFonts w:hint="eastAsia"/>
                      <w:color w:val="auto"/>
                      <w:sz w:val="21"/>
                      <w:szCs w:val="21"/>
                      <w:highlight w:val="none"/>
                      <w:u w:val="none" w:color="auto"/>
                      <w:lang w:val="en-US" w:eastAsia="zh-CN"/>
                    </w:rPr>
                    <w:t>100</w:t>
                  </w:r>
                  <w:r>
                    <w:rPr>
                      <w:rFonts w:hint="eastAsia"/>
                      <w:color w:val="auto"/>
                      <w:sz w:val="21"/>
                      <w:szCs w:val="21"/>
                      <w:highlight w:val="none"/>
                      <w:u w:val="none" w:color="auto"/>
                    </w:rPr>
                    <w:t>t，</w:t>
                  </w:r>
                  <w:r>
                    <w:rPr>
                      <w:rFonts w:hint="eastAsia"/>
                      <w:color w:val="auto"/>
                      <w:sz w:val="21"/>
                      <w:szCs w:val="21"/>
                      <w:highlight w:val="none"/>
                      <w:u w:val="none" w:color="auto"/>
                      <w:lang w:eastAsia="zh-CN"/>
                    </w:rPr>
                    <w:t>直径</w:t>
                  </w:r>
                  <w:r>
                    <w:rPr>
                      <w:rFonts w:hint="eastAsia"/>
                      <w:color w:val="auto"/>
                      <w:sz w:val="21"/>
                      <w:szCs w:val="21"/>
                      <w:highlight w:val="none"/>
                      <w:u w:val="none" w:color="auto"/>
                      <w:lang w:val="en-US" w:eastAsia="zh-CN"/>
                    </w:rPr>
                    <w:t>3m，</w:t>
                  </w:r>
                  <w:r>
                    <w:rPr>
                      <w:rFonts w:hint="eastAsia"/>
                      <w:color w:val="auto"/>
                      <w:sz w:val="21"/>
                      <w:szCs w:val="21"/>
                      <w:highlight w:val="none"/>
                      <w:u w:val="none" w:color="auto"/>
                      <w:lang w:eastAsia="zh-CN"/>
                    </w:rPr>
                    <w:t>筒仓</w:t>
                  </w:r>
                  <w:r>
                    <w:rPr>
                      <w:rFonts w:hint="eastAsia"/>
                      <w:color w:val="auto"/>
                      <w:sz w:val="21"/>
                      <w:szCs w:val="21"/>
                      <w:highlight w:val="none"/>
                      <w:u w:val="none" w:color="auto"/>
                    </w:rPr>
                    <w:t>密封，负压，</w:t>
                  </w:r>
                  <w:r>
                    <w:rPr>
                      <w:rFonts w:hint="eastAsia"/>
                      <w:color w:val="auto"/>
                      <w:sz w:val="21"/>
                      <w:szCs w:val="21"/>
                      <w:highlight w:val="none"/>
                      <w:u w:val="none" w:color="auto"/>
                      <w:lang w:eastAsia="zh-CN"/>
                    </w:rPr>
                    <w:t>下</w:t>
                  </w:r>
                  <w:r>
                    <w:rPr>
                      <w:rFonts w:hint="eastAsia"/>
                      <w:color w:val="auto"/>
                      <w:sz w:val="21"/>
                      <w:szCs w:val="21"/>
                      <w:highlight w:val="none"/>
                      <w:u w:val="none" w:color="auto"/>
                    </w:rPr>
                    <w:t>部设有</w:t>
                  </w:r>
                  <w:r>
                    <w:rPr>
                      <w:rFonts w:hint="eastAsia"/>
                      <w:color w:val="auto"/>
                      <w:sz w:val="21"/>
                      <w:szCs w:val="21"/>
                      <w:highlight w:val="none"/>
                      <w:u w:val="none" w:color="auto"/>
                      <w:lang w:eastAsia="zh-CN"/>
                    </w:rPr>
                    <w:t>脉冲袋式</w:t>
                  </w:r>
                  <w:r>
                    <w:rPr>
                      <w:rFonts w:hint="eastAsia"/>
                      <w:color w:val="auto"/>
                      <w:sz w:val="21"/>
                      <w:szCs w:val="21"/>
                      <w:highlight w:val="none"/>
                      <w:u w:val="none" w:color="auto"/>
                    </w:rPr>
                    <w:t>除尘装置；</w:t>
                  </w:r>
                </w:p>
                <w:p w14:paraId="14505835">
                  <w:pPr>
                    <w:jc w:val="center"/>
                    <w:rPr>
                      <w:rFonts w:hint="eastAsia"/>
                      <w:color w:val="auto"/>
                      <w:sz w:val="21"/>
                      <w:szCs w:val="21"/>
                      <w:highlight w:val="none"/>
                      <w:u w:val="none" w:color="auto"/>
                    </w:rPr>
                  </w:pPr>
                  <w:r>
                    <w:rPr>
                      <w:rFonts w:hint="default" w:ascii="Times New Roman" w:hAnsi="Times New Roman" w:cs="Times New Roman"/>
                      <w:color w:val="auto"/>
                      <w:sz w:val="21"/>
                      <w:szCs w:val="21"/>
                      <w:highlight w:val="none"/>
                      <w:u w:val="none" w:color="auto"/>
                      <w:lang w:val="en-US" w:eastAsia="zh-CN"/>
                    </w:rPr>
                    <w:t>厂内设置</w:t>
                  </w:r>
                  <w:r>
                    <w:rPr>
                      <w:rFonts w:hint="eastAsia" w:ascii="Times New Roman" w:hAnsi="Times New Roman" w:cs="Times New Roman"/>
                      <w:color w:val="auto"/>
                      <w:kern w:val="2"/>
                      <w:sz w:val="21"/>
                      <w:szCs w:val="21"/>
                      <w:highlight w:val="none"/>
                      <w:u w:val="none" w:color="auto"/>
                      <w:lang w:val="en-US" w:eastAsia="zh-CN" w:bidi="ar-SA"/>
                    </w:rPr>
                    <w:t>4</w:t>
                  </w:r>
                  <w:r>
                    <w:rPr>
                      <w:rFonts w:hint="default" w:ascii="Times New Roman" w:hAnsi="Times New Roman" w:cs="Times New Roman"/>
                      <w:color w:val="auto"/>
                      <w:sz w:val="21"/>
                      <w:szCs w:val="21"/>
                      <w:highlight w:val="none"/>
                      <w:u w:val="none" w:color="auto"/>
                      <w:lang w:val="en-US" w:eastAsia="zh-CN"/>
                    </w:rPr>
                    <w:t>座外加剂罐，</w:t>
                  </w:r>
                  <w:r>
                    <w:rPr>
                      <w:rFonts w:hint="eastAsia" w:ascii="Times New Roman" w:hAnsi="Times New Roman" w:cs="Times New Roman"/>
                      <w:color w:val="auto"/>
                      <w:sz w:val="21"/>
                      <w:szCs w:val="21"/>
                      <w:highlight w:val="none"/>
                      <w:u w:val="none" w:color="auto"/>
                      <w:lang w:val="en-US" w:eastAsia="zh-CN"/>
                    </w:rPr>
                    <w:t>圆</w:t>
                  </w:r>
                  <w:r>
                    <w:rPr>
                      <w:rFonts w:hint="default" w:ascii="Times New Roman" w:hAnsi="Times New Roman" w:cs="Times New Roman"/>
                      <w:color w:val="auto"/>
                      <w:sz w:val="21"/>
                      <w:szCs w:val="21"/>
                      <w:highlight w:val="none"/>
                      <w:u w:val="none" w:color="auto"/>
                      <w:lang w:val="en-US" w:eastAsia="zh-CN"/>
                    </w:rPr>
                    <w:t>形，玻璃纤维结构，卧式，单个容积10t。</w:t>
                  </w:r>
                </w:p>
              </w:tc>
            </w:tr>
            <w:tr w14:paraId="39AC37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4" w:hRule="atLeast"/>
              </w:trPr>
              <w:tc>
                <w:tcPr>
                  <w:tcW w:w="267" w:type="pct"/>
                  <w:vMerge w:val="continue"/>
                  <w:noWrap w:val="0"/>
                  <w:tcMar>
                    <w:left w:w="57" w:type="dxa"/>
                    <w:right w:w="57" w:type="dxa"/>
                  </w:tcMar>
                  <w:vAlign w:val="center"/>
                </w:tcPr>
                <w:p w14:paraId="43133984">
                  <w:pPr>
                    <w:jc w:val="center"/>
                    <w:rPr>
                      <w:rFonts w:hint="eastAsia"/>
                      <w:color w:val="auto"/>
                      <w:sz w:val="21"/>
                      <w:szCs w:val="21"/>
                      <w:highlight w:val="cyan"/>
                      <w:u w:val="none" w:color="auto"/>
                    </w:rPr>
                  </w:pPr>
                </w:p>
              </w:tc>
              <w:tc>
                <w:tcPr>
                  <w:tcW w:w="921" w:type="pct"/>
                  <w:noWrap w:val="0"/>
                  <w:vAlign w:val="center"/>
                </w:tcPr>
                <w:p w14:paraId="491C8198">
                  <w:pPr>
                    <w:jc w:val="center"/>
                    <w:rPr>
                      <w:rFonts w:hint="eastAsia" w:eastAsia="宋体"/>
                      <w:color w:val="auto"/>
                      <w:sz w:val="21"/>
                      <w:szCs w:val="21"/>
                      <w:highlight w:val="none"/>
                      <w:u w:val="none" w:color="auto"/>
                      <w:lang w:eastAsia="zh-CN"/>
                    </w:rPr>
                  </w:pPr>
                  <w:r>
                    <w:rPr>
                      <w:rFonts w:hint="eastAsia"/>
                      <w:color w:val="auto"/>
                      <w:sz w:val="21"/>
                      <w:szCs w:val="21"/>
                      <w:highlight w:val="none"/>
                      <w:u w:val="none" w:color="auto"/>
                      <w:lang w:eastAsia="zh-CN"/>
                    </w:rPr>
                    <w:t>料棚</w:t>
                  </w:r>
                </w:p>
              </w:tc>
              <w:tc>
                <w:tcPr>
                  <w:tcW w:w="3811" w:type="pct"/>
                  <w:noWrap w:val="0"/>
                  <w:vAlign w:val="center"/>
                </w:tcPr>
                <w:p w14:paraId="16C14EB1">
                  <w:pPr>
                    <w:jc w:val="center"/>
                    <w:rPr>
                      <w:rFonts w:hint="eastAsia"/>
                      <w:color w:val="auto"/>
                      <w:sz w:val="21"/>
                      <w:szCs w:val="21"/>
                      <w:highlight w:val="cyan"/>
                      <w:u w:val="none" w:color="auto"/>
                    </w:rPr>
                  </w:pPr>
                  <w:r>
                    <w:rPr>
                      <w:rFonts w:hint="eastAsia"/>
                      <w:color w:val="auto"/>
                      <w:sz w:val="21"/>
                      <w:szCs w:val="21"/>
                      <w:highlight w:val="none"/>
                      <w:u w:val="none" w:color="auto"/>
                    </w:rPr>
                    <w:t>设置</w:t>
                  </w:r>
                  <w:r>
                    <w:rPr>
                      <w:rFonts w:hint="eastAsia"/>
                      <w:color w:val="auto"/>
                      <w:sz w:val="21"/>
                      <w:szCs w:val="21"/>
                      <w:highlight w:val="none"/>
                      <w:u w:val="none" w:color="auto"/>
                      <w:lang w:val="en-US" w:eastAsia="zh-CN"/>
                    </w:rPr>
                    <w:t>1个料棚</w:t>
                  </w:r>
                  <w:r>
                    <w:rPr>
                      <w:rFonts w:hint="eastAsia"/>
                      <w:color w:val="auto"/>
                      <w:sz w:val="21"/>
                      <w:szCs w:val="21"/>
                      <w:highlight w:val="none"/>
                      <w:u w:val="none" w:color="auto"/>
                    </w:rPr>
                    <w:t>，</w:t>
                  </w:r>
                  <w:r>
                    <w:rPr>
                      <w:rFonts w:hint="eastAsia"/>
                      <w:color w:val="auto"/>
                      <w:sz w:val="21"/>
                      <w:szCs w:val="21"/>
                      <w:highlight w:val="none"/>
                      <w:u w:val="none" w:color="auto"/>
                      <w:lang w:val="en-US" w:eastAsia="zh-CN"/>
                    </w:rPr>
                    <w:t>为砂石堆料场，位于厂区西北侧，占地</w:t>
                  </w:r>
                  <w:r>
                    <w:rPr>
                      <w:color w:val="auto"/>
                      <w:sz w:val="21"/>
                      <w:szCs w:val="21"/>
                      <w:highlight w:val="none"/>
                      <w:u w:val="none" w:color="auto"/>
                    </w:rPr>
                    <w:t>面积为</w:t>
                  </w:r>
                  <w:r>
                    <w:rPr>
                      <w:rFonts w:hint="eastAsia"/>
                      <w:color w:val="auto"/>
                      <w:sz w:val="21"/>
                      <w:szCs w:val="21"/>
                      <w:highlight w:val="none"/>
                      <w:u w:val="none" w:color="auto"/>
                      <w:lang w:val="en-US" w:eastAsia="zh-CN"/>
                    </w:rPr>
                    <w:t>1500</w:t>
                  </w:r>
                  <w:r>
                    <w:rPr>
                      <w:color w:val="auto"/>
                      <w:sz w:val="21"/>
                      <w:szCs w:val="21"/>
                      <w:highlight w:val="none"/>
                      <w:u w:val="none" w:color="auto"/>
                    </w:rPr>
                    <w:t>m</w:t>
                  </w:r>
                  <w:r>
                    <w:rPr>
                      <w:color w:val="auto"/>
                      <w:sz w:val="21"/>
                      <w:szCs w:val="21"/>
                      <w:highlight w:val="none"/>
                      <w:u w:val="none" w:color="auto"/>
                      <w:vertAlign w:val="superscript"/>
                    </w:rPr>
                    <w:t>2</w:t>
                  </w:r>
                  <w:r>
                    <w:rPr>
                      <w:rFonts w:hint="eastAsia"/>
                      <w:color w:val="auto"/>
                      <w:sz w:val="21"/>
                      <w:szCs w:val="21"/>
                      <w:highlight w:val="none"/>
                      <w:u w:val="none" w:color="auto"/>
                    </w:rPr>
                    <w:t>，</w:t>
                  </w:r>
                  <w:r>
                    <w:rPr>
                      <w:rFonts w:hint="eastAsia"/>
                      <w:color w:val="auto"/>
                      <w:sz w:val="21"/>
                      <w:szCs w:val="21"/>
                      <w:highlight w:val="none"/>
                      <w:u w:val="none" w:color="auto"/>
                      <w:lang w:eastAsia="zh-CN"/>
                    </w:rPr>
                    <w:t>砂、石料各占一半面积，骨料最大储存量为</w:t>
                  </w:r>
                  <w:r>
                    <w:rPr>
                      <w:rFonts w:hint="eastAsia"/>
                      <w:color w:val="auto"/>
                      <w:sz w:val="21"/>
                      <w:szCs w:val="21"/>
                      <w:highlight w:val="none"/>
                      <w:u w:val="none" w:color="auto"/>
                      <w:lang w:val="en-US" w:eastAsia="zh-CN"/>
                    </w:rPr>
                    <w:t>9000t，堆放面积为1300</w:t>
                  </w:r>
                  <w:r>
                    <w:rPr>
                      <w:color w:val="auto"/>
                      <w:sz w:val="21"/>
                      <w:szCs w:val="21"/>
                      <w:highlight w:val="none"/>
                      <w:u w:val="none" w:color="auto"/>
                    </w:rPr>
                    <w:t>m</w:t>
                  </w:r>
                  <w:r>
                    <w:rPr>
                      <w:color w:val="auto"/>
                      <w:sz w:val="21"/>
                      <w:szCs w:val="21"/>
                      <w:highlight w:val="none"/>
                      <w:u w:val="none" w:color="auto"/>
                      <w:vertAlign w:val="superscript"/>
                    </w:rPr>
                    <w:t>2</w:t>
                  </w:r>
                  <w:r>
                    <w:rPr>
                      <w:rFonts w:hint="eastAsia"/>
                      <w:color w:val="auto"/>
                      <w:sz w:val="21"/>
                      <w:szCs w:val="21"/>
                      <w:highlight w:val="none"/>
                      <w:u w:val="none" w:color="auto"/>
                    </w:rPr>
                    <w:t>，</w:t>
                  </w:r>
                  <w:r>
                    <w:rPr>
                      <w:rFonts w:hint="eastAsia"/>
                      <w:color w:val="auto"/>
                      <w:sz w:val="21"/>
                      <w:szCs w:val="21"/>
                      <w:highlight w:val="none"/>
                      <w:u w:val="none" w:color="auto"/>
                      <w:lang w:val="en-US" w:eastAsia="zh-CN"/>
                    </w:rPr>
                    <w:t>堆场采取混凝土地面</w:t>
                  </w:r>
                  <w:r>
                    <w:rPr>
                      <w:rFonts w:hint="eastAsia"/>
                      <w:color w:val="auto"/>
                      <w:sz w:val="21"/>
                      <w:szCs w:val="21"/>
                      <w:highlight w:val="none"/>
                      <w:u w:val="none" w:color="auto"/>
                    </w:rPr>
                    <w:t>硬化，</w:t>
                  </w:r>
                  <w:r>
                    <w:rPr>
                      <w:rFonts w:hint="eastAsia"/>
                      <w:color w:val="auto"/>
                      <w:sz w:val="21"/>
                      <w:szCs w:val="21"/>
                      <w:highlight w:val="none"/>
                      <w:u w:val="none" w:color="auto"/>
                      <w:lang w:eastAsia="zh-CN"/>
                    </w:rPr>
                    <w:t>半封闭</w:t>
                  </w:r>
                  <w:r>
                    <w:rPr>
                      <w:rFonts w:hint="eastAsia"/>
                      <w:color w:val="auto"/>
                      <w:sz w:val="21"/>
                      <w:szCs w:val="21"/>
                      <w:highlight w:val="none"/>
                      <w:u w:val="none" w:color="auto"/>
                    </w:rPr>
                    <w:t>彩钢棚</w:t>
                  </w:r>
                  <w:r>
                    <w:rPr>
                      <w:color w:val="auto"/>
                      <w:sz w:val="21"/>
                      <w:szCs w:val="21"/>
                      <w:highlight w:val="none"/>
                      <w:u w:val="none" w:color="auto"/>
                    </w:rPr>
                    <w:t>。</w:t>
                  </w:r>
                </w:p>
              </w:tc>
            </w:tr>
            <w:tr w14:paraId="083F1F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4" w:hRule="atLeast"/>
              </w:trPr>
              <w:tc>
                <w:tcPr>
                  <w:tcW w:w="267" w:type="pct"/>
                  <w:vMerge w:val="continue"/>
                  <w:noWrap w:val="0"/>
                  <w:tcMar>
                    <w:left w:w="57" w:type="dxa"/>
                    <w:right w:w="57" w:type="dxa"/>
                  </w:tcMar>
                  <w:vAlign w:val="center"/>
                </w:tcPr>
                <w:p w14:paraId="4009546F">
                  <w:pPr>
                    <w:jc w:val="center"/>
                    <w:rPr>
                      <w:rFonts w:hint="eastAsia"/>
                      <w:color w:val="auto"/>
                      <w:sz w:val="21"/>
                      <w:szCs w:val="21"/>
                      <w:highlight w:val="cyan"/>
                      <w:u w:val="none" w:color="auto"/>
                    </w:rPr>
                  </w:pPr>
                </w:p>
              </w:tc>
              <w:tc>
                <w:tcPr>
                  <w:tcW w:w="921" w:type="pct"/>
                  <w:noWrap w:val="0"/>
                  <w:vAlign w:val="center"/>
                </w:tcPr>
                <w:p w14:paraId="0A9C5C7D">
                  <w:pPr>
                    <w:jc w:val="center"/>
                    <w:rPr>
                      <w:rFonts w:hint="eastAsia" w:eastAsia="宋体"/>
                      <w:color w:val="auto"/>
                      <w:sz w:val="21"/>
                      <w:szCs w:val="21"/>
                      <w:highlight w:val="none"/>
                      <w:u w:val="none" w:color="auto"/>
                      <w:lang w:val="en-US" w:eastAsia="zh-CN"/>
                    </w:rPr>
                  </w:pPr>
                  <w:r>
                    <w:rPr>
                      <w:rFonts w:hint="eastAsia"/>
                      <w:color w:val="auto"/>
                      <w:sz w:val="21"/>
                      <w:szCs w:val="21"/>
                      <w:highlight w:val="none"/>
                      <w:u w:val="none" w:color="auto"/>
                      <w:lang w:val="en-US" w:eastAsia="zh-CN"/>
                    </w:rPr>
                    <w:t>上料仓</w:t>
                  </w:r>
                </w:p>
              </w:tc>
              <w:tc>
                <w:tcPr>
                  <w:tcW w:w="3811" w:type="pct"/>
                  <w:noWrap w:val="0"/>
                  <w:vAlign w:val="center"/>
                </w:tcPr>
                <w:p w14:paraId="513246AE">
                  <w:pPr>
                    <w:jc w:val="center"/>
                    <w:rPr>
                      <w:rFonts w:hint="eastAsia" w:eastAsia="宋体"/>
                      <w:color w:val="auto"/>
                      <w:sz w:val="21"/>
                      <w:szCs w:val="21"/>
                      <w:highlight w:val="none"/>
                      <w:u w:val="none" w:color="auto"/>
                      <w:lang w:val="en-US" w:eastAsia="zh-CN"/>
                    </w:rPr>
                  </w:pPr>
                  <w:r>
                    <w:rPr>
                      <w:rFonts w:hint="eastAsia"/>
                      <w:color w:val="auto"/>
                      <w:sz w:val="21"/>
                      <w:szCs w:val="21"/>
                      <w:highlight w:val="none"/>
                      <w:u w:val="none" w:color="auto"/>
                    </w:rPr>
                    <w:t>设置</w:t>
                  </w:r>
                  <w:r>
                    <w:rPr>
                      <w:rFonts w:hint="eastAsia"/>
                      <w:color w:val="auto"/>
                      <w:sz w:val="21"/>
                      <w:szCs w:val="21"/>
                      <w:highlight w:val="none"/>
                      <w:u w:val="none" w:color="auto"/>
                      <w:lang w:val="en-US" w:eastAsia="zh-CN"/>
                    </w:rPr>
                    <w:t>8个骨料上料仓</w:t>
                  </w:r>
                  <w:r>
                    <w:rPr>
                      <w:rFonts w:hint="eastAsia"/>
                      <w:color w:val="auto"/>
                      <w:sz w:val="21"/>
                      <w:szCs w:val="21"/>
                      <w:highlight w:val="none"/>
                      <w:u w:val="none" w:color="auto"/>
                      <w:vertAlign w:val="baseline"/>
                      <w:lang w:eastAsia="zh-CN"/>
                    </w:rPr>
                    <w:t>。</w:t>
                  </w:r>
                </w:p>
              </w:tc>
            </w:tr>
            <w:tr w14:paraId="5834D1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34" w:hRule="atLeast"/>
              </w:trPr>
              <w:tc>
                <w:tcPr>
                  <w:tcW w:w="267" w:type="pct"/>
                  <w:vMerge w:val="continue"/>
                  <w:noWrap w:val="0"/>
                  <w:tcMar>
                    <w:left w:w="57" w:type="dxa"/>
                    <w:right w:w="57" w:type="dxa"/>
                  </w:tcMar>
                  <w:vAlign w:val="center"/>
                </w:tcPr>
                <w:p w14:paraId="0427A31C">
                  <w:pPr>
                    <w:jc w:val="center"/>
                    <w:rPr>
                      <w:rFonts w:hint="eastAsia"/>
                      <w:color w:val="auto"/>
                      <w:sz w:val="21"/>
                      <w:szCs w:val="21"/>
                      <w:highlight w:val="cyan"/>
                      <w:u w:val="none" w:color="auto"/>
                    </w:rPr>
                  </w:pPr>
                </w:p>
              </w:tc>
              <w:tc>
                <w:tcPr>
                  <w:tcW w:w="921" w:type="pct"/>
                  <w:noWrap w:val="0"/>
                  <w:vAlign w:val="center"/>
                </w:tcPr>
                <w:p w14:paraId="215D9632">
                  <w:pPr>
                    <w:jc w:val="center"/>
                    <w:rPr>
                      <w:i w:val="0"/>
                      <w:iCs w:val="0"/>
                      <w:color w:val="auto"/>
                      <w:sz w:val="21"/>
                      <w:szCs w:val="21"/>
                      <w:highlight w:val="none"/>
                      <w:u w:val="none" w:color="auto"/>
                    </w:rPr>
                  </w:pPr>
                  <w:r>
                    <w:rPr>
                      <w:rFonts w:hint="eastAsia"/>
                      <w:i w:val="0"/>
                      <w:iCs w:val="0"/>
                      <w:color w:val="auto"/>
                      <w:sz w:val="21"/>
                      <w:szCs w:val="21"/>
                      <w:highlight w:val="none"/>
                      <w:u w:val="none" w:color="auto"/>
                    </w:rPr>
                    <w:t>运输</w:t>
                  </w:r>
                </w:p>
              </w:tc>
              <w:tc>
                <w:tcPr>
                  <w:tcW w:w="3811" w:type="pct"/>
                  <w:noWrap w:val="0"/>
                  <w:vAlign w:val="center"/>
                </w:tcPr>
                <w:p w14:paraId="0E8B26FE">
                  <w:pPr>
                    <w:jc w:val="both"/>
                    <w:rPr>
                      <w:rFonts w:hint="eastAsia"/>
                      <w:i/>
                      <w:iCs/>
                      <w:color w:val="auto"/>
                      <w:sz w:val="21"/>
                      <w:szCs w:val="21"/>
                      <w:highlight w:val="none"/>
                      <w:u w:val="none" w:color="auto"/>
                    </w:rPr>
                  </w:pPr>
                  <w:r>
                    <w:rPr>
                      <w:rFonts w:hint="eastAsia"/>
                      <w:i w:val="0"/>
                      <w:iCs w:val="0"/>
                      <w:color w:val="auto"/>
                      <w:sz w:val="21"/>
                      <w:szCs w:val="21"/>
                      <w:highlight w:val="none"/>
                      <w:u w:val="none" w:color="auto"/>
                    </w:rPr>
                    <w:t>原料及混凝土成品均采用汽车公路运输，厂区外运输可利用现有道路。厂区内粉料采用气力输送管道直接输送至混凝土搅拌机内，</w:t>
                  </w:r>
                  <w:r>
                    <w:rPr>
                      <w:rFonts w:hint="eastAsia"/>
                      <w:i w:val="0"/>
                      <w:iCs w:val="0"/>
                      <w:color w:val="auto"/>
                      <w:sz w:val="21"/>
                      <w:szCs w:val="21"/>
                      <w:highlight w:val="none"/>
                      <w:u w:val="none" w:color="auto"/>
                      <w:lang w:eastAsia="zh-CN"/>
                    </w:rPr>
                    <w:t>砂石</w:t>
                  </w:r>
                  <w:r>
                    <w:rPr>
                      <w:rFonts w:hint="eastAsia"/>
                      <w:i w:val="0"/>
                      <w:iCs w:val="0"/>
                      <w:color w:val="auto"/>
                      <w:sz w:val="21"/>
                      <w:szCs w:val="21"/>
                      <w:highlight w:val="none"/>
                      <w:u w:val="none" w:color="auto"/>
                    </w:rPr>
                    <w:t>采用铲车输送至</w:t>
                  </w:r>
                  <w:r>
                    <w:rPr>
                      <w:rFonts w:hint="eastAsia"/>
                      <w:i w:val="0"/>
                      <w:iCs w:val="0"/>
                      <w:color w:val="auto"/>
                      <w:sz w:val="21"/>
                      <w:szCs w:val="21"/>
                      <w:highlight w:val="none"/>
                      <w:u w:val="none" w:color="auto"/>
                      <w:lang w:eastAsia="zh-CN"/>
                    </w:rPr>
                    <w:t>骨料</w:t>
                  </w:r>
                  <w:r>
                    <w:rPr>
                      <w:rFonts w:hint="eastAsia"/>
                      <w:i w:val="0"/>
                      <w:iCs w:val="0"/>
                      <w:color w:val="auto"/>
                      <w:sz w:val="21"/>
                      <w:szCs w:val="21"/>
                      <w:highlight w:val="none"/>
                      <w:u w:val="none" w:color="auto"/>
                      <w:lang w:val="en-US" w:eastAsia="zh-CN"/>
                    </w:rPr>
                    <w:t>上料仓</w:t>
                  </w:r>
                  <w:r>
                    <w:rPr>
                      <w:rFonts w:hint="eastAsia"/>
                      <w:i w:val="0"/>
                      <w:iCs w:val="0"/>
                      <w:color w:val="auto"/>
                      <w:sz w:val="21"/>
                      <w:szCs w:val="21"/>
                      <w:highlight w:val="none"/>
                      <w:u w:val="none" w:color="auto"/>
                    </w:rPr>
                    <w:t>处，</w:t>
                  </w:r>
                  <w:r>
                    <w:rPr>
                      <w:rFonts w:hint="eastAsia"/>
                      <w:i w:val="0"/>
                      <w:iCs w:val="0"/>
                      <w:color w:val="auto"/>
                      <w:sz w:val="21"/>
                      <w:szCs w:val="21"/>
                      <w:highlight w:val="none"/>
                      <w:u w:val="none" w:color="auto"/>
                      <w:lang w:val="en-US" w:eastAsia="zh-CN"/>
                    </w:rPr>
                    <w:t>料斗采用三面封闭，</w:t>
                  </w:r>
                  <w:r>
                    <w:rPr>
                      <w:rFonts w:hint="eastAsia"/>
                      <w:i w:val="0"/>
                      <w:iCs w:val="0"/>
                      <w:color w:val="auto"/>
                      <w:sz w:val="21"/>
                      <w:szCs w:val="21"/>
                      <w:highlight w:val="none"/>
                      <w:u w:val="none" w:color="auto"/>
                    </w:rPr>
                    <w:t>再由输送皮带直接送至混凝土搅拌机内</w:t>
                  </w:r>
                  <w:r>
                    <w:rPr>
                      <w:rFonts w:hint="eastAsia"/>
                      <w:i w:val="0"/>
                      <w:iCs w:val="0"/>
                      <w:color w:val="auto"/>
                      <w:sz w:val="21"/>
                      <w:szCs w:val="21"/>
                      <w:highlight w:val="none"/>
                      <w:u w:val="none" w:color="auto"/>
                      <w:lang w:eastAsia="zh-CN"/>
                    </w:rPr>
                    <w:t>，厂区内道路采用混凝土硬化路面</w:t>
                  </w:r>
                  <w:r>
                    <w:rPr>
                      <w:rFonts w:hint="eastAsia"/>
                      <w:i w:val="0"/>
                      <w:iCs w:val="0"/>
                      <w:color w:val="auto"/>
                      <w:sz w:val="21"/>
                      <w:szCs w:val="21"/>
                      <w:highlight w:val="none"/>
                      <w:u w:val="none" w:color="auto"/>
                    </w:rPr>
                    <w:t>。</w:t>
                  </w:r>
                </w:p>
              </w:tc>
            </w:tr>
            <w:tr w14:paraId="052052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267" w:type="pct"/>
                  <w:vMerge w:val="restart"/>
                  <w:noWrap w:val="0"/>
                  <w:tcMar>
                    <w:left w:w="57" w:type="dxa"/>
                    <w:right w:w="57" w:type="dxa"/>
                  </w:tcMar>
                  <w:vAlign w:val="center"/>
                </w:tcPr>
                <w:p w14:paraId="6AA74002">
                  <w:pPr>
                    <w:jc w:val="center"/>
                    <w:rPr>
                      <w:color w:val="auto"/>
                      <w:sz w:val="21"/>
                      <w:szCs w:val="21"/>
                      <w:highlight w:val="none"/>
                      <w:u w:val="none" w:color="auto"/>
                    </w:rPr>
                  </w:pPr>
                  <w:r>
                    <w:rPr>
                      <w:rFonts w:hint="eastAsia"/>
                      <w:color w:val="auto"/>
                      <w:sz w:val="21"/>
                      <w:szCs w:val="21"/>
                      <w:highlight w:val="none"/>
                      <w:u w:val="none" w:color="auto"/>
                    </w:rPr>
                    <w:t>公用工程</w:t>
                  </w:r>
                </w:p>
              </w:tc>
              <w:tc>
                <w:tcPr>
                  <w:tcW w:w="921" w:type="pct"/>
                  <w:noWrap w:val="0"/>
                  <w:vAlign w:val="center"/>
                </w:tcPr>
                <w:p w14:paraId="1D37DAFA">
                  <w:pPr>
                    <w:jc w:val="center"/>
                    <w:rPr>
                      <w:rFonts w:hint="eastAsia"/>
                      <w:color w:val="auto"/>
                      <w:sz w:val="21"/>
                      <w:szCs w:val="21"/>
                      <w:highlight w:val="none"/>
                      <w:u w:val="none" w:color="auto"/>
                    </w:rPr>
                  </w:pPr>
                  <w:r>
                    <w:rPr>
                      <w:rFonts w:hint="eastAsia"/>
                      <w:color w:val="auto"/>
                      <w:sz w:val="21"/>
                      <w:szCs w:val="21"/>
                      <w:highlight w:val="none"/>
                      <w:u w:val="none" w:color="auto"/>
                    </w:rPr>
                    <w:t>给水</w:t>
                  </w:r>
                </w:p>
              </w:tc>
              <w:tc>
                <w:tcPr>
                  <w:tcW w:w="3811" w:type="pct"/>
                  <w:noWrap w:val="0"/>
                  <w:vAlign w:val="center"/>
                </w:tcPr>
                <w:p w14:paraId="0555DEF2">
                  <w:pPr>
                    <w:jc w:val="both"/>
                    <w:rPr>
                      <w:rFonts w:hint="eastAsia" w:eastAsia="宋体"/>
                      <w:color w:val="auto"/>
                      <w:sz w:val="21"/>
                      <w:szCs w:val="21"/>
                      <w:highlight w:val="none"/>
                      <w:u w:val="none" w:color="auto"/>
                      <w:lang w:eastAsia="zh-CN"/>
                    </w:rPr>
                  </w:pPr>
                  <w:r>
                    <w:rPr>
                      <w:rFonts w:hint="eastAsia"/>
                      <w:color w:val="auto"/>
                      <w:sz w:val="21"/>
                      <w:szCs w:val="21"/>
                      <w:highlight w:val="none"/>
                      <w:u w:val="none" w:color="auto"/>
                    </w:rPr>
                    <w:t>项目</w:t>
                  </w:r>
                  <w:r>
                    <w:rPr>
                      <w:color w:val="auto"/>
                      <w:sz w:val="21"/>
                      <w:szCs w:val="21"/>
                      <w:highlight w:val="none"/>
                      <w:u w:val="none" w:color="auto"/>
                    </w:rPr>
                    <w:t>生活</w:t>
                  </w:r>
                  <w:r>
                    <w:rPr>
                      <w:rFonts w:hint="eastAsia"/>
                      <w:color w:val="auto"/>
                      <w:sz w:val="21"/>
                      <w:szCs w:val="21"/>
                      <w:highlight w:val="none"/>
                      <w:u w:val="none" w:color="auto"/>
                      <w:lang w:eastAsia="zh-CN"/>
                    </w:rPr>
                    <w:t>、</w:t>
                  </w:r>
                  <w:r>
                    <w:rPr>
                      <w:rFonts w:hint="eastAsia"/>
                      <w:color w:val="auto"/>
                      <w:sz w:val="21"/>
                      <w:szCs w:val="21"/>
                      <w:highlight w:val="none"/>
                      <w:u w:val="none" w:color="auto"/>
                      <w:lang w:val="en-US" w:eastAsia="zh-CN"/>
                    </w:rPr>
                    <w:t>生产用水取用地下水。</w:t>
                  </w:r>
                </w:p>
              </w:tc>
            </w:tr>
            <w:tr w14:paraId="49AC28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267" w:type="pct"/>
                  <w:vMerge w:val="continue"/>
                  <w:noWrap w:val="0"/>
                  <w:tcMar>
                    <w:left w:w="57" w:type="dxa"/>
                    <w:right w:w="57" w:type="dxa"/>
                  </w:tcMar>
                  <w:vAlign w:val="center"/>
                </w:tcPr>
                <w:p w14:paraId="46C6A2F2">
                  <w:pPr>
                    <w:jc w:val="center"/>
                    <w:rPr>
                      <w:rFonts w:hint="eastAsia"/>
                      <w:color w:val="auto"/>
                      <w:sz w:val="21"/>
                      <w:szCs w:val="21"/>
                      <w:highlight w:val="none"/>
                      <w:u w:val="none" w:color="auto"/>
                    </w:rPr>
                  </w:pPr>
                </w:p>
              </w:tc>
              <w:tc>
                <w:tcPr>
                  <w:tcW w:w="921" w:type="pct"/>
                  <w:noWrap w:val="0"/>
                  <w:vAlign w:val="center"/>
                </w:tcPr>
                <w:p w14:paraId="6E52664A">
                  <w:pPr>
                    <w:jc w:val="center"/>
                    <w:rPr>
                      <w:color w:val="auto"/>
                      <w:sz w:val="21"/>
                      <w:szCs w:val="21"/>
                      <w:highlight w:val="none"/>
                      <w:u w:val="none" w:color="auto"/>
                    </w:rPr>
                  </w:pPr>
                  <w:r>
                    <w:rPr>
                      <w:color w:val="auto"/>
                      <w:sz w:val="21"/>
                      <w:szCs w:val="21"/>
                      <w:highlight w:val="none"/>
                      <w:u w:val="none" w:color="auto"/>
                    </w:rPr>
                    <w:t>排水</w:t>
                  </w:r>
                </w:p>
              </w:tc>
              <w:tc>
                <w:tcPr>
                  <w:tcW w:w="3811" w:type="pct"/>
                  <w:noWrap w:val="0"/>
                  <w:vAlign w:val="center"/>
                </w:tcPr>
                <w:p w14:paraId="29B26378">
                  <w:pPr>
                    <w:jc w:val="both"/>
                    <w:rPr>
                      <w:rFonts w:hint="eastAsia" w:eastAsia="宋体"/>
                      <w:color w:val="auto"/>
                      <w:sz w:val="21"/>
                      <w:szCs w:val="21"/>
                      <w:highlight w:val="none"/>
                      <w:u w:val="none" w:color="auto"/>
                      <w:lang w:eastAsia="zh-CN"/>
                    </w:rPr>
                  </w:pPr>
                  <w:r>
                    <w:rPr>
                      <w:color w:val="auto"/>
                      <w:sz w:val="21"/>
                      <w:szCs w:val="21"/>
                      <w:highlight w:val="none"/>
                      <w:u w:val="none" w:color="auto"/>
                    </w:rPr>
                    <w:t>生活污水排入</w:t>
                  </w:r>
                  <w:r>
                    <w:rPr>
                      <w:rFonts w:hint="eastAsia"/>
                      <w:color w:val="auto"/>
                      <w:sz w:val="21"/>
                      <w:szCs w:val="21"/>
                      <w:highlight w:val="none"/>
                      <w:u w:val="none" w:color="auto"/>
                      <w:lang w:val="en-US" w:eastAsia="zh-CN"/>
                    </w:rPr>
                    <w:t>厂区防渗旱厕</w:t>
                  </w:r>
                  <w:r>
                    <w:rPr>
                      <w:rFonts w:hint="eastAsia"/>
                      <w:color w:val="auto"/>
                      <w:sz w:val="21"/>
                      <w:szCs w:val="21"/>
                      <w:highlight w:val="none"/>
                      <w:u w:val="none" w:color="auto"/>
                    </w:rPr>
                    <w:t>，</w:t>
                  </w:r>
                  <w:r>
                    <w:rPr>
                      <w:rFonts w:hint="eastAsia"/>
                      <w:color w:val="auto"/>
                      <w:sz w:val="21"/>
                      <w:szCs w:val="21"/>
                      <w:highlight w:val="none"/>
                      <w:u w:val="none" w:color="auto"/>
                      <w:lang w:val="en-US" w:eastAsia="zh-CN"/>
                    </w:rPr>
                    <w:t>定期清掏作农肥；罐车清洗废水及设备清洗废水</w:t>
                  </w:r>
                  <w:r>
                    <w:rPr>
                      <w:rFonts w:hint="eastAsia" w:ascii="Times New Roman" w:hAnsi="Times New Roman" w:eastAsia="宋体" w:cs="Times New Roman"/>
                      <w:color w:val="auto"/>
                      <w:sz w:val="21"/>
                      <w:szCs w:val="21"/>
                      <w:highlight w:val="none"/>
                      <w:u w:val="none" w:color="auto"/>
                      <w:lang w:val="en-US" w:eastAsia="zh-CN"/>
                    </w:rPr>
                    <w:t>经</w:t>
                  </w:r>
                  <w:r>
                    <w:rPr>
                      <w:rFonts w:hint="eastAsia" w:cs="Times New Roman"/>
                      <w:color w:val="auto"/>
                      <w:sz w:val="21"/>
                      <w:szCs w:val="21"/>
                      <w:highlight w:val="none"/>
                      <w:u w:val="none" w:color="auto"/>
                      <w:lang w:val="en-US" w:eastAsia="zh-CN"/>
                    </w:rPr>
                    <w:t>三级</w:t>
                  </w:r>
                  <w:r>
                    <w:rPr>
                      <w:rFonts w:hint="eastAsia" w:ascii="Times New Roman" w:hAnsi="Times New Roman" w:eastAsia="宋体" w:cs="Times New Roman"/>
                      <w:color w:val="auto"/>
                      <w:sz w:val="21"/>
                      <w:szCs w:val="21"/>
                      <w:highlight w:val="none"/>
                      <w:u w:val="none" w:color="auto"/>
                      <w:lang w:val="en-US" w:eastAsia="zh-CN"/>
                    </w:rPr>
                    <w:t>沉淀池</w:t>
                  </w:r>
                  <w:r>
                    <w:rPr>
                      <w:rFonts w:hint="eastAsia" w:cs="Times New Roman"/>
                      <w:color w:val="auto"/>
                      <w:sz w:val="21"/>
                      <w:szCs w:val="21"/>
                      <w:highlight w:val="none"/>
                      <w:u w:val="none" w:color="auto"/>
                      <w:lang w:val="en-US" w:eastAsia="zh-CN"/>
                    </w:rPr>
                    <w:t>沉淀</w:t>
                  </w:r>
                  <w:r>
                    <w:rPr>
                      <w:rFonts w:hint="eastAsia"/>
                      <w:color w:val="auto"/>
                      <w:sz w:val="21"/>
                      <w:szCs w:val="21"/>
                      <w:highlight w:val="none"/>
                      <w:u w:val="none" w:color="auto"/>
                      <w:lang w:val="en-US" w:eastAsia="zh-CN"/>
                    </w:rPr>
                    <w:t>处理后回用于生产，不外排，厂区降尘水直接蒸发，无</w:t>
                  </w:r>
                  <w:r>
                    <w:rPr>
                      <w:rFonts w:hint="eastAsia"/>
                      <w:color w:val="auto"/>
                      <w:sz w:val="21"/>
                      <w:szCs w:val="21"/>
                      <w:highlight w:val="none"/>
                      <w:u w:val="none" w:color="auto"/>
                    </w:rPr>
                    <w:t>废水</w:t>
                  </w:r>
                  <w:r>
                    <w:rPr>
                      <w:rFonts w:hint="eastAsia"/>
                      <w:color w:val="auto"/>
                      <w:sz w:val="21"/>
                      <w:szCs w:val="21"/>
                      <w:highlight w:val="none"/>
                      <w:u w:val="none" w:color="auto"/>
                      <w:lang w:eastAsia="zh-CN"/>
                    </w:rPr>
                    <w:t>排放</w:t>
                  </w:r>
                  <w:r>
                    <w:rPr>
                      <w:color w:val="auto"/>
                      <w:sz w:val="21"/>
                      <w:szCs w:val="21"/>
                      <w:highlight w:val="none"/>
                      <w:u w:val="none" w:color="auto"/>
                    </w:rPr>
                    <w:t>。</w:t>
                  </w:r>
                </w:p>
              </w:tc>
            </w:tr>
            <w:tr w14:paraId="59B718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77" w:hRule="atLeast"/>
              </w:trPr>
              <w:tc>
                <w:tcPr>
                  <w:tcW w:w="267" w:type="pct"/>
                  <w:vMerge w:val="continue"/>
                  <w:noWrap w:val="0"/>
                  <w:tcMar>
                    <w:left w:w="57" w:type="dxa"/>
                    <w:right w:w="57" w:type="dxa"/>
                  </w:tcMar>
                  <w:vAlign w:val="center"/>
                </w:tcPr>
                <w:p w14:paraId="3EC71A8F">
                  <w:pPr>
                    <w:jc w:val="center"/>
                    <w:rPr>
                      <w:rFonts w:hint="eastAsia"/>
                      <w:color w:val="auto"/>
                      <w:sz w:val="21"/>
                      <w:szCs w:val="21"/>
                      <w:highlight w:val="none"/>
                      <w:u w:val="none" w:color="auto"/>
                    </w:rPr>
                  </w:pPr>
                </w:p>
              </w:tc>
              <w:tc>
                <w:tcPr>
                  <w:tcW w:w="921" w:type="pct"/>
                  <w:noWrap w:val="0"/>
                  <w:vAlign w:val="center"/>
                </w:tcPr>
                <w:p w14:paraId="41CFF6B2">
                  <w:pPr>
                    <w:jc w:val="center"/>
                    <w:rPr>
                      <w:color w:val="auto"/>
                      <w:sz w:val="21"/>
                      <w:szCs w:val="21"/>
                      <w:highlight w:val="none"/>
                      <w:u w:val="none" w:color="auto"/>
                    </w:rPr>
                  </w:pPr>
                  <w:r>
                    <w:rPr>
                      <w:rFonts w:hint="eastAsia"/>
                      <w:color w:val="auto"/>
                      <w:sz w:val="21"/>
                      <w:szCs w:val="21"/>
                      <w:highlight w:val="none"/>
                      <w:u w:val="none" w:color="auto"/>
                    </w:rPr>
                    <w:t>供热</w:t>
                  </w:r>
                </w:p>
              </w:tc>
              <w:tc>
                <w:tcPr>
                  <w:tcW w:w="3811" w:type="pct"/>
                  <w:noWrap w:val="0"/>
                  <w:vAlign w:val="center"/>
                </w:tcPr>
                <w:p w14:paraId="5ADE4D35">
                  <w:pPr>
                    <w:jc w:val="both"/>
                    <w:rPr>
                      <w:rFonts w:hint="eastAsia"/>
                      <w:color w:val="auto"/>
                      <w:sz w:val="21"/>
                      <w:szCs w:val="21"/>
                      <w:highlight w:val="none"/>
                      <w:u w:val="none" w:color="auto"/>
                    </w:rPr>
                  </w:pPr>
                  <w:r>
                    <w:rPr>
                      <w:color w:val="auto"/>
                      <w:sz w:val="21"/>
                      <w:szCs w:val="21"/>
                      <w:highlight w:val="none"/>
                      <w:u w:val="none" w:color="auto"/>
                    </w:rPr>
                    <w:t>本项目</w:t>
                  </w:r>
                  <w:r>
                    <w:rPr>
                      <w:rFonts w:hint="eastAsia"/>
                      <w:color w:val="auto"/>
                      <w:sz w:val="21"/>
                      <w:szCs w:val="21"/>
                      <w:highlight w:val="none"/>
                      <w:u w:val="none" w:color="auto"/>
                    </w:rPr>
                    <w:t>生产不用热，</w:t>
                  </w:r>
                  <w:r>
                    <w:rPr>
                      <w:rFonts w:hint="eastAsia"/>
                      <w:color w:val="auto"/>
                      <w:sz w:val="21"/>
                      <w:szCs w:val="21"/>
                      <w:highlight w:val="none"/>
                      <w:u w:val="none" w:color="auto"/>
                      <w:lang w:eastAsia="zh-CN"/>
                    </w:rPr>
                    <w:t>冬季不生产</w:t>
                  </w:r>
                  <w:r>
                    <w:rPr>
                      <w:color w:val="auto"/>
                      <w:sz w:val="21"/>
                      <w:szCs w:val="21"/>
                      <w:highlight w:val="none"/>
                      <w:u w:val="none" w:color="auto"/>
                    </w:rPr>
                    <w:t>。</w:t>
                  </w:r>
                </w:p>
              </w:tc>
            </w:tr>
            <w:tr w14:paraId="5451E2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77" w:hRule="atLeast"/>
              </w:trPr>
              <w:tc>
                <w:tcPr>
                  <w:tcW w:w="267" w:type="pct"/>
                  <w:vMerge w:val="continue"/>
                  <w:noWrap w:val="0"/>
                  <w:tcMar>
                    <w:left w:w="57" w:type="dxa"/>
                    <w:right w:w="57" w:type="dxa"/>
                  </w:tcMar>
                  <w:vAlign w:val="center"/>
                </w:tcPr>
                <w:p w14:paraId="6A64D836">
                  <w:pPr>
                    <w:jc w:val="center"/>
                    <w:rPr>
                      <w:rFonts w:hint="eastAsia"/>
                      <w:color w:val="auto"/>
                      <w:sz w:val="21"/>
                      <w:szCs w:val="21"/>
                      <w:highlight w:val="none"/>
                      <w:u w:val="none" w:color="auto"/>
                    </w:rPr>
                  </w:pPr>
                </w:p>
              </w:tc>
              <w:tc>
                <w:tcPr>
                  <w:tcW w:w="921" w:type="pct"/>
                  <w:noWrap w:val="0"/>
                  <w:vAlign w:val="center"/>
                </w:tcPr>
                <w:p w14:paraId="7C85605B">
                  <w:pPr>
                    <w:jc w:val="center"/>
                    <w:rPr>
                      <w:color w:val="auto"/>
                      <w:sz w:val="21"/>
                      <w:szCs w:val="21"/>
                      <w:highlight w:val="none"/>
                      <w:u w:val="none" w:color="auto"/>
                    </w:rPr>
                  </w:pPr>
                  <w:r>
                    <w:rPr>
                      <w:rFonts w:hint="eastAsia"/>
                      <w:color w:val="auto"/>
                      <w:sz w:val="21"/>
                      <w:szCs w:val="21"/>
                      <w:highlight w:val="none"/>
                      <w:u w:val="none" w:color="auto"/>
                    </w:rPr>
                    <w:t>供电</w:t>
                  </w:r>
                </w:p>
              </w:tc>
              <w:tc>
                <w:tcPr>
                  <w:tcW w:w="3811" w:type="pct"/>
                  <w:noWrap w:val="0"/>
                  <w:vAlign w:val="center"/>
                </w:tcPr>
                <w:p w14:paraId="28754E0B">
                  <w:pPr>
                    <w:jc w:val="both"/>
                    <w:rPr>
                      <w:rFonts w:hint="eastAsia"/>
                      <w:color w:val="auto"/>
                      <w:sz w:val="21"/>
                      <w:szCs w:val="21"/>
                      <w:highlight w:val="none"/>
                      <w:u w:val="none" w:color="auto"/>
                    </w:rPr>
                  </w:pPr>
                  <w:r>
                    <w:rPr>
                      <w:rFonts w:hint="eastAsia"/>
                      <w:color w:val="auto"/>
                      <w:sz w:val="21"/>
                      <w:szCs w:val="21"/>
                      <w:highlight w:val="none"/>
                      <w:u w:val="none" w:color="auto"/>
                    </w:rPr>
                    <w:t>由</w:t>
                  </w:r>
                  <w:r>
                    <w:rPr>
                      <w:rFonts w:hint="eastAsia"/>
                      <w:color w:val="auto"/>
                      <w:sz w:val="21"/>
                      <w:szCs w:val="21"/>
                      <w:highlight w:val="none"/>
                      <w:u w:val="none" w:color="auto"/>
                      <w:lang w:eastAsia="zh-CN"/>
                    </w:rPr>
                    <w:t>当地</w:t>
                  </w:r>
                  <w:r>
                    <w:rPr>
                      <w:rFonts w:hint="eastAsia"/>
                      <w:color w:val="auto"/>
                      <w:sz w:val="21"/>
                      <w:szCs w:val="21"/>
                      <w:highlight w:val="none"/>
                      <w:u w:val="none" w:color="auto"/>
                    </w:rPr>
                    <w:t>供电局统一供给。</w:t>
                  </w:r>
                </w:p>
              </w:tc>
            </w:tr>
            <w:tr w14:paraId="0F24E6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068" w:hRule="atLeast"/>
              </w:trPr>
              <w:tc>
                <w:tcPr>
                  <w:tcW w:w="267" w:type="pct"/>
                  <w:vMerge w:val="restart"/>
                  <w:noWrap w:val="0"/>
                  <w:tcMar>
                    <w:left w:w="57" w:type="dxa"/>
                    <w:right w:w="57" w:type="dxa"/>
                  </w:tcMar>
                  <w:vAlign w:val="center"/>
                </w:tcPr>
                <w:p w14:paraId="3ABE2699">
                  <w:pPr>
                    <w:pStyle w:val="57"/>
                    <w:spacing w:line="240" w:lineRule="auto"/>
                    <w:rPr>
                      <w:color w:val="auto"/>
                      <w:sz w:val="21"/>
                      <w:szCs w:val="21"/>
                      <w:highlight w:val="none"/>
                      <w:u w:val="none" w:color="auto"/>
                    </w:rPr>
                  </w:pPr>
                  <w:r>
                    <w:rPr>
                      <w:color w:val="auto"/>
                      <w:sz w:val="21"/>
                      <w:szCs w:val="21"/>
                      <w:highlight w:val="none"/>
                      <w:u w:val="none" w:color="auto"/>
                    </w:rPr>
                    <w:t>环保</w:t>
                  </w:r>
                </w:p>
                <w:p w14:paraId="3FD2C527">
                  <w:pPr>
                    <w:jc w:val="center"/>
                    <w:rPr>
                      <w:color w:val="auto"/>
                      <w:sz w:val="21"/>
                      <w:szCs w:val="21"/>
                      <w:highlight w:val="none"/>
                      <w:u w:val="none" w:color="auto"/>
                    </w:rPr>
                  </w:pPr>
                  <w:r>
                    <w:rPr>
                      <w:color w:val="auto"/>
                      <w:sz w:val="21"/>
                      <w:szCs w:val="21"/>
                      <w:highlight w:val="none"/>
                      <w:u w:val="none" w:color="auto"/>
                    </w:rPr>
                    <w:t>工程</w:t>
                  </w:r>
                </w:p>
              </w:tc>
              <w:tc>
                <w:tcPr>
                  <w:tcW w:w="921" w:type="pct"/>
                  <w:noWrap w:val="0"/>
                  <w:vAlign w:val="center"/>
                </w:tcPr>
                <w:p w14:paraId="425FA784">
                  <w:pPr>
                    <w:ind w:left="-84" w:leftChars="-40" w:right="-84" w:rightChars="-40"/>
                    <w:jc w:val="center"/>
                    <w:rPr>
                      <w:color w:val="auto"/>
                      <w:sz w:val="21"/>
                      <w:szCs w:val="21"/>
                      <w:highlight w:val="none"/>
                      <w:u w:val="none" w:color="auto"/>
                    </w:rPr>
                  </w:pPr>
                  <w:r>
                    <w:rPr>
                      <w:rFonts w:hint="eastAsia"/>
                      <w:color w:val="auto"/>
                      <w:sz w:val="21"/>
                      <w:szCs w:val="21"/>
                      <w:highlight w:val="none"/>
                      <w:u w:val="none" w:color="auto"/>
                    </w:rPr>
                    <w:t>废气治理</w:t>
                  </w:r>
                </w:p>
              </w:tc>
              <w:tc>
                <w:tcPr>
                  <w:tcW w:w="3811" w:type="pct"/>
                  <w:noWrap w:val="0"/>
                  <w:vAlign w:val="center"/>
                </w:tcPr>
                <w:p w14:paraId="75330895">
                  <w:pPr>
                    <w:keepNext w:val="0"/>
                    <w:keepLines w:val="0"/>
                    <w:widowControl/>
                    <w:suppressLineNumbers w:val="0"/>
                    <w:jc w:val="both"/>
                    <w:rPr>
                      <w:rFonts w:hint="default"/>
                      <w:color w:val="auto"/>
                      <w:sz w:val="21"/>
                      <w:szCs w:val="21"/>
                      <w:highlight w:val="none"/>
                      <w:u w:val="none" w:color="auto"/>
                      <w:lang w:val="en-US"/>
                    </w:rPr>
                  </w:pPr>
                  <w:r>
                    <w:rPr>
                      <w:rFonts w:hint="default" w:ascii="Times New Roman" w:hAnsi="Times New Roman" w:cs="Times New Roman"/>
                      <w:color w:val="auto"/>
                      <w:sz w:val="21"/>
                      <w:szCs w:val="21"/>
                      <w:highlight w:val="none"/>
                      <w:u w:val="none" w:color="auto"/>
                      <w:lang w:val="en-US" w:eastAsia="zh-CN"/>
                    </w:rPr>
                    <w:t>筒仓粉尘：</w:t>
                  </w:r>
                  <w:r>
                    <w:rPr>
                      <w:rFonts w:hint="default" w:ascii="Times New Roman" w:hAnsi="Times New Roman" w:eastAsia="宋体" w:cs="Times New Roman"/>
                      <w:color w:val="auto"/>
                      <w:kern w:val="0"/>
                      <w:sz w:val="21"/>
                      <w:szCs w:val="21"/>
                      <w:highlight w:val="none"/>
                      <w:u w:val="none" w:color="auto"/>
                      <w:lang w:val="en-US" w:eastAsia="zh-CN" w:bidi="ar"/>
                    </w:rPr>
                    <w:t>粉料筒仓（</w:t>
                  </w:r>
                  <w:r>
                    <w:rPr>
                      <w:rFonts w:hint="eastAsia" w:cs="Times New Roman"/>
                      <w:color w:val="auto"/>
                      <w:kern w:val="0"/>
                      <w:sz w:val="21"/>
                      <w:szCs w:val="21"/>
                      <w:highlight w:val="none"/>
                      <w:u w:val="none" w:color="auto"/>
                      <w:lang w:val="en-US" w:eastAsia="zh-CN" w:bidi="ar"/>
                    </w:rPr>
                    <w:t>8</w:t>
                  </w:r>
                  <w:r>
                    <w:rPr>
                      <w:rFonts w:hint="default" w:ascii="Times New Roman" w:hAnsi="Times New Roman" w:eastAsia="宋体" w:cs="Times New Roman"/>
                      <w:color w:val="auto"/>
                      <w:kern w:val="0"/>
                      <w:sz w:val="21"/>
                      <w:szCs w:val="21"/>
                      <w:highlight w:val="none"/>
                      <w:u w:val="none" w:color="auto"/>
                      <w:lang w:val="en-US" w:eastAsia="zh-CN" w:bidi="ar"/>
                    </w:rPr>
                    <w:t>个）</w:t>
                  </w:r>
                  <w:r>
                    <w:rPr>
                      <w:rFonts w:hint="eastAsia" w:cs="Times New Roman"/>
                      <w:color w:val="auto"/>
                      <w:sz w:val="21"/>
                      <w:szCs w:val="21"/>
                      <w:highlight w:val="none"/>
                      <w:u w:val="none" w:color="auto"/>
                      <w:lang w:val="en-US" w:eastAsia="zh-CN"/>
                    </w:rPr>
                    <w:t>下部</w:t>
                  </w:r>
                  <w:r>
                    <w:rPr>
                      <w:rFonts w:hint="default" w:ascii="Times New Roman" w:hAnsi="Times New Roman" w:cs="Times New Roman"/>
                      <w:color w:val="auto"/>
                      <w:sz w:val="21"/>
                      <w:szCs w:val="21"/>
                      <w:highlight w:val="none"/>
                      <w:u w:val="none" w:color="auto"/>
                      <w:lang w:val="en-US" w:eastAsia="zh-CN"/>
                    </w:rPr>
                    <w:t>均自带脉冲袋式除尘器</w:t>
                  </w:r>
                  <w:r>
                    <w:rPr>
                      <w:rFonts w:hint="default" w:ascii="Times New Roman" w:hAnsi="Times New Roman" w:eastAsia="宋体" w:cs="Times New Roman"/>
                      <w:color w:val="auto"/>
                      <w:kern w:val="0"/>
                      <w:sz w:val="21"/>
                      <w:szCs w:val="21"/>
                      <w:highlight w:val="none"/>
                      <w:u w:val="none" w:color="auto"/>
                      <w:lang w:val="en-US" w:eastAsia="zh-CN" w:bidi="ar"/>
                    </w:rPr>
                    <w:t>，粉尘经</w:t>
                  </w:r>
                  <w:r>
                    <w:rPr>
                      <w:rFonts w:hint="default" w:ascii="Times New Roman" w:hAnsi="Times New Roman" w:cs="Times New Roman"/>
                      <w:color w:val="auto"/>
                      <w:sz w:val="21"/>
                      <w:szCs w:val="21"/>
                      <w:highlight w:val="none"/>
                      <w:u w:val="none" w:color="auto"/>
                      <w:lang w:val="en-US" w:eastAsia="zh-CN"/>
                    </w:rPr>
                    <w:t>脉冲袋式除尘器</w:t>
                  </w:r>
                  <w:r>
                    <w:rPr>
                      <w:rFonts w:hint="default" w:ascii="Times New Roman" w:hAnsi="Times New Roman" w:eastAsia="宋体" w:cs="Times New Roman"/>
                      <w:color w:val="auto"/>
                      <w:kern w:val="0"/>
                      <w:sz w:val="21"/>
                      <w:szCs w:val="21"/>
                      <w:highlight w:val="none"/>
                      <w:u w:val="none" w:color="auto"/>
                      <w:lang w:val="en-US" w:eastAsia="zh-CN" w:bidi="ar"/>
                    </w:rPr>
                    <w:t>处理后</w:t>
                  </w:r>
                  <w:r>
                    <w:rPr>
                      <w:rFonts w:hint="default" w:ascii="Times New Roman" w:hAnsi="Times New Roman" w:cs="Times New Roman"/>
                      <w:color w:val="auto"/>
                      <w:kern w:val="0"/>
                      <w:sz w:val="21"/>
                      <w:szCs w:val="21"/>
                      <w:highlight w:val="none"/>
                      <w:u w:val="none" w:color="auto"/>
                      <w:lang w:val="en-US" w:eastAsia="zh-CN" w:bidi="ar"/>
                    </w:rPr>
                    <w:t>通过</w:t>
                  </w:r>
                  <w:r>
                    <w:rPr>
                      <w:rFonts w:hint="eastAsia" w:cs="Times New Roman"/>
                      <w:color w:val="auto"/>
                      <w:kern w:val="0"/>
                      <w:sz w:val="21"/>
                      <w:szCs w:val="21"/>
                      <w:highlight w:val="none"/>
                      <w:u w:val="none" w:color="auto"/>
                      <w:lang w:val="en-US" w:eastAsia="zh-CN" w:bidi="ar"/>
                    </w:rPr>
                    <w:t>下</w:t>
                  </w:r>
                  <w:r>
                    <w:rPr>
                      <w:rFonts w:hint="default" w:ascii="Times New Roman" w:hAnsi="Times New Roman" w:cs="Times New Roman"/>
                      <w:color w:val="auto"/>
                      <w:kern w:val="0"/>
                      <w:sz w:val="21"/>
                      <w:szCs w:val="21"/>
                      <w:highlight w:val="none"/>
                      <w:u w:val="none" w:color="auto"/>
                      <w:lang w:val="en-US" w:eastAsia="zh-CN" w:bidi="ar"/>
                    </w:rPr>
                    <w:t>排气口（混凝土站高度大于15m，排放位置位于混凝土站</w:t>
                  </w:r>
                  <w:r>
                    <w:rPr>
                      <w:rFonts w:hint="eastAsia" w:cs="Times New Roman"/>
                      <w:color w:val="auto"/>
                      <w:kern w:val="0"/>
                      <w:sz w:val="21"/>
                      <w:szCs w:val="21"/>
                      <w:highlight w:val="none"/>
                      <w:u w:val="none" w:color="auto"/>
                      <w:lang w:val="en-US" w:eastAsia="zh-CN" w:bidi="ar"/>
                    </w:rPr>
                    <w:t>下部</w:t>
                  </w:r>
                  <w:r>
                    <w:rPr>
                      <w:rFonts w:hint="default" w:ascii="Times New Roman" w:hAnsi="Times New Roman" w:cs="Times New Roman"/>
                      <w:color w:val="auto"/>
                      <w:kern w:val="0"/>
                      <w:sz w:val="21"/>
                      <w:szCs w:val="21"/>
                      <w:highlight w:val="none"/>
                      <w:u w:val="none" w:color="auto"/>
                      <w:lang w:val="en-US" w:eastAsia="zh-CN" w:bidi="ar"/>
                    </w:rPr>
                    <w:t>，无需再设置排气筒）</w:t>
                  </w:r>
                  <w:r>
                    <w:rPr>
                      <w:rFonts w:hint="eastAsia" w:cs="Times New Roman"/>
                      <w:color w:val="auto"/>
                      <w:kern w:val="0"/>
                      <w:sz w:val="21"/>
                      <w:szCs w:val="21"/>
                      <w:highlight w:val="none"/>
                      <w:u w:val="none" w:color="auto"/>
                      <w:lang w:val="en-US" w:eastAsia="zh-CN" w:bidi="ar"/>
                    </w:rPr>
                    <w:t>高度17m</w:t>
                  </w:r>
                  <w:r>
                    <w:rPr>
                      <w:rFonts w:hint="default" w:ascii="Times New Roman" w:hAnsi="Times New Roman" w:eastAsia="宋体" w:cs="Times New Roman"/>
                      <w:color w:val="auto"/>
                      <w:kern w:val="0"/>
                      <w:sz w:val="21"/>
                      <w:szCs w:val="21"/>
                      <w:highlight w:val="none"/>
                      <w:u w:val="none" w:color="auto"/>
                      <w:lang w:val="en-US" w:eastAsia="zh-CN" w:bidi="ar"/>
                    </w:rPr>
                    <w:t>排放</w:t>
                  </w:r>
                  <w:r>
                    <w:rPr>
                      <w:rFonts w:hint="eastAsia" w:cs="Times New Roman"/>
                      <w:color w:val="auto"/>
                      <w:kern w:val="0"/>
                      <w:sz w:val="21"/>
                      <w:szCs w:val="21"/>
                      <w:highlight w:val="none"/>
                      <w:u w:val="none" w:color="auto"/>
                      <w:lang w:val="en-US" w:eastAsia="zh-CN" w:bidi="ar"/>
                    </w:rPr>
                    <w:t>，</w:t>
                  </w:r>
                  <w:r>
                    <w:rPr>
                      <w:rFonts w:hint="default" w:ascii="Times New Roman" w:hAnsi="Times New Roman" w:eastAsia="宋体" w:cs="Times New Roman"/>
                      <w:color w:val="auto"/>
                      <w:kern w:val="0"/>
                      <w:sz w:val="21"/>
                      <w:szCs w:val="21"/>
                      <w:highlight w:val="none"/>
                      <w:u w:val="none" w:color="auto"/>
                      <w:lang w:val="en-US" w:eastAsia="zh-CN" w:bidi="ar"/>
                    </w:rPr>
                    <w:t>料筒仓</w:t>
                  </w:r>
                  <w:r>
                    <w:rPr>
                      <w:rFonts w:hint="eastAsia" w:cs="Times New Roman"/>
                      <w:color w:val="auto"/>
                      <w:kern w:val="0"/>
                      <w:sz w:val="21"/>
                      <w:szCs w:val="21"/>
                      <w:highlight w:val="none"/>
                      <w:u w:val="none" w:color="auto"/>
                      <w:lang w:val="en-US" w:eastAsia="zh-CN" w:bidi="ar"/>
                    </w:rPr>
                    <w:t>8</w:t>
                  </w:r>
                  <w:r>
                    <w:rPr>
                      <w:rFonts w:hint="default" w:ascii="Times New Roman" w:hAnsi="Times New Roman" w:eastAsia="宋体" w:cs="Times New Roman"/>
                      <w:color w:val="auto"/>
                      <w:kern w:val="0"/>
                      <w:sz w:val="21"/>
                      <w:szCs w:val="21"/>
                      <w:highlight w:val="none"/>
                      <w:u w:val="none" w:color="auto"/>
                      <w:lang w:val="en-US" w:eastAsia="zh-CN" w:bidi="ar"/>
                    </w:rPr>
                    <w:t>个</w:t>
                  </w:r>
                  <w:r>
                    <w:rPr>
                      <w:rFonts w:hint="eastAsia" w:cs="Times New Roman"/>
                      <w:color w:val="auto"/>
                      <w:kern w:val="0"/>
                      <w:sz w:val="21"/>
                      <w:szCs w:val="21"/>
                      <w:highlight w:val="none"/>
                      <w:u w:val="none" w:color="auto"/>
                      <w:lang w:val="en-US" w:eastAsia="zh-CN" w:bidi="ar"/>
                    </w:rPr>
                    <w:t>，共计8个17m高排放口</w:t>
                  </w:r>
                  <w:r>
                    <w:rPr>
                      <w:rFonts w:hint="default" w:ascii="Times New Roman" w:hAnsi="Times New Roman" w:eastAsia="宋体" w:cs="Times New Roman"/>
                      <w:color w:val="auto"/>
                      <w:kern w:val="0"/>
                      <w:sz w:val="21"/>
                      <w:szCs w:val="21"/>
                      <w:highlight w:val="none"/>
                      <w:u w:val="none" w:color="auto"/>
                      <w:lang w:val="en-US" w:eastAsia="zh-CN" w:bidi="ar"/>
                    </w:rPr>
                    <w:t>。</w:t>
                  </w:r>
                </w:p>
                <w:p w14:paraId="413D1257">
                  <w:pPr>
                    <w:keepNext w:val="0"/>
                    <w:keepLines w:val="0"/>
                    <w:widowControl/>
                    <w:suppressLineNumbers w:val="0"/>
                    <w:jc w:val="both"/>
                    <w:rPr>
                      <w:rFonts w:hint="default"/>
                      <w:color w:val="auto"/>
                      <w:sz w:val="21"/>
                      <w:szCs w:val="21"/>
                      <w:highlight w:val="none"/>
                      <w:u w:val="single" w:color="auto"/>
                      <w:lang w:val="en-US"/>
                    </w:rPr>
                  </w:pPr>
                  <w:r>
                    <w:rPr>
                      <w:rFonts w:hint="eastAsia"/>
                      <w:color w:val="auto"/>
                      <w:sz w:val="21"/>
                      <w:szCs w:val="21"/>
                      <w:highlight w:val="none"/>
                      <w:u w:val="single" w:color="auto"/>
                      <w:lang w:val="en-US" w:eastAsia="zh-CN"/>
                    </w:rPr>
                    <w:t>搅拌机粉尘：搅拌机位于封闭式搅拌楼内，系统全封闭，废气收集后经4台脉冲布袋除尘器处理后有组织排放</w:t>
                  </w:r>
                  <w:r>
                    <w:rPr>
                      <w:rFonts w:hint="eastAsia" w:cs="Times New Roman"/>
                      <w:color w:val="auto"/>
                      <w:kern w:val="0"/>
                      <w:sz w:val="21"/>
                      <w:szCs w:val="21"/>
                      <w:highlight w:val="none"/>
                      <w:u w:val="single" w:color="auto"/>
                      <w:lang w:val="en-US" w:eastAsia="zh-CN" w:bidi="ar"/>
                    </w:rPr>
                    <w:t>，共计2个17m高排放口</w:t>
                  </w:r>
                  <w:r>
                    <w:rPr>
                      <w:rFonts w:hint="eastAsia" w:ascii="宋体" w:hAnsi="宋体" w:eastAsia="宋体" w:cs="宋体"/>
                      <w:color w:val="auto"/>
                      <w:kern w:val="0"/>
                      <w:sz w:val="21"/>
                      <w:szCs w:val="21"/>
                      <w:highlight w:val="none"/>
                      <w:u w:val="single" w:color="auto"/>
                      <w:lang w:val="en-US" w:eastAsia="zh-CN" w:bidi="ar"/>
                    </w:rPr>
                    <w:t>。</w:t>
                  </w:r>
                </w:p>
                <w:p w14:paraId="7B141184">
                  <w:pPr>
                    <w:pStyle w:val="2"/>
                    <w:ind w:left="0" w:leftChars="0" w:firstLine="0" w:firstLineChars="0"/>
                    <w:jc w:val="both"/>
                    <w:rPr>
                      <w:rFonts w:hint="eastAsia"/>
                      <w:color w:val="auto"/>
                      <w:sz w:val="21"/>
                      <w:szCs w:val="21"/>
                      <w:highlight w:val="none"/>
                      <w:u w:val="none" w:color="auto"/>
                      <w:lang w:val="en-US" w:eastAsia="zh-CN"/>
                    </w:rPr>
                  </w:pPr>
                  <w:r>
                    <w:rPr>
                      <w:rFonts w:hint="eastAsia"/>
                      <w:color w:val="auto"/>
                      <w:sz w:val="21"/>
                      <w:szCs w:val="21"/>
                      <w:highlight w:val="none"/>
                      <w:u w:val="none" w:color="auto"/>
                      <w:lang w:val="en-US" w:eastAsia="zh-CN"/>
                    </w:rPr>
                    <w:t>装卸扬尘：洒水降尘。</w:t>
                  </w:r>
                </w:p>
                <w:p w14:paraId="1F492D86">
                  <w:pPr>
                    <w:jc w:val="both"/>
                    <w:rPr>
                      <w:rFonts w:hint="eastAsia"/>
                      <w:color w:val="auto"/>
                      <w:sz w:val="21"/>
                      <w:szCs w:val="21"/>
                      <w:highlight w:val="none"/>
                      <w:u w:val="none" w:color="auto"/>
                      <w:lang w:val="en-US" w:eastAsia="zh-CN"/>
                    </w:rPr>
                  </w:pPr>
                  <w:r>
                    <w:rPr>
                      <w:rFonts w:hint="eastAsia"/>
                      <w:color w:val="auto"/>
                      <w:sz w:val="21"/>
                      <w:szCs w:val="21"/>
                      <w:highlight w:val="none"/>
                      <w:u w:val="none" w:color="auto"/>
                      <w:lang w:val="en-US" w:eastAsia="zh-CN"/>
                    </w:rPr>
                    <w:t>料棚粉尘：半封闭彩钢棚，洒水降尘。</w:t>
                  </w:r>
                </w:p>
                <w:p w14:paraId="1024C085">
                  <w:pPr>
                    <w:pStyle w:val="2"/>
                    <w:ind w:left="0" w:leftChars="0" w:firstLine="0" w:firstLineChars="0"/>
                    <w:jc w:val="both"/>
                    <w:rPr>
                      <w:rFonts w:hint="eastAsia"/>
                      <w:color w:val="auto"/>
                      <w:sz w:val="21"/>
                      <w:szCs w:val="21"/>
                      <w:highlight w:val="none"/>
                      <w:u w:val="none" w:color="auto"/>
                      <w:lang w:val="en-US" w:eastAsia="zh-CN"/>
                    </w:rPr>
                  </w:pPr>
                  <w:r>
                    <w:rPr>
                      <w:rFonts w:hint="eastAsia"/>
                      <w:color w:val="auto"/>
                      <w:sz w:val="21"/>
                      <w:szCs w:val="21"/>
                      <w:highlight w:val="none"/>
                      <w:u w:val="none" w:color="auto"/>
                      <w:lang w:val="en-US" w:eastAsia="zh-CN"/>
                    </w:rPr>
                    <w:t>上料粉尘：洒水降尘。</w:t>
                  </w:r>
                </w:p>
                <w:p w14:paraId="581EEA25">
                  <w:pPr>
                    <w:jc w:val="both"/>
                    <w:rPr>
                      <w:rFonts w:hint="default"/>
                      <w:color w:val="auto"/>
                      <w:sz w:val="21"/>
                      <w:szCs w:val="21"/>
                      <w:highlight w:val="cyan"/>
                      <w:u w:val="none" w:color="auto"/>
                      <w:lang w:val="en-US" w:eastAsia="zh-CN"/>
                    </w:rPr>
                  </w:pPr>
                  <w:r>
                    <w:rPr>
                      <w:rFonts w:hint="eastAsia"/>
                      <w:color w:val="auto"/>
                      <w:sz w:val="21"/>
                      <w:szCs w:val="21"/>
                      <w:highlight w:val="none"/>
                      <w:u w:val="none" w:color="auto"/>
                      <w:lang w:val="en-US" w:eastAsia="zh-CN"/>
                    </w:rPr>
                    <w:t>运输扬尘：洒水降尘。</w:t>
                  </w:r>
                </w:p>
              </w:tc>
            </w:tr>
            <w:tr w14:paraId="2FC1B9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267" w:type="pct"/>
                  <w:vMerge w:val="continue"/>
                  <w:noWrap w:val="0"/>
                  <w:vAlign w:val="center"/>
                </w:tcPr>
                <w:p w14:paraId="04A50275">
                  <w:pPr>
                    <w:jc w:val="center"/>
                    <w:rPr>
                      <w:color w:val="auto"/>
                      <w:sz w:val="21"/>
                      <w:szCs w:val="21"/>
                      <w:highlight w:val="cyan"/>
                      <w:u w:val="none" w:color="auto"/>
                    </w:rPr>
                  </w:pPr>
                </w:p>
              </w:tc>
              <w:tc>
                <w:tcPr>
                  <w:tcW w:w="921" w:type="pct"/>
                  <w:noWrap w:val="0"/>
                  <w:vAlign w:val="center"/>
                </w:tcPr>
                <w:p w14:paraId="106A5E5F">
                  <w:pPr>
                    <w:jc w:val="center"/>
                    <w:rPr>
                      <w:color w:val="auto"/>
                      <w:sz w:val="21"/>
                      <w:szCs w:val="21"/>
                      <w:highlight w:val="none"/>
                      <w:u w:val="none" w:color="auto"/>
                    </w:rPr>
                  </w:pPr>
                  <w:r>
                    <w:rPr>
                      <w:color w:val="auto"/>
                      <w:sz w:val="21"/>
                      <w:szCs w:val="21"/>
                      <w:highlight w:val="none"/>
                      <w:u w:val="none" w:color="auto"/>
                    </w:rPr>
                    <w:t>废水治理</w:t>
                  </w:r>
                </w:p>
              </w:tc>
              <w:tc>
                <w:tcPr>
                  <w:tcW w:w="3811" w:type="pct"/>
                  <w:noWrap w:val="0"/>
                  <w:vAlign w:val="center"/>
                </w:tcPr>
                <w:p w14:paraId="5B9BAAC7">
                  <w:pPr>
                    <w:keepNext w:val="0"/>
                    <w:keepLines w:val="0"/>
                    <w:widowControl/>
                    <w:suppressLineNumbers w:val="0"/>
                    <w:jc w:val="left"/>
                    <w:rPr>
                      <w:rFonts w:hint="eastAsia"/>
                      <w:color w:val="auto"/>
                      <w:sz w:val="21"/>
                      <w:szCs w:val="21"/>
                      <w:highlight w:val="none"/>
                      <w:u w:val="none" w:color="auto"/>
                      <w:lang w:eastAsia="zh-CN"/>
                    </w:rPr>
                  </w:pPr>
                  <w:r>
                    <w:rPr>
                      <w:rFonts w:hint="eastAsia"/>
                      <w:color w:val="auto"/>
                      <w:sz w:val="21"/>
                      <w:szCs w:val="21"/>
                      <w:highlight w:val="none"/>
                      <w:u w:val="none" w:color="auto"/>
                      <w:lang w:val="en-US" w:eastAsia="zh-CN"/>
                    </w:rPr>
                    <w:t>本项目</w:t>
                  </w:r>
                  <w:r>
                    <w:rPr>
                      <w:rFonts w:hint="eastAsia"/>
                      <w:color w:val="auto"/>
                      <w:sz w:val="21"/>
                      <w:szCs w:val="21"/>
                      <w:highlight w:val="none"/>
                      <w:u w:val="none" w:color="auto"/>
                    </w:rPr>
                    <w:t>生活污水排入厂区</w:t>
                  </w:r>
                  <w:r>
                    <w:rPr>
                      <w:rFonts w:hint="eastAsia"/>
                      <w:color w:val="auto"/>
                      <w:sz w:val="21"/>
                      <w:szCs w:val="21"/>
                      <w:highlight w:val="none"/>
                      <w:u w:val="none" w:color="auto"/>
                      <w:lang w:val="en-US" w:eastAsia="zh-CN"/>
                    </w:rPr>
                    <w:t>防渗旱厕，定期清掏作农肥</w:t>
                  </w:r>
                  <w:r>
                    <w:rPr>
                      <w:rFonts w:hint="eastAsia"/>
                      <w:color w:val="auto"/>
                      <w:sz w:val="21"/>
                      <w:szCs w:val="21"/>
                      <w:highlight w:val="none"/>
                      <w:u w:val="none" w:color="auto"/>
                    </w:rPr>
                    <w:t>，不外排</w:t>
                  </w:r>
                  <w:r>
                    <w:rPr>
                      <w:rFonts w:hint="eastAsia"/>
                      <w:color w:val="auto"/>
                      <w:sz w:val="21"/>
                      <w:szCs w:val="21"/>
                      <w:highlight w:val="none"/>
                      <w:u w:val="none" w:color="auto"/>
                      <w:lang w:eastAsia="zh-CN"/>
                    </w:rPr>
                    <w:t>；</w:t>
                  </w:r>
                </w:p>
                <w:p w14:paraId="6667F462">
                  <w:pPr>
                    <w:keepNext w:val="0"/>
                    <w:keepLines w:val="0"/>
                    <w:widowControl/>
                    <w:suppressLineNumbers w:val="0"/>
                    <w:jc w:val="left"/>
                    <w:rPr>
                      <w:rFonts w:hint="eastAsia" w:ascii="Times New Roman" w:hAnsi="Times New Roman" w:eastAsia="宋体" w:cs="Times New Roman"/>
                      <w:color w:val="auto"/>
                      <w:sz w:val="21"/>
                      <w:szCs w:val="21"/>
                      <w:highlight w:val="none"/>
                      <w:u w:val="none" w:color="auto"/>
                    </w:rPr>
                  </w:pPr>
                  <w:r>
                    <w:rPr>
                      <w:rFonts w:hint="eastAsia"/>
                      <w:color w:val="auto"/>
                      <w:sz w:val="21"/>
                      <w:szCs w:val="21"/>
                      <w:highlight w:val="none"/>
                      <w:u w:val="none" w:color="auto"/>
                      <w:lang w:val="en-US" w:eastAsia="zh-CN"/>
                    </w:rPr>
                    <w:t>罐车清洗废水及设备清洗废水</w:t>
                  </w:r>
                  <w:r>
                    <w:rPr>
                      <w:rFonts w:hint="eastAsia" w:ascii="Times New Roman" w:hAnsi="Times New Roman" w:eastAsia="宋体" w:cs="Times New Roman"/>
                      <w:color w:val="auto"/>
                      <w:sz w:val="21"/>
                      <w:szCs w:val="21"/>
                      <w:highlight w:val="none"/>
                      <w:u w:val="none" w:color="auto"/>
                      <w:lang w:val="en-US" w:eastAsia="zh-CN"/>
                    </w:rPr>
                    <w:t>经</w:t>
                  </w:r>
                  <w:r>
                    <w:rPr>
                      <w:rFonts w:hint="eastAsia" w:cs="Times New Roman"/>
                      <w:color w:val="auto"/>
                      <w:sz w:val="21"/>
                      <w:szCs w:val="21"/>
                      <w:highlight w:val="none"/>
                      <w:u w:val="none" w:color="auto"/>
                      <w:lang w:val="en-US" w:eastAsia="zh-CN"/>
                    </w:rPr>
                    <w:t>三级</w:t>
                  </w:r>
                  <w:r>
                    <w:rPr>
                      <w:rFonts w:hint="eastAsia" w:ascii="Times New Roman" w:hAnsi="Times New Roman" w:eastAsia="宋体" w:cs="Times New Roman"/>
                      <w:color w:val="auto"/>
                      <w:sz w:val="21"/>
                      <w:szCs w:val="21"/>
                      <w:highlight w:val="none"/>
                      <w:u w:val="none" w:color="auto"/>
                      <w:lang w:val="en-US" w:eastAsia="zh-CN"/>
                    </w:rPr>
                    <w:t>沉淀池</w:t>
                  </w:r>
                  <w:r>
                    <w:rPr>
                      <w:rFonts w:hint="eastAsia" w:cs="Times New Roman"/>
                      <w:color w:val="auto"/>
                      <w:sz w:val="21"/>
                      <w:szCs w:val="21"/>
                      <w:highlight w:val="none"/>
                      <w:u w:val="none" w:color="auto"/>
                      <w:lang w:val="en-US" w:eastAsia="zh-CN"/>
                    </w:rPr>
                    <w:t>（</w:t>
                  </w:r>
                  <w:r>
                    <w:rPr>
                      <w:rFonts w:hint="eastAsia" w:cs="Times New Roman"/>
                      <w:color w:val="auto"/>
                      <w:highlight w:val="none"/>
                      <w:u w:val="none"/>
                      <w:lang w:val="en-US" w:eastAsia="zh-CN"/>
                    </w:rPr>
                    <w:t>长5</w:t>
                  </w:r>
                  <w:r>
                    <w:rPr>
                      <w:rFonts w:hint="default" w:ascii="Times New Roman" w:hAnsi="Times New Roman" w:cs="Times New Roman"/>
                      <w:color w:val="auto"/>
                      <w:highlight w:val="none"/>
                      <w:u w:val="none"/>
                      <w:lang w:val="en-US" w:eastAsia="zh-CN"/>
                    </w:rPr>
                    <w:t>m×</w:t>
                  </w:r>
                  <w:r>
                    <w:rPr>
                      <w:rFonts w:hint="eastAsia" w:cs="Times New Roman"/>
                      <w:color w:val="auto"/>
                      <w:highlight w:val="none"/>
                      <w:u w:val="none"/>
                      <w:lang w:val="en-US" w:eastAsia="zh-CN"/>
                    </w:rPr>
                    <w:t>宽4</w:t>
                  </w:r>
                  <w:r>
                    <w:rPr>
                      <w:rFonts w:hint="default" w:ascii="Times New Roman" w:hAnsi="Times New Roman" w:cs="Times New Roman"/>
                      <w:color w:val="auto"/>
                      <w:highlight w:val="none"/>
                      <w:u w:val="none"/>
                      <w:lang w:val="en-US" w:eastAsia="zh-CN"/>
                    </w:rPr>
                    <w:t>m×</w:t>
                  </w:r>
                  <w:r>
                    <w:rPr>
                      <w:rFonts w:hint="eastAsia" w:cs="Times New Roman"/>
                      <w:color w:val="auto"/>
                      <w:highlight w:val="none"/>
                      <w:u w:val="none"/>
                      <w:lang w:val="en-US" w:eastAsia="zh-CN"/>
                    </w:rPr>
                    <w:t>深</w:t>
                  </w:r>
                  <w:r>
                    <w:rPr>
                      <w:rFonts w:hint="default" w:ascii="Times New Roman" w:hAnsi="Times New Roman" w:cs="Times New Roman"/>
                      <w:color w:val="auto"/>
                      <w:highlight w:val="none"/>
                      <w:u w:val="none"/>
                      <w:lang w:val="en-US" w:eastAsia="zh-CN"/>
                    </w:rPr>
                    <w:t>2m</w:t>
                  </w:r>
                  <w:r>
                    <w:rPr>
                      <w:rFonts w:hint="eastAsia" w:cs="Times New Roman"/>
                      <w:color w:val="auto"/>
                      <w:sz w:val="21"/>
                      <w:szCs w:val="21"/>
                      <w:highlight w:val="none"/>
                      <w:u w:val="none" w:color="auto"/>
                      <w:lang w:val="en-US" w:eastAsia="zh-CN"/>
                    </w:rPr>
                    <w:t>）沉淀</w:t>
                  </w:r>
                  <w:r>
                    <w:rPr>
                      <w:rFonts w:hint="eastAsia" w:ascii="Times New Roman" w:hAnsi="Times New Roman" w:eastAsia="宋体" w:cs="Times New Roman"/>
                      <w:color w:val="auto"/>
                      <w:sz w:val="21"/>
                      <w:szCs w:val="21"/>
                      <w:highlight w:val="none"/>
                      <w:u w:val="none" w:color="auto"/>
                    </w:rPr>
                    <w:t>处理后</w:t>
                  </w:r>
                  <w:r>
                    <w:rPr>
                      <w:rFonts w:hint="eastAsia" w:cs="Times New Roman"/>
                      <w:color w:val="auto"/>
                      <w:sz w:val="21"/>
                      <w:szCs w:val="21"/>
                      <w:highlight w:val="none"/>
                      <w:u w:val="none" w:color="auto"/>
                      <w:lang w:eastAsia="zh-CN"/>
                    </w:rPr>
                    <w:t>回用于生产</w:t>
                  </w:r>
                  <w:r>
                    <w:rPr>
                      <w:rFonts w:hint="eastAsia" w:ascii="Times New Roman" w:hAnsi="Times New Roman" w:eastAsia="宋体" w:cs="Times New Roman"/>
                      <w:color w:val="auto"/>
                      <w:sz w:val="21"/>
                      <w:szCs w:val="21"/>
                      <w:highlight w:val="none"/>
                      <w:u w:val="none" w:color="auto"/>
                      <w:lang w:eastAsia="zh-CN"/>
                    </w:rPr>
                    <w:t>，</w:t>
                  </w:r>
                  <w:r>
                    <w:rPr>
                      <w:rFonts w:hint="eastAsia" w:ascii="Times New Roman" w:hAnsi="Times New Roman" w:eastAsia="宋体" w:cs="Times New Roman"/>
                      <w:color w:val="auto"/>
                      <w:sz w:val="21"/>
                      <w:szCs w:val="21"/>
                      <w:highlight w:val="none"/>
                      <w:u w:val="none" w:color="auto"/>
                    </w:rPr>
                    <w:t>不外排；</w:t>
                  </w:r>
                </w:p>
                <w:p w14:paraId="05734C75">
                  <w:pPr>
                    <w:keepNext w:val="0"/>
                    <w:keepLines w:val="0"/>
                    <w:widowControl/>
                    <w:suppressLineNumbers w:val="0"/>
                    <w:jc w:val="left"/>
                    <w:rPr>
                      <w:rFonts w:hint="eastAsia" w:cs="Times New Roman"/>
                      <w:color w:val="auto"/>
                      <w:sz w:val="21"/>
                      <w:szCs w:val="21"/>
                      <w:highlight w:val="none"/>
                      <w:u w:val="none" w:color="auto"/>
                      <w:lang w:eastAsia="zh-CN"/>
                    </w:rPr>
                  </w:pPr>
                  <w:r>
                    <w:rPr>
                      <w:rFonts w:hint="eastAsia" w:ascii="Times New Roman" w:hAnsi="Times New Roman" w:eastAsia="宋体" w:cs="Times New Roman"/>
                      <w:color w:val="auto"/>
                      <w:sz w:val="21"/>
                      <w:szCs w:val="21"/>
                      <w:highlight w:val="none"/>
                      <w:u w:val="none" w:color="auto"/>
                      <w:lang w:val="en-US" w:eastAsia="zh-CN"/>
                    </w:rPr>
                    <w:t>厂区降尘水直接蒸发，无</w:t>
                  </w:r>
                  <w:r>
                    <w:rPr>
                      <w:rFonts w:hint="eastAsia" w:ascii="Times New Roman" w:hAnsi="Times New Roman" w:eastAsia="宋体" w:cs="Times New Roman"/>
                      <w:color w:val="auto"/>
                      <w:sz w:val="21"/>
                      <w:szCs w:val="21"/>
                      <w:highlight w:val="none"/>
                      <w:u w:val="none" w:color="auto"/>
                    </w:rPr>
                    <w:t>废水</w:t>
                  </w:r>
                  <w:r>
                    <w:rPr>
                      <w:rFonts w:hint="eastAsia" w:cs="Times New Roman"/>
                      <w:color w:val="auto"/>
                      <w:sz w:val="21"/>
                      <w:szCs w:val="21"/>
                      <w:highlight w:val="none"/>
                      <w:u w:val="none" w:color="auto"/>
                      <w:lang w:eastAsia="zh-CN"/>
                    </w:rPr>
                    <w:t>排放；</w:t>
                  </w:r>
                </w:p>
                <w:p w14:paraId="62984603">
                  <w:pPr>
                    <w:keepNext w:val="0"/>
                    <w:keepLines w:val="0"/>
                    <w:widowControl/>
                    <w:suppressLineNumbers w:val="0"/>
                    <w:jc w:val="left"/>
                    <w:rPr>
                      <w:rFonts w:hint="default" w:eastAsia="宋体"/>
                      <w:color w:val="auto"/>
                      <w:sz w:val="21"/>
                      <w:szCs w:val="21"/>
                      <w:highlight w:val="none"/>
                      <w:u w:val="none" w:color="auto"/>
                      <w:lang w:val="en-US" w:eastAsia="zh-CN"/>
                    </w:rPr>
                  </w:pPr>
                  <w:r>
                    <w:rPr>
                      <w:rFonts w:hint="eastAsia" w:cs="Times New Roman"/>
                      <w:color w:val="auto"/>
                      <w:sz w:val="21"/>
                      <w:szCs w:val="21"/>
                      <w:highlight w:val="none"/>
                      <w:u w:val="none" w:color="auto"/>
                      <w:lang w:eastAsia="zh-CN"/>
                    </w:rPr>
                    <w:t>初期雨水经收集池</w:t>
                  </w:r>
                  <w:r>
                    <w:rPr>
                      <w:rFonts w:hint="eastAsia" w:cs="Times New Roman"/>
                      <w:color w:val="auto"/>
                      <w:sz w:val="21"/>
                      <w:szCs w:val="21"/>
                      <w:highlight w:val="none"/>
                      <w:u w:val="none" w:color="auto"/>
                      <w:lang w:val="en-US" w:eastAsia="zh-CN"/>
                    </w:rPr>
                    <w:t>（</w:t>
                  </w:r>
                  <w:r>
                    <w:rPr>
                      <w:rFonts w:hint="eastAsia" w:cs="Times New Roman"/>
                      <w:color w:val="auto"/>
                      <w:highlight w:val="none"/>
                      <w:u w:val="none"/>
                      <w:lang w:val="en-US" w:eastAsia="zh-CN"/>
                    </w:rPr>
                    <w:t>长4</w:t>
                  </w:r>
                  <w:r>
                    <w:rPr>
                      <w:rFonts w:hint="default" w:ascii="Times New Roman" w:hAnsi="Times New Roman" w:cs="Times New Roman"/>
                      <w:color w:val="auto"/>
                      <w:highlight w:val="none"/>
                      <w:u w:val="none"/>
                      <w:lang w:val="en-US" w:eastAsia="zh-CN"/>
                    </w:rPr>
                    <w:t>m×</w:t>
                  </w:r>
                  <w:r>
                    <w:rPr>
                      <w:rFonts w:hint="eastAsia" w:cs="Times New Roman"/>
                      <w:color w:val="auto"/>
                      <w:highlight w:val="none"/>
                      <w:u w:val="none"/>
                      <w:lang w:val="en-US" w:eastAsia="zh-CN"/>
                    </w:rPr>
                    <w:t>宽4</w:t>
                  </w:r>
                  <w:r>
                    <w:rPr>
                      <w:rFonts w:hint="default" w:ascii="Times New Roman" w:hAnsi="Times New Roman" w:cs="Times New Roman"/>
                      <w:color w:val="auto"/>
                      <w:highlight w:val="none"/>
                      <w:u w:val="none"/>
                      <w:lang w:val="en-US" w:eastAsia="zh-CN"/>
                    </w:rPr>
                    <w:t>m×</w:t>
                  </w:r>
                  <w:r>
                    <w:rPr>
                      <w:rFonts w:hint="eastAsia" w:cs="Times New Roman"/>
                      <w:color w:val="auto"/>
                      <w:highlight w:val="none"/>
                      <w:u w:val="none"/>
                      <w:lang w:val="en-US" w:eastAsia="zh-CN"/>
                    </w:rPr>
                    <w:t>深</w:t>
                  </w:r>
                  <w:r>
                    <w:rPr>
                      <w:rFonts w:hint="default" w:ascii="Times New Roman" w:hAnsi="Times New Roman" w:cs="Times New Roman"/>
                      <w:color w:val="auto"/>
                      <w:highlight w:val="none"/>
                      <w:u w:val="none"/>
                      <w:lang w:val="en-US" w:eastAsia="zh-CN"/>
                    </w:rPr>
                    <w:t>2</w:t>
                  </w:r>
                  <w:r>
                    <w:rPr>
                      <w:rFonts w:hint="eastAsia" w:cs="Times New Roman"/>
                      <w:color w:val="auto"/>
                      <w:highlight w:val="none"/>
                      <w:u w:val="none"/>
                      <w:lang w:val="en-US" w:eastAsia="zh-CN"/>
                    </w:rPr>
                    <w:t>.5</w:t>
                  </w:r>
                  <w:r>
                    <w:rPr>
                      <w:rFonts w:hint="default" w:ascii="Times New Roman" w:hAnsi="Times New Roman" w:cs="Times New Roman"/>
                      <w:color w:val="auto"/>
                      <w:highlight w:val="none"/>
                      <w:u w:val="none"/>
                      <w:lang w:val="en-US" w:eastAsia="zh-CN"/>
                    </w:rPr>
                    <w:t>m</w:t>
                  </w:r>
                  <w:r>
                    <w:rPr>
                      <w:rFonts w:hint="eastAsia" w:cs="Times New Roman"/>
                      <w:color w:val="auto"/>
                      <w:sz w:val="21"/>
                      <w:szCs w:val="21"/>
                      <w:highlight w:val="none"/>
                      <w:u w:val="none" w:color="auto"/>
                      <w:lang w:val="en-US" w:eastAsia="zh-CN"/>
                    </w:rPr>
                    <w:t>）</w:t>
                  </w:r>
                  <w:r>
                    <w:rPr>
                      <w:rFonts w:hint="eastAsia" w:cs="Times New Roman"/>
                      <w:color w:val="auto"/>
                      <w:sz w:val="21"/>
                      <w:szCs w:val="21"/>
                      <w:highlight w:val="none"/>
                      <w:u w:val="none" w:color="auto"/>
                      <w:lang w:eastAsia="zh-CN"/>
                    </w:rPr>
                    <w:t>收集，收集后回用于生产，不外排。</w:t>
                  </w:r>
                </w:p>
              </w:tc>
            </w:tr>
            <w:tr w14:paraId="506C50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267" w:type="pct"/>
                  <w:vMerge w:val="continue"/>
                  <w:noWrap w:val="0"/>
                  <w:vAlign w:val="center"/>
                </w:tcPr>
                <w:p w14:paraId="0D138A23">
                  <w:pPr>
                    <w:jc w:val="center"/>
                    <w:rPr>
                      <w:color w:val="auto"/>
                      <w:sz w:val="21"/>
                      <w:szCs w:val="21"/>
                      <w:highlight w:val="cyan"/>
                      <w:u w:val="none" w:color="auto"/>
                    </w:rPr>
                  </w:pPr>
                </w:p>
              </w:tc>
              <w:tc>
                <w:tcPr>
                  <w:tcW w:w="921" w:type="pct"/>
                  <w:noWrap w:val="0"/>
                  <w:vAlign w:val="center"/>
                </w:tcPr>
                <w:p w14:paraId="46B8831E">
                  <w:pPr>
                    <w:jc w:val="center"/>
                    <w:rPr>
                      <w:color w:val="auto"/>
                      <w:sz w:val="21"/>
                      <w:szCs w:val="21"/>
                      <w:highlight w:val="none"/>
                      <w:u w:val="none" w:color="auto"/>
                    </w:rPr>
                  </w:pPr>
                  <w:r>
                    <w:rPr>
                      <w:color w:val="auto"/>
                      <w:sz w:val="21"/>
                      <w:szCs w:val="21"/>
                      <w:highlight w:val="none"/>
                      <w:u w:val="none" w:color="auto"/>
                    </w:rPr>
                    <w:t>噪声治理</w:t>
                  </w:r>
                </w:p>
              </w:tc>
              <w:tc>
                <w:tcPr>
                  <w:tcW w:w="3811" w:type="pct"/>
                  <w:shd w:val="clear" w:color="auto" w:fill="auto"/>
                  <w:noWrap w:val="0"/>
                  <w:vAlign w:val="center"/>
                </w:tcPr>
                <w:p w14:paraId="6A874E2C">
                  <w:pPr>
                    <w:adjustRightInd w:val="0"/>
                    <w:snapToGrid w:val="0"/>
                    <w:jc w:val="left"/>
                    <w:rPr>
                      <w:rFonts w:hint="eastAsia" w:ascii="Times New Roman" w:hAnsi="Times New Roman" w:eastAsia="宋体" w:cs="Times New Roman"/>
                      <w:color w:val="auto"/>
                      <w:kern w:val="2"/>
                      <w:sz w:val="21"/>
                      <w:szCs w:val="21"/>
                      <w:highlight w:val="none"/>
                      <w:u w:val="none" w:color="auto"/>
                      <w:lang w:val="en-US" w:eastAsia="zh-CN" w:bidi="ar-SA"/>
                    </w:rPr>
                  </w:pPr>
                  <w:r>
                    <w:rPr>
                      <w:rFonts w:hint="eastAsia" w:ascii="宋体" w:hAnsi="宋体"/>
                      <w:bCs/>
                      <w:color w:val="auto"/>
                      <w:highlight w:val="none"/>
                      <w:u w:val="none" w:color="auto"/>
                    </w:rPr>
                    <w:t>选用低噪声设备，采取有效的减振、</w:t>
                  </w:r>
                  <w:r>
                    <w:rPr>
                      <w:rFonts w:hint="eastAsia" w:ascii="宋体" w:hAnsi="宋体"/>
                      <w:bCs/>
                      <w:color w:val="auto"/>
                      <w:highlight w:val="none"/>
                      <w:u w:val="none" w:color="auto"/>
                      <w:lang w:val="en-US" w:eastAsia="zh-CN"/>
                    </w:rPr>
                    <w:t>消</w:t>
                  </w:r>
                  <w:r>
                    <w:rPr>
                      <w:rFonts w:hint="eastAsia" w:ascii="宋体" w:hAnsi="宋体"/>
                      <w:bCs/>
                      <w:color w:val="auto"/>
                      <w:highlight w:val="none"/>
                      <w:u w:val="none" w:color="auto"/>
                    </w:rPr>
                    <w:t>声等降噪措施，</w:t>
                  </w:r>
                  <w:r>
                    <w:rPr>
                      <w:rFonts w:hint="eastAsia"/>
                      <w:color w:val="auto"/>
                      <w:sz w:val="21"/>
                      <w:szCs w:val="21"/>
                      <w:highlight w:val="none"/>
                      <w:u w:val="none" w:color="auto"/>
                    </w:rPr>
                    <w:t>加强厂区车辆的维护管理</w:t>
                  </w:r>
                  <w:r>
                    <w:rPr>
                      <w:rFonts w:hint="eastAsia"/>
                      <w:color w:val="auto"/>
                      <w:sz w:val="21"/>
                      <w:szCs w:val="21"/>
                      <w:highlight w:val="none"/>
                      <w:u w:val="none" w:color="auto"/>
                      <w:lang w:eastAsia="zh-CN"/>
                    </w:rPr>
                    <w:t>。</w:t>
                  </w:r>
                </w:p>
              </w:tc>
            </w:tr>
            <w:tr w14:paraId="434A39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267" w:type="pct"/>
                  <w:vMerge w:val="continue"/>
                  <w:noWrap w:val="0"/>
                  <w:vAlign w:val="center"/>
                </w:tcPr>
                <w:p w14:paraId="00BBA051">
                  <w:pPr>
                    <w:jc w:val="center"/>
                    <w:rPr>
                      <w:color w:val="auto"/>
                      <w:sz w:val="21"/>
                      <w:szCs w:val="21"/>
                      <w:highlight w:val="cyan"/>
                      <w:u w:val="none" w:color="auto"/>
                    </w:rPr>
                  </w:pPr>
                </w:p>
              </w:tc>
              <w:tc>
                <w:tcPr>
                  <w:tcW w:w="921" w:type="pct"/>
                  <w:noWrap w:val="0"/>
                  <w:vAlign w:val="center"/>
                </w:tcPr>
                <w:p w14:paraId="03D6D22E">
                  <w:pPr>
                    <w:jc w:val="center"/>
                    <w:rPr>
                      <w:color w:val="auto"/>
                      <w:sz w:val="21"/>
                      <w:szCs w:val="21"/>
                      <w:highlight w:val="none"/>
                      <w:u w:val="none" w:color="auto"/>
                    </w:rPr>
                  </w:pPr>
                  <w:r>
                    <w:rPr>
                      <w:color w:val="auto"/>
                      <w:sz w:val="21"/>
                      <w:szCs w:val="21"/>
                      <w:highlight w:val="none"/>
                      <w:u w:val="none" w:color="auto"/>
                    </w:rPr>
                    <w:t>固体废物处置</w:t>
                  </w:r>
                </w:p>
              </w:tc>
              <w:tc>
                <w:tcPr>
                  <w:tcW w:w="3811" w:type="pct"/>
                  <w:noWrap w:val="0"/>
                  <w:vAlign w:val="center"/>
                </w:tcPr>
                <w:p w14:paraId="126E6813">
                  <w:pP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①生活垃圾由环卫部门统一处理</w:t>
                  </w:r>
                </w:p>
                <w:p w14:paraId="4A7E6142">
                  <w:pP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②</w:t>
                  </w:r>
                  <w:r>
                    <w:rPr>
                      <w:rFonts w:hint="default" w:ascii="Times New Roman" w:hAnsi="Times New Roman" w:eastAsia="宋体" w:cs="Times New Roman"/>
                      <w:color w:val="auto"/>
                      <w:sz w:val="21"/>
                      <w:szCs w:val="21"/>
                      <w:highlight w:val="none"/>
                      <w:u w:val="none" w:color="auto"/>
                      <w:lang w:val="en-US" w:eastAsia="zh-CN"/>
                    </w:rPr>
                    <w:t>除尘器收集粉尘回用于生产</w:t>
                  </w:r>
                </w:p>
                <w:p w14:paraId="5CE56054">
                  <w:pP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③</w:t>
                  </w:r>
                  <w:r>
                    <w:rPr>
                      <w:rFonts w:hint="default" w:ascii="Times New Roman" w:hAnsi="Times New Roman" w:eastAsia="宋体" w:cs="Times New Roman"/>
                      <w:color w:val="auto"/>
                      <w:sz w:val="21"/>
                      <w:szCs w:val="21"/>
                      <w:highlight w:val="none"/>
                      <w:u w:val="none" w:color="auto"/>
                      <w:lang w:val="en-US" w:eastAsia="zh-CN"/>
                    </w:rPr>
                    <w:t>废布袋由专业物资回收单位回收再生处置</w:t>
                  </w:r>
                </w:p>
                <w:p w14:paraId="7FF642A1">
                  <w:pP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④</w:t>
                  </w:r>
                  <w:r>
                    <w:rPr>
                      <w:rFonts w:hint="default" w:ascii="Times New Roman" w:hAnsi="Times New Roman" w:eastAsia="宋体" w:cs="Times New Roman"/>
                      <w:color w:val="auto"/>
                      <w:sz w:val="21"/>
                      <w:szCs w:val="21"/>
                      <w:highlight w:val="none"/>
                      <w:u w:val="none" w:color="auto"/>
                      <w:lang w:val="en-US" w:eastAsia="zh-CN"/>
                    </w:rPr>
                    <w:t>沉淀池沉淀物外售制砖厂、透水砖加工厂作为原料</w:t>
                  </w:r>
                </w:p>
                <w:p w14:paraId="4C94FE01">
                  <w:pPr>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⑤</w:t>
                  </w:r>
                  <w:r>
                    <w:rPr>
                      <w:rFonts w:hint="default" w:ascii="Times New Roman" w:hAnsi="Times New Roman" w:cs="Times New Roman"/>
                      <w:color w:val="auto"/>
                      <w:sz w:val="21"/>
                      <w:szCs w:val="21"/>
                      <w:highlight w:val="none"/>
                      <w:u w:val="none" w:color="auto"/>
                      <w:lang w:val="en-US" w:eastAsia="zh-CN"/>
                    </w:rPr>
                    <w:t>初期雨水收集池内沉淀污泥</w:t>
                  </w:r>
                  <w:r>
                    <w:rPr>
                      <w:rFonts w:hint="default" w:ascii="Times New Roman" w:hAnsi="Times New Roman" w:eastAsia="宋体" w:cs="Times New Roman"/>
                      <w:color w:val="auto"/>
                      <w:sz w:val="21"/>
                      <w:szCs w:val="21"/>
                      <w:highlight w:val="none"/>
                      <w:u w:val="none" w:color="auto"/>
                      <w:lang w:val="en-US" w:eastAsia="zh-CN"/>
                    </w:rPr>
                    <w:t>外售制砖厂、透水砖加工厂作为原料</w:t>
                  </w:r>
                </w:p>
                <w:p w14:paraId="5AB4747D">
                  <w:pPr>
                    <w:jc w:val="both"/>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⑥</w:t>
                  </w:r>
                  <w:r>
                    <w:rPr>
                      <w:rFonts w:hint="default" w:ascii="Times New Roman" w:hAnsi="Times New Roman" w:eastAsia="宋体" w:cs="Times New Roman"/>
                      <w:color w:val="auto"/>
                      <w:sz w:val="21"/>
                      <w:szCs w:val="21"/>
                      <w:highlight w:val="none"/>
                      <w:u w:val="none" w:color="auto"/>
                      <w:lang w:val="en-US" w:eastAsia="zh-CN"/>
                    </w:rPr>
                    <w:t>化验室废试样收集后外运至再生骨料加工厂加工再生砂石</w:t>
                  </w:r>
                </w:p>
                <w:p w14:paraId="21171BEA">
                  <w:pPr>
                    <w:jc w:val="both"/>
                    <w:rPr>
                      <w:rFonts w:hint="eastAsia"/>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⑦混凝土类建筑垃圾集中分类堆放后，委托具备合法清运资质的单位，全部运送至当地合规建筑垃圾消纳场规范处置；优先交由建筑垃圾资源化利用单位加工为再生骨料，提升资源化利用水平；</w:t>
                  </w:r>
                </w:p>
                <w:p w14:paraId="543FA6DE">
                  <w:pPr>
                    <w:jc w:val="both"/>
                    <w:rPr>
                      <w:rFonts w:hint="eastAsia"/>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⑧金属类拆除废物统一收集后交由具备资质的再生资源回收单位进行回收资源化利用；</w:t>
                  </w:r>
                </w:p>
                <w:p w14:paraId="61CA63D6">
                  <w:pPr>
                    <w:jc w:val="both"/>
                    <w:rPr>
                      <w:rFonts w:hint="eastAsia" w:eastAsia="宋体"/>
                      <w:color w:val="auto"/>
                      <w:sz w:val="21"/>
                      <w:szCs w:val="21"/>
                      <w:highlight w:val="none"/>
                      <w:u w:val="none" w:color="auto"/>
                      <w:lang w:val="en-US" w:eastAsia="zh-CN"/>
                    </w:rPr>
                  </w:pPr>
                  <w:r>
                    <w:rPr>
                      <w:rFonts w:hint="eastAsia"/>
                      <w:b w:val="0"/>
                      <w:bCs w:val="0"/>
                      <w:color w:val="auto"/>
                      <w:sz w:val="21"/>
                      <w:szCs w:val="21"/>
                      <w:highlight w:val="none"/>
                      <w:u w:val="single"/>
                      <w:lang w:val="en-US" w:eastAsia="zh-CN"/>
                    </w:rPr>
                    <w:t>⑨残留生产物料类废物清理出的洁净粉料优先回用于生产工序；无法回用的结块物料按一般工业固体废物管理，委托具备相应处置能力的单位合规处置。</w:t>
                  </w:r>
                </w:p>
              </w:tc>
            </w:tr>
            <w:tr w14:paraId="2B9945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87" w:hRule="atLeast"/>
              </w:trPr>
              <w:tc>
                <w:tcPr>
                  <w:tcW w:w="267" w:type="pct"/>
                  <w:vMerge w:val="continue"/>
                  <w:noWrap w:val="0"/>
                  <w:vAlign w:val="center"/>
                </w:tcPr>
                <w:p w14:paraId="72C5CCC2">
                  <w:pPr>
                    <w:jc w:val="center"/>
                    <w:rPr>
                      <w:color w:val="auto"/>
                      <w:sz w:val="21"/>
                      <w:szCs w:val="21"/>
                      <w:highlight w:val="cyan"/>
                      <w:u w:val="none" w:color="auto"/>
                    </w:rPr>
                  </w:pPr>
                </w:p>
              </w:tc>
              <w:tc>
                <w:tcPr>
                  <w:tcW w:w="921" w:type="pct"/>
                  <w:noWrap w:val="0"/>
                  <w:vAlign w:val="center"/>
                </w:tcPr>
                <w:p w14:paraId="351BBDCF">
                  <w:pPr>
                    <w:jc w:val="center"/>
                    <w:rPr>
                      <w:rFonts w:hint="eastAsia" w:eastAsia="宋体"/>
                      <w:color w:val="auto"/>
                      <w:sz w:val="21"/>
                      <w:szCs w:val="21"/>
                      <w:highlight w:val="cyan"/>
                      <w:u w:val="single" w:color="auto"/>
                      <w:lang w:eastAsia="zh-CN"/>
                    </w:rPr>
                  </w:pPr>
                  <w:r>
                    <w:rPr>
                      <w:rFonts w:hint="eastAsia"/>
                      <w:color w:val="auto"/>
                      <w:sz w:val="21"/>
                      <w:szCs w:val="21"/>
                      <w:highlight w:val="none"/>
                      <w:u w:val="single" w:color="auto"/>
                      <w:lang w:eastAsia="zh-CN"/>
                    </w:rPr>
                    <w:t>地下水、土壤</w:t>
                  </w:r>
                </w:p>
              </w:tc>
              <w:tc>
                <w:tcPr>
                  <w:tcW w:w="3811" w:type="pct"/>
                  <w:noWrap w:val="0"/>
                  <w:vAlign w:val="center"/>
                </w:tcPr>
                <w:p w14:paraId="13D8CD3E">
                  <w:pPr>
                    <w:jc w:val="both"/>
                    <w:rPr>
                      <w:rFonts w:hint="default" w:eastAsia="宋体"/>
                      <w:color w:val="auto"/>
                      <w:sz w:val="21"/>
                      <w:szCs w:val="21"/>
                      <w:highlight w:val="cyan"/>
                      <w:u w:val="single" w:color="auto"/>
                      <w:lang w:val="en-US" w:eastAsia="zh-CN"/>
                    </w:rPr>
                  </w:pPr>
                  <w:r>
                    <w:rPr>
                      <w:rFonts w:hint="eastAsia"/>
                      <w:color w:val="auto"/>
                      <w:sz w:val="21"/>
                      <w:szCs w:val="21"/>
                      <w:highlight w:val="none"/>
                      <w:u w:val="single" w:color="auto"/>
                      <w:lang w:eastAsia="zh-CN"/>
                    </w:rPr>
                    <w:t>厂区分区防渗，外加剂储罐区、沉淀池、初期雨水收集池按照一般防渗区进行防渗，防渗层的设置要求等效黏土防渗层Mb≥1.5m，K≤1.0×10</w:t>
                  </w:r>
                  <w:r>
                    <w:rPr>
                      <w:rFonts w:hint="eastAsia"/>
                      <w:color w:val="auto"/>
                      <w:sz w:val="21"/>
                      <w:szCs w:val="21"/>
                      <w:highlight w:val="none"/>
                      <w:u w:val="single" w:color="auto"/>
                      <w:vertAlign w:val="superscript"/>
                      <w:lang w:eastAsia="zh-CN"/>
                    </w:rPr>
                    <w:t>-7</w:t>
                  </w:r>
                  <w:r>
                    <w:rPr>
                      <w:rFonts w:hint="eastAsia"/>
                      <w:color w:val="auto"/>
                      <w:sz w:val="21"/>
                      <w:szCs w:val="21"/>
                      <w:highlight w:val="none"/>
                      <w:u w:val="single" w:color="auto"/>
                      <w:lang w:eastAsia="zh-CN"/>
                    </w:rPr>
                    <w:t>cm/s，或参照GB18598执行；厂区道路、办公室、化验室、堆场等其他区域按照简单防渗区进行防渗，一般地面硬化即可。</w:t>
                  </w:r>
                </w:p>
              </w:tc>
            </w:tr>
          </w:tbl>
          <w:p w14:paraId="51F34A79">
            <w:pPr>
              <w:adjustRightInd w:val="0"/>
              <w:spacing w:line="360" w:lineRule="auto"/>
              <w:ind w:firstLine="480" w:firstLineChars="200"/>
              <w:jc w:val="left"/>
              <w:rPr>
                <w:rFonts w:hint="eastAsia"/>
                <w:b w:val="0"/>
                <w:bCs w:val="0"/>
                <w:color w:val="auto"/>
                <w:sz w:val="24"/>
                <w:szCs w:val="24"/>
                <w:highlight w:val="none"/>
                <w:lang w:val="en-US" w:eastAsia="zh-CN"/>
              </w:rPr>
            </w:pPr>
          </w:p>
          <w:p w14:paraId="64A48EC0">
            <w:pPr>
              <w:adjustRightInd w:val="0"/>
              <w:spacing w:line="360" w:lineRule="auto"/>
              <w:ind w:firstLine="482" w:firstLineChars="200"/>
              <w:jc w:val="left"/>
              <w:rPr>
                <w:rFonts w:hint="default"/>
                <w:b/>
                <w:bCs/>
                <w:color w:val="auto"/>
                <w:sz w:val="24"/>
                <w:szCs w:val="24"/>
                <w:highlight w:val="none"/>
                <w:lang w:val="en-US" w:eastAsia="zh-CN"/>
              </w:rPr>
            </w:pPr>
            <w:r>
              <w:rPr>
                <w:rFonts w:hint="eastAsia"/>
                <w:b/>
                <w:bCs/>
                <w:color w:val="auto"/>
                <w:sz w:val="24"/>
                <w:szCs w:val="24"/>
                <w:highlight w:val="none"/>
                <w:lang w:val="en-US" w:eastAsia="zh-CN"/>
              </w:rPr>
              <w:t>3、产品方案</w:t>
            </w:r>
          </w:p>
          <w:p w14:paraId="609820A9">
            <w:pPr>
              <w:adjustRightInd w:val="0"/>
              <w:spacing w:line="360" w:lineRule="auto"/>
              <w:ind w:firstLine="480" w:firstLineChars="200"/>
              <w:jc w:val="left"/>
              <w:rPr>
                <w:rFonts w:hint="eastAsia"/>
                <w:i w:val="0"/>
                <w:iCs w:val="0"/>
                <w:color w:val="auto"/>
                <w:sz w:val="24"/>
                <w:szCs w:val="24"/>
                <w:highlight w:val="none"/>
                <w:u w:val="single" w:color="auto"/>
              </w:rPr>
            </w:pPr>
            <w:r>
              <w:rPr>
                <w:rFonts w:hint="default" w:ascii="Times New Roman" w:hAnsi="Times New Roman" w:eastAsia="宋体" w:cs="Times New Roman"/>
                <w:color w:val="auto"/>
                <w:sz w:val="24"/>
                <w:highlight w:val="none"/>
                <w:u w:val="single" w:color="auto"/>
              </w:rPr>
              <w:t>本项目</w:t>
            </w:r>
            <w:r>
              <w:rPr>
                <w:rFonts w:hint="eastAsia"/>
                <w:i w:val="0"/>
                <w:iCs w:val="0"/>
                <w:color w:val="auto"/>
                <w:sz w:val="24"/>
                <w:szCs w:val="24"/>
                <w:highlight w:val="none"/>
                <w:u w:val="single" w:color="auto"/>
              </w:rPr>
              <w:t>产品</w:t>
            </w:r>
            <w:r>
              <w:rPr>
                <w:rFonts w:hint="eastAsia"/>
                <w:i w:val="0"/>
                <w:iCs w:val="0"/>
                <w:color w:val="auto"/>
                <w:sz w:val="24"/>
                <w:szCs w:val="24"/>
                <w:highlight w:val="none"/>
                <w:u w:val="single" w:color="auto"/>
                <w:lang w:eastAsia="zh-CN"/>
              </w:rPr>
              <w:t>为商品</w:t>
            </w:r>
            <w:r>
              <w:rPr>
                <w:rFonts w:hint="eastAsia"/>
                <w:i w:val="0"/>
                <w:iCs w:val="0"/>
                <w:color w:val="auto"/>
                <w:sz w:val="24"/>
                <w:szCs w:val="24"/>
                <w:highlight w:val="none"/>
                <w:u w:val="single" w:color="auto"/>
              </w:rPr>
              <w:t>混凝土，生产规模为</w:t>
            </w:r>
            <w:r>
              <w:rPr>
                <w:rFonts w:hint="eastAsia" w:cs="Times New Roman"/>
                <w:color w:val="auto"/>
                <w:sz w:val="24"/>
                <w:szCs w:val="24"/>
                <w:highlight w:val="none"/>
                <w:u w:val="single" w:color="auto"/>
                <w:lang w:val="en-US" w:eastAsia="zh-CN"/>
              </w:rPr>
              <w:t>15</w:t>
            </w:r>
            <w:r>
              <w:rPr>
                <w:rFonts w:hint="default" w:ascii="Times New Roman" w:hAnsi="Times New Roman" w:eastAsia="宋体" w:cs="Times New Roman"/>
                <w:color w:val="auto"/>
                <w:sz w:val="24"/>
                <w:szCs w:val="24"/>
                <w:highlight w:val="none"/>
                <w:u w:val="single" w:color="auto"/>
              </w:rPr>
              <w:t>万m³（折合约</w:t>
            </w:r>
            <w:r>
              <w:rPr>
                <w:rFonts w:hint="eastAsia" w:cs="Times New Roman"/>
                <w:color w:val="auto"/>
                <w:sz w:val="24"/>
                <w:szCs w:val="24"/>
                <w:highlight w:val="none"/>
                <w:u w:val="single" w:color="auto"/>
                <w:lang w:val="en-US" w:eastAsia="zh-CN"/>
              </w:rPr>
              <w:t>36万</w:t>
            </w:r>
            <w:r>
              <w:rPr>
                <w:rFonts w:hint="default" w:ascii="Times New Roman" w:hAnsi="Times New Roman" w:eastAsia="宋体" w:cs="Times New Roman"/>
                <w:color w:val="auto"/>
                <w:sz w:val="24"/>
                <w:szCs w:val="24"/>
                <w:highlight w:val="none"/>
                <w:u w:val="single" w:color="auto"/>
              </w:rPr>
              <w:t>t/a）</w:t>
            </w:r>
            <w:r>
              <w:rPr>
                <w:rFonts w:hint="eastAsia"/>
                <w:i w:val="0"/>
                <w:iCs w:val="0"/>
                <w:color w:val="auto"/>
                <w:sz w:val="24"/>
                <w:szCs w:val="24"/>
                <w:highlight w:val="none"/>
                <w:u w:val="single" w:color="auto"/>
              </w:rPr>
              <w:t>，产品方案详见下表。</w:t>
            </w:r>
          </w:p>
          <w:p w14:paraId="4EA1E2CC">
            <w:pPr>
              <w:jc w:val="center"/>
              <w:rPr>
                <w:b/>
                <w:i w:val="0"/>
                <w:iCs w:val="0"/>
                <w:color w:val="auto"/>
                <w:szCs w:val="21"/>
                <w:highlight w:val="none"/>
                <w:u w:val="single" w:color="auto"/>
              </w:rPr>
            </w:pPr>
            <w:r>
              <w:rPr>
                <w:b/>
                <w:i w:val="0"/>
                <w:iCs w:val="0"/>
                <w:color w:val="auto"/>
                <w:sz w:val="24"/>
                <w:szCs w:val="24"/>
                <w:highlight w:val="none"/>
                <w:u w:val="single" w:color="auto"/>
              </w:rPr>
              <w:t>表</w:t>
            </w:r>
            <w:r>
              <w:rPr>
                <w:rFonts w:hint="eastAsia"/>
                <w:b/>
                <w:i w:val="0"/>
                <w:iCs w:val="0"/>
                <w:color w:val="auto"/>
                <w:sz w:val="24"/>
                <w:szCs w:val="24"/>
                <w:highlight w:val="none"/>
                <w:u w:val="single" w:color="auto"/>
                <w:lang w:val="en-US" w:eastAsia="zh-CN"/>
              </w:rPr>
              <w:t>2-2</w:t>
            </w:r>
            <w:r>
              <w:rPr>
                <w:b/>
                <w:i w:val="0"/>
                <w:iCs w:val="0"/>
                <w:color w:val="auto"/>
                <w:sz w:val="24"/>
                <w:szCs w:val="24"/>
                <w:highlight w:val="none"/>
                <w:u w:val="single" w:color="auto"/>
              </w:rPr>
              <w:t xml:space="preserve"> </w:t>
            </w:r>
            <w:r>
              <w:rPr>
                <w:rFonts w:hint="eastAsia"/>
                <w:b/>
                <w:i w:val="0"/>
                <w:iCs w:val="0"/>
                <w:color w:val="auto"/>
                <w:sz w:val="24"/>
                <w:szCs w:val="24"/>
                <w:highlight w:val="none"/>
                <w:u w:val="single" w:color="auto"/>
                <w:lang w:val="en-US" w:eastAsia="zh-CN"/>
              </w:rPr>
              <w:t xml:space="preserve">  </w:t>
            </w:r>
            <w:r>
              <w:rPr>
                <w:b/>
                <w:i w:val="0"/>
                <w:iCs w:val="0"/>
                <w:color w:val="auto"/>
                <w:sz w:val="24"/>
                <w:szCs w:val="24"/>
                <w:highlight w:val="none"/>
                <w:u w:val="single" w:color="auto"/>
              </w:rPr>
              <w:t>本项目</w:t>
            </w:r>
            <w:r>
              <w:rPr>
                <w:rFonts w:hint="eastAsia"/>
                <w:b/>
                <w:i w:val="0"/>
                <w:iCs w:val="0"/>
                <w:color w:val="auto"/>
                <w:sz w:val="24"/>
                <w:szCs w:val="24"/>
                <w:highlight w:val="none"/>
                <w:u w:val="single" w:color="auto"/>
              </w:rPr>
              <w:t>产品方案</w:t>
            </w:r>
            <w:r>
              <w:rPr>
                <w:b/>
                <w:i w:val="0"/>
                <w:iCs w:val="0"/>
                <w:color w:val="auto"/>
                <w:sz w:val="24"/>
                <w:szCs w:val="24"/>
                <w:highlight w:val="none"/>
                <w:u w:val="single" w:color="auto"/>
              </w:rPr>
              <w:t>一览表</w:t>
            </w:r>
          </w:p>
          <w:tbl>
            <w:tblPr>
              <w:tblStyle w:val="25"/>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636"/>
              <w:gridCol w:w="1313"/>
              <w:gridCol w:w="736"/>
              <w:gridCol w:w="932"/>
              <w:gridCol w:w="4689"/>
            </w:tblGrid>
            <w:tr w14:paraId="77BD743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94" w:hRule="atLeast"/>
                <w:jc w:val="center"/>
              </w:trPr>
              <w:tc>
                <w:tcPr>
                  <w:tcW w:w="383" w:type="pct"/>
                  <w:noWrap w:val="0"/>
                  <w:vAlign w:val="center"/>
                </w:tcPr>
                <w:p w14:paraId="10DC031F">
                  <w:pPr>
                    <w:widowControl/>
                    <w:jc w:val="center"/>
                    <w:rPr>
                      <w:bCs/>
                      <w:i w:val="0"/>
                      <w:iCs w:val="0"/>
                      <w:color w:val="auto"/>
                      <w:kern w:val="0"/>
                      <w:szCs w:val="21"/>
                      <w:highlight w:val="none"/>
                      <w:u w:val="single" w:color="auto"/>
                    </w:rPr>
                  </w:pPr>
                  <w:r>
                    <w:rPr>
                      <w:bCs/>
                      <w:i w:val="0"/>
                      <w:iCs w:val="0"/>
                      <w:color w:val="auto"/>
                      <w:kern w:val="0"/>
                      <w:szCs w:val="21"/>
                      <w:highlight w:val="none"/>
                      <w:u w:val="single" w:color="auto"/>
                    </w:rPr>
                    <w:t>序</w:t>
                  </w:r>
                  <w:r>
                    <w:rPr>
                      <w:rFonts w:hint="eastAsia"/>
                      <w:bCs/>
                      <w:i w:val="0"/>
                      <w:iCs w:val="0"/>
                      <w:color w:val="auto"/>
                      <w:kern w:val="0"/>
                      <w:szCs w:val="21"/>
                      <w:highlight w:val="none"/>
                      <w:u w:val="single" w:color="auto"/>
                    </w:rPr>
                    <w:t>号</w:t>
                  </w:r>
                </w:p>
              </w:tc>
              <w:tc>
                <w:tcPr>
                  <w:tcW w:w="790" w:type="pct"/>
                  <w:noWrap w:val="0"/>
                  <w:vAlign w:val="center"/>
                </w:tcPr>
                <w:p w14:paraId="244EF4E6">
                  <w:pPr>
                    <w:widowControl/>
                    <w:jc w:val="center"/>
                    <w:rPr>
                      <w:bCs/>
                      <w:i w:val="0"/>
                      <w:iCs w:val="0"/>
                      <w:color w:val="auto"/>
                      <w:kern w:val="0"/>
                      <w:szCs w:val="21"/>
                      <w:highlight w:val="none"/>
                      <w:u w:val="single" w:color="auto"/>
                    </w:rPr>
                  </w:pPr>
                  <w:r>
                    <w:rPr>
                      <w:rFonts w:hint="eastAsia"/>
                      <w:bCs/>
                      <w:i w:val="0"/>
                      <w:iCs w:val="0"/>
                      <w:color w:val="auto"/>
                      <w:kern w:val="0"/>
                      <w:szCs w:val="21"/>
                      <w:highlight w:val="none"/>
                      <w:u w:val="single" w:color="auto"/>
                    </w:rPr>
                    <w:t>产品</w:t>
                  </w:r>
                  <w:r>
                    <w:rPr>
                      <w:bCs/>
                      <w:i w:val="0"/>
                      <w:iCs w:val="0"/>
                      <w:color w:val="auto"/>
                      <w:kern w:val="0"/>
                      <w:szCs w:val="21"/>
                      <w:highlight w:val="none"/>
                      <w:u w:val="single" w:color="auto"/>
                    </w:rPr>
                    <w:t>名称</w:t>
                  </w:r>
                </w:p>
              </w:tc>
              <w:tc>
                <w:tcPr>
                  <w:tcW w:w="443" w:type="pct"/>
                  <w:noWrap w:val="0"/>
                  <w:vAlign w:val="center"/>
                </w:tcPr>
                <w:p w14:paraId="2B9CD0EF">
                  <w:pPr>
                    <w:widowControl/>
                    <w:jc w:val="center"/>
                    <w:rPr>
                      <w:bCs/>
                      <w:i w:val="0"/>
                      <w:iCs w:val="0"/>
                      <w:color w:val="auto"/>
                      <w:kern w:val="0"/>
                      <w:szCs w:val="21"/>
                      <w:highlight w:val="none"/>
                      <w:u w:val="single" w:color="auto"/>
                    </w:rPr>
                  </w:pPr>
                  <w:r>
                    <w:rPr>
                      <w:bCs/>
                      <w:i w:val="0"/>
                      <w:iCs w:val="0"/>
                      <w:color w:val="auto"/>
                      <w:kern w:val="0"/>
                      <w:szCs w:val="21"/>
                      <w:highlight w:val="none"/>
                      <w:u w:val="single" w:color="auto"/>
                    </w:rPr>
                    <w:t>单位</w:t>
                  </w:r>
                </w:p>
              </w:tc>
              <w:tc>
                <w:tcPr>
                  <w:tcW w:w="561" w:type="pct"/>
                  <w:noWrap w:val="0"/>
                  <w:vAlign w:val="center"/>
                </w:tcPr>
                <w:p w14:paraId="7A6CA390">
                  <w:pPr>
                    <w:widowControl/>
                    <w:jc w:val="center"/>
                    <w:rPr>
                      <w:bCs/>
                      <w:i w:val="0"/>
                      <w:iCs w:val="0"/>
                      <w:color w:val="auto"/>
                      <w:kern w:val="0"/>
                      <w:szCs w:val="21"/>
                      <w:highlight w:val="none"/>
                      <w:u w:val="single" w:color="auto"/>
                    </w:rPr>
                  </w:pPr>
                  <w:r>
                    <w:rPr>
                      <w:rFonts w:hint="eastAsia"/>
                      <w:bCs/>
                      <w:i w:val="0"/>
                      <w:iCs w:val="0"/>
                      <w:color w:val="auto"/>
                      <w:kern w:val="0"/>
                      <w:szCs w:val="21"/>
                      <w:highlight w:val="none"/>
                      <w:u w:val="single" w:color="auto"/>
                    </w:rPr>
                    <w:t>数</w:t>
                  </w:r>
                  <w:r>
                    <w:rPr>
                      <w:bCs/>
                      <w:i w:val="0"/>
                      <w:iCs w:val="0"/>
                      <w:color w:val="auto"/>
                      <w:kern w:val="0"/>
                      <w:szCs w:val="21"/>
                      <w:highlight w:val="none"/>
                      <w:u w:val="single" w:color="auto"/>
                    </w:rPr>
                    <w:t>量</w:t>
                  </w:r>
                </w:p>
              </w:tc>
              <w:tc>
                <w:tcPr>
                  <w:tcW w:w="2821" w:type="pct"/>
                  <w:noWrap w:val="0"/>
                  <w:vAlign w:val="center"/>
                </w:tcPr>
                <w:p w14:paraId="1AECAF46">
                  <w:pPr>
                    <w:widowControl/>
                    <w:jc w:val="center"/>
                    <w:rPr>
                      <w:rFonts w:hint="eastAsia" w:eastAsia="宋体"/>
                      <w:bCs/>
                      <w:i w:val="0"/>
                      <w:iCs w:val="0"/>
                      <w:color w:val="auto"/>
                      <w:kern w:val="0"/>
                      <w:szCs w:val="21"/>
                      <w:highlight w:val="none"/>
                      <w:u w:val="single" w:color="auto"/>
                      <w:lang w:eastAsia="zh-CN"/>
                    </w:rPr>
                  </w:pPr>
                  <w:r>
                    <w:rPr>
                      <w:rFonts w:hint="eastAsia"/>
                      <w:bCs/>
                      <w:i w:val="0"/>
                      <w:iCs w:val="0"/>
                      <w:color w:val="auto"/>
                      <w:kern w:val="0"/>
                      <w:szCs w:val="21"/>
                      <w:highlight w:val="none"/>
                      <w:u w:val="single" w:color="auto"/>
                      <w:lang w:val="en-US" w:eastAsia="zh-CN"/>
                    </w:rPr>
                    <w:t>备注</w:t>
                  </w:r>
                </w:p>
              </w:tc>
            </w:tr>
            <w:tr w14:paraId="5426C89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1" w:hRule="atLeast"/>
                <w:jc w:val="center"/>
              </w:trPr>
              <w:tc>
                <w:tcPr>
                  <w:tcW w:w="383" w:type="pct"/>
                  <w:noWrap w:val="0"/>
                  <w:vAlign w:val="center"/>
                </w:tcPr>
                <w:p w14:paraId="5386B343">
                  <w:pPr>
                    <w:widowControl/>
                    <w:jc w:val="center"/>
                    <w:rPr>
                      <w:i w:val="0"/>
                      <w:iCs w:val="0"/>
                      <w:color w:val="auto"/>
                      <w:kern w:val="0"/>
                      <w:szCs w:val="21"/>
                      <w:highlight w:val="none"/>
                      <w:u w:val="single" w:color="auto"/>
                    </w:rPr>
                  </w:pPr>
                  <w:r>
                    <w:rPr>
                      <w:i w:val="0"/>
                      <w:iCs w:val="0"/>
                      <w:color w:val="auto"/>
                      <w:kern w:val="0"/>
                      <w:szCs w:val="21"/>
                      <w:highlight w:val="none"/>
                      <w:u w:val="single" w:color="auto"/>
                    </w:rPr>
                    <w:t>1</w:t>
                  </w:r>
                </w:p>
              </w:tc>
              <w:tc>
                <w:tcPr>
                  <w:tcW w:w="790" w:type="pct"/>
                  <w:noWrap w:val="0"/>
                  <w:vAlign w:val="center"/>
                </w:tcPr>
                <w:p w14:paraId="630BA208">
                  <w:pPr>
                    <w:widowControl/>
                    <w:jc w:val="center"/>
                    <w:rPr>
                      <w:i w:val="0"/>
                      <w:iCs w:val="0"/>
                      <w:color w:val="auto"/>
                      <w:kern w:val="0"/>
                      <w:szCs w:val="21"/>
                      <w:highlight w:val="none"/>
                      <w:u w:val="single" w:color="auto"/>
                    </w:rPr>
                  </w:pPr>
                  <w:r>
                    <w:rPr>
                      <w:rFonts w:hint="eastAsia"/>
                      <w:i w:val="0"/>
                      <w:iCs w:val="0"/>
                      <w:color w:val="auto"/>
                      <w:kern w:val="0"/>
                      <w:szCs w:val="21"/>
                      <w:highlight w:val="none"/>
                      <w:u w:val="single" w:color="auto"/>
                      <w:lang w:eastAsia="zh-CN"/>
                    </w:rPr>
                    <w:t>商品</w:t>
                  </w:r>
                  <w:r>
                    <w:rPr>
                      <w:rFonts w:hint="eastAsia"/>
                      <w:i w:val="0"/>
                      <w:iCs w:val="0"/>
                      <w:color w:val="auto"/>
                      <w:kern w:val="0"/>
                      <w:szCs w:val="21"/>
                      <w:highlight w:val="none"/>
                      <w:u w:val="single" w:color="auto"/>
                    </w:rPr>
                    <w:t>混凝土</w:t>
                  </w:r>
                </w:p>
              </w:tc>
              <w:tc>
                <w:tcPr>
                  <w:tcW w:w="443" w:type="pct"/>
                  <w:noWrap w:val="0"/>
                  <w:vAlign w:val="center"/>
                </w:tcPr>
                <w:p w14:paraId="2DFF6E35">
                  <w:pPr>
                    <w:widowControl/>
                    <w:jc w:val="center"/>
                    <w:rPr>
                      <w:rFonts w:hint="default" w:eastAsia="宋体"/>
                      <w:i w:val="0"/>
                      <w:iCs w:val="0"/>
                      <w:color w:val="auto"/>
                      <w:kern w:val="0"/>
                      <w:szCs w:val="21"/>
                      <w:highlight w:val="none"/>
                      <w:u w:val="single" w:color="auto"/>
                      <w:lang w:val="en-US" w:eastAsia="zh-CN"/>
                    </w:rPr>
                  </w:pPr>
                  <w:r>
                    <w:rPr>
                      <w:rFonts w:hint="eastAsia"/>
                      <w:i w:val="0"/>
                      <w:iCs w:val="0"/>
                      <w:color w:val="auto"/>
                      <w:kern w:val="0"/>
                      <w:szCs w:val="21"/>
                      <w:highlight w:val="none"/>
                      <w:u w:val="single" w:color="auto"/>
                      <w:lang w:val="en-US" w:eastAsia="zh-CN"/>
                    </w:rPr>
                    <w:t>m</w:t>
                  </w:r>
                  <w:r>
                    <w:rPr>
                      <w:rFonts w:hint="eastAsia"/>
                      <w:i w:val="0"/>
                      <w:iCs w:val="0"/>
                      <w:color w:val="auto"/>
                      <w:kern w:val="0"/>
                      <w:szCs w:val="21"/>
                      <w:highlight w:val="none"/>
                      <w:u w:val="single" w:color="auto"/>
                      <w:vertAlign w:val="superscript"/>
                      <w:lang w:val="en-US" w:eastAsia="zh-CN"/>
                    </w:rPr>
                    <w:t>3</w:t>
                  </w:r>
                  <w:r>
                    <w:rPr>
                      <w:rFonts w:hint="eastAsia"/>
                      <w:i w:val="0"/>
                      <w:iCs w:val="0"/>
                      <w:color w:val="auto"/>
                      <w:kern w:val="0"/>
                      <w:szCs w:val="21"/>
                      <w:highlight w:val="none"/>
                      <w:u w:val="single" w:color="auto"/>
                      <w:lang w:val="en-US" w:eastAsia="zh-CN"/>
                    </w:rPr>
                    <w:t>/a</w:t>
                  </w:r>
                </w:p>
              </w:tc>
              <w:tc>
                <w:tcPr>
                  <w:tcW w:w="561" w:type="pct"/>
                  <w:noWrap w:val="0"/>
                  <w:vAlign w:val="center"/>
                </w:tcPr>
                <w:p w14:paraId="7B3FE6EE">
                  <w:pPr>
                    <w:widowControl/>
                    <w:jc w:val="center"/>
                    <w:rPr>
                      <w:i w:val="0"/>
                      <w:iCs w:val="0"/>
                      <w:color w:val="auto"/>
                      <w:kern w:val="0"/>
                      <w:szCs w:val="21"/>
                      <w:highlight w:val="none"/>
                      <w:u w:val="single" w:color="auto"/>
                    </w:rPr>
                  </w:pPr>
                  <w:r>
                    <w:rPr>
                      <w:rFonts w:hint="eastAsia"/>
                      <w:i w:val="0"/>
                      <w:iCs w:val="0"/>
                      <w:color w:val="auto"/>
                      <w:kern w:val="0"/>
                      <w:szCs w:val="21"/>
                      <w:highlight w:val="none"/>
                      <w:u w:val="single" w:color="auto"/>
                      <w:lang w:val="en-US" w:eastAsia="zh-CN"/>
                    </w:rPr>
                    <w:t>15</w:t>
                  </w:r>
                  <w:r>
                    <w:rPr>
                      <w:rFonts w:hint="eastAsia"/>
                      <w:i w:val="0"/>
                      <w:iCs w:val="0"/>
                      <w:color w:val="auto"/>
                      <w:kern w:val="0"/>
                      <w:szCs w:val="21"/>
                      <w:highlight w:val="none"/>
                      <w:u w:val="single" w:color="auto"/>
                    </w:rPr>
                    <w:t>万</w:t>
                  </w:r>
                </w:p>
              </w:tc>
              <w:tc>
                <w:tcPr>
                  <w:tcW w:w="2821" w:type="pct"/>
                  <w:noWrap w:val="0"/>
                  <w:vAlign w:val="center"/>
                </w:tcPr>
                <w:p w14:paraId="55CD718D">
                  <w:pPr>
                    <w:widowControl/>
                    <w:jc w:val="both"/>
                    <w:rPr>
                      <w:rFonts w:hint="default"/>
                      <w:i w:val="0"/>
                      <w:iCs w:val="0"/>
                      <w:color w:val="auto"/>
                      <w:kern w:val="0"/>
                      <w:szCs w:val="21"/>
                      <w:highlight w:val="none"/>
                      <w:u w:val="single" w:color="auto"/>
                      <w:lang w:val="en-US" w:eastAsia="zh-CN"/>
                    </w:rPr>
                  </w:pPr>
                  <w:r>
                    <w:rPr>
                      <w:rFonts w:hint="eastAsia"/>
                      <w:i w:val="0"/>
                      <w:iCs w:val="0"/>
                      <w:color w:val="auto"/>
                      <w:kern w:val="0"/>
                      <w:szCs w:val="21"/>
                      <w:highlight w:val="none"/>
                      <w:u w:val="single" w:color="auto"/>
                      <w:lang w:val="en-US" w:eastAsia="zh-CN"/>
                    </w:rPr>
                    <w:t>强度等级：C20、C25、C30、C35、C40、C50；坍落度：180±20mm</w:t>
                  </w:r>
                </w:p>
              </w:tc>
            </w:tr>
          </w:tbl>
          <w:p w14:paraId="416F9D8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auto"/>
              <w:rPr>
                <w:rFonts w:hint="eastAsia"/>
                <w:b w:val="0"/>
                <w:bCs w:val="0"/>
                <w:color w:val="auto"/>
                <w:sz w:val="24"/>
                <w:szCs w:val="24"/>
                <w:highlight w:val="none"/>
                <w:lang w:val="en-US" w:eastAsia="zh-CN"/>
              </w:rPr>
            </w:pPr>
          </w:p>
          <w:p w14:paraId="04DE9E4E">
            <w:pPr>
              <w:keepNext w:val="0"/>
              <w:keepLines w:val="0"/>
              <w:pageBreakBefore w:val="0"/>
              <w:widowControl w:val="0"/>
              <w:kinsoku/>
              <w:wordWrap/>
              <w:overflowPunct/>
              <w:topLinePunct w:val="0"/>
              <w:autoSpaceDE/>
              <w:autoSpaceDN/>
              <w:bidi w:val="0"/>
              <w:adjustRightInd w:val="0"/>
              <w:snapToGrid/>
              <w:spacing w:line="360" w:lineRule="auto"/>
              <w:ind w:firstLine="482" w:firstLineChars="200"/>
              <w:jc w:val="left"/>
              <w:textAlignment w:val="auto"/>
              <w:rPr>
                <w:rFonts w:hint="eastAsia"/>
                <w:b/>
                <w:bCs/>
                <w:color w:val="auto"/>
                <w:sz w:val="24"/>
                <w:szCs w:val="24"/>
                <w:highlight w:val="none"/>
              </w:rPr>
            </w:pPr>
            <w:r>
              <w:rPr>
                <w:rFonts w:hint="eastAsia"/>
                <w:b/>
                <w:bCs/>
                <w:color w:val="auto"/>
                <w:sz w:val="24"/>
                <w:szCs w:val="24"/>
                <w:highlight w:val="none"/>
                <w:lang w:val="en-US" w:eastAsia="zh-CN"/>
              </w:rPr>
              <w:t>4</w:t>
            </w:r>
            <w:r>
              <w:rPr>
                <w:rFonts w:hint="eastAsia"/>
                <w:b/>
                <w:bCs/>
                <w:color w:val="auto"/>
                <w:sz w:val="24"/>
                <w:szCs w:val="24"/>
                <w:highlight w:val="none"/>
              </w:rPr>
              <w:t>、主要构筑物</w:t>
            </w:r>
          </w:p>
          <w:p w14:paraId="2AE503CB">
            <w:pPr>
              <w:pStyle w:val="2"/>
              <w:tabs>
                <w:tab w:val="right" w:leader="dot" w:pos="9060"/>
              </w:tabs>
              <w:adjustRightInd w:val="0"/>
              <w:spacing w:line="360" w:lineRule="auto"/>
              <w:ind w:left="0" w:firstLine="480" w:firstLineChars="200"/>
              <w:rPr>
                <w:rFonts w:hint="eastAsia" w:eastAsia="宋体"/>
                <w:color w:val="auto"/>
                <w:sz w:val="24"/>
                <w:szCs w:val="24"/>
                <w:highlight w:val="none"/>
                <w:lang w:eastAsia="zh-CN"/>
              </w:rPr>
            </w:pPr>
            <w:r>
              <w:rPr>
                <w:rFonts w:hint="eastAsia"/>
                <w:color w:val="auto"/>
                <w:sz w:val="24"/>
                <w:szCs w:val="24"/>
                <w:highlight w:val="none"/>
              </w:rPr>
              <w:t>本项目厂区</w:t>
            </w:r>
            <w:r>
              <w:rPr>
                <w:color w:val="auto"/>
                <w:sz w:val="24"/>
                <w:szCs w:val="24"/>
                <w:highlight w:val="none"/>
              </w:rPr>
              <w:t>主要</w:t>
            </w:r>
            <w:r>
              <w:rPr>
                <w:rFonts w:hint="eastAsia"/>
                <w:color w:val="auto"/>
                <w:sz w:val="24"/>
                <w:szCs w:val="24"/>
                <w:highlight w:val="none"/>
                <w:lang w:eastAsia="zh-CN"/>
              </w:rPr>
              <w:t>建</w:t>
            </w:r>
            <w:r>
              <w:rPr>
                <w:color w:val="auto"/>
                <w:sz w:val="24"/>
                <w:szCs w:val="24"/>
                <w:highlight w:val="none"/>
              </w:rPr>
              <w:t>构筑物</w:t>
            </w:r>
            <w:r>
              <w:rPr>
                <w:rFonts w:hint="eastAsia"/>
                <w:color w:val="auto"/>
                <w:sz w:val="24"/>
                <w:szCs w:val="24"/>
                <w:highlight w:val="none"/>
              </w:rPr>
              <w:t>详见下表</w:t>
            </w:r>
            <w:r>
              <w:rPr>
                <w:color w:val="auto"/>
                <w:sz w:val="24"/>
                <w:szCs w:val="24"/>
                <w:highlight w:val="none"/>
              </w:rPr>
              <w:t>。</w:t>
            </w:r>
          </w:p>
          <w:p w14:paraId="33683A71">
            <w:pPr>
              <w:ind w:firstLine="482"/>
              <w:jc w:val="center"/>
              <w:rPr>
                <w:b/>
                <w:bCs/>
                <w:highlight w:val="none"/>
                <w:u w:val="none"/>
              </w:rPr>
            </w:pPr>
            <w:r>
              <w:rPr>
                <w:b/>
                <w:bCs/>
                <w:color w:val="auto"/>
                <w:sz w:val="24"/>
                <w:szCs w:val="24"/>
                <w:highlight w:val="none"/>
                <w:u w:val="none"/>
                <w:lang w:val="en-GB"/>
              </w:rPr>
              <w:t>表</w:t>
            </w:r>
            <w:r>
              <w:rPr>
                <w:rFonts w:hint="eastAsia"/>
                <w:b/>
                <w:bCs/>
                <w:color w:val="auto"/>
                <w:sz w:val="24"/>
                <w:szCs w:val="24"/>
                <w:highlight w:val="none"/>
                <w:u w:val="none"/>
                <w:lang w:val="en-US" w:eastAsia="zh-CN"/>
              </w:rPr>
              <w:t>2-3</w:t>
            </w:r>
            <w:r>
              <w:rPr>
                <w:b/>
                <w:bCs/>
                <w:color w:val="auto"/>
                <w:sz w:val="24"/>
                <w:szCs w:val="24"/>
                <w:highlight w:val="none"/>
                <w:u w:val="none"/>
                <w:lang w:val="en-GB"/>
              </w:rPr>
              <w:t xml:space="preserve">  主要</w:t>
            </w:r>
            <w:r>
              <w:rPr>
                <w:rFonts w:hint="eastAsia"/>
                <w:b/>
                <w:bCs/>
                <w:color w:val="auto"/>
                <w:sz w:val="24"/>
                <w:szCs w:val="24"/>
                <w:highlight w:val="none"/>
                <w:u w:val="none"/>
                <w:lang w:val="en-GB" w:eastAsia="zh-CN"/>
              </w:rPr>
              <w:t>建</w:t>
            </w:r>
            <w:r>
              <w:rPr>
                <w:b/>
                <w:bCs/>
                <w:color w:val="auto"/>
                <w:sz w:val="24"/>
                <w:szCs w:val="24"/>
                <w:highlight w:val="none"/>
                <w:u w:val="none"/>
                <w:lang w:val="en-GB"/>
              </w:rPr>
              <w:t>构筑物一览</w:t>
            </w:r>
            <w:r>
              <w:rPr>
                <w:b/>
                <w:bCs/>
                <w:sz w:val="24"/>
                <w:szCs w:val="24"/>
                <w:highlight w:val="none"/>
                <w:u w:val="none"/>
                <w:lang w:val="en-GB"/>
              </w:rPr>
              <w:t>表</w:t>
            </w:r>
          </w:p>
          <w:tbl>
            <w:tblPr>
              <w:tblStyle w:val="25"/>
              <w:tblW w:w="4998"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1596"/>
              <w:gridCol w:w="1245"/>
              <w:gridCol w:w="1104"/>
              <w:gridCol w:w="638"/>
              <w:gridCol w:w="3035"/>
            </w:tblGrid>
            <w:tr w14:paraId="32735CE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79" w:hRule="atLeast"/>
              </w:trPr>
              <w:tc>
                <w:tcPr>
                  <w:tcW w:w="415" w:type="pct"/>
                  <w:noWrap w:val="0"/>
                  <w:vAlign w:val="center"/>
                </w:tcPr>
                <w:p w14:paraId="2124D3CB">
                  <w:pPr>
                    <w:snapToGrid w:val="0"/>
                    <w:jc w:val="center"/>
                    <w:rPr>
                      <w:b w:val="0"/>
                      <w:bCs w:val="0"/>
                      <w:i w:val="0"/>
                      <w:iCs w:val="0"/>
                      <w:color w:val="auto"/>
                      <w:highlight w:val="none"/>
                      <w:u w:val="none"/>
                    </w:rPr>
                  </w:pPr>
                  <w:bookmarkStart w:id="4" w:name="_Toc477845878"/>
                  <w:bookmarkStart w:id="5" w:name="_Toc477696676"/>
                  <w:r>
                    <w:rPr>
                      <w:b w:val="0"/>
                      <w:bCs w:val="0"/>
                      <w:i w:val="0"/>
                      <w:iCs w:val="0"/>
                      <w:color w:val="auto"/>
                      <w:highlight w:val="none"/>
                      <w:u w:val="none"/>
                    </w:rPr>
                    <w:t>序号</w:t>
                  </w:r>
                  <w:bookmarkEnd w:id="4"/>
                  <w:bookmarkEnd w:id="5"/>
                </w:p>
              </w:tc>
              <w:tc>
                <w:tcPr>
                  <w:tcW w:w="960" w:type="pct"/>
                  <w:noWrap w:val="0"/>
                  <w:vAlign w:val="center"/>
                </w:tcPr>
                <w:p w14:paraId="21A7F9E2">
                  <w:pPr>
                    <w:snapToGrid w:val="0"/>
                    <w:jc w:val="center"/>
                    <w:rPr>
                      <w:b w:val="0"/>
                      <w:bCs w:val="0"/>
                      <w:i w:val="0"/>
                      <w:iCs w:val="0"/>
                      <w:color w:val="auto"/>
                      <w:highlight w:val="none"/>
                      <w:u w:val="none"/>
                    </w:rPr>
                  </w:pPr>
                  <w:r>
                    <w:rPr>
                      <w:rFonts w:hint="eastAsia"/>
                      <w:b w:val="0"/>
                      <w:bCs w:val="0"/>
                      <w:i w:val="0"/>
                      <w:iCs w:val="0"/>
                      <w:color w:val="auto"/>
                      <w:highlight w:val="none"/>
                      <w:u w:val="none"/>
                    </w:rPr>
                    <w:t>构筑物名称</w:t>
                  </w:r>
                </w:p>
              </w:tc>
              <w:tc>
                <w:tcPr>
                  <w:tcW w:w="749" w:type="pct"/>
                  <w:noWrap w:val="0"/>
                  <w:vAlign w:val="center"/>
                </w:tcPr>
                <w:p w14:paraId="2B0D16E9">
                  <w:pPr>
                    <w:snapToGrid w:val="0"/>
                    <w:jc w:val="center"/>
                    <w:rPr>
                      <w:b w:val="0"/>
                      <w:bCs w:val="0"/>
                      <w:i w:val="0"/>
                      <w:iCs w:val="0"/>
                      <w:color w:val="auto"/>
                      <w:highlight w:val="none"/>
                      <w:u w:val="none"/>
                    </w:rPr>
                  </w:pPr>
                  <w:bookmarkStart w:id="6" w:name="_Toc477696679"/>
                  <w:bookmarkStart w:id="7" w:name="_Toc477845881"/>
                  <w:r>
                    <w:rPr>
                      <w:rFonts w:hint="eastAsia"/>
                      <w:b w:val="0"/>
                      <w:bCs w:val="0"/>
                      <w:i w:val="0"/>
                      <w:iCs w:val="0"/>
                      <w:color w:val="auto"/>
                      <w:highlight w:val="none"/>
                      <w:u w:val="none"/>
                      <w:lang w:val="en-US" w:eastAsia="zh-CN"/>
                    </w:rPr>
                    <w:t>占地</w:t>
                  </w:r>
                  <w:r>
                    <w:rPr>
                      <w:b w:val="0"/>
                      <w:bCs w:val="0"/>
                      <w:i w:val="0"/>
                      <w:iCs w:val="0"/>
                      <w:color w:val="auto"/>
                      <w:highlight w:val="none"/>
                      <w:u w:val="none"/>
                    </w:rPr>
                    <w:t>面积（m</w:t>
                  </w:r>
                  <w:r>
                    <w:rPr>
                      <w:b w:val="0"/>
                      <w:bCs w:val="0"/>
                      <w:i w:val="0"/>
                      <w:iCs w:val="0"/>
                      <w:color w:val="auto"/>
                      <w:highlight w:val="none"/>
                      <w:u w:val="none"/>
                      <w:vertAlign w:val="superscript"/>
                    </w:rPr>
                    <w:t>2</w:t>
                  </w:r>
                  <w:r>
                    <w:rPr>
                      <w:b w:val="0"/>
                      <w:bCs w:val="0"/>
                      <w:i w:val="0"/>
                      <w:iCs w:val="0"/>
                      <w:color w:val="auto"/>
                      <w:highlight w:val="none"/>
                      <w:u w:val="none"/>
                    </w:rPr>
                    <w:t>）</w:t>
                  </w:r>
                  <w:bookmarkEnd w:id="6"/>
                  <w:bookmarkEnd w:id="7"/>
                </w:p>
              </w:tc>
              <w:tc>
                <w:tcPr>
                  <w:tcW w:w="664" w:type="pct"/>
                  <w:noWrap w:val="0"/>
                  <w:vAlign w:val="center"/>
                </w:tcPr>
                <w:p w14:paraId="39B05D90">
                  <w:pPr>
                    <w:snapToGrid w:val="0"/>
                    <w:jc w:val="center"/>
                    <w:rPr>
                      <w:rFonts w:hint="eastAsia" w:eastAsia="宋体"/>
                      <w:b w:val="0"/>
                      <w:bCs w:val="0"/>
                      <w:i w:val="0"/>
                      <w:iCs w:val="0"/>
                      <w:color w:val="auto"/>
                      <w:highlight w:val="none"/>
                      <w:u w:val="none"/>
                      <w:lang w:eastAsia="zh-CN"/>
                    </w:rPr>
                  </w:pPr>
                  <w:r>
                    <w:rPr>
                      <w:rFonts w:hint="eastAsia"/>
                      <w:b w:val="0"/>
                      <w:bCs w:val="0"/>
                      <w:i w:val="0"/>
                      <w:iCs w:val="0"/>
                      <w:color w:val="auto"/>
                      <w:highlight w:val="none"/>
                      <w:u w:val="none"/>
                      <w:lang w:eastAsia="zh-CN"/>
                    </w:rPr>
                    <w:t>建筑面积</w:t>
                  </w:r>
                  <w:r>
                    <w:rPr>
                      <w:b w:val="0"/>
                      <w:bCs w:val="0"/>
                      <w:i w:val="0"/>
                      <w:iCs w:val="0"/>
                      <w:color w:val="auto"/>
                      <w:highlight w:val="none"/>
                      <w:u w:val="none"/>
                    </w:rPr>
                    <w:t>（m</w:t>
                  </w:r>
                  <w:r>
                    <w:rPr>
                      <w:b w:val="0"/>
                      <w:bCs w:val="0"/>
                      <w:i w:val="0"/>
                      <w:iCs w:val="0"/>
                      <w:color w:val="auto"/>
                      <w:highlight w:val="none"/>
                      <w:u w:val="none"/>
                      <w:vertAlign w:val="superscript"/>
                    </w:rPr>
                    <w:t>2</w:t>
                  </w:r>
                  <w:r>
                    <w:rPr>
                      <w:b w:val="0"/>
                      <w:bCs w:val="0"/>
                      <w:i w:val="0"/>
                      <w:iCs w:val="0"/>
                      <w:color w:val="auto"/>
                      <w:highlight w:val="none"/>
                      <w:u w:val="none"/>
                    </w:rPr>
                    <w:t>）</w:t>
                  </w:r>
                </w:p>
              </w:tc>
              <w:tc>
                <w:tcPr>
                  <w:tcW w:w="384" w:type="pct"/>
                  <w:noWrap w:val="0"/>
                  <w:vAlign w:val="center"/>
                </w:tcPr>
                <w:p w14:paraId="4AF22F20">
                  <w:pPr>
                    <w:snapToGrid w:val="0"/>
                    <w:jc w:val="center"/>
                    <w:rPr>
                      <w:rFonts w:hint="eastAsia"/>
                      <w:b w:val="0"/>
                      <w:bCs w:val="0"/>
                      <w:i w:val="0"/>
                      <w:iCs w:val="0"/>
                      <w:color w:val="auto"/>
                      <w:highlight w:val="none"/>
                      <w:u w:val="none"/>
                      <w:lang w:eastAsia="zh-CN"/>
                    </w:rPr>
                  </w:pPr>
                  <w:r>
                    <w:rPr>
                      <w:rFonts w:hint="eastAsia"/>
                      <w:b w:val="0"/>
                      <w:bCs w:val="0"/>
                      <w:i w:val="0"/>
                      <w:iCs w:val="0"/>
                      <w:color w:val="auto"/>
                      <w:highlight w:val="none"/>
                      <w:u w:val="none"/>
                      <w:lang w:eastAsia="zh-CN"/>
                    </w:rPr>
                    <w:t>层数</w:t>
                  </w:r>
                </w:p>
              </w:tc>
              <w:tc>
                <w:tcPr>
                  <w:tcW w:w="1826" w:type="pct"/>
                  <w:noWrap w:val="0"/>
                  <w:vAlign w:val="center"/>
                </w:tcPr>
                <w:p w14:paraId="1EEC92F8">
                  <w:pPr>
                    <w:snapToGrid w:val="0"/>
                    <w:jc w:val="center"/>
                    <w:rPr>
                      <w:rFonts w:hint="eastAsia"/>
                      <w:b w:val="0"/>
                      <w:bCs w:val="0"/>
                      <w:i w:val="0"/>
                      <w:iCs w:val="0"/>
                      <w:color w:val="auto"/>
                      <w:highlight w:val="none"/>
                      <w:u w:val="none"/>
                    </w:rPr>
                  </w:pPr>
                  <w:r>
                    <w:rPr>
                      <w:rFonts w:hint="eastAsia"/>
                      <w:b w:val="0"/>
                      <w:bCs w:val="0"/>
                      <w:i w:val="0"/>
                      <w:iCs w:val="0"/>
                      <w:color w:val="auto"/>
                      <w:highlight w:val="none"/>
                      <w:u w:val="none"/>
                    </w:rPr>
                    <w:t>备注</w:t>
                  </w:r>
                </w:p>
              </w:tc>
            </w:tr>
            <w:tr w14:paraId="197AD97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65" w:hRule="atLeast"/>
              </w:trPr>
              <w:tc>
                <w:tcPr>
                  <w:tcW w:w="415" w:type="pct"/>
                  <w:noWrap w:val="0"/>
                  <w:vAlign w:val="center"/>
                </w:tcPr>
                <w:p w14:paraId="26BBF114">
                  <w:pPr>
                    <w:snapToGrid w:val="0"/>
                    <w:jc w:val="center"/>
                    <w:rPr>
                      <w:i w:val="0"/>
                      <w:iCs w:val="0"/>
                      <w:color w:val="auto"/>
                      <w:highlight w:val="none"/>
                      <w:u w:val="none"/>
                    </w:rPr>
                  </w:pPr>
                  <w:bookmarkStart w:id="8" w:name="_Toc477696681"/>
                  <w:bookmarkStart w:id="9" w:name="_Toc477845883"/>
                  <w:r>
                    <w:rPr>
                      <w:i w:val="0"/>
                      <w:iCs w:val="0"/>
                      <w:color w:val="auto"/>
                      <w:highlight w:val="none"/>
                      <w:u w:val="none"/>
                    </w:rPr>
                    <w:t>1</w:t>
                  </w:r>
                  <w:bookmarkEnd w:id="8"/>
                  <w:bookmarkEnd w:id="9"/>
                </w:p>
              </w:tc>
              <w:tc>
                <w:tcPr>
                  <w:tcW w:w="960" w:type="pct"/>
                  <w:noWrap w:val="0"/>
                  <w:vAlign w:val="center"/>
                </w:tcPr>
                <w:p w14:paraId="149830B8">
                  <w:pPr>
                    <w:snapToGrid w:val="0"/>
                    <w:jc w:val="center"/>
                    <w:rPr>
                      <w:rFonts w:hint="eastAsia"/>
                      <w:i w:val="0"/>
                      <w:iCs w:val="0"/>
                      <w:color w:val="auto"/>
                      <w:highlight w:val="none"/>
                      <w:u w:val="none"/>
                    </w:rPr>
                  </w:pPr>
                  <w:r>
                    <w:rPr>
                      <w:rFonts w:hint="eastAsia"/>
                      <w:i w:val="0"/>
                      <w:iCs w:val="0"/>
                      <w:color w:val="auto"/>
                      <w:highlight w:val="none"/>
                      <w:u w:val="none"/>
                      <w:lang w:eastAsia="zh-CN"/>
                    </w:rPr>
                    <w:t>搅拌</w:t>
                  </w:r>
                  <w:r>
                    <w:rPr>
                      <w:rFonts w:hint="eastAsia"/>
                      <w:i w:val="0"/>
                      <w:iCs w:val="0"/>
                      <w:color w:val="auto"/>
                      <w:highlight w:val="none"/>
                      <w:u w:val="none"/>
                    </w:rPr>
                    <w:t>站作业区</w:t>
                  </w:r>
                </w:p>
              </w:tc>
              <w:tc>
                <w:tcPr>
                  <w:tcW w:w="749" w:type="pct"/>
                  <w:noWrap w:val="0"/>
                  <w:vAlign w:val="center"/>
                </w:tcPr>
                <w:p w14:paraId="30ED3EB6">
                  <w:pPr>
                    <w:snapToGrid w:val="0"/>
                    <w:jc w:val="center"/>
                    <w:rPr>
                      <w:rFonts w:hint="default" w:eastAsia="宋体"/>
                      <w:i w:val="0"/>
                      <w:iCs w:val="0"/>
                      <w:color w:val="auto"/>
                      <w:highlight w:val="none"/>
                      <w:u w:val="none"/>
                      <w:lang w:val="en-US" w:eastAsia="zh-CN"/>
                    </w:rPr>
                  </w:pPr>
                  <w:r>
                    <w:rPr>
                      <w:rFonts w:hint="eastAsia"/>
                      <w:i w:val="0"/>
                      <w:iCs w:val="0"/>
                      <w:color w:val="auto"/>
                      <w:highlight w:val="none"/>
                      <w:u w:val="none"/>
                      <w:lang w:val="en-US" w:eastAsia="zh-CN"/>
                    </w:rPr>
                    <w:t>300</w:t>
                  </w:r>
                </w:p>
              </w:tc>
              <w:tc>
                <w:tcPr>
                  <w:tcW w:w="664" w:type="pct"/>
                  <w:noWrap w:val="0"/>
                  <w:vAlign w:val="center"/>
                </w:tcPr>
                <w:p w14:paraId="3A448C0B">
                  <w:pPr>
                    <w:adjustRightInd w:val="0"/>
                    <w:jc w:val="center"/>
                    <w:rPr>
                      <w:rFonts w:hint="default" w:eastAsia="宋体"/>
                      <w:i w:val="0"/>
                      <w:iCs w:val="0"/>
                      <w:color w:val="auto"/>
                      <w:highlight w:val="none"/>
                      <w:u w:val="none"/>
                      <w:lang w:val="en-US" w:eastAsia="zh-CN"/>
                    </w:rPr>
                  </w:pPr>
                  <w:r>
                    <w:rPr>
                      <w:rFonts w:hint="eastAsia"/>
                      <w:i w:val="0"/>
                      <w:iCs w:val="0"/>
                      <w:color w:val="auto"/>
                      <w:highlight w:val="none"/>
                      <w:u w:val="none"/>
                      <w:lang w:val="en-US" w:eastAsia="zh-CN"/>
                    </w:rPr>
                    <w:t>-</w:t>
                  </w:r>
                </w:p>
              </w:tc>
              <w:tc>
                <w:tcPr>
                  <w:tcW w:w="384" w:type="pct"/>
                  <w:noWrap w:val="0"/>
                  <w:vAlign w:val="center"/>
                </w:tcPr>
                <w:p w14:paraId="41F7C809">
                  <w:pPr>
                    <w:adjustRightInd w:val="0"/>
                    <w:jc w:val="center"/>
                    <w:rPr>
                      <w:rFonts w:hint="default" w:eastAsia="宋体"/>
                      <w:i w:val="0"/>
                      <w:iCs w:val="0"/>
                      <w:color w:val="auto"/>
                      <w:highlight w:val="none"/>
                      <w:u w:val="none"/>
                      <w:lang w:val="en-US" w:eastAsia="zh-CN"/>
                    </w:rPr>
                  </w:pPr>
                  <w:r>
                    <w:rPr>
                      <w:rFonts w:hint="eastAsia"/>
                      <w:i w:val="0"/>
                      <w:iCs w:val="0"/>
                      <w:color w:val="auto"/>
                      <w:highlight w:val="none"/>
                      <w:u w:val="none"/>
                      <w:lang w:val="en-US" w:eastAsia="zh-CN"/>
                    </w:rPr>
                    <w:t>-</w:t>
                  </w:r>
                </w:p>
              </w:tc>
              <w:tc>
                <w:tcPr>
                  <w:tcW w:w="1826" w:type="pct"/>
                  <w:shd w:val="clear" w:color="auto" w:fill="auto"/>
                  <w:noWrap w:val="0"/>
                  <w:vAlign w:val="center"/>
                </w:tcPr>
                <w:p w14:paraId="45830037">
                  <w:pPr>
                    <w:adjustRightInd w:val="0"/>
                    <w:jc w:val="left"/>
                    <w:rPr>
                      <w:rFonts w:hint="eastAsia" w:ascii="Times New Roman" w:hAnsi="Times New Roman" w:eastAsia="宋体" w:cs="Times New Roman"/>
                      <w:i w:val="0"/>
                      <w:iCs w:val="0"/>
                      <w:color w:val="auto"/>
                      <w:kern w:val="2"/>
                      <w:sz w:val="21"/>
                      <w:szCs w:val="24"/>
                      <w:highlight w:val="none"/>
                      <w:u w:val="none"/>
                      <w:lang w:val="en-US" w:eastAsia="zh-CN" w:bidi="ar-SA"/>
                    </w:rPr>
                  </w:pPr>
                  <w:r>
                    <w:rPr>
                      <w:rFonts w:hint="eastAsia"/>
                      <w:i w:val="0"/>
                      <w:iCs w:val="0"/>
                      <w:color w:val="auto"/>
                      <w:highlight w:val="none"/>
                      <w:u w:val="none"/>
                    </w:rPr>
                    <w:t>由</w:t>
                  </w:r>
                  <w:r>
                    <w:rPr>
                      <w:rFonts w:hint="eastAsia"/>
                      <w:i w:val="0"/>
                      <w:iCs w:val="0"/>
                      <w:color w:val="auto"/>
                      <w:highlight w:val="none"/>
                      <w:u w:val="none"/>
                      <w:lang w:eastAsia="zh-CN"/>
                    </w:rPr>
                    <w:t>搅拌</w:t>
                  </w:r>
                  <w:r>
                    <w:rPr>
                      <w:rFonts w:hint="eastAsia"/>
                      <w:i w:val="0"/>
                      <w:iCs w:val="0"/>
                      <w:color w:val="auto"/>
                      <w:highlight w:val="none"/>
                      <w:u w:val="none"/>
                    </w:rPr>
                    <w:t>机、</w:t>
                  </w:r>
                  <w:r>
                    <w:rPr>
                      <w:rFonts w:hint="eastAsia"/>
                      <w:i w:val="0"/>
                      <w:iCs w:val="0"/>
                      <w:color w:val="auto"/>
                      <w:highlight w:val="none"/>
                      <w:u w:val="none"/>
                      <w:lang w:eastAsia="zh-CN"/>
                    </w:rPr>
                    <w:t>搅拌</w:t>
                  </w:r>
                  <w:r>
                    <w:rPr>
                      <w:rFonts w:hint="eastAsia"/>
                      <w:i w:val="0"/>
                      <w:iCs w:val="0"/>
                      <w:color w:val="auto"/>
                      <w:highlight w:val="none"/>
                      <w:u w:val="none"/>
                    </w:rPr>
                    <w:t>机</w:t>
                  </w:r>
                  <w:r>
                    <w:rPr>
                      <w:rFonts w:hint="eastAsia"/>
                      <w:i w:val="0"/>
                      <w:iCs w:val="0"/>
                      <w:color w:val="auto"/>
                      <w:highlight w:val="none"/>
                      <w:u w:val="none"/>
                      <w:lang w:eastAsia="zh-CN"/>
                    </w:rPr>
                    <w:t>控制</w:t>
                  </w:r>
                  <w:r>
                    <w:rPr>
                      <w:rFonts w:hint="eastAsia"/>
                      <w:i w:val="0"/>
                      <w:iCs w:val="0"/>
                      <w:color w:val="auto"/>
                      <w:highlight w:val="none"/>
                      <w:u w:val="none"/>
                    </w:rPr>
                    <w:t>室、</w:t>
                  </w:r>
                  <w:r>
                    <w:rPr>
                      <w:rFonts w:hint="eastAsia"/>
                      <w:i w:val="0"/>
                      <w:iCs w:val="0"/>
                      <w:color w:val="auto"/>
                      <w:highlight w:val="none"/>
                      <w:u w:val="none"/>
                      <w:lang w:eastAsia="zh-CN"/>
                    </w:rPr>
                    <w:t>筒仓、</w:t>
                  </w:r>
                  <w:r>
                    <w:rPr>
                      <w:rFonts w:hint="eastAsia"/>
                      <w:bCs/>
                      <w:iCs/>
                      <w:color w:val="auto"/>
                      <w:sz w:val="21"/>
                      <w:szCs w:val="21"/>
                      <w:highlight w:val="none"/>
                      <w:u w:val="none"/>
                      <w:lang w:eastAsia="zh-CN"/>
                    </w:rPr>
                    <w:t>电子称量系统、物料输送装置等组成</w:t>
                  </w:r>
                </w:p>
              </w:tc>
            </w:tr>
            <w:tr w14:paraId="513E8F8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65" w:hRule="atLeast"/>
              </w:trPr>
              <w:tc>
                <w:tcPr>
                  <w:tcW w:w="415" w:type="pct"/>
                  <w:noWrap w:val="0"/>
                  <w:vAlign w:val="center"/>
                </w:tcPr>
                <w:p w14:paraId="7E6DA789">
                  <w:pPr>
                    <w:snapToGrid w:val="0"/>
                    <w:jc w:val="center"/>
                    <w:rPr>
                      <w:rFonts w:hint="eastAsia" w:eastAsia="宋体"/>
                      <w:i w:val="0"/>
                      <w:iCs w:val="0"/>
                      <w:color w:val="auto"/>
                      <w:highlight w:val="none"/>
                      <w:u w:val="none"/>
                      <w:lang w:val="en-US" w:eastAsia="zh-CN"/>
                    </w:rPr>
                  </w:pPr>
                  <w:r>
                    <w:rPr>
                      <w:rFonts w:hint="eastAsia"/>
                      <w:i w:val="0"/>
                      <w:iCs w:val="0"/>
                      <w:color w:val="auto"/>
                      <w:highlight w:val="none"/>
                      <w:u w:val="none"/>
                      <w:lang w:val="en-US" w:eastAsia="zh-CN"/>
                    </w:rPr>
                    <w:t>2</w:t>
                  </w:r>
                </w:p>
              </w:tc>
              <w:tc>
                <w:tcPr>
                  <w:tcW w:w="960" w:type="pct"/>
                  <w:shd w:val="clear" w:color="auto" w:fill="auto"/>
                  <w:noWrap w:val="0"/>
                  <w:vAlign w:val="center"/>
                </w:tcPr>
                <w:p w14:paraId="54261E90">
                  <w:pPr>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color w:val="auto"/>
                      <w:sz w:val="21"/>
                      <w:szCs w:val="21"/>
                      <w:highlight w:val="none"/>
                      <w:u w:val="none"/>
                      <w:lang w:val="en-US" w:eastAsia="zh-CN"/>
                    </w:rPr>
                    <w:t>办公化验区</w:t>
                  </w:r>
                </w:p>
              </w:tc>
              <w:tc>
                <w:tcPr>
                  <w:tcW w:w="749" w:type="pct"/>
                  <w:noWrap w:val="0"/>
                  <w:vAlign w:val="center"/>
                </w:tcPr>
                <w:p w14:paraId="2B7C999B">
                  <w:pPr>
                    <w:snapToGrid w:val="0"/>
                    <w:jc w:val="center"/>
                    <w:rPr>
                      <w:rFonts w:hint="default"/>
                      <w:i w:val="0"/>
                      <w:iCs w:val="0"/>
                      <w:color w:val="auto"/>
                      <w:highlight w:val="none"/>
                      <w:u w:val="none"/>
                      <w:lang w:val="en-US" w:eastAsia="zh-CN"/>
                    </w:rPr>
                  </w:pPr>
                  <w:r>
                    <w:rPr>
                      <w:rFonts w:hint="eastAsia"/>
                      <w:i w:val="0"/>
                      <w:iCs w:val="0"/>
                      <w:color w:val="auto"/>
                      <w:highlight w:val="none"/>
                      <w:u w:val="none"/>
                      <w:lang w:val="en-US" w:eastAsia="zh-CN"/>
                    </w:rPr>
                    <w:t>360.2</w:t>
                  </w:r>
                </w:p>
              </w:tc>
              <w:tc>
                <w:tcPr>
                  <w:tcW w:w="664" w:type="pct"/>
                  <w:noWrap w:val="0"/>
                  <w:vAlign w:val="center"/>
                </w:tcPr>
                <w:p w14:paraId="4C1398BA">
                  <w:pPr>
                    <w:snapToGrid w:val="0"/>
                    <w:jc w:val="center"/>
                    <w:rPr>
                      <w:rFonts w:hint="default" w:eastAsia="宋体"/>
                      <w:i w:val="0"/>
                      <w:iCs w:val="0"/>
                      <w:color w:val="auto"/>
                      <w:highlight w:val="none"/>
                      <w:u w:val="none"/>
                      <w:lang w:val="en-US" w:eastAsia="zh-CN"/>
                    </w:rPr>
                  </w:pPr>
                  <w:r>
                    <w:rPr>
                      <w:rFonts w:hint="eastAsia"/>
                      <w:i w:val="0"/>
                      <w:iCs w:val="0"/>
                      <w:color w:val="auto"/>
                      <w:highlight w:val="none"/>
                      <w:u w:val="none"/>
                      <w:lang w:val="en-US" w:eastAsia="zh-CN"/>
                    </w:rPr>
                    <w:t>360.2</w:t>
                  </w:r>
                </w:p>
              </w:tc>
              <w:tc>
                <w:tcPr>
                  <w:tcW w:w="384" w:type="pct"/>
                  <w:noWrap w:val="0"/>
                  <w:vAlign w:val="center"/>
                </w:tcPr>
                <w:p w14:paraId="04B987CE">
                  <w:pPr>
                    <w:snapToGrid w:val="0"/>
                    <w:jc w:val="center"/>
                    <w:rPr>
                      <w:rFonts w:hint="eastAsia" w:eastAsia="宋体"/>
                      <w:i w:val="0"/>
                      <w:iCs w:val="0"/>
                      <w:color w:val="auto"/>
                      <w:highlight w:val="none"/>
                      <w:u w:val="none"/>
                      <w:lang w:val="en-US" w:eastAsia="zh-CN"/>
                    </w:rPr>
                  </w:pPr>
                  <w:r>
                    <w:rPr>
                      <w:rFonts w:hint="eastAsia"/>
                      <w:i w:val="0"/>
                      <w:iCs w:val="0"/>
                      <w:color w:val="auto"/>
                      <w:highlight w:val="none"/>
                      <w:u w:val="none"/>
                      <w:lang w:val="en-US" w:eastAsia="zh-CN"/>
                    </w:rPr>
                    <w:t>1</w:t>
                  </w:r>
                </w:p>
              </w:tc>
              <w:tc>
                <w:tcPr>
                  <w:tcW w:w="1826" w:type="pct"/>
                  <w:shd w:val="clear" w:color="auto" w:fill="auto"/>
                  <w:noWrap w:val="0"/>
                  <w:vAlign w:val="center"/>
                </w:tcPr>
                <w:p w14:paraId="194DFF57">
                  <w:pPr>
                    <w:snapToGrid w:val="0"/>
                    <w:jc w:val="center"/>
                    <w:rPr>
                      <w:rFonts w:hint="eastAsia" w:ascii="Times New Roman" w:hAnsi="Times New Roman" w:eastAsia="宋体" w:cs="Times New Roman"/>
                      <w:i w:val="0"/>
                      <w:iCs w:val="0"/>
                      <w:color w:val="auto"/>
                      <w:kern w:val="2"/>
                      <w:sz w:val="21"/>
                      <w:szCs w:val="24"/>
                      <w:highlight w:val="none"/>
                      <w:u w:val="none"/>
                      <w:lang w:val="en-US" w:eastAsia="zh-CN" w:bidi="ar-SA"/>
                    </w:rPr>
                  </w:pPr>
                  <w:r>
                    <w:rPr>
                      <w:rFonts w:hint="eastAsia"/>
                      <w:i w:val="0"/>
                      <w:iCs w:val="0"/>
                      <w:color w:val="auto"/>
                      <w:highlight w:val="none"/>
                      <w:u w:val="none"/>
                      <w:lang w:val="en-US" w:eastAsia="zh-CN"/>
                    </w:rPr>
                    <w:t>彩钢</w:t>
                  </w:r>
                  <w:r>
                    <w:rPr>
                      <w:rFonts w:hint="eastAsia"/>
                      <w:i w:val="0"/>
                      <w:iCs w:val="0"/>
                      <w:color w:val="auto"/>
                      <w:highlight w:val="none"/>
                      <w:u w:val="none"/>
                      <w:lang w:eastAsia="zh-CN"/>
                    </w:rPr>
                    <w:t>结构</w:t>
                  </w:r>
                  <w:r>
                    <w:rPr>
                      <w:rFonts w:hint="eastAsia"/>
                      <w:i w:val="0"/>
                      <w:iCs w:val="0"/>
                      <w:color w:val="auto"/>
                      <w:highlight w:val="none"/>
                      <w:u w:val="none"/>
                    </w:rPr>
                    <w:t>，</w:t>
                  </w:r>
                  <w:r>
                    <w:rPr>
                      <w:rFonts w:hint="eastAsia"/>
                      <w:i w:val="0"/>
                      <w:iCs w:val="0"/>
                      <w:color w:val="auto"/>
                      <w:highlight w:val="none"/>
                      <w:u w:val="none"/>
                      <w:lang w:val="en-US" w:eastAsia="zh-CN"/>
                    </w:rPr>
                    <w:t>仅测试产品强度和硬度，不涉及化学药品</w:t>
                  </w:r>
                </w:p>
              </w:tc>
            </w:tr>
            <w:tr w14:paraId="2315553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65" w:hRule="atLeast"/>
              </w:trPr>
              <w:tc>
                <w:tcPr>
                  <w:tcW w:w="415" w:type="pct"/>
                  <w:noWrap w:val="0"/>
                  <w:vAlign w:val="center"/>
                </w:tcPr>
                <w:p w14:paraId="5F30F4FF">
                  <w:pPr>
                    <w:snapToGrid w:val="0"/>
                    <w:jc w:val="center"/>
                    <w:rPr>
                      <w:rFonts w:hint="eastAsia" w:eastAsia="宋体"/>
                      <w:i w:val="0"/>
                      <w:iCs w:val="0"/>
                      <w:color w:val="auto"/>
                      <w:highlight w:val="none"/>
                      <w:u w:val="none"/>
                      <w:lang w:val="en-US" w:eastAsia="zh-CN"/>
                    </w:rPr>
                  </w:pPr>
                  <w:r>
                    <w:rPr>
                      <w:rFonts w:hint="eastAsia"/>
                      <w:i w:val="0"/>
                      <w:iCs w:val="0"/>
                      <w:color w:val="auto"/>
                      <w:highlight w:val="none"/>
                      <w:u w:val="none"/>
                      <w:lang w:val="en-US" w:eastAsia="zh-CN"/>
                    </w:rPr>
                    <w:t>3</w:t>
                  </w:r>
                </w:p>
              </w:tc>
              <w:tc>
                <w:tcPr>
                  <w:tcW w:w="960" w:type="pct"/>
                  <w:noWrap w:val="0"/>
                  <w:vAlign w:val="center"/>
                </w:tcPr>
                <w:p w14:paraId="493B60C0">
                  <w:pPr>
                    <w:snapToGrid w:val="0"/>
                    <w:jc w:val="center"/>
                    <w:rPr>
                      <w:rFonts w:hint="eastAsia" w:eastAsia="宋体"/>
                      <w:i w:val="0"/>
                      <w:iCs w:val="0"/>
                      <w:color w:val="auto"/>
                      <w:highlight w:val="none"/>
                      <w:u w:val="none"/>
                      <w:lang w:eastAsia="zh-CN"/>
                    </w:rPr>
                  </w:pPr>
                  <w:r>
                    <w:rPr>
                      <w:rFonts w:hint="eastAsia"/>
                      <w:i w:val="0"/>
                      <w:iCs w:val="0"/>
                      <w:color w:val="auto"/>
                      <w:highlight w:val="none"/>
                      <w:u w:val="none"/>
                      <w:lang w:eastAsia="zh-CN"/>
                    </w:rPr>
                    <w:t>堆场</w:t>
                  </w:r>
                </w:p>
              </w:tc>
              <w:tc>
                <w:tcPr>
                  <w:tcW w:w="749" w:type="pct"/>
                  <w:noWrap w:val="0"/>
                  <w:vAlign w:val="center"/>
                </w:tcPr>
                <w:p w14:paraId="04E9A7A1">
                  <w:pPr>
                    <w:snapToGrid w:val="0"/>
                    <w:jc w:val="center"/>
                    <w:rPr>
                      <w:rFonts w:hint="default" w:eastAsia="宋体"/>
                      <w:i w:val="0"/>
                      <w:iCs w:val="0"/>
                      <w:color w:val="auto"/>
                      <w:highlight w:val="none"/>
                      <w:u w:val="none"/>
                      <w:lang w:val="en-US" w:eastAsia="zh-CN"/>
                    </w:rPr>
                  </w:pPr>
                  <w:r>
                    <w:rPr>
                      <w:rFonts w:hint="eastAsia"/>
                      <w:i w:val="0"/>
                      <w:iCs w:val="0"/>
                      <w:color w:val="auto"/>
                      <w:highlight w:val="none"/>
                      <w:u w:val="none"/>
                      <w:lang w:val="en-US" w:eastAsia="zh-CN"/>
                    </w:rPr>
                    <w:t>1500</w:t>
                  </w:r>
                </w:p>
              </w:tc>
              <w:tc>
                <w:tcPr>
                  <w:tcW w:w="664" w:type="pct"/>
                  <w:noWrap w:val="0"/>
                  <w:vAlign w:val="center"/>
                </w:tcPr>
                <w:p w14:paraId="7AD97D5E">
                  <w:pPr>
                    <w:snapToGrid w:val="0"/>
                    <w:jc w:val="center"/>
                    <w:rPr>
                      <w:rFonts w:hint="default" w:eastAsia="宋体"/>
                      <w:i w:val="0"/>
                      <w:iCs w:val="0"/>
                      <w:color w:val="auto"/>
                      <w:highlight w:val="none"/>
                      <w:u w:val="none"/>
                      <w:lang w:val="en-US" w:eastAsia="zh-CN"/>
                    </w:rPr>
                  </w:pPr>
                  <w:r>
                    <w:rPr>
                      <w:rFonts w:hint="eastAsia"/>
                      <w:i w:val="0"/>
                      <w:iCs w:val="0"/>
                      <w:color w:val="auto"/>
                      <w:highlight w:val="none"/>
                      <w:u w:val="none"/>
                      <w:lang w:val="en-US" w:eastAsia="zh-CN"/>
                    </w:rPr>
                    <w:t>-</w:t>
                  </w:r>
                </w:p>
              </w:tc>
              <w:tc>
                <w:tcPr>
                  <w:tcW w:w="384" w:type="pct"/>
                  <w:noWrap w:val="0"/>
                  <w:vAlign w:val="center"/>
                </w:tcPr>
                <w:p w14:paraId="28112E8B">
                  <w:pPr>
                    <w:snapToGrid w:val="0"/>
                    <w:jc w:val="center"/>
                    <w:rPr>
                      <w:rFonts w:hint="default" w:eastAsia="宋体"/>
                      <w:i w:val="0"/>
                      <w:iCs w:val="0"/>
                      <w:color w:val="auto"/>
                      <w:highlight w:val="none"/>
                      <w:u w:val="none"/>
                      <w:lang w:val="en-US" w:eastAsia="zh-CN"/>
                    </w:rPr>
                  </w:pPr>
                  <w:r>
                    <w:rPr>
                      <w:rFonts w:hint="eastAsia"/>
                      <w:i w:val="0"/>
                      <w:iCs w:val="0"/>
                      <w:color w:val="auto"/>
                      <w:highlight w:val="none"/>
                      <w:u w:val="none"/>
                      <w:lang w:val="en-US" w:eastAsia="zh-CN"/>
                    </w:rPr>
                    <w:t>-</w:t>
                  </w:r>
                </w:p>
              </w:tc>
              <w:tc>
                <w:tcPr>
                  <w:tcW w:w="1826" w:type="pct"/>
                  <w:shd w:val="clear" w:color="auto" w:fill="auto"/>
                  <w:noWrap w:val="0"/>
                  <w:vAlign w:val="center"/>
                </w:tcPr>
                <w:p w14:paraId="2588DE6C">
                  <w:pPr>
                    <w:snapToGrid w:val="0"/>
                    <w:jc w:val="center"/>
                    <w:rPr>
                      <w:rFonts w:hint="default" w:ascii="Times New Roman" w:hAnsi="Times New Roman" w:eastAsia="宋体" w:cs="Times New Roman"/>
                      <w:i w:val="0"/>
                      <w:iCs w:val="0"/>
                      <w:color w:val="auto"/>
                      <w:kern w:val="2"/>
                      <w:sz w:val="21"/>
                      <w:szCs w:val="24"/>
                      <w:highlight w:val="none"/>
                      <w:u w:val="none"/>
                      <w:lang w:val="en-US" w:eastAsia="zh-CN" w:bidi="ar-SA"/>
                    </w:rPr>
                  </w:pPr>
                  <w:r>
                    <w:rPr>
                      <w:rFonts w:hint="eastAsia"/>
                      <w:color w:val="auto"/>
                      <w:szCs w:val="21"/>
                      <w:highlight w:val="none"/>
                    </w:rPr>
                    <w:t>地面硬化，</w:t>
                  </w:r>
                  <w:r>
                    <w:rPr>
                      <w:rFonts w:hint="eastAsia"/>
                      <w:color w:val="auto"/>
                      <w:szCs w:val="21"/>
                      <w:highlight w:val="none"/>
                      <w:lang w:eastAsia="zh-CN"/>
                    </w:rPr>
                    <w:t>半封闭</w:t>
                  </w:r>
                  <w:r>
                    <w:rPr>
                      <w:rFonts w:hint="eastAsia"/>
                      <w:color w:val="auto"/>
                      <w:szCs w:val="21"/>
                      <w:highlight w:val="none"/>
                    </w:rPr>
                    <w:t>彩钢棚</w:t>
                  </w:r>
                </w:p>
              </w:tc>
            </w:tr>
            <w:tr w14:paraId="470117B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65" w:hRule="atLeast"/>
              </w:trPr>
              <w:tc>
                <w:tcPr>
                  <w:tcW w:w="415" w:type="pct"/>
                  <w:noWrap w:val="0"/>
                  <w:vAlign w:val="center"/>
                </w:tcPr>
                <w:p w14:paraId="70E6D070">
                  <w:pPr>
                    <w:snapToGrid w:val="0"/>
                    <w:jc w:val="center"/>
                    <w:rPr>
                      <w:rFonts w:hint="default" w:eastAsia="宋体"/>
                      <w:i w:val="0"/>
                      <w:iCs w:val="0"/>
                      <w:color w:val="auto"/>
                      <w:highlight w:val="none"/>
                      <w:u w:val="none"/>
                      <w:lang w:val="en-US" w:eastAsia="zh-CN"/>
                    </w:rPr>
                  </w:pPr>
                  <w:r>
                    <w:rPr>
                      <w:rFonts w:hint="eastAsia"/>
                      <w:i w:val="0"/>
                      <w:iCs w:val="0"/>
                      <w:color w:val="auto"/>
                      <w:highlight w:val="none"/>
                      <w:u w:val="none"/>
                      <w:lang w:val="en-US" w:eastAsia="zh-CN"/>
                    </w:rPr>
                    <w:t>4</w:t>
                  </w:r>
                </w:p>
              </w:tc>
              <w:tc>
                <w:tcPr>
                  <w:tcW w:w="960" w:type="pct"/>
                  <w:noWrap w:val="0"/>
                  <w:vAlign w:val="center"/>
                </w:tcPr>
                <w:p w14:paraId="4B09A037">
                  <w:pPr>
                    <w:snapToGrid w:val="0"/>
                    <w:jc w:val="center"/>
                    <w:rPr>
                      <w:rFonts w:hint="eastAsia"/>
                      <w:i w:val="0"/>
                      <w:iCs w:val="0"/>
                      <w:color w:val="auto"/>
                      <w:highlight w:val="none"/>
                      <w:u w:val="none"/>
                    </w:rPr>
                  </w:pPr>
                  <w:r>
                    <w:rPr>
                      <w:rFonts w:hint="eastAsia"/>
                      <w:i w:val="0"/>
                      <w:iCs w:val="0"/>
                      <w:color w:val="auto"/>
                      <w:highlight w:val="none"/>
                      <w:u w:val="none"/>
                    </w:rPr>
                    <w:t>沉淀池</w:t>
                  </w:r>
                </w:p>
              </w:tc>
              <w:tc>
                <w:tcPr>
                  <w:tcW w:w="749" w:type="pct"/>
                  <w:noWrap w:val="0"/>
                  <w:vAlign w:val="center"/>
                </w:tcPr>
                <w:p w14:paraId="4BFBAC7E">
                  <w:pPr>
                    <w:snapToGrid w:val="0"/>
                    <w:jc w:val="center"/>
                    <w:rPr>
                      <w:rFonts w:hint="default" w:eastAsia="宋体"/>
                      <w:i w:val="0"/>
                      <w:iCs w:val="0"/>
                      <w:color w:val="auto"/>
                      <w:highlight w:val="none"/>
                      <w:u w:val="none"/>
                      <w:lang w:val="en-US" w:eastAsia="zh-CN"/>
                    </w:rPr>
                  </w:pPr>
                  <w:r>
                    <w:rPr>
                      <w:rFonts w:hint="eastAsia"/>
                      <w:i w:val="0"/>
                      <w:iCs w:val="0"/>
                      <w:color w:val="auto"/>
                      <w:highlight w:val="none"/>
                      <w:u w:val="none"/>
                      <w:lang w:val="en-US" w:eastAsia="zh-CN"/>
                    </w:rPr>
                    <w:t>120</w:t>
                  </w:r>
                </w:p>
              </w:tc>
              <w:tc>
                <w:tcPr>
                  <w:tcW w:w="664" w:type="pct"/>
                  <w:noWrap w:val="0"/>
                  <w:vAlign w:val="center"/>
                </w:tcPr>
                <w:p w14:paraId="53622CAE">
                  <w:pPr>
                    <w:snapToGrid w:val="0"/>
                    <w:jc w:val="center"/>
                    <w:rPr>
                      <w:rFonts w:hint="eastAsia" w:eastAsia="宋体"/>
                      <w:i w:val="0"/>
                      <w:iCs w:val="0"/>
                      <w:color w:val="auto"/>
                      <w:highlight w:val="none"/>
                      <w:u w:val="none"/>
                      <w:lang w:val="en-US" w:eastAsia="zh-CN"/>
                    </w:rPr>
                  </w:pPr>
                  <w:r>
                    <w:rPr>
                      <w:rFonts w:hint="eastAsia"/>
                      <w:i w:val="0"/>
                      <w:iCs w:val="0"/>
                      <w:color w:val="auto"/>
                      <w:highlight w:val="none"/>
                      <w:u w:val="none"/>
                      <w:lang w:val="en-US" w:eastAsia="zh-CN"/>
                    </w:rPr>
                    <w:t>-</w:t>
                  </w:r>
                </w:p>
              </w:tc>
              <w:tc>
                <w:tcPr>
                  <w:tcW w:w="384" w:type="pct"/>
                  <w:noWrap w:val="0"/>
                  <w:vAlign w:val="center"/>
                </w:tcPr>
                <w:p w14:paraId="2AA0BDDB">
                  <w:pPr>
                    <w:snapToGrid w:val="0"/>
                    <w:jc w:val="center"/>
                    <w:rPr>
                      <w:rFonts w:hint="default" w:eastAsia="宋体"/>
                      <w:i w:val="0"/>
                      <w:iCs w:val="0"/>
                      <w:color w:val="auto"/>
                      <w:highlight w:val="none"/>
                      <w:u w:val="none"/>
                      <w:lang w:val="en-US" w:eastAsia="zh-CN"/>
                    </w:rPr>
                  </w:pPr>
                  <w:r>
                    <w:rPr>
                      <w:rFonts w:hint="eastAsia"/>
                      <w:i w:val="0"/>
                      <w:iCs w:val="0"/>
                      <w:color w:val="auto"/>
                      <w:highlight w:val="none"/>
                      <w:u w:val="none"/>
                      <w:lang w:val="en-US" w:eastAsia="zh-CN"/>
                    </w:rPr>
                    <w:t>-</w:t>
                  </w:r>
                </w:p>
              </w:tc>
              <w:tc>
                <w:tcPr>
                  <w:tcW w:w="1826" w:type="pct"/>
                  <w:shd w:val="clear" w:color="auto" w:fill="auto"/>
                  <w:noWrap w:val="0"/>
                  <w:vAlign w:val="center"/>
                </w:tcPr>
                <w:p w14:paraId="1030C7E4">
                  <w:pPr>
                    <w:snapToGrid w:val="0"/>
                    <w:jc w:val="center"/>
                    <w:rPr>
                      <w:rFonts w:hint="eastAsia" w:ascii="Times New Roman" w:hAnsi="Times New Roman" w:eastAsia="宋体" w:cs="Times New Roman"/>
                      <w:i w:val="0"/>
                      <w:iCs w:val="0"/>
                      <w:color w:val="auto"/>
                      <w:kern w:val="2"/>
                      <w:sz w:val="21"/>
                      <w:szCs w:val="24"/>
                      <w:highlight w:val="green"/>
                      <w:u w:val="none"/>
                      <w:lang w:val="en-US" w:eastAsia="zh-CN" w:bidi="ar-SA"/>
                    </w:rPr>
                  </w:pPr>
                  <w:r>
                    <w:rPr>
                      <w:rFonts w:hint="eastAsia" w:cs="Times New Roman"/>
                      <w:color w:val="auto"/>
                      <w:highlight w:val="none"/>
                      <w:u w:val="none"/>
                      <w:lang w:val="en-US" w:eastAsia="zh-CN"/>
                    </w:rPr>
                    <w:t>长5</w:t>
                  </w:r>
                  <w:r>
                    <w:rPr>
                      <w:rFonts w:hint="default" w:ascii="Times New Roman" w:hAnsi="Times New Roman" w:cs="Times New Roman"/>
                      <w:color w:val="auto"/>
                      <w:highlight w:val="none"/>
                      <w:u w:val="none"/>
                      <w:lang w:val="en-US" w:eastAsia="zh-CN"/>
                    </w:rPr>
                    <w:t>m×</w:t>
                  </w:r>
                  <w:r>
                    <w:rPr>
                      <w:rFonts w:hint="eastAsia" w:cs="Times New Roman"/>
                      <w:color w:val="auto"/>
                      <w:highlight w:val="none"/>
                      <w:u w:val="none"/>
                      <w:lang w:val="en-US" w:eastAsia="zh-CN"/>
                    </w:rPr>
                    <w:t>宽4</w:t>
                  </w:r>
                  <w:r>
                    <w:rPr>
                      <w:rFonts w:hint="default" w:ascii="Times New Roman" w:hAnsi="Times New Roman" w:cs="Times New Roman"/>
                      <w:color w:val="auto"/>
                      <w:highlight w:val="none"/>
                      <w:u w:val="none"/>
                      <w:lang w:val="en-US" w:eastAsia="zh-CN"/>
                    </w:rPr>
                    <w:t>m×</w:t>
                  </w:r>
                  <w:r>
                    <w:rPr>
                      <w:rFonts w:hint="eastAsia" w:cs="Times New Roman"/>
                      <w:color w:val="auto"/>
                      <w:highlight w:val="none"/>
                      <w:u w:val="none"/>
                      <w:lang w:val="en-US" w:eastAsia="zh-CN"/>
                    </w:rPr>
                    <w:t>深</w:t>
                  </w:r>
                  <w:r>
                    <w:rPr>
                      <w:rFonts w:hint="default" w:ascii="Times New Roman" w:hAnsi="Times New Roman" w:cs="Times New Roman"/>
                      <w:color w:val="auto"/>
                      <w:highlight w:val="none"/>
                      <w:u w:val="none"/>
                      <w:lang w:val="en-US" w:eastAsia="zh-CN"/>
                    </w:rPr>
                    <w:t>2m</w:t>
                  </w:r>
                </w:p>
              </w:tc>
            </w:tr>
            <w:tr w14:paraId="482DF69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65" w:hRule="atLeast"/>
              </w:trPr>
              <w:tc>
                <w:tcPr>
                  <w:tcW w:w="415" w:type="pct"/>
                  <w:noWrap w:val="0"/>
                  <w:vAlign w:val="center"/>
                </w:tcPr>
                <w:p w14:paraId="019D9DC0">
                  <w:pPr>
                    <w:snapToGrid w:val="0"/>
                    <w:jc w:val="center"/>
                    <w:rPr>
                      <w:rFonts w:hint="default"/>
                      <w:i w:val="0"/>
                      <w:iCs w:val="0"/>
                      <w:color w:val="auto"/>
                      <w:highlight w:val="none"/>
                      <w:u w:val="none"/>
                      <w:lang w:val="en-US" w:eastAsia="zh-CN"/>
                    </w:rPr>
                  </w:pPr>
                  <w:r>
                    <w:rPr>
                      <w:rFonts w:hint="eastAsia"/>
                      <w:i w:val="0"/>
                      <w:iCs w:val="0"/>
                      <w:color w:val="auto"/>
                      <w:highlight w:val="none"/>
                      <w:u w:val="none"/>
                      <w:lang w:val="en-US" w:eastAsia="zh-CN"/>
                    </w:rPr>
                    <w:t>5</w:t>
                  </w:r>
                </w:p>
              </w:tc>
              <w:tc>
                <w:tcPr>
                  <w:tcW w:w="960" w:type="pct"/>
                  <w:noWrap w:val="0"/>
                  <w:vAlign w:val="center"/>
                </w:tcPr>
                <w:p w14:paraId="76825757">
                  <w:pPr>
                    <w:snapToGrid w:val="0"/>
                    <w:jc w:val="center"/>
                    <w:rPr>
                      <w:rFonts w:hint="eastAsia" w:eastAsia="宋体"/>
                      <w:i w:val="0"/>
                      <w:iCs w:val="0"/>
                      <w:color w:val="auto"/>
                      <w:highlight w:val="none"/>
                      <w:u w:val="none"/>
                      <w:lang w:eastAsia="zh-CN"/>
                    </w:rPr>
                  </w:pPr>
                  <w:r>
                    <w:rPr>
                      <w:rFonts w:hint="eastAsia"/>
                      <w:i w:val="0"/>
                      <w:iCs w:val="0"/>
                      <w:color w:val="auto"/>
                      <w:highlight w:val="none"/>
                      <w:u w:val="none"/>
                      <w:lang w:eastAsia="zh-CN"/>
                    </w:rPr>
                    <w:t>初期雨水收集池</w:t>
                  </w:r>
                </w:p>
              </w:tc>
              <w:tc>
                <w:tcPr>
                  <w:tcW w:w="749" w:type="pct"/>
                  <w:noWrap w:val="0"/>
                  <w:vAlign w:val="center"/>
                </w:tcPr>
                <w:p w14:paraId="189DE585">
                  <w:pPr>
                    <w:snapToGrid w:val="0"/>
                    <w:jc w:val="center"/>
                    <w:rPr>
                      <w:rFonts w:hint="default"/>
                      <w:i w:val="0"/>
                      <w:iCs w:val="0"/>
                      <w:color w:val="auto"/>
                      <w:highlight w:val="none"/>
                      <w:u w:val="none"/>
                      <w:lang w:val="en-US" w:eastAsia="zh-CN"/>
                    </w:rPr>
                  </w:pPr>
                  <w:r>
                    <w:rPr>
                      <w:rFonts w:hint="eastAsia"/>
                      <w:i w:val="0"/>
                      <w:iCs w:val="0"/>
                      <w:color w:val="auto"/>
                      <w:highlight w:val="none"/>
                      <w:u w:val="none"/>
                      <w:lang w:val="en-US" w:eastAsia="zh-CN"/>
                    </w:rPr>
                    <w:t>40</w:t>
                  </w:r>
                </w:p>
              </w:tc>
              <w:tc>
                <w:tcPr>
                  <w:tcW w:w="664" w:type="pct"/>
                  <w:noWrap w:val="0"/>
                  <w:vAlign w:val="center"/>
                </w:tcPr>
                <w:p w14:paraId="77E6B008">
                  <w:pPr>
                    <w:snapToGrid w:val="0"/>
                    <w:jc w:val="center"/>
                    <w:rPr>
                      <w:rFonts w:hint="eastAsia"/>
                      <w:i w:val="0"/>
                      <w:iCs w:val="0"/>
                      <w:color w:val="auto"/>
                      <w:highlight w:val="none"/>
                      <w:u w:val="none"/>
                      <w:lang w:val="en-US" w:eastAsia="zh-CN"/>
                    </w:rPr>
                  </w:pPr>
                  <w:r>
                    <w:rPr>
                      <w:rFonts w:hint="eastAsia"/>
                      <w:i w:val="0"/>
                      <w:iCs w:val="0"/>
                      <w:color w:val="auto"/>
                      <w:highlight w:val="none"/>
                      <w:u w:val="none"/>
                      <w:lang w:val="en-US" w:eastAsia="zh-CN"/>
                    </w:rPr>
                    <w:t>-</w:t>
                  </w:r>
                </w:p>
              </w:tc>
              <w:tc>
                <w:tcPr>
                  <w:tcW w:w="384" w:type="pct"/>
                  <w:noWrap w:val="0"/>
                  <w:vAlign w:val="center"/>
                </w:tcPr>
                <w:p w14:paraId="0C2E0DF2">
                  <w:pPr>
                    <w:snapToGrid w:val="0"/>
                    <w:jc w:val="center"/>
                    <w:rPr>
                      <w:rFonts w:hint="default"/>
                      <w:i w:val="0"/>
                      <w:iCs w:val="0"/>
                      <w:color w:val="auto"/>
                      <w:highlight w:val="none"/>
                      <w:u w:val="none"/>
                      <w:lang w:val="en-US" w:eastAsia="zh-CN"/>
                    </w:rPr>
                  </w:pPr>
                  <w:r>
                    <w:rPr>
                      <w:rFonts w:hint="eastAsia"/>
                      <w:i w:val="0"/>
                      <w:iCs w:val="0"/>
                      <w:color w:val="auto"/>
                      <w:highlight w:val="none"/>
                      <w:u w:val="none"/>
                      <w:lang w:val="en-US" w:eastAsia="zh-CN"/>
                    </w:rPr>
                    <w:t>-</w:t>
                  </w:r>
                </w:p>
              </w:tc>
              <w:tc>
                <w:tcPr>
                  <w:tcW w:w="1826" w:type="pct"/>
                  <w:shd w:val="clear" w:color="auto" w:fill="auto"/>
                  <w:noWrap w:val="0"/>
                  <w:vAlign w:val="center"/>
                </w:tcPr>
                <w:p w14:paraId="2C12B069">
                  <w:pPr>
                    <w:snapToGrid w:val="0"/>
                    <w:jc w:val="center"/>
                    <w:rPr>
                      <w:rFonts w:hint="eastAsia"/>
                      <w:i w:val="0"/>
                      <w:iCs w:val="0"/>
                      <w:color w:val="auto"/>
                      <w:highlight w:val="green"/>
                      <w:u w:val="none"/>
                      <w:lang w:eastAsia="zh-CN"/>
                    </w:rPr>
                  </w:pPr>
                  <w:r>
                    <w:rPr>
                      <w:rFonts w:hint="eastAsia" w:cs="Times New Roman"/>
                      <w:color w:val="auto"/>
                      <w:highlight w:val="none"/>
                      <w:u w:val="none"/>
                      <w:lang w:val="en-US" w:eastAsia="zh-CN"/>
                    </w:rPr>
                    <w:t>长4</w:t>
                  </w:r>
                  <w:r>
                    <w:rPr>
                      <w:rFonts w:hint="default" w:ascii="Times New Roman" w:hAnsi="Times New Roman" w:cs="Times New Roman"/>
                      <w:color w:val="auto"/>
                      <w:highlight w:val="none"/>
                      <w:u w:val="none"/>
                      <w:lang w:val="en-US" w:eastAsia="zh-CN"/>
                    </w:rPr>
                    <w:t>m×</w:t>
                  </w:r>
                  <w:r>
                    <w:rPr>
                      <w:rFonts w:hint="eastAsia" w:cs="Times New Roman"/>
                      <w:color w:val="auto"/>
                      <w:highlight w:val="none"/>
                      <w:u w:val="none"/>
                      <w:lang w:val="en-US" w:eastAsia="zh-CN"/>
                    </w:rPr>
                    <w:t>宽4</w:t>
                  </w:r>
                  <w:r>
                    <w:rPr>
                      <w:rFonts w:hint="default" w:ascii="Times New Roman" w:hAnsi="Times New Roman" w:cs="Times New Roman"/>
                      <w:color w:val="auto"/>
                      <w:highlight w:val="none"/>
                      <w:u w:val="none"/>
                      <w:lang w:val="en-US" w:eastAsia="zh-CN"/>
                    </w:rPr>
                    <w:t>m×</w:t>
                  </w:r>
                  <w:r>
                    <w:rPr>
                      <w:rFonts w:hint="eastAsia" w:cs="Times New Roman"/>
                      <w:color w:val="auto"/>
                      <w:highlight w:val="none"/>
                      <w:u w:val="none"/>
                      <w:lang w:val="en-US" w:eastAsia="zh-CN"/>
                    </w:rPr>
                    <w:t>深</w:t>
                  </w:r>
                  <w:r>
                    <w:rPr>
                      <w:rFonts w:hint="default" w:ascii="Times New Roman" w:hAnsi="Times New Roman" w:cs="Times New Roman"/>
                      <w:color w:val="auto"/>
                      <w:highlight w:val="none"/>
                      <w:u w:val="none"/>
                      <w:lang w:val="en-US" w:eastAsia="zh-CN"/>
                    </w:rPr>
                    <w:t>2</w:t>
                  </w:r>
                  <w:r>
                    <w:rPr>
                      <w:rFonts w:hint="eastAsia" w:cs="Times New Roman"/>
                      <w:color w:val="auto"/>
                      <w:highlight w:val="none"/>
                      <w:u w:val="none"/>
                      <w:lang w:val="en-US" w:eastAsia="zh-CN"/>
                    </w:rPr>
                    <w:t>.5</w:t>
                  </w:r>
                  <w:r>
                    <w:rPr>
                      <w:rFonts w:hint="default" w:ascii="Times New Roman" w:hAnsi="Times New Roman" w:cs="Times New Roman"/>
                      <w:color w:val="auto"/>
                      <w:highlight w:val="none"/>
                      <w:u w:val="none"/>
                      <w:lang w:val="en-US" w:eastAsia="zh-CN"/>
                    </w:rPr>
                    <w:t>m</w:t>
                  </w:r>
                </w:p>
              </w:tc>
            </w:tr>
          </w:tbl>
          <w:p w14:paraId="0FFD8388">
            <w:pPr>
              <w:adjustRightInd w:val="0"/>
              <w:spacing w:line="360" w:lineRule="auto"/>
              <w:ind w:firstLine="480" w:firstLineChars="200"/>
              <w:jc w:val="left"/>
              <w:rPr>
                <w:rFonts w:hint="eastAsia"/>
                <w:b w:val="0"/>
                <w:bCs w:val="0"/>
                <w:sz w:val="24"/>
                <w:szCs w:val="24"/>
                <w:highlight w:val="none"/>
                <w:lang w:val="en-US" w:eastAsia="zh-CN"/>
              </w:rPr>
            </w:pPr>
          </w:p>
          <w:p w14:paraId="2428DE4C">
            <w:pPr>
              <w:adjustRightInd w:val="0"/>
              <w:spacing w:line="360" w:lineRule="auto"/>
              <w:ind w:firstLine="482" w:firstLineChars="200"/>
              <w:jc w:val="left"/>
              <w:rPr>
                <w:b/>
                <w:bCs/>
                <w:sz w:val="24"/>
                <w:szCs w:val="24"/>
                <w:highlight w:val="none"/>
              </w:rPr>
            </w:pPr>
            <w:r>
              <w:rPr>
                <w:rFonts w:hint="eastAsia"/>
                <w:b/>
                <w:bCs/>
                <w:sz w:val="24"/>
                <w:szCs w:val="24"/>
                <w:highlight w:val="none"/>
                <w:lang w:val="en-US" w:eastAsia="zh-CN"/>
              </w:rPr>
              <w:t>5</w:t>
            </w:r>
            <w:r>
              <w:rPr>
                <w:rFonts w:hint="eastAsia"/>
                <w:b/>
                <w:bCs/>
                <w:sz w:val="24"/>
                <w:szCs w:val="24"/>
                <w:highlight w:val="none"/>
              </w:rPr>
              <w:t>、</w:t>
            </w:r>
            <w:r>
              <w:rPr>
                <w:b/>
                <w:bCs/>
                <w:sz w:val="24"/>
                <w:szCs w:val="24"/>
                <w:highlight w:val="none"/>
              </w:rPr>
              <w:t>主要设备</w:t>
            </w:r>
          </w:p>
          <w:p w14:paraId="01FA6B64">
            <w:pPr>
              <w:adjustRightInd w:val="0"/>
              <w:spacing w:line="360" w:lineRule="auto"/>
              <w:ind w:firstLine="480" w:firstLineChars="200"/>
              <w:jc w:val="left"/>
              <w:rPr>
                <w:sz w:val="24"/>
                <w:szCs w:val="24"/>
                <w:highlight w:val="none"/>
              </w:rPr>
            </w:pPr>
            <w:r>
              <w:rPr>
                <w:sz w:val="24"/>
                <w:szCs w:val="24"/>
                <w:highlight w:val="none"/>
              </w:rPr>
              <w:t>根据本项目的生产需求，其主要设备配置详见</w:t>
            </w:r>
            <w:r>
              <w:rPr>
                <w:rFonts w:hint="eastAsia"/>
                <w:sz w:val="24"/>
                <w:szCs w:val="24"/>
                <w:highlight w:val="none"/>
              </w:rPr>
              <w:t>下</w:t>
            </w:r>
            <w:r>
              <w:rPr>
                <w:sz w:val="24"/>
                <w:szCs w:val="24"/>
                <w:highlight w:val="none"/>
              </w:rPr>
              <w:t>表。</w:t>
            </w:r>
          </w:p>
          <w:p w14:paraId="4F5FE3F5">
            <w:pPr>
              <w:jc w:val="center"/>
              <w:rPr>
                <w:b/>
                <w:bCs/>
                <w:sz w:val="24"/>
                <w:szCs w:val="24"/>
                <w:highlight w:val="none"/>
                <w:u w:val="none" w:color="auto"/>
              </w:rPr>
            </w:pPr>
            <w:r>
              <w:rPr>
                <w:b/>
                <w:bCs/>
                <w:sz w:val="24"/>
                <w:szCs w:val="24"/>
                <w:highlight w:val="none"/>
                <w:u w:val="none" w:color="auto"/>
              </w:rPr>
              <w:t>表</w:t>
            </w:r>
            <w:r>
              <w:rPr>
                <w:rFonts w:hint="eastAsia"/>
                <w:b/>
                <w:bCs/>
                <w:sz w:val="24"/>
                <w:szCs w:val="24"/>
                <w:highlight w:val="none"/>
                <w:u w:val="none" w:color="auto"/>
                <w:lang w:val="en-US" w:eastAsia="zh-CN"/>
              </w:rPr>
              <w:t>2-4</w:t>
            </w:r>
            <w:r>
              <w:rPr>
                <w:b/>
                <w:bCs/>
                <w:sz w:val="24"/>
                <w:szCs w:val="24"/>
                <w:highlight w:val="none"/>
                <w:u w:val="none" w:color="auto"/>
              </w:rPr>
              <w:t xml:space="preserve">  本项目主要</w:t>
            </w:r>
            <w:r>
              <w:rPr>
                <w:rFonts w:hint="eastAsia"/>
                <w:b/>
                <w:bCs/>
                <w:sz w:val="24"/>
                <w:szCs w:val="24"/>
                <w:highlight w:val="none"/>
                <w:u w:val="none" w:color="auto"/>
                <w:lang w:eastAsia="zh-CN"/>
              </w:rPr>
              <w:t>生产</w:t>
            </w:r>
            <w:r>
              <w:rPr>
                <w:b/>
                <w:bCs/>
                <w:sz w:val="24"/>
                <w:szCs w:val="24"/>
                <w:highlight w:val="none"/>
                <w:u w:val="none" w:color="auto"/>
              </w:rPr>
              <w:t>设备一览表</w:t>
            </w:r>
          </w:p>
          <w:tbl>
            <w:tblPr>
              <w:tblStyle w:val="25"/>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1954"/>
              <w:gridCol w:w="1629"/>
              <w:gridCol w:w="819"/>
              <w:gridCol w:w="810"/>
              <w:gridCol w:w="2499"/>
            </w:tblGrid>
            <w:tr w14:paraId="05BD0F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382" w:type="pct"/>
                  <w:noWrap w:val="0"/>
                  <w:vAlign w:val="center"/>
                </w:tcPr>
                <w:p w14:paraId="63D405F6">
                  <w:pPr>
                    <w:snapToGrid w:val="0"/>
                    <w:jc w:val="center"/>
                    <w:rPr>
                      <w:rFonts w:hint="eastAsia" w:ascii="Times New Roman" w:hAnsi="Times New Roman" w:eastAsia="宋体" w:cs="Times New Roman"/>
                      <w:i w:val="0"/>
                      <w:iCs w:val="0"/>
                      <w:color w:val="auto"/>
                      <w:highlight w:val="none"/>
                      <w:u w:val="none" w:color="auto"/>
                    </w:rPr>
                  </w:pPr>
                  <w:r>
                    <w:rPr>
                      <w:rFonts w:hint="eastAsia" w:ascii="Times New Roman" w:hAnsi="Times New Roman" w:eastAsia="宋体" w:cs="Times New Roman"/>
                      <w:i w:val="0"/>
                      <w:iCs w:val="0"/>
                      <w:color w:val="auto"/>
                      <w:highlight w:val="none"/>
                      <w:u w:val="none" w:color="auto"/>
                    </w:rPr>
                    <w:t>序号</w:t>
                  </w:r>
                </w:p>
              </w:tc>
              <w:tc>
                <w:tcPr>
                  <w:tcW w:w="1198" w:type="pct"/>
                  <w:noWrap w:val="0"/>
                  <w:vAlign w:val="center"/>
                </w:tcPr>
                <w:p w14:paraId="4CFB4EC1">
                  <w:pPr>
                    <w:snapToGrid w:val="0"/>
                    <w:jc w:val="center"/>
                    <w:rPr>
                      <w:rFonts w:hint="eastAsia" w:ascii="Times New Roman" w:hAnsi="Times New Roman" w:eastAsia="宋体" w:cs="Times New Roman"/>
                      <w:i w:val="0"/>
                      <w:iCs w:val="0"/>
                      <w:color w:val="auto"/>
                      <w:highlight w:val="none"/>
                      <w:u w:val="none" w:color="auto"/>
                    </w:rPr>
                  </w:pPr>
                  <w:r>
                    <w:rPr>
                      <w:rFonts w:hint="eastAsia" w:ascii="Times New Roman" w:hAnsi="Times New Roman" w:eastAsia="宋体" w:cs="Times New Roman"/>
                      <w:i w:val="0"/>
                      <w:iCs w:val="0"/>
                      <w:color w:val="auto"/>
                      <w:highlight w:val="none"/>
                      <w:u w:val="none" w:color="auto"/>
                    </w:rPr>
                    <w:t>名称</w:t>
                  </w:r>
                </w:p>
              </w:tc>
              <w:tc>
                <w:tcPr>
                  <w:tcW w:w="869" w:type="pct"/>
                  <w:noWrap w:val="0"/>
                  <w:vAlign w:val="center"/>
                </w:tcPr>
                <w:p w14:paraId="432E7CED">
                  <w:pPr>
                    <w:snapToGrid w:val="0"/>
                    <w:jc w:val="center"/>
                    <w:rPr>
                      <w:rFonts w:hint="eastAsia" w:ascii="Times New Roman" w:hAnsi="Times New Roman" w:eastAsia="宋体" w:cs="Times New Roman"/>
                      <w:i w:val="0"/>
                      <w:iCs w:val="0"/>
                      <w:color w:val="auto"/>
                      <w:highlight w:val="none"/>
                      <w:u w:val="none" w:color="auto"/>
                    </w:rPr>
                  </w:pPr>
                  <w:r>
                    <w:rPr>
                      <w:rFonts w:hint="eastAsia" w:ascii="Times New Roman" w:hAnsi="Times New Roman" w:eastAsia="宋体" w:cs="Times New Roman"/>
                      <w:i w:val="0"/>
                      <w:iCs w:val="0"/>
                      <w:color w:val="auto"/>
                      <w:highlight w:val="none"/>
                      <w:u w:val="none" w:color="auto"/>
                    </w:rPr>
                    <w:t>型号</w:t>
                  </w:r>
                </w:p>
              </w:tc>
              <w:tc>
                <w:tcPr>
                  <w:tcW w:w="515" w:type="pct"/>
                  <w:noWrap w:val="0"/>
                  <w:vAlign w:val="center"/>
                </w:tcPr>
                <w:p w14:paraId="63FEFFC6">
                  <w:pPr>
                    <w:snapToGrid w:val="0"/>
                    <w:jc w:val="center"/>
                    <w:rPr>
                      <w:rFonts w:hint="eastAsia" w:ascii="Times New Roman" w:hAnsi="Times New Roman" w:eastAsia="宋体" w:cs="Times New Roman"/>
                      <w:i w:val="0"/>
                      <w:iCs w:val="0"/>
                      <w:color w:val="auto"/>
                      <w:highlight w:val="none"/>
                      <w:u w:val="none" w:color="auto"/>
                    </w:rPr>
                  </w:pPr>
                  <w:r>
                    <w:rPr>
                      <w:rFonts w:hint="eastAsia" w:ascii="Times New Roman" w:hAnsi="Times New Roman" w:eastAsia="宋体" w:cs="Times New Roman"/>
                      <w:i w:val="0"/>
                      <w:iCs w:val="0"/>
                      <w:color w:val="auto"/>
                      <w:highlight w:val="none"/>
                      <w:u w:val="none" w:color="auto"/>
                    </w:rPr>
                    <w:t>数量</w:t>
                  </w:r>
                </w:p>
              </w:tc>
              <w:tc>
                <w:tcPr>
                  <w:tcW w:w="510" w:type="pct"/>
                  <w:noWrap w:val="0"/>
                  <w:vAlign w:val="center"/>
                </w:tcPr>
                <w:p w14:paraId="4948B4D3">
                  <w:pPr>
                    <w:snapToGrid w:val="0"/>
                    <w:jc w:val="center"/>
                    <w:rPr>
                      <w:rFonts w:hint="eastAsia" w:ascii="Times New Roman" w:hAnsi="Times New Roman" w:eastAsia="宋体" w:cs="Times New Roman"/>
                      <w:i w:val="0"/>
                      <w:iCs w:val="0"/>
                      <w:color w:val="auto"/>
                      <w:highlight w:val="none"/>
                      <w:u w:val="none" w:color="auto"/>
                    </w:rPr>
                  </w:pPr>
                  <w:r>
                    <w:rPr>
                      <w:rFonts w:hint="eastAsia" w:ascii="Times New Roman" w:hAnsi="Times New Roman" w:eastAsia="宋体" w:cs="Times New Roman"/>
                      <w:i w:val="0"/>
                      <w:iCs w:val="0"/>
                      <w:color w:val="auto"/>
                      <w:highlight w:val="none"/>
                      <w:u w:val="none" w:color="auto"/>
                    </w:rPr>
                    <w:t>单位</w:t>
                  </w:r>
                </w:p>
              </w:tc>
              <w:tc>
                <w:tcPr>
                  <w:tcW w:w="1525" w:type="pct"/>
                  <w:noWrap w:val="0"/>
                  <w:vAlign w:val="center"/>
                </w:tcPr>
                <w:p w14:paraId="303DD5AB">
                  <w:pPr>
                    <w:snapToGrid w:val="0"/>
                    <w:jc w:val="center"/>
                    <w:rPr>
                      <w:rFonts w:hint="eastAsia" w:ascii="Times New Roman" w:hAnsi="Times New Roman" w:eastAsia="宋体" w:cs="Times New Roman"/>
                      <w:i w:val="0"/>
                      <w:iCs w:val="0"/>
                      <w:color w:val="auto"/>
                      <w:highlight w:val="none"/>
                      <w:u w:val="none" w:color="auto"/>
                    </w:rPr>
                  </w:pPr>
                  <w:r>
                    <w:rPr>
                      <w:rFonts w:hint="eastAsia" w:ascii="Times New Roman" w:hAnsi="Times New Roman" w:eastAsia="宋体" w:cs="Times New Roman"/>
                      <w:i w:val="0"/>
                      <w:iCs w:val="0"/>
                      <w:color w:val="auto"/>
                      <w:highlight w:val="none"/>
                      <w:u w:val="none" w:color="auto"/>
                    </w:rPr>
                    <w:t>备注</w:t>
                  </w:r>
                </w:p>
              </w:tc>
            </w:tr>
            <w:tr w14:paraId="6096DF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5000" w:type="pct"/>
                  <w:gridSpan w:val="6"/>
                  <w:noWrap w:val="0"/>
                  <w:vAlign w:val="center"/>
                </w:tcPr>
                <w:p w14:paraId="63858B2A">
                  <w:pPr>
                    <w:snapToGrid w:val="0"/>
                    <w:jc w:val="center"/>
                    <w:rPr>
                      <w:rFonts w:hint="eastAsia" w:ascii="Times New Roman" w:hAnsi="Times New Roman" w:eastAsia="宋体" w:cs="Times New Roman"/>
                      <w:i w:val="0"/>
                      <w:iCs w:val="0"/>
                      <w:color w:val="auto"/>
                      <w:highlight w:val="none"/>
                      <w:u w:val="none" w:color="auto"/>
                      <w:lang w:eastAsia="zh-CN"/>
                    </w:rPr>
                  </w:pPr>
                  <w:r>
                    <w:rPr>
                      <w:rFonts w:hint="eastAsia" w:cs="Times New Roman"/>
                      <w:i w:val="0"/>
                      <w:iCs w:val="0"/>
                      <w:color w:val="auto"/>
                      <w:highlight w:val="none"/>
                      <w:u w:val="none" w:color="auto"/>
                      <w:lang w:eastAsia="zh-CN"/>
                    </w:rPr>
                    <w:t>生产用</w:t>
                  </w:r>
                </w:p>
              </w:tc>
            </w:tr>
            <w:tr w14:paraId="5C51EA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noWrap w:val="0"/>
                  <w:vAlign w:val="center"/>
                </w:tcPr>
                <w:p w14:paraId="44A79318">
                  <w:pPr>
                    <w:snapToGrid w:val="0"/>
                    <w:jc w:val="center"/>
                    <w:rPr>
                      <w:rFonts w:hint="eastAsia" w:ascii="Times New Roman" w:hAnsi="Times New Roman" w:eastAsia="宋体" w:cs="Times New Roman"/>
                      <w:i w:val="0"/>
                      <w:iCs w:val="0"/>
                      <w:color w:val="auto"/>
                      <w:highlight w:val="none"/>
                      <w:u w:val="none" w:color="auto"/>
                    </w:rPr>
                  </w:pPr>
                  <w:r>
                    <w:rPr>
                      <w:rFonts w:hint="eastAsia" w:ascii="Times New Roman" w:hAnsi="Times New Roman" w:eastAsia="宋体" w:cs="Times New Roman"/>
                      <w:i w:val="0"/>
                      <w:iCs w:val="0"/>
                      <w:color w:val="auto"/>
                      <w:highlight w:val="none"/>
                      <w:u w:val="none" w:color="auto"/>
                    </w:rPr>
                    <w:t>1</w:t>
                  </w:r>
                </w:p>
              </w:tc>
              <w:tc>
                <w:tcPr>
                  <w:tcW w:w="1198" w:type="pct"/>
                  <w:noWrap w:val="0"/>
                  <w:vAlign w:val="center"/>
                </w:tcPr>
                <w:p w14:paraId="2A7797AA">
                  <w:pPr>
                    <w:snapToGrid w:val="0"/>
                    <w:jc w:val="center"/>
                    <w:rPr>
                      <w:rFonts w:hint="eastAsia" w:ascii="Times New Roman" w:hAnsi="Times New Roman" w:eastAsia="宋体" w:cs="Times New Roman"/>
                      <w:i w:val="0"/>
                      <w:iCs w:val="0"/>
                      <w:color w:val="auto"/>
                      <w:highlight w:val="none"/>
                      <w:u w:val="none" w:color="auto"/>
                    </w:rPr>
                  </w:pPr>
                  <w:r>
                    <w:rPr>
                      <w:rFonts w:hint="eastAsia" w:ascii="Times New Roman" w:hAnsi="Times New Roman" w:eastAsia="宋体" w:cs="Times New Roman"/>
                      <w:i w:val="0"/>
                      <w:iCs w:val="0"/>
                      <w:color w:val="auto"/>
                      <w:highlight w:val="none"/>
                      <w:u w:val="none" w:color="auto"/>
                    </w:rPr>
                    <w:t>搅拌机</w:t>
                  </w:r>
                </w:p>
              </w:tc>
              <w:tc>
                <w:tcPr>
                  <w:tcW w:w="869" w:type="pct"/>
                  <w:noWrap w:val="0"/>
                  <w:vAlign w:val="center"/>
                </w:tcPr>
                <w:p w14:paraId="759C6E2E">
                  <w:pPr>
                    <w:snapToGrid w:val="0"/>
                    <w:jc w:val="center"/>
                    <w:rPr>
                      <w:rFonts w:hint="default" w:ascii="Times New Roman" w:hAnsi="Times New Roman" w:eastAsia="宋体" w:cs="Times New Roman"/>
                      <w:i w:val="0"/>
                      <w:iCs w:val="0"/>
                      <w:color w:val="auto"/>
                      <w:highlight w:val="none"/>
                      <w:u w:val="none" w:color="auto"/>
                      <w:lang w:val="en-US"/>
                    </w:rPr>
                  </w:pPr>
                  <w:r>
                    <w:rPr>
                      <w:rFonts w:hint="eastAsia" w:cs="Times New Roman"/>
                      <w:i w:val="0"/>
                      <w:iCs w:val="0"/>
                      <w:color w:val="auto"/>
                      <w:highlight w:val="none"/>
                      <w:u w:val="none" w:color="auto"/>
                      <w:lang w:val="en-US" w:eastAsia="zh-CN"/>
                    </w:rPr>
                    <w:t>120型</w:t>
                  </w:r>
                </w:p>
              </w:tc>
              <w:tc>
                <w:tcPr>
                  <w:tcW w:w="515" w:type="pct"/>
                  <w:noWrap w:val="0"/>
                  <w:vAlign w:val="center"/>
                </w:tcPr>
                <w:p w14:paraId="3AA49340">
                  <w:pPr>
                    <w:snapToGrid w:val="0"/>
                    <w:jc w:val="center"/>
                    <w:rPr>
                      <w:rFonts w:hint="eastAsia" w:ascii="Times New Roman" w:hAnsi="Times New Roman" w:eastAsia="宋体" w:cs="Times New Roman"/>
                      <w:i w:val="0"/>
                      <w:iCs w:val="0"/>
                      <w:color w:val="auto"/>
                      <w:highlight w:val="none"/>
                      <w:u w:val="none" w:color="auto"/>
                      <w:lang w:eastAsia="zh-CN"/>
                    </w:rPr>
                  </w:pPr>
                  <w:r>
                    <w:rPr>
                      <w:rFonts w:hint="eastAsia" w:cs="Times New Roman"/>
                      <w:i w:val="0"/>
                      <w:iCs w:val="0"/>
                      <w:color w:val="auto"/>
                      <w:highlight w:val="none"/>
                      <w:u w:val="none" w:color="auto"/>
                      <w:lang w:val="en-US" w:eastAsia="zh-CN"/>
                    </w:rPr>
                    <w:t>2</w:t>
                  </w:r>
                </w:p>
              </w:tc>
              <w:tc>
                <w:tcPr>
                  <w:tcW w:w="510" w:type="pct"/>
                  <w:noWrap w:val="0"/>
                  <w:vAlign w:val="center"/>
                </w:tcPr>
                <w:p w14:paraId="5BB90FCA">
                  <w:pPr>
                    <w:snapToGrid w:val="0"/>
                    <w:jc w:val="center"/>
                    <w:rPr>
                      <w:rFonts w:hint="eastAsia" w:ascii="Times New Roman" w:hAnsi="Times New Roman" w:eastAsia="宋体" w:cs="Times New Roman"/>
                      <w:i w:val="0"/>
                      <w:iCs w:val="0"/>
                      <w:color w:val="auto"/>
                      <w:highlight w:val="none"/>
                      <w:u w:val="none" w:color="auto"/>
                      <w:lang w:eastAsia="zh-CN"/>
                    </w:rPr>
                  </w:pPr>
                  <w:r>
                    <w:rPr>
                      <w:rFonts w:hint="eastAsia" w:cs="Times New Roman"/>
                      <w:i w:val="0"/>
                      <w:iCs w:val="0"/>
                      <w:color w:val="auto"/>
                      <w:highlight w:val="none"/>
                      <w:u w:val="none" w:color="auto"/>
                      <w:lang w:eastAsia="zh-CN"/>
                    </w:rPr>
                    <w:t>台</w:t>
                  </w:r>
                </w:p>
              </w:tc>
              <w:tc>
                <w:tcPr>
                  <w:tcW w:w="1525" w:type="pct"/>
                  <w:noWrap w:val="0"/>
                  <w:vAlign w:val="center"/>
                </w:tcPr>
                <w:p w14:paraId="6D253865">
                  <w:pPr>
                    <w:snapToGrid w:val="0"/>
                    <w:jc w:val="center"/>
                    <w:rPr>
                      <w:rFonts w:hint="default" w:ascii="Times New Roman" w:hAnsi="Times New Roman" w:eastAsia="宋体"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产能：168m</w:t>
                  </w:r>
                  <w:r>
                    <w:rPr>
                      <w:rFonts w:hint="eastAsia" w:cs="Times New Roman"/>
                      <w:i w:val="0"/>
                      <w:iCs w:val="0"/>
                      <w:color w:val="auto"/>
                      <w:highlight w:val="none"/>
                      <w:u w:val="none" w:color="auto"/>
                      <w:vertAlign w:val="superscript"/>
                      <w:lang w:val="en-US" w:eastAsia="zh-CN"/>
                    </w:rPr>
                    <w:t>3</w:t>
                  </w:r>
                  <w:r>
                    <w:rPr>
                      <w:rFonts w:hint="eastAsia" w:cs="Times New Roman"/>
                      <w:i w:val="0"/>
                      <w:iCs w:val="0"/>
                      <w:color w:val="auto"/>
                      <w:highlight w:val="none"/>
                      <w:u w:val="none" w:color="auto"/>
                      <w:lang w:val="en-US" w:eastAsia="zh-CN"/>
                    </w:rPr>
                    <w:t>/h</w:t>
                  </w:r>
                </w:p>
              </w:tc>
            </w:tr>
            <w:tr w14:paraId="22D312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382" w:type="pct"/>
                  <w:noWrap w:val="0"/>
                  <w:vAlign w:val="center"/>
                </w:tcPr>
                <w:p w14:paraId="590A1275">
                  <w:pPr>
                    <w:snapToGrid w:val="0"/>
                    <w:jc w:val="center"/>
                    <w:rPr>
                      <w:rFonts w:hint="eastAsia" w:ascii="Times New Roman" w:hAnsi="Times New Roman" w:eastAsia="宋体" w:cs="Times New Roman"/>
                      <w:i w:val="0"/>
                      <w:iCs w:val="0"/>
                      <w:color w:val="auto"/>
                      <w:highlight w:val="none"/>
                      <w:u w:val="none" w:color="auto"/>
                    </w:rPr>
                  </w:pPr>
                  <w:r>
                    <w:rPr>
                      <w:rFonts w:hint="eastAsia" w:ascii="Times New Roman" w:hAnsi="Times New Roman" w:eastAsia="宋体" w:cs="Times New Roman"/>
                      <w:i w:val="0"/>
                      <w:iCs w:val="0"/>
                      <w:color w:val="auto"/>
                      <w:highlight w:val="none"/>
                      <w:u w:val="none" w:color="auto"/>
                    </w:rPr>
                    <w:t>2</w:t>
                  </w:r>
                </w:p>
              </w:tc>
              <w:tc>
                <w:tcPr>
                  <w:tcW w:w="1198" w:type="pct"/>
                  <w:noWrap w:val="0"/>
                  <w:vAlign w:val="center"/>
                </w:tcPr>
                <w:p w14:paraId="0030C3A1">
                  <w:pPr>
                    <w:snapToGrid w:val="0"/>
                    <w:jc w:val="center"/>
                    <w:rPr>
                      <w:rFonts w:hint="eastAsia" w:ascii="Times New Roman" w:hAnsi="Times New Roman" w:eastAsia="宋体" w:cs="Times New Roman"/>
                      <w:i w:val="0"/>
                      <w:iCs w:val="0"/>
                      <w:color w:val="auto"/>
                      <w:highlight w:val="none"/>
                      <w:u w:val="none" w:color="auto"/>
                      <w:lang w:val="en-US" w:eastAsia="zh-CN"/>
                    </w:rPr>
                  </w:pPr>
                  <w:r>
                    <w:rPr>
                      <w:rFonts w:hint="eastAsia" w:ascii="Times New Roman" w:hAnsi="Times New Roman" w:eastAsia="宋体" w:cs="Times New Roman"/>
                      <w:i w:val="0"/>
                      <w:iCs w:val="0"/>
                      <w:color w:val="auto"/>
                      <w:highlight w:val="none"/>
                      <w:u w:val="none" w:color="auto"/>
                      <w:lang w:val="en-US" w:eastAsia="zh-CN"/>
                    </w:rPr>
                    <w:t>水泥储罐</w:t>
                  </w:r>
                  <w:r>
                    <w:rPr>
                      <w:rFonts w:hint="eastAsia" w:cs="Times New Roman"/>
                      <w:i w:val="0"/>
                      <w:iCs w:val="0"/>
                      <w:color w:val="auto"/>
                      <w:highlight w:val="none"/>
                      <w:u w:val="none" w:color="auto"/>
                      <w:lang w:val="en-US" w:eastAsia="zh-CN"/>
                    </w:rPr>
                    <w:t>（筒仓）</w:t>
                  </w:r>
                </w:p>
              </w:tc>
              <w:tc>
                <w:tcPr>
                  <w:tcW w:w="869" w:type="pct"/>
                  <w:noWrap w:val="0"/>
                  <w:vAlign w:val="center"/>
                </w:tcPr>
                <w:p w14:paraId="63D76008">
                  <w:pPr>
                    <w:snapToGrid w:val="0"/>
                    <w:jc w:val="center"/>
                    <w:rPr>
                      <w:rFonts w:hint="eastAsia" w:ascii="Times New Roman" w:hAnsi="Times New Roman" w:eastAsia="宋体"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100</w:t>
                  </w:r>
                  <w:r>
                    <w:rPr>
                      <w:rFonts w:hint="eastAsia" w:ascii="Times New Roman" w:hAnsi="Times New Roman" w:eastAsia="宋体" w:cs="Times New Roman"/>
                      <w:i w:val="0"/>
                      <w:iCs w:val="0"/>
                      <w:color w:val="auto"/>
                      <w:highlight w:val="none"/>
                      <w:u w:val="none" w:color="auto"/>
                      <w:lang w:val="en-US" w:eastAsia="zh-CN"/>
                    </w:rPr>
                    <w:t>t</w:t>
                  </w:r>
                </w:p>
              </w:tc>
              <w:tc>
                <w:tcPr>
                  <w:tcW w:w="515" w:type="pct"/>
                  <w:noWrap w:val="0"/>
                  <w:vAlign w:val="center"/>
                </w:tcPr>
                <w:p w14:paraId="310AC094">
                  <w:pPr>
                    <w:snapToGrid w:val="0"/>
                    <w:jc w:val="center"/>
                    <w:rPr>
                      <w:rFonts w:hint="eastAsia" w:ascii="Times New Roman" w:hAnsi="Times New Roman" w:eastAsia="宋体" w:cs="Times New Roman"/>
                      <w:i w:val="0"/>
                      <w:iCs w:val="0"/>
                      <w:color w:val="auto"/>
                      <w:highlight w:val="none"/>
                      <w:u w:val="none" w:color="auto"/>
                      <w:lang w:eastAsia="zh-CN"/>
                    </w:rPr>
                  </w:pPr>
                  <w:r>
                    <w:rPr>
                      <w:rFonts w:hint="eastAsia" w:cs="Times New Roman"/>
                      <w:i w:val="0"/>
                      <w:iCs w:val="0"/>
                      <w:color w:val="auto"/>
                      <w:highlight w:val="none"/>
                      <w:u w:val="none" w:color="auto"/>
                      <w:lang w:val="en-US" w:eastAsia="zh-CN"/>
                    </w:rPr>
                    <w:t>6</w:t>
                  </w:r>
                </w:p>
              </w:tc>
              <w:tc>
                <w:tcPr>
                  <w:tcW w:w="510" w:type="pct"/>
                  <w:noWrap w:val="0"/>
                  <w:vAlign w:val="center"/>
                </w:tcPr>
                <w:p w14:paraId="48DBDBAA">
                  <w:pPr>
                    <w:snapToGrid w:val="0"/>
                    <w:jc w:val="center"/>
                    <w:rPr>
                      <w:rFonts w:hint="eastAsia" w:ascii="Times New Roman" w:hAnsi="Times New Roman" w:eastAsia="宋体" w:cs="Times New Roman"/>
                      <w:i w:val="0"/>
                      <w:iCs w:val="0"/>
                      <w:color w:val="auto"/>
                      <w:highlight w:val="none"/>
                      <w:u w:val="none" w:color="auto"/>
                    </w:rPr>
                  </w:pPr>
                  <w:r>
                    <w:rPr>
                      <w:rFonts w:hint="eastAsia" w:ascii="Times New Roman" w:hAnsi="Times New Roman" w:eastAsia="宋体" w:cs="Times New Roman"/>
                      <w:i w:val="0"/>
                      <w:iCs w:val="0"/>
                      <w:color w:val="auto"/>
                      <w:highlight w:val="none"/>
                      <w:u w:val="none" w:color="auto"/>
                    </w:rPr>
                    <w:t>台</w:t>
                  </w:r>
                </w:p>
              </w:tc>
              <w:tc>
                <w:tcPr>
                  <w:tcW w:w="1525" w:type="pct"/>
                  <w:noWrap w:val="0"/>
                  <w:vAlign w:val="center"/>
                </w:tcPr>
                <w:p w14:paraId="496BAAB2">
                  <w:pPr>
                    <w:snapToGrid w:val="0"/>
                    <w:jc w:val="center"/>
                    <w:rPr>
                      <w:rFonts w:hint="default" w:ascii="Times New Roman" w:hAnsi="Times New Roman" w:eastAsia="宋体" w:cs="Times New Roman"/>
                      <w:i w:val="0"/>
                      <w:iCs w:val="0"/>
                      <w:color w:val="auto"/>
                      <w:highlight w:val="none"/>
                      <w:u w:val="none" w:color="auto"/>
                      <w:lang w:val="en-US" w:eastAsia="zh-CN"/>
                    </w:rPr>
                  </w:pPr>
                </w:p>
              </w:tc>
            </w:tr>
            <w:tr w14:paraId="0EB6F2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2" w:type="pct"/>
                  <w:noWrap w:val="0"/>
                  <w:vAlign w:val="center"/>
                </w:tcPr>
                <w:p w14:paraId="6EDC702E">
                  <w:pPr>
                    <w:snapToGrid w:val="0"/>
                    <w:jc w:val="center"/>
                    <w:rPr>
                      <w:rFonts w:hint="eastAsia" w:ascii="Times New Roman" w:hAnsi="Times New Roman" w:eastAsia="宋体" w:cs="Times New Roman"/>
                      <w:i w:val="0"/>
                      <w:iCs w:val="0"/>
                      <w:color w:val="auto"/>
                      <w:highlight w:val="none"/>
                      <w:u w:val="none" w:color="auto"/>
                    </w:rPr>
                  </w:pPr>
                  <w:r>
                    <w:rPr>
                      <w:rFonts w:hint="eastAsia" w:ascii="Times New Roman" w:hAnsi="Times New Roman" w:eastAsia="宋体" w:cs="Times New Roman"/>
                      <w:i w:val="0"/>
                      <w:iCs w:val="0"/>
                      <w:color w:val="auto"/>
                      <w:highlight w:val="none"/>
                      <w:u w:val="none" w:color="auto"/>
                    </w:rPr>
                    <w:t>3</w:t>
                  </w:r>
                </w:p>
              </w:tc>
              <w:tc>
                <w:tcPr>
                  <w:tcW w:w="1198" w:type="pct"/>
                  <w:noWrap w:val="0"/>
                  <w:vAlign w:val="center"/>
                </w:tcPr>
                <w:p w14:paraId="4B841067">
                  <w:pPr>
                    <w:snapToGrid w:val="0"/>
                    <w:jc w:val="center"/>
                    <w:rPr>
                      <w:rFonts w:hint="default" w:ascii="Times New Roman" w:hAnsi="Times New Roman" w:eastAsia="宋体" w:cs="Times New Roman"/>
                      <w:i w:val="0"/>
                      <w:iCs w:val="0"/>
                      <w:color w:val="auto"/>
                      <w:highlight w:val="none"/>
                      <w:u w:val="none" w:color="auto"/>
                      <w:lang w:val="en-US" w:eastAsia="zh-CN"/>
                    </w:rPr>
                  </w:pPr>
                  <w:r>
                    <w:rPr>
                      <w:rFonts w:hint="eastAsia" w:ascii="Times New Roman" w:hAnsi="Times New Roman" w:eastAsia="宋体" w:cs="Times New Roman"/>
                      <w:i w:val="0"/>
                      <w:iCs w:val="0"/>
                      <w:color w:val="auto"/>
                      <w:highlight w:val="none"/>
                      <w:u w:val="none" w:color="auto"/>
                      <w:lang w:val="en-US" w:eastAsia="zh-CN"/>
                    </w:rPr>
                    <w:t>粉煤灰储罐</w:t>
                  </w:r>
                  <w:r>
                    <w:rPr>
                      <w:rFonts w:hint="eastAsia" w:cs="Times New Roman"/>
                      <w:i w:val="0"/>
                      <w:iCs w:val="0"/>
                      <w:color w:val="auto"/>
                      <w:highlight w:val="none"/>
                      <w:u w:val="none" w:color="auto"/>
                      <w:lang w:val="en-US" w:eastAsia="zh-CN"/>
                    </w:rPr>
                    <w:t>（筒仓）</w:t>
                  </w:r>
                </w:p>
              </w:tc>
              <w:tc>
                <w:tcPr>
                  <w:tcW w:w="869" w:type="pct"/>
                  <w:noWrap w:val="0"/>
                  <w:vAlign w:val="center"/>
                </w:tcPr>
                <w:p w14:paraId="336F1D7F">
                  <w:pPr>
                    <w:snapToGrid w:val="0"/>
                    <w:jc w:val="center"/>
                    <w:rPr>
                      <w:rFonts w:hint="default" w:ascii="Times New Roman" w:hAnsi="Times New Roman" w:eastAsia="宋体"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100</w:t>
                  </w:r>
                  <w:r>
                    <w:rPr>
                      <w:rFonts w:hint="eastAsia" w:ascii="Times New Roman" w:hAnsi="Times New Roman" w:eastAsia="宋体" w:cs="Times New Roman"/>
                      <w:i w:val="0"/>
                      <w:iCs w:val="0"/>
                      <w:color w:val="auto"/>
                      <w:highlight w:val="none"/>
                      <w:u w:val="none" w:color="auto"/>
                      <w:lang w:val="en-US" w:eastAsia="zh-CN"/>
                    </w:rPr>
                    <w:t>t</w:t>
                  </w:r>
                </w:p>
              </w:tc>
              <w:tc>
                <w:tcPr>
                  <w:tcW w:w="515" w:type="pct"/>
                  <w:noWrap w:val="0"/>
                  <w:vAlign w:val="center"/>
                </w:tcPr>
                <w:p w14:paraId="6991FBBA">
                  <w:pPr>
                    <w:snapToGrid w:val="0"/>
                    <w:jc w:val="center"/>
                    <w:rPr>
                      <w:rFonts w:hint="default" w:ascii="Times New Roman" w:hAnsi="Times New Roman" w:eastAsia="宋体"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2</w:t>
                  </w:r>
                </w:p>
              </w:tc>
              <w:tc>
                <w:tcPr>
                  <w:tcW w:w="510" w:type="pct"/>
                  <w:noWrap w:val="0"/>
                  <w:vAlign w:val="center"/>
                </w:tcPr>
                <w:p w14:paraId="2E647CE9">
                  <w:pPr>
                    <w:snapToGrid w:val="0"/>
                    <w:jc w:val="center"/>
                    <w:rPr>
                      <w:rFonts w:hint="eastAsia" w:ascii="Times New Roman" w:hAnsi="Times New Roman" w:eastAsia="宋体" w:cs="Times New Roman"/>
                      <w:i w:val="0"/>
                      <w:iCs w:val="0"/>
                      <w:color w:val="auto"/>
                      <w:highlight w:val="none"/>
                      <w:u w:val="none" w:color="auto"/>
                    </w:rPr>
                  </w:pPr>
                  <w:r>
                    <w:rPr>
                      <w:rFonts w:hint="eastAsia" w:ascii="Times New Roman" w:hAnsi="Times New Roman" w:eastAsia="宋体" w:cs="Times New Roman"/>
                      <w:i w:val="0"/>
                      <w:iCs w:val="0"/>
                      <w:color w:val="auto"/>
                      <w:highlight w:val="none"/>
                      <w:u w:val="none" w:color="auto"/>
                    </w:rPr>
                    <w:t>台</w:t>
                  </w:r>
                </w:p>
              </w:tc>
              <w:tc>
                <w:tcPr>
                  <w:tcW w:w="1525" w:type="pct"/>
                  <w:noWrap w:val="0"/>
                  <w:vAlign w:val="center"/>
                </w:tcPr>
                <w:p w14:paraId="5E6AEA64">
                  <w:pPr>
                    <w:snapToGrid w:val="0"/>
                    <w:jc w:val="center"/>
                    <w:rPr>
                      <w:rFonts w:hint="eastAsia" w:ascii="Times New Roman" w:hAnsi="Times New Roman" w:eastAsia="宋体" w:cs="Times New Roman"/>
                      <w:i w:val="0"/>
                      <w:iCs w:val="0"/>
                      <w:color w:val="auto"/>
                      <w:highlight w:val="none"/>
                      <w:u w:val="none" w:color="auto"/>
                      <w:lang w:val="en-US" w:eastAsia="zh-CN"/>
                    </w:rPr>
                  </w:pPr>
                </w:p>
              </w:tc>
            </w:tr>
            <w:tr w14:paraId="3F22BE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shd w:val="clear" w:color="auto" w:fill="auto"/>
                  <w:noWrap w:val="0"/>
                  <w:vAlign w:val="center"/>
                </w:tcPr>
                <w:p w14:paraId="38A96A87">
                  <w:pPr>
                    <w:snapToGrid w:val="0"/>
                    <w:jc w:val="center"/>
                    <w:rPr>
                      <w:rFonts w:hint="eastAsia" w:ascii="Times New Roman" w:hAnsi="Times New Roman" w:eastAsia="宋体" w:cs="Times New Roman"/>
                      <w:i w:val="0"/>
                      <w:iCs w:val="0"/>
                      <w:color w:val="auto"/>
                      <w:kern w:val="2"/>
                      <w:sz w:val="21"/>
                      <w:szCs w:val="24"/>
                      <w:highlight w:val="none"/>
                      <w:u w:val="none" w:color="auto"/>
                      <w:lang w:val="en-US" w:eastAsia="zh-CN" w:bidi="ar-SA"/>
                    </w:rPr>
                  </w:pPr>
                  <w:r>
                    <w:rPr>
                      <w:rFonts w:hint="eastAsia" w:cs="Times New Roman"/>
                      <w:i w:val="0"/>
                      <w:iCs w:val="0"/>
                      <w:color w:val="auto"/>
                      <w:highlight w:val="none"/>
                      <w:u w:val="none" w:color="auto"/>
                      <w:lang w:val="en-US" w:eastAsia="zh-CN"/>
                    </w:rPr>
                    <w:t>4</w:t>
                  </w:r>
                </w:p>
              </w:tc>
              <w:tc>
                <w:tcPr>
                  <w:tcW w:w="1198" w:type="pct"/>
                  <w:noWrap w:val="0"/>
                  <w:vAlign w:val="center"/>
                </w:tcPr>
                <w:p w14:paraId="36A9DEE6">
                  <w:pPr>
                    <w:snapToGrid w:val="0"/>
                    <w:jc w:val="center"/>
                    <w:rPr>
                      <w:rFonts w:hint="eastAsia" w:ascii="Times New Roman" w:hAnsi="Times New Roman" w:eastAsia="宋体"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外加剂储罐</w:t>
                  </w:r>
                </w:p>
              </w:tc>
              <w:tc>
                <w:tcPr>
                  <w:tcW w:w="869" w:type="pct"/>
                  <w:noWrap w:val="0"/>
                  <w:vAlign w:val="center"/>
                </w:tcPr>
                <w:p w14:paraId="208118F1">
                  <w:pPr>
                    <w:snapToGrid w:val="0"/>
                    <w:jc w:val="center"/>
                    <w:rPr>
                      <w:rFonts w:hint="default" w:ascii="Times New Roman" w:hAnsi="Times New Roman" w:eastAsia="宋体"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w:t>
                  </w:r>
                </w:p>
              </w:tc>
              <w:tc>
                <w:tcPr>
                  <w:tcW w:w="515" w:type="pct"/>
                  <w:noWrap w:val="0"/>
                  <w:vAlign w:val="center"/>
                </w:tcPr>
                <w:p w14:paraId="762DC624">
                  <w:pPr>
                    <w:snapToGrid w:val="0"/>
                    <w:jc w:val="center"/>
                    <w:rPr>
                      <w:rFonts w:hint="default" w:ascii="Times New Roman" w:hAnsi="Times New Roman" w:eastAsia="宋体"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4</w:t>
                  </w:r>
                </w:p>
              </w:tc>
              <w:tc>
                <w:tcPr>
                  <w:tcW w:w="510" w:type="pct"/>
                  <w:noWrap w:val="0"/>
                  <w:vAlign w:val="center"/>
                </w:tcPr>
                <w:p w14:paraId="17AFBB8F">
                  <w:pPr>
                    <w:snapToGrid w:val="0"/>
                    <w:jc w:val="center"/>
                    <w:rPr>
                      <w:rFonts w:hint="eastAsia" w:ascii="Times New Roman" w:hAnsi="Times New Roman" w:eastAsia="宋体" w:cs="Times New Roman"/>
                      <w:i w:val="0"/>
                      <w:iCs w:val="0"/>
                      <w:color w:val="auto"/>
                      <w:highlight w:val="none"/>
                      <w:u w:val="none" w:color="auto"/>
                      <w:lang w:eastAsia="zh-CN"/>
                    </w:rPr>
                  </w:pPr>
                  <w:r>
                    <w:rPr>
                      <w:rFonts w:hint="eastAsia" w:cs="Times New Roman"/>
                      <w:i w:val="0"/>
                      <w:iCs w:val="0"/>
                      <w:color w:val="auto"/>
                      <w:highlight w:val="none"/>
                      <w:u w:val="none" w:color="auto"/>
                      <w:lang w:eastAsia="zh-CN"/>
                    </w:rPr>
                    <w:t>台</w:t>
                  </w:r>
                </w:p>
              </w:tc>
              <w:tc>
                <w:tcPr>
                  <w:tcW w:w="1525" w:type="pct"/>
                  <w:noWrap w:val="0"/>
                  <w:vAlign w:val="center"/>
                </w:tcPr>
                <w:p w14:paraId="124CECCD">
                  <w:pPr>
                    <w:snapToGrid w:val="0"/>
                    <w:jc w:val="center"/>
                    <w:rPr>
                      <w:rFonts w:hint="eastAsia" w:ascii="Times New Roman" w:hAnsi="Times New Roman" w:eastAsia="宋体" w:cs="Times New Roman"/>
                      <w:i w:val="0"/>
                      <w:iCs w:val="0"/>
                      <w:color w:val="auto"/>
                      <w:highlight w:val="none"/>
                      <w:u w:val="none" w:color="auto"/>
                      <w:lang w:val="en-US" w:eastAsia="zh-CN"/>
                    </w:rPr>
                  </w:pPr>
                </w:p>
              </w:tc>
            </w:tr>
            <w:tr w14:paraId="3A932C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shd w:val="clear" w:color="auto" w:fill="auto"/>
                  <w:noWrap w:val="0"/>
                  <w:vAlign w:val="center"/>
                </w:tcPr>
                <w:p w14:paraId="0110B165">
                  <w:pPr>
                    <w:snapToGrid w:val="0"/>
                    <w:jc w:val="center"/>
                    <w:rPr>
                      <w:rFonts w:hint="default" w:ascii="Times New Roman" w:hAnsi="Times New Roman" w:cs="Times New Roman"/>
                      <w:i w:val="0"/>
                      <w:iCs w:val="0"/>
                      <w:color w:val="auto"/>
                      <w:highlight w:val="none"/>
                      <w:u w:val="none" w:color="auto"/>
                      <w:lang w:val="en-US" w:eastAsia="zh-CN"/>
                    </w:rPr>
                  </w:pPr>
                  <w:r>
                    <w:rPr>
                      <w:rFonts w:hint="eastAsia" w:ascii="Times New Roman" w:hAnsi="Times New Roman" w:cs="Times New Roman"/>
                      <w:i w:val="0"/>
                      <w:iCs w:val="0"/>
                      <w:color w:val="auto"/>
                      <w:highlight w:val="none"/>
                      <w:u w:val="none" w:color="auto"/>
                      <w:lang w:val="en-US" w:eastAsia="zh-CN"/>
                    </w:rPr>
                    <w:t>5</w:t>
                  </w:r>
                </w:p>
              </w:tc>
              <w:tc>
                <w:tcPr>
                  <w:tcW w:w="1198" w:type="pct"/>
                  <w:noWrap w:val="0"/>
                  <w:vAlign w:val="center"/>
                </w:tcPr>
                <w:p w14:paraId="64F92246">
                  <w:pPr>
                    <w:snapToGrid w:val="0"/>
                    <w:jc w:val="center"/>
                    <w:rPr>
                      <w:rFonts w:hint="eastAsia"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水泥秤</w:t>
                  </w:r>
                </w:p>
              </w:tc>
              <w:tc>
                <w:tcPr>
                  <w:tcW w:w="869" w:type="pct"/>
                  <w:noWrap w:val="0"/>
                  <w:vAlign w:val="center"/>
                </w:tcPr>
                <w:p w14:paraId="4DEBE8C6">
                  <w:pPr>
                    <w:snapToGrid w:val="0"/>
                    <w:jc w:val="center"/>
                    <w:rPr>
                      <w:rFonts w:hint="eastAsia"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w:t>
                  </w:r>
                </w:p>
              </w:tc>
              <w:tc>
                <w:tcPr>
                  <w:tcW w:w="515" w:type="pct"/>
                  <w:shd w:val="clear" w:color="auto" w:fill="auto"/>
                  <w:noWrap w:val="0"/>
                  <w:vAlign w:val="center"/>
                </w:tcPr>
                <w:p w14:paraId="5F011C13">
                  <w:pPr>
                    <w:snapToGrid w:val="0"/>
                    <w:jc w:val="center"/>
                    <w:rPr>
                      <w:rFonts w:hint="eastAsia" w:ascii="Times New Roman" w:hAnsi="Times New Roman" w:eastAsia="宋体" w:cs="Times New Roman"/>
                      <w:i w:val="0"/>
                      <w:iCs w:val="0"/>
                      <w:color w:val="auto"/>
                      <w:kern w:val="2"/>
                      <w:sz w:val="21"/>
                      <w:szCs w:val="24"/>
                      <w:highlight w:val="none"/>
                      <w:u w:val="none" w:color="auto"/>
                      <w:lang w:val="en-US" w:eastAsia="zh-CN" w:bidi="ar-SA"/>
                    </w:rPr>
                  </w:pPr>
                  <w:r>
                    <w:rPr>
                      <w:rFonts w:hint="eastAsia" w:cs="Times New Roman"/>
                      <w:i w:val="0"/>
                      <w:iCs w:val="0"/>
                      <w:color w:val="auto"/>
                      <w:highlight w:val="none"/>
                      <w:u w:val="none" w:color="auto"/>
                      <w:lang w:val="en-US" w:eastAsia="zh-CN"/>
                    </w:rPr>
                    <w:t>1</w:t>
                  </w:r>
                </w:p>
              </w:tc>
              <w:tc>
                <w:tcPr>
                  <w:tcW w:w="510" w:type="pct"/>
                  <w:shd w:val="clear" w:color="auto" w:fill="auto"/>
                  <w:noWrap w:val="0"/>
                  <w:vAlign w:val="center"/>
                </w:tcPr>
                <w:p w14:paraId="6359A234">
                  <w:pPr>
                    <w:snapToGrid w:val="0"/>
                    <w:jc w:val="center"/>
                    <w:rPr>
                      <w:rFonts w:hint="eastAsia" w:ascii="Times New Roman" w:hAnsi="Times New Roman" w:eastAsia="宋体" w:cs="Times New Roman"/>
                      <w:i w:val="0"/>
                      <w:iCs w:val="0"/>
                      <w:color w:val="auto"/>
                      <w:kern w:val="2"/>
                      <w:sz w:val="21"/>
                      <w:szCs w:val="24"/>
                      <w:highlight w:val="none"/>
                      <w:u w:val="none" w:color="auto"/>
                      <w:lang w:val="en-US" w:eastAsia="zh-CN" w:bidi="ar-SA"/>
                    </w:rPr>
                  </w:pPr>
                  <w:r>
                    <w:rPr>
                      <w:rFonts w:hint="eastAsia" w:ascii="Times New Roman" w:hAnsi="Times New Roman" w:eastAsia="宋体" w:cs="Times New Roman"/>
                      <w:i w:val="0"/>
                      <w:iCs w:val="0"/>
                      <w:color w:val="auto"/>
                      <w:highlight w:val="none"/>
                      <w:u w:val="none" w:color="auto"/>
                    </w:rPr>
                    <w:t>台</w:t>
                  </w:r>
                </w:p>
              </w:tc>
              <w:tc>
                <w:tcPr>
                  <w:tcW w:w="1525" w:type="pct"/>
                  <w:noWrap w:val="0"/>
                  <w:vAlign w:val="center"/>
                </w:tcPr>
                <w:p w14:paraId="5348E1F5">
                  <w:pPr>
                    <w:snapToGrid w:val="0"/>
                    <w:jc w:val="center"/>
                    <w:rPr>
                      <w:rFonts w:hint="eastAsia" w:ascii="Times New Roman" w:hAnsi="Times New Roman" w:eastAsia="宋体" w:cs="Times New Roman"/>
                      <w:i w:val="0"/>
                      <w:iCs w:val="0"/>
                      <w:color w:val="auto"/>
                      <w:highlight w:val="none"/>
                      <w:u w:val="none" w:color="auto"/>
                      <w:lang w:val="en-US" w:eastAsia="zh-CN"/>
                    </w:rPr>
                  </w:pPr>
                </w:p>
              </w:tc>
            </w:tr>
            <w:tr w14:paraId="1057C2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shd w:val="clear" w:color="auto" w:fill="auto"/>
                  <w:noWrap w:val="0"/>
                  <w:vAlign w:val="center"/>
                </w:tcPr>
                <w:p w14:paraId="63A45240">
                  <w:pPr>
                    <w:snapToGrid w:val="0"/>
                    <w:jc w:val="center"/>
                    <w:rPr>
                      <w:rFonts w:hint="default" w:ascii="Times New Roman" w:hAnsi="Times New Roman" w:cs="Times New Roman"/>
                      <w:i w:val="0"/>
                      <w:iCs w:val="0"/>
                      <w:color w:val="auto"/>
                      <w:highlight w:val="none"/>
                      <w:u w:val="none" w:color="auto"/>
                      <w:lang w:val="en-US" w:eastAsia="zh-CN"/>
                    </w:rPr>
                  </w:pPr>
                  <w:r>
                    <w:rPr>
                      <w:rFonts w:hint="eastAsia" w:ascii="Times New Roman" w:hAnsi="Times New Roman" w:cs="Times New Roman"/>
                      <w:i w:val="0"/>
                      <w:iCs w:val="0"/>
                      <w:color w:val="auto"/>
                      <w:highlight w:val="none"/>
                      <w:u w:val="none" w:color="auto"/>
                      <w:lang w:val="en-US" w:eastAsia="zh-CN"/>
                    </w:rPr>
                    <w:t>6</w:t>
                  </w:r>
                </w:p>
              </w:tc>
              <w:tc>
                <w:tcPr>
                  <w:tcW w:w="1198" w:type="pct"/>
                  <w:noWrap w:val="0"/>
                  <w:vAlign w:val="center"/>
                </w:tcPr>
                <w:p w14:paraId="4391A11F">
                  <w:pPr>
                    <w:snapToGrid w:val="0"/>
                    <w:jc w:val="center"/>
                    <w:rPr>
                      <w:rFonts w:hint="eastAsia"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粉煤灰秤</w:t>
                  </w:r>
                </w:p>
              </w:tc>
              <w:tc>
                <w:tcPr>
                  <w:tcW w:w="869" w:type="pct"/>
                  <w:noWrap w:val="0"/>
                  <w:vAlign w:val="center"/>
                </w:tcPr>
                <w:p w14:paraId="0248B59C">
                  <w:pPr>
                    <w:snapToGrid w:val="0"/>
                    <w:jc w:val="center"/>
                    <w:rPr>
                      <w:rFonts w:hint="eastAsia"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w:t>
                  </w:r>
                </w:p>
              </w:tc>
              <w:tc>
                <w:tcPr>
                  <w:tcW w:w="515" w:type="pct"/>
                  <w:shd w:val="clear" w:color="auto" w:fill="auto"/>
                  <w:noWrap w:val="0"/>
                  <w:vAlign w:val="center"/>
                </w:tcPr>
                <w:p w14:paraId="5F8E5A28">
                  <w:pPr>
                    <w:snapToGrid w:val="0"/>
                    <w:jc w:val="center"/>
                    <w:rPr>
                      <w:rFonts w:hint="eastAsia" w:ascii="Times New Roman" w:hAnsi="Times New Roman" w:eastAsia="宋体" w:cs="Times New Roman"/>
                      <w:i w:val="0"/>
                      <w:iCs w:val="0"/>
                      <w:color w:val="auto"/>
                      <w:kern w:val="2"/>
                      <w:sz w:val="21"/>
                      <w:szCs w:val="24"/>
                      <w:highlight w:val="none"/>
                      <w:u w:val="none" w:color="auto"/>
                      <w:lang w:val="en-US" w:eastAsia="zh-CN" w:bidi="ar-SA"/>
                    </w:rPr>
                  </w:pPr>
                  <w:r>
                    <w:rPr>
                      <w:rFonts w:hint="eastAsia" w:cs="Times New Roman"/>
                      <w:i w:val="0"/>
                      <w:iCs w:val="0"/>
                      <w:color w:val="auto"/>
                      <w:highlight w:val="none"/>
                      <w:u w:val="none" w:color="auto"/>
                      <w:lang w:val="en-US" w:eastAsia="zh-CN"/>
                    </w:rPr>
                    <w:t>1</w:t>
                  </w:r>
                </w:p>
              </w:tc>
              <w:tc>
                <w:tcPr>
                  <w:tcW w:w="510" w:type="pct"/>
                  <w:shd w:val="clear" w:color="auto" w:fill="auto"/>
                  <w:noWrap w:val="0"/>
                  <w:vAlign w:val="center"/>
                </w:tcPr>
                <w:p w14:paraId="18AD1C57">
                  <w:pPr>
                    <w:snapToGrid w:val="0"/>
                    <w:jc w:val="center"/>
                    <w:rPr>
                      <w:rFonts w:hint="eastAsia" w:ascii="Times New Roman" w:hAnsi="Times New Roman" w:eastAsia="宋体" w:cs="Times New Roman"/>
                      <w:i w:val="0"/>
                      <w:iCs w:val="0"/>
                      <w:color w:val="auto"/>
                      <w:kern w:val="2"/>
                      <w:sz w:val="21"/>
                      <w:szCs w:val="24"/>
                      <w:highlight w:val="none"/>
                      <w:u w:val="none" w:color="auto"/>
                      <w:lang w:val="en-US" w:eastAsia="zh-CN" w:bidi="ar-SA"/>
                    </w:rPr>
                  </w:pPr>
                  <w:r>
                    <w:rPr>
                      <w:rFonts w:hint="eastAsia" w:ascii="Times New Roman" w:hAnsi="Times New Roman" w:eastAsia="宋体" w:cs="Times New Roman"/>
                      <w:i w:val="0"/>
                      <w:iCs w:val="0"/>
                      <w:color w:val="auto"/>
                      <w:highlight w:val="none"/>
                      <w:u w:val="none" w:color="auto"/>
                    </w:rPr>
                    <w:t>台</w:t>
                  </w:r>
                </w:p>
              </w:tc>
              <w:tc>
                <w:tcPr>
                  <w:tcW w:w="1525" w:type="pct"/>
                  <w:noWrap w:val="0"/>
                  <w:vAlign w:val="center"/>
                </w:tcPr>
                <w:p w14:paraId="2D21A4D5">
                  <w:pPr>
                    <w:snapToGrid w:val="0"/>
                    <w:jc w:val="center"/>
                    <w:rPr>
                      <w:rFonts w:hint="eastAsia" w:ascii="Times New Roman" w:hAnsi="Times New Roman" w:eastAsia="宋体" w:cs="Times New Roman"/>
                      <w:i w:val="0"/>
                      <w:iCs w:val="0"/>
                      <w:color w:val="auto"/>
                      <w:highlight w:val="none"/>
                      <w:u w:val="none" w:color="auto"/>
                      <w:lang w:val="en-US" w:eastAsia="zh-CN"/>
                    </w:rPr>
                  </w:pPr>
                </w:p>
              </w:tc>
            </w:tr>
            <w:tr w14:paraId="75E0F8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shd w:val="clear" w:color="auto" w:fill="auto"/>
                  <w:noWrap w:val="0"/>
                  <w:vAlign w:val="center"/>
                </w:tcPr>
                <w:p w14:paraId="4AAF094D">
                  <w:pPr>
                    <w:snapToGrid w:val="0"/>
                    <w:jc w:val="center"/>
                    <w:rPr>
                      <w:rFonts w:hint="default" w:ascii="Times New Roman" w:hAnsi="Times New Roman" w:cs="Times New Roman"/>
                      <w:i w:val="0"/>
                      <w:iCs w:val="0"/>
                      <w:color w:val="auto"/>
                      <w:highlight w:val="none"/>
                      <w:u w:val="none" w:color="auto"/>
                      <w:lang w:val="en-US" w:eastAsia="zh-CN"/>
                    </w:rPr>
                  </w:pPr>
                  <w:r>
                    <w:rPr>
                      <w:rFonts w:hint="eastAsia" w:ascii="Times New Roman" w:hAnsi="Times New Roman" w:cs="Times New Roman"/>
                      <w:i w:val="0"/>
                      <w:iCs w:val="0"/>
                      <w:color w:val="auto"/>
                      <w:highlight w:val="none"/>
                      <w:u w:val="none" w:color="auto"/>
                      <w:lang w:val="en-US" w:eastAsia="zh-CN"/>
                    </w:rPr>
                    <w:t>7</w:t>
                  </w:r>
                </w:p>
              </w:tc>
              <w:tc>
                <w:tcPr>
                  <w:tcW w:w="1198" w:type="pct"/>
                  <w:noWrap w:val="0"/>
                  <w:vAlign w:val="center"/>
                </w:tcPr>
                <w:p w14:paraId="6C426BED">
                  <w:pPr>
                    <w:snapToGrid w:val="0"/>
                    <w:jc w:val="center"/>
                    <w:rPr>
                      <w:rFonts w:hint="eastAsia"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骨料秤</w:t>
                  </w:r>
                </w:p>
              </w:tc>
              <w:tc>
                <w:tcPr>
                  <w:tcW w:w="869" w:type="pct"/>
                  <w:noWrap w:val="0"/>
                  <w:vAlign w:val="center"/>
                </w:tcPr>
                <w:p w14:paraId="774AF120">
                  <w:pPr>
                    <w:snapToGrid w:val="0"/>
                    <w:jc w:val="center"/>
                    <w:rPr>
                      <w:rFonts w:hint="eastAsia"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w:t>
                  </w:r>
                </w:p>
              </w:tc>
              <w:tc>
                <w:tcPr>
                  <w:tcW w:w="515" w:type="pct"/>
                  <w:shd w:val="clear" w:color="auto" w:fill="auto"/>
                  <w:noWrap w:val="0"/>
                  <w:vAlign w:val="center"/>
                </w:tcPr>
                <w:p w14:paraId="07D18196">
                  <w:pPr>
                    <w:snapToGrid w:val="0"/>
                    <w:jc w:val="center"/>
                    <w:rPr>
                      <w:rFonts w:hint="eastAsia" w:ascii="Times New Roman" w:hAnsi="Times New Roman" w:eastAsia="宋体" w:cs="Times New Roman"/>
                      <w:i w:val="0"/>
                      <w:iCs w:val="0"/>
                      <w:color w:val="auto"/>
                      <w:kern w:val="2"/>
                      <w:sz w:val="21"/>
                      <w:szCs w:val="24"/>
                      <w:highlight w:val="none"/>
                      <w:u w:val="none" w:color="auto"/>
                      <w:lang w:val="en-US" w:eastAsia="zh-CN" w:bidi="ar-SA"/>
                    </w:rPr>
                  </w:pPr>
                  <w:r>
                    <w:rPr>
                      <w:rFonts w:hint="eastAsia" w:cs="Times New Roman"/>
                      <w:i w:val="0"/>
                      <w:iCs w:val="0"/>
                      <w:color w:val="auto"/>
                      <w:highlight w:val="none"/>
                      <w:u w:val="none" w:color="auto"/>
                      <w:lang w:val="en-US" w:eastAsia="zh-CN"/>
                    </w:rPr>
                    <w:t>1</w:t>
                  </w:r>
                </w:p>
              </w:tc>
              <w:tc>
                <w:tcPr>
                  <w:tcW w:w="510" w:type="pct"/>
                  <w:shd w:val="clear" w:color="auto" w:fill="auto"/>
                  <w:noWrap w:val="0"/>
                  <w:vAlign w:val="center"/>
                </w:tcPr>
                <w:p w14:paraId="466C77D0">
                  <w:pPr>
                    <w:snapToGrid w:val="0"/>
                    <w:jc w:val="center"/>
                    <w:rPr>
                      <w:rFonts w:hint="eastAsia" w:ascii="Times New Roman" w:hAnsi="Times New Roman" w:eastAsia="宋体" w:cs="Times New Roman"/>
                      <w:i w:val="0"/>
                      <w:iCs w:val="0"/>
                      <w:color w:val="auto"/>
                      <w:kern w:val="2"/>
                      <w:sz w:val="21"/>
                      <w:szCs w:val="24"/>
                      <w:highlight w:val="none"/>
                      <w:u w:val="none" w:color="auto"/>
                      <w:lang w:val="en-US" w:eastAsia="zh-CN" w:bidi="ar-SA"/>
                    </w:rPr>
                  </w:pPr>
                  <w:r>
                    <w:rPr>
                      <w:rFonts w:hint="eastAsia" w:ascii="Times New Roman" w:hAnsi="Times New Roman" w:eastAsia="宋体" w:cs="Times New Roman"/>
                      <w:i w:val="0"/>
                      <w:iCs w:val="0"/>
                      <w:color w:val="auto"/>
                      <w:highlight w:val="none"/>
                      <w:u w:val="none" w:color="auto"/>
                    </w:rPr>
                    <w:t>台</w:t>
                  </w:r>
                </w:p>
              </w:tc>
              <w:tc>
                <w:tcPr>
                  <w:tcW w:w="1525" w:type="pct"/>
                  <w:noWrap w:val="0"/>
                  <w:vAlign w:val="center"/>
                </w:tcPr>
                <w:p w14:paraId="6ECDE54C">
                  <w:pPr>
                    <w:snapToGrid w:val="0"/>
                    <w:jc w:val="center"/>
                    <w:rPr>
                      <w:rFonts w:hint="eastAsia" w:ascii="Times New Roman" w:hAnsi="Times New Roman" w:eastAsia="宋体" w:cs="Times New Roman"/>
                      <w:i w:val="0"/>
                      <w:iCs w:val="0"/>
                      <w:color w:val="auto"/>
                      <w:highlight w:val="none"/>
                      <w:u w:val="none" w:color="auto"/>
                      <w:lang w:val="en-US" w:eastAsia="zh-CN"/>
                    </w:rPr>
                  </w:pPr>
                </w:p>
              </w:tc>
            </w:tr>
            <w:tr w14:paraId="11CE52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shd w:val="clear" w:color="auto" w:fill="auto"/>
                  <w:noWrap w:val="0"/>
                  <w:vAlign w:val="center"/>
                </w:tcPr>
                <w:p w14:paraId="2B513399">
                  <w:pPr>
                    <w:snapToGrid w:val="0"/>
                    <w:jc w:val="center"/>
                    <w:rPr>
                      <w:rFonts w:hint="default" w:ascii="Times New Roman" w:hAnsi="Times New Roman" w:cs="Times New Roman"/>
                      <w:i w:val="0"/>
                      <w:iCs w:val="0"/>
                      <w:color w:val="auto"/>
                      <w:highlight w:val="none"/>
                      <w:u w:val="none" w:color="auto"/>
                      <w:lang w:val="en-US" w:eastAsia="zh-CN"/>
                    </w:rPr>
                  </w:pPr>
                  <w:r>
                    <w:rPr>
                      <w:rFonts w:hint="eastAsia" w:ascii="Times New Roman" w:hAnsi="Times New Roman" w:cs="Times New Roman"/>
                      <w:i w:val="0"/>
                      <w:iCs w:val="0"/>
                      <w:color w:val="auto"/>
                      <w:highlight w:val="none"/>
                      <w:u w:val="none" w:color="auto"/>
                      <w:lang w:val="en-US" w:eastAsia="zh-CN"/>
                    </w:rPr>
                    <w:t>8</w:t>
                  </w:r>
                </w:p>
              </w:tc>
              <w:tc>
                <w:tcPr>
                  <w:tcW w:w="1198" w:type="pct"/>
                  <w:noWrap w:val="0"/>
                  <w:vAlign w:val="center"/>
                </w:tcPr>
                <w:p w14:paraId="7B406BEE">
                  <w:pPr>
                    <w:snapToGrid w:val="0"/>
                    <w:jc w:val="center"/>
                    <w:rPr>
                      <w:rFonts w:hint="eastAsia"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外加剂秤</w:t>
                  </w:r>
                </w:p>
              </w:tc>
              <w:tc>
                <w:tcPr>
                  <w:tcW w:w="869" w:type="pct"/>
                  <w:noWrap w:val="0"/>
                  <w:vAlign w:val="center"/>
                </w:tcPr>
                <w:p w14:paraId="7DC9C569">
                  <w:pPr>
                    <w:snapToGrid w:val="0"/>
                    <w:jc w:val="center"/>
                    <w:rPr>
                      <w:rFonts w:hint="eastAsia"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w:t>
                  </w:r>
                </w:p>
              </w:tc>
              <w:tc>
                <w:tcPr>
                  <w:tcW w:w="515" w:type="pct"/>
                  <w:shd w:val="clear" w:color="auto" w:fill="auto"/>
                  <w:noWrap w:val="0"/>
                  <w:vAlign w:val="center"/>
                </w:tcPr>
                <w:p w14:paraId="37129960">
                  <w:pPr>
                    <w:snapToGrid w:val="0"/>
                    <w:jc w:val="center"/>
                    <w:rPr>
                      <w:rFonts w:hint="eastAsia" w:ascii="Times New Roman" w:hAnsi="Times New Roman" w:eastAsia="宋体" w:cs="Times New Roman"/>
                      <w:i w:val="0"/>
                      <w:iCs w:val="0"/>
                      <w:color w:val="auto"/>
                      <w:kern w:val="2"/>
                      <w:sz w:val="21"/>
                      <w:szCs w:val="24"/>
                      <w:highlight w:val="none"/>
                      <w:u w:val="none" w:color="auto"/>
                      <w:lang w:val="en-US" w:eastAsia="zh-CN" w:bidi="ar-SA"/>
                    </w:rPr>
                  </w:pPr>
                  <w:r>
                    <w:rPr>
                      <w:rFonts w:hint="eastAsia" w:cs="Times New Roman"/>
                      <w:i w:val="0"/>
                      <w:iCs w:val="0"/>
                      <w:color w:val="auto"/>
                      <w:highlight w:val="none"/>
                      <w:u w:val="none" w:color="auto"/>
                      <w:lang w:val="en-US" w:eastAsia="zh-CN"/>
                    </w:rPr>
                    <w:t>1</w:t>
                  </w:r>
                </w:p>
              </w:tc>
              <w:tc>
                <w:tcPr>
                  <w:tcW w:w="510" w:type="pct"/>
                  <w:shd w:val="clear" w:color="auto" w:fill="auto"/>
                  <w:noWrap w:val="0"/>
                  <w:vAlign w:val="center"/>
                </w:tcPr>
                <w:p w14:paraId="5F26CAF4">
                  <w:pPr>
                    <w:snapToGrid w:val="0"/>
                    <w:jc w:val="center"/>
                    <w:rPr>
                      <w:rFonts w:hint="eastAsia" w:ascii="Times New Roman" w:hAnsi="Times New Roman" w:eastAsia="宋体" w:cs="Times New Roman"/>
                      <w:i w:val="0"/>
                      <w:iCs w:val="0"/>
                      <w:color w:val="auto"/>
                      <w:kern w:val="2"/>
                      <w:sz w:val="21"/>
                      <w:szCs w:val="24"/>
                      <w:highlight w:val="none"/>
                      <w:u w:val="none" w:color="auto"/>
                      <w:lang w:val="en-US" w:eastAsia="zh-CN" w:bidi="ar-SA"/>
                    </w:rPr>
                  </w:pPr>
                  <w:r>
                    <w:rPr>
                      <w:rFonts w:hint="eastAsia" w:ascii="Times New Roman" w:hAnsi="Times New Roman" w:eastAsia="宋体" w:cs="Times New Roman"/>
                      <w:i w:val="0"/>
                      <w:iCs w:val="0"/>
                      <w:color w:val="auto"/>
                      <w:highlight w:val="none"/>
                      <w:u w:val="none" w:color="auto"/>
                    </w:rPr>
                    <w:t>台</w:t>
                  </w:r>
                </w:p>
              </w:tc>
              <w:tc>
                <w:tcPr>
                  <w:tcW w:w="1525" w:type="pct"/>
                  <w:noWrap w:val="0"/>
                  <w:vAlign w:val="center"/>
                </w:tcPr>
                <w:p w14:paraId="5E6EB76E">
                  <w:pPr>
                    <w:snapToGrid w:val="0"/>
                    <w:jc w:val="center"/>
                    <w:rPr>
                      <w:rFonts w:hint="eastAsia" w:ascii="Times New Roman" w:hAnsi="Times New Roman" w:eastAsia="宋体" w:cs="Times New Roman"/>
                      <w:i w:val="0"/>
                      <w:iCs w:val="0"/>
                      <w:color w:val="auto"/>
                      <w:highlight w:val="none"/>
                      <w:u w:val="none" w:color="auto"/>
                      <w:lang w:val="en-US" w:eastAsia="zh-CN"/>
                    </w:rPr>
                  </w:pPr>
                </w:p>
              </w:tc>
            </w:tr>
            <w:tr w14:paraId="26A4F6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shd w:val="clear" w:color="auto" w:fill="auto"/>
                  <w:noWrap w:val="0"/>
                  <w:vAlign w:val="center"/>
                </w:tcPr>
                <w:p w14:paraId="57FC4919">
                  <w:pPr>
                    <w:snapToGrid w:val="0"/>
                    <w:jc w:val="center"/>
                    <w:rPr>
                      <w:rFonts w:hint="default" w:ascii="Times New Roman" w:hAnsi="Times New Roman" w:cs="Times New Roman"/>
                      <w:i w:val="0"/>
                      <w:iCs w:val="0"/>
                      <w:color w:val="auto"/>
                      <w:highlight w:val="none"/>
                      <w:u w:val="none" w:color="auto"/>
                      <w:lang w:val="en-US" w:eastAsia="zh-CN"/>
                    </w:rPr>
                  </w:pPr>
                  <w:r>
                    <w:rPr>
                      <w:rFonts w:hint="eastAsia" w:ascii="Times New Roman" w:hAnsi="Times New Roman" w:cs="Times New Roman"/>
                      <w:i w:val="0"/>
                      <w:iCs w:val="0"/>
                      <w:color w:val="auto"/>
                      <w:highlight w:val="none"/>
                      <w:u w:val="none" w:color="auto"/>
                      <w:lang w:val="en-US" w:eastAsia="zh-CN"/>
                    </w:rPr>
                    <w:t>9</w:t>
                  </w:r>
                </w:p>
              </w:tc>
              <w:tc>
                <w:tcPr>
                  <w:tcW w:w="1198" w:type="pct"/>
                  <w:noWrap w:val="0"/>
                  <w:vAlign w:val="center"/>
                </w:tcPr>
                <w:p w14:paraId="6F937DE0">
                  <w:pPr>
                    <w:snapToGrid w:val="0"/>
                    <w:jc w:val="center"/>
                    <w:rPr>
                      <w:rFonts w:hint="eastAsia"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水秤</w:t>
                  </w:r>
                </w:p>
              </w:tc>
              <w:tc>
                <w:tcPr>
                  <w:tcW w:w="869" w:type="pct"/>
                  <w:noWrap w:val="0"/>
                  <w:vAlign w:val="center"/>
                </w:tcPr>
                <w:p w14:paraId="1A236427">
                  <w:pPr>
                    <w:snapToGrid w:val="0"/>
                    <w:jc w:val="center"/>
                    <w:rPr>
                      <w:rFonts w:hint="eastAsia"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w:t>
                  </w:r>
                </w:p>
              </w:tc>
              <w:tc>
                <w:tcPr>
                  <w:tcW w:w="515" w:type="pct"/>
                  <w:shd w:val="clear" w:color="auto" w:fill="auto"/>
                  <w:noWrap w:val="0"/>
                  <w:vAlign w:val="center"/>
                </w:tcPr>
                <w:p w14:paraId="4CEEA7B0">
                  <w:pPr>
                    <w:snapToGrid w:val="0"/>
                    <w:jc w:val="center"/>
                    <w:rPr>
                      <w:rFonts w:hint="eastAsia" w:ascii="Times New Roman" w:hAnsi="Times New Roman" w:eastAsia="宋体" w:cs="Times New Roman"/>
                      <w:i w:val="0"/>
                      <w:iCs w:val="0"/>
                      <w:color w:val="auto"/>
                      <w:kern w:val="2"/>
                      <w:sz w:val="21"/>
                      <w:szCs w:val="24"/>
                      <w:highlight w:val="none"/>
                      <w:u w:val="none" w:color="auto"/>
                      <w:lang w:val="en-US" w:eastAsia="zh-CN" w:bidi="ar-SA"/>
                    </w:rPr>
                  </w:pPr>
                  <w:r>
                    <w:rPr>
                      <w:rFonts w:hint="eastAsia" w:cs="Times New Roman"/>
                      <w:i w:val="0"/>
                      <w:iCs w:val="0"/>
                      <w:color w:val="auto"/>
                      <w:highlight w:val="none"/>
                      <w:u w:val="none" w:color="auto"/>
                      <w:lang w:val="en-US" w:eastAsia="zh-CN"/>
                    </w:rPr>
                    <w:t>1</w:t>
                  </w:r>
                </w:p>
              </w:tc>
              <w:tc>
                <w:tcPr>
                  <w:tcW w:w="510" w:type="pct"/>
                  <w:shd w:val="clear" w:color="auto" w:fill="auto"/>
                  <w:noWrap w:val="0"/>
                  <w:vAlign w:val="center"/>
                </w:tcPr>
                <w:p w14:paraId="75509C65">
                  <w:pPr>
                    <w:snapToGrid w:val="0"/>
                    <w:jc w:val="center"/>
                    <w:rPr>
                      <w:rFonts w:hint="eastAsia" w:ascii="Times New Roman" w:hAnsi="Times New Roman" w:eastAsia="宋体" w:cs="Times New Roman"/>
                      <w:i w:val="0"/>
                      <w:iCs w:val="0"/>
                      <w:color w:val="auto"/>
                      <w:kern w:val="2"/>
                      <w:sz w:val="21"/>
                      <w:szCs w:val="24"/>
                      <w:highlight w:val="none"/>
                      <w:u w:val="none" w:color="auto"/>
                      <w:lang w:val="en-US" w:eastAsia="zh-CN" w:bidi="ar-SA"/>
                    </w:rPr>
                  </w:pPr>
                  <w:r>
                    <w:rPr>
                      <w:rFonts w:hint="eastAsia" w:cs="Times New Roman"/>
                      <w:i w:val="0"/>
                      <w:iCs w:val="0"/>
                      <w:color w:val="auto"/>
                      <w:highlight w:val="none"/>
                      <w:u w:val="none" w:color="auto"/>
                      <w:lang w:eastAsia="zh-CN"/>
                    </w:rPr>
                    <w:t>台</w:t>
                  </w:r>
                </w:p>
              </w:tc>
              <w:tc>
                <w:tcPr>
                  <w:tcW w:w="1525" w:type="pct"/>
                  <w:noWrap w:val="0"/>
                  <w:vAlign w:val="center"/>
                </w:tcPr>
                <w:p w14:paraId="24E99259">
                  <w:pPr>
                    <w:snapToGrid w:val="0"/>
                    <w:jc w:val="center"/>
                    <w:rPr>
                      <w:rFonts w:hint="eastAsia" w:ascii="Times New Roman" w:hAnsi="Times New Roman" w:eastAsia="宋体" w:cs="Times New Roman"/>
                      <w:i w:val="0"/>
                      <w:iCs w:val="0"/>
                      <w:color w:val="auto"/>
                      <w:highlight w:val="none"/>
                      <w:u w:val="none" w:color="auto"/>
                      <w:lang w:val="en-US" w:eastAsia="zh-CN"/>
                    </w:rPr>
                  </w:pPr>
                </w:p>
              </w:tc>
            </w:tr>
            <w:tr w14:paraId="270995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shd w:val="clear" w:color="auto" w:fill="auto"/>
                  <w:noWrap w:val="0"/>
                  <w:vAlign w:val="center"/>
                </w:tcPr>
                <w:p w14:paraId="1699CDE4">
                  <w:pPr>
                    <w:snapToGrid w:val="0"/>
                    <w:jc w:val="center"/>
                    <w:rPr>
                      <w:rFonts w:hint="default" w:ascii="Times New Roman" w:hAnsi="Times New Roman" w:cs="Times New Roman"/>
                      <w:i w:val="0"/>
                      <w:iCs w:val="0"/>
                      <w:color w:val="auto"/>
                      <w:highlight w:val="none"/>
                      <w:u w:val="none" w:color="auto"/>
                      <w:lang w:val="en-US" w:eastAsia="zh-CN"/>
                    </w:rPr>
                  </w:pPr>
                  <w:r>
                    <w:rPr>
                      <w:rFonts w:hint="eastAsia" w:ascii="Times New Roman" w:hAnsi="Times New Roman" w:cs="Times New Roman"/>
                      <w:i w:val="0"/>
                      <w:iCs w:val="0"/>
                      <w:color w:val="auto"/>
                      <w:highlight w:val="none"/>
                      <w:u w:val="none" w:color="auto"/>
                      <w:lang w:val="en-US" w:eastAsia="zh-CN"/>
                    </w:rPr>
                    <w:t>10</w:t>
                  </w:r>
                </w:p>
              </w:tc>
              <w:tc>
                <w:tcPr>
                  <w:tcW w:w="1198" w:type="pct"/>
                  <w:shd w:val="clear" w:color="auto" w:fill="auto"/>
                  <w:noWrap w:val="0"/>
                  <w:vAlign w:val="center"/>
                </w:tcPr>
                <w:p w14:paraId="49C58C32">
                  <w:pPr>
                    <w:widowControl/>
                    <w:adjustRightInd w:val="0"/>
                    <w:snapToGrid w:val="0"/>
                    <w:jc w:val="center"/>
                    <w:rPr>
                      <w:rFonts w:hint="eastAsia" w:ascii="宋体" w:hAnsi="宋体" w:eastAsia="宋体" w:cs="宋体"/>
                      <w:color w:val="auto"/>
                      <w:kern w:val="0"/>
                      <w:sz w:val="21"/>
                      <w:szCs w:val="21"/>
                      <w:highlight w:val="none"/>
                      <w:u w:val="none" w:color="auto"/>
                      <w:lang w:val="en-US" w:eastAsia="zh-CN" w:bidi="ar-SA"/>
                    </w:rPr>
                  </w:pPr>
                  <w:r>
                    <w:rPr>
                      <w:rFonts w:hint="eastAsia" w:ascii="宋体" w:hAnsi="宋体" w:eastAsia="宋体" w:cs="宋体"/>
                      <w:color w:val="auto"/>
                      <w:kern w:val="0"/>
                      <w:sz w:val="21"/>
                      <w:szCs w:val="21"/>
                      <w:highlight w:val="none"/>
                      <w:u w:val="none" w:color="auto"/>
                      <w:lang w:eastAsia="zh-CN"/>
                    </w:rPr>
                    <w:t>集料平皮带输送机</w:t>
                  </w:r>
                </w:p>
              </w:tc>
              <w:tc>
                <w:tcPr>
                  <w:tcW w:w="869" w:type="pct"/>
                  <w:noWrap w:val="0"/>
                  <w:vAlign w:val="center"/>
                </w:tcPr>
                <w:p w14:paraId="4F12D547">
                  <w:pPr>
                    <w:snapToGrid w:val="0"/>
                    <w:jc w:val="center"/>
                    <w:rPr>
                      <w:rFonts w:hint="eastAsia"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w:t>
                  </w:r>
                </w:p>
              </w:tc>
              <w:tc>
                <w:tcPr>
                  <w:tcW w:w="515" w:type="pct"/>
                  <w:shd w:val="clear" w:color="auto" w:fill="auto"/>
                  <w:noWrap w:val="0"/>
                  <w:vAlign w:val="center"/>
                </w:tcPr>
                <w:p w14:paraId="73A98BD2">
                  <w:pPr>
                    <w:snapToGrid w:val="0"/>
                    <w:jc w:val="center"/>
                    <w:rPr>
                      <w:rFonts w:hint="eastAsia" w:ascii="Times New Roman" w:hAnsi="Times New Roman" w:eastAsia="宋体" w:cs="Times New Roman"/>
                      <w:i w:val="0"/>
                      <w:iCs w:val="0"/>
                      <w:color w:val="auto"/>
                      <w:kern w:val="2"/>
                      <w:sz w:val="21"/>
                      <w:szCs w:val="24"/>
                      <w:highlight w:val="none"/>
                      <w:u w:val="none" w:color="auto"/>
                      <w:lang w:val="en-US" w:eastAsia="zh-CN" w:bidi="ar-SA"/>
                    </w:rPr>
                  </w:pPr>
                  <w:r>
                    <w:rPr>
                      <w:rFonts w:hint="eastAsia" w:cs="Times New Roman"/>
                      <w:i w:val="0"/>
                      <w:iCs w:val="0"/>
                      <w:color w:val="auto"/>
                      <w:highlight w:val="none"/>
                      <w:u w:val="none" w:color="auto"/>
                      <w:lang w:val="en-US" w:eastAsia="zh-CN"/>
                    </w:rPr>
                    <w:t>1</w:t>
                  </w:r>
                </w:p>
              </w:tc>
              <w:tc>
                <w:tcPr>
                  <w:tcW w:w="510" w:type="pct"/>
                  <w:noWrap w:val="0"/>
                  <w:vAlign w:val="center"/>
                </w:tcPr>
                <w:p w14:paraId="62485CDC">
                  <w:pPr>
                    <w:snapToGrid w:val="0"/>
                    <w:jc w:val="center"/>
                    <w:rPr>
                      <w:rFonts w:hint="eastAsia" w:cs="Times New Roman"/>
                      <w:i w:val="0"/>
                      <w:iCs w:val="0"/>
                      <w:color w:val="auto"/>
                      <w:highlight w:val="none"/>
                      <w:u w:val="none" w:color="auto"/>
                      <w:lang w:eastAsia="zh-CN"/>
                    </w:rPr>
                  </w:pPr>
                  <w:r>
                    <w:rPr>
                      <w:rFonts w:hint="eastAsia" w:cs="Times New Roman"/>
                      <w:i w:val="0"/>
                      <w:iCs w:val="0"/>
                      <w:color w:val="auto"/>
                      <w:highlight w:val="none"/>
                      <w:u w:val="none" w:color="auto"/>
                      <w:lang w:eastAsia="zh-CN"/>
                    </w:rPr>
                    <w:t>套</w:t>
                  </w:r>
                </w:p>
              </w:tc>
              <w:tc>
                <w:tcPr>
                  <w:tcW w:w="1525" w:type="pct"/>
                  <w:noWrap w:val="0"/>
                  <w:vAlign w:val="center"/>
                </w:tcPr>
                <w:p w14:paraId="2B4A8EF2">
                  <w:pPr>
                    <w:snapToGrid w:val="0"/>
                    <w:jc w:val="center"/>
                    <w:rPr>
                      <w:rFonts w:hint="eastAsia" w:ascii="Times New Roman" w:hAnsi="Times New Roman" w:eastAsia="宋体" w:cs="Times New Roman"/>
                      <w:i w:val="0"/>
                      <w:iCs w:val="0"/>
                      <w:color w:val="auto"/>
                      <w:highlight w:val="none"/>
                      <w:u w:val="none" w:color="auto"/>
                      <w:lang w:val="en-US" w:eastAsia="zh-CN"/>
                    </w:rPr>
                  </w:pPr>
                </w:p>
              </w:tc>
            </w:tr>
            <w:tr w14:paraId="7794B0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shd w:val="clear" w:color="auto" w:fill="auto"/>
                  <w:noWrap w:val="0"/>
                  <w:vAlign w:val="center"/>
                </w:tcPr>
                <w:p w14:paraId="4C23CB63">
                  <w:pPr>
                    <w:snapToGrid w:val="0"/>
                    <w:jc w:val="center"/>
                    <w:rPr>
                      <w:rFonts w:hint="default" w:ascii="Times New Roman" w:hAnsi="Times New Roman" w:cs="Times New Roman"/>
                      <w:i w:val="0"/>
                      <w:iCs w:val="0"/>
                      <w:color w:val="auto"/>
                      <w:highlight w:val="none"/>
                      <w:u w:val="none" w:color="auto"/>
                      <w:lang w:val="en-US" w:eastAsia="zh-CN"/>
                    </w:rPr>
                  </w:pPr>
                  <w:r>
                    <w:rPr>
                      <w:rFonts w:hint="eastAsia" w:ascii="Times New Roman" w:hAnsi="Times New Roman" w:cs="Times New Roman"/>
                      <w:i w:val="0"/>
                      <w:iCs w:val="0"/>
                      <w:color w:val="auto"/>
                      <w:highlight w:val="none"/>
                      <w:u w:val="none" w:color="auto"/>
                      <w:lang w:val="en-US" w:eastAsia="zh-CN"/>
                    </w:rPr>
                    <w:t>11</w:t>
                  </w:r>
                </w:p>
              </w:tc>
              <w:tc>
                <w:tcPr>
                  <w:tcW w:w="1198" w:type="pct"/>
                  <w:shd w:val="clear" w:color="auto" w:fill="auto"/>
                  <w:noWrap w:val="0"/>
                  <w:vAlign w:val="center"/>
                </w:tcPr>
                <w:p w14:paraId="01C7A207">
                  <w:pPr>
                    <w:widowControl/>
                    <w:adjustRightInd w:val="0"/>
                    <w:snapToGrid w:val="0"/>
                    <w:jc w:val="center"/>
                    <w:rPr>
                      <w:rFonts w:hint="default" w:ascii="宋体" w:hAnsi="宋体" w:eastAsia="宋体" w:cs="宋体"/>
                      <w:color w:val="auto"/>
                      <w:kern w:val="0"/>
                      <w:sz w:val="21"/>
                      <w:szCs w:val="21"/>
                      <w:highlight w:val="none"/>
                      <w:u w:val="none" w:color="auto"/>
                      <w:lang w:val="en-US" w:eastAsia="zh-CN" w:bidi="ar-SA"/>
                    </w:rPr>
                  </w:pPr>
                  <w:r>
                    <w:rPr>
                      <w:rFonts w:hint="eastAsia" w:ascii="宋体" w:hAnsi="宋体" w:eastAsia="宋体" w:cs="宋体"/>
                      <w:color w:val="auto"/>
                      <w:kern w:val="0"/>
                      <w:sz w:val="21"/>
                      <w:szCs w:val="21"/>
                      <w:highlight w:val="none"/>
                      <w:u w:val="none" w:color="auto"/>
                      <w:lang w:eastAsia="zh-CN"/>
                    </w:rPr>
                    <w:t>斜皮带输送机</w:t>
                  </w:r>
                  <w:r>
                    <w:rPr>
                      <w:rFonts w:hint="eastAsia" w:ascii="宋体" w:hAnsi="宋体" w:eastAsia="宋体" w:cs="宋体"/>
                      <w:color w:val="auto"/>
                      <w:kern w:val="0"/>
                      <w:sz w:val="21"/>
                      <w:szCs w:val="21"/>
                      <w:highlight w:val="none"/>
                      <w:u w:val="none" w:color="auto"/>
                      <w:lang w:val="en-US" w:eastAsia="zh-CN"/>
                    </w:rPr>
                    <w:t xml:space="preserve"> </w:t>
                  </w:r>
                </w:p>
              </w:tc>
              <w:tc>
                <w:tcPr>
                  <w:tcW w:w="869" w:type="pct"/>
                  <w:noWrap w:val="0"/>
                  <w:vAlign w:val="center"/>
                </w:tcPr>
                <w:p w14:paraId="7F721A9F">
                  <w:pPr>
                    <w:snapToGrid w:val="0"/>
                    <w:jc w:val="center"/>
                    <w:rPr>
                      <w:rFonts w:hint="eastAsia"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w:t>
                  </w:r>
                </w:p>
              </w:tc>
              <w:tc>
                <w:tcPr>
                  <w:tcW w:w="515" w:type="pct"/>
                  <w:shd w:val="clear" w:color="auto" w:fill="auto"/>
                  <w:noWrap w:val="0"/>
                  <w:vAlign w:val="center"/>
                </w:tcPr>
                <w:p w14:paraId="4D898275">
                  <w:pPr>
                    <w:snapToGrid w:val="0"/>
                    <w:jc w:val="center"/>
                    <w:rPr>
                      <w:rFonts w:hint="eastAsia" w:ascii="Times New Roman" w:hAnsi="Times New Roman" w:eastAsia="宋体" w:cs="Times New Roman"/>
                      <w:i w:val="0"/>
                      <w:iCs w:val="0"/>
                      <w:color w:val="auto"/>
                      <w:kern w:val="2"/>
                      <w:sz w:val="21"/>
                      <w:szCs w:val="24"/>
                      <w:highlight w:val="none"/>
                      <w:u w:val="none" w:color="auto"/>
                      <w:lang w:val="en-US" w:eastAsia="zh-CN" w:bidi="ar-SA"/>
                    </w:rPr>
                  </w:pPr>
                  <w:r>
                    <w:rPr>
                      <w:rFonts w:hint="eastAsia" w:cs="Times New Roman"/>
                      <w:i w:val="0"/>
                      <w:iCs w:val="0"/>
                      <w:color w:val="auto"/>
                      <w:highlight w:val="none"/>
                      <w:u w:val="none" w:color="auto"/>
                      <w:lang w:val="en-US" w:eastAsia="zh-CN"/>
                    </w:rPr>
                    <w:t>1</w:t>
                  </w:r>
                </w:p>
              </w:tc>
              <w:tc>
                <w:tcPr>
                  <w:tcW w:w="510" w:type="pct"/>
                  <w:noWrap w:val="0"/>
                  <w:vAlign w:val="center"/>
                </w:tcPr>
                <w:p w14:paraId="6E2B6A29">
                  <w:pPr>
                    <w:snapToGrid w:val="0"/>
                    <w:jc w:val="center"/>
                    <w:rPr>
                      <w:rFonts w:hint="eastAsia" w:cs="Times New Roman"/>
                      <w:i w:val="0"/>
                      <w:iCs w:val="0"/>
                      <w:color w:val="auto"/>
                      <w:highlight w:val="none"/>
                      <w:u w:val="none" w:color="auto"/>
                      <w:lang w:eastAsia="zh-CN"/>
                    </w:rPr>
                  </w:pPr>
                  <w:r>
                    <w:rPr>
                      <w:rFonts w:hint="eastAsia" w:cs="Times New Roman"/>
                      <w:i w:val="0"/>
                      <w:iCs w:val="0"/>
                      <w:color w:val="auto"/>
                      <w:highlight w:val="none"/>
                      <w:u w:val="none" w:color="auto"/>
                      <w:lang w:eastAsia="zh-CN"/>
                    </w:rPr>
                    <w:t>套</w:t>
                  </w:r>
                </w:p>
              </w:tc>
              <w:tc>
                <w:tcPr>
                  <w:tcW w:w="1525" w:type="pct"/>
                  <w:noWrap w:val="0"/>
                  <w:vAlign w:val="center"/>
                </w:tcPr>
                <w:p w14:paraId="12A5A1D0">
                  <w:pPr>
                    <w:snapToGrid w:val="0"/>
                    <w:jc w:val="center"/>
                    <w:rPr>
                      <w:rFonts w:hint="eastAsia" w:ascii="Times New Roman" w:hAnsi="Times New Roman" w:eastAsia="宋体" w:cs="Times New Roman"/>
                      <w:i w:val="0"/>
                      <w:iCs w:val="0"/>
                      <w:color w:val="auto"/>
                      <w:highlight w:val="none"/>
                      <w:u w:val="none" w:color="auto"/>
                      <w:lang w:val="en-US" w:eastAsia="zh-CN"/>
                    </w:rPr>
                  </w:pPr>
                </w:p>
              </w:tc>
            </w:tr>
            <w:tr w14:paraId="6BC260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shd w:val="clear" w:color="auto" w:fill="auto"/>
                  <w:noWrap w:val="0"/>
                  <w:vAlign w:val="center"/>
                </w:tcPr>
                <w:p w14:paraId="13A16100">
                  <w:pPr>
                    <w:snapToGrid w:val="0"/>
                    <w:jc w:val="center"/>
                    <w:rPr>
                      <w:rFonts w:hint="default" w:ascii="Times New Roman" w:hAnsi="Times New Roman" w:cs="Times New Roman"/>
                      <w:i w:val="0"/>
                      <w:iCs w:val="0"/>
                      <w:color w:val="auto"/>
                      <w:highlight w:val="none"/>
                      <w:u w:val="none" w:color="auto"/>
                      <w:lang w:val="en-US" w:eastAsia="zh-CN"/>
                    </w:rPr>
                  </w:pPr>
                  <w:r>
                    <w:rPr>
                      <w:rFonts w:hint="eastAsia" w:ascii="Times New Roman" w:hAnsi="Times New Roman" w:cs="Times New Roman"/>
                      <w:i w:val="0"/>
                      <w:iCs w:val="0"/>
                      <w:color w:val="auto"/>
                      <w:highlight w:val="none"/>
                      <w:u w:val="none" w:color="auto"/>
                      <w:lang w:val="en-US" w:eastAsia="zh-CN"/>
                    </w:rPr>
                    <w:t>12</w:t>
                  </w:r>
                </w:p>
              </w:tc>
              <w:tc>
                <w:tcPr>
                  <w:tcW w:w="1198" w:type="pct"/>
                  <w:noWrap w:val="0"/>
                  <w:vAlign w:val="center"/>
                </w:tcPr>
                <w:p w14:paraId="55F43AF6">
                  <w:pPr>
                    <w:snapToGrid w:val="0"/>
                    <w:jc w:val="center"/>
                    <w:rPr>
                      <w:rFonts w:hint="eastAsia" w:ascii="Times New Roman" w:hAnsi="Times New Roman" w:eastAsia="宋体" w:cs="Times New Roman"/>
                      <w:i w:val="0"/>
                      <w:iCs w:val="0"/>
                      <w:color w:val="auto"/>
                      <w:highlight w:val="none"/>
                      <w:u w:val="none" w:color="auto"/>
                      <w:lang w:val="en-US" w:eastAsia="zh-CN"/>
                    </w:rPr>
                  </w:pPr>
                  <w:r>
                    <w:rPr>
                      <w:rFonts w:hint="eastAsia" w:ascii="Times New Roman" w:hAnsi="Times New Roman" w:eastAsia="宋体" w:cs="Times New Roman"/>
                      <w:i w:val="0"/>
                      <w:iCs w:val="0"/>
                      <w:color w:val="auto"/>
                      <w:highlight w:val="none"/>
                      <w:u w:val="none" w:color="auto"/>
                    </w:rPr>
                    <w:t>罐车</w:t>
                  </w:r>
                </w:p>
              </w:tc>
              <w:tc>
                <w:tcPr>
                  <w:tcW w:w="869" w:type="pct"/>
                  <w:noWrap w:val="0"/>
                  <w:vAlign w:val="center"/>
                </w:tcPr>
                <w:p w14:paraId="4F3B9F49">
                  <w:pPr>
                    <w:snapToGrid w:val="0"/>
                    <w:jc w:val="center"/>
                    <w:rPr>
                      <w:rFonts w:hint="default" w:ascii="Times New Roman" w:hAnsi="Times New Roman" w:eastAsia="宋体" w:cs="Times New Roman"/>
                      <w:i w:val="0"/>
                      <w:iCs w:val="0"/>
                      <w:color w:val="auto"/>
                      <w:highlight w:val="none"/>
                      <w:u w:val="none" w:color="auto"/>
                      <w:lang w:val="en-US" w:eastAsia="zh-CN"/>
                    </w:rPr>
                  </w:pPr>
                  <w:r>
                    <w:rPr>
                      <w:rFonts w:hint="eastAsia" w:ascii="Times New Roman" w:hAnsi="Times New Roman" w:eastAsia="宋体" w:cs="Times New Roman"/>
                      <w:i w:val="0"/>
                      <w:iCs w:val="0"/>
                      <w:color w:val="auto"/>
                      <w:highlight w:val="none"/>
                      <w:u w:val="none" w:color="auto"/>
                      <w:lang w:val="en-US" w:eastAsia="zh-CN"/>
                    </w:rPr>
                    <w:t>1</w:t>
                  </w:r>
                  <w:r>
                    <w:rPr>
                      <w:rFonts w:hint="eastAsia" w:cs="Times New Roman"/>
                      <w:i w:val="0"/>
                      <w:iCs w:val="0"/>
                      <w:color w:val="auto"/>
                      <w:highlight w:val="none"/>
                      <w:u w:val="none" w:color="auto"/>
                      <w:lang w:val="en-US" w:eastAsia="zh-CN"/>
                    </w:rPr>
                    <w:t>0m</w:t>
                  </w:r>
                  <w:r>
                    <w:rPr>
                      <w:rFonts w:hint="eastAsia" w:cs="Times New Roman"/>
                      <w:i w:val="0"/>
                      <w:iCs w:val="0"/>
                      <w:color w:val="auto"/>
                      <w:highlight w:val="none"/>
                      <w:u w:val="none" w:color="auto"/>
                      <w:vertAlign w:val="superscript"/>
                      <w:lang w:val="en-US" w:eastAsia="zh-CN"/>
                    </w:rPr>
                    <w:t>3</w:t>
                  </w:r>
                  <w:r>
                    <w:rPr>
                      <w:rFonts w:hint="eastAsia" w:cs="Times New Roman"/>
                      <w:i w:val="0"/>
                      <w:iCs w:val="0"/>
                      <w:color w:val="auto"/>
                      <w:highlight w:val="none"/>
                      <w:u w:val="none" w:color="auto"/>
                      <w:lang w:val="en-US" w:eastAsia="zh-CN"/>
                    </w:rPr>
                    <w:t>、</w:t>
                  </w:r>
                  <w:r>
                    <w:rPr>
                      <w:rFonts w:hint="eastAsia" w:ascii="Times New Roman" w:hAnsi="Times New Roman" w:eastAsia="宋体" w:cs="Times New Roman"/>
                      <w:i w:val="0"/>
                      <w:iCs w:val="0"/>
                      <w:color w:val="auto"/>
                      <w:highlight w:val="none"/>
                      <w:u w:val="none" w:color="auto"/>
                      <w:lang w:val="en-US" w:eastAsia="zh-CN"/>
                    </w:rPr>
                    <w:t>1</w:t>
                  </w:r>
                  <w:r>
                    <w:rPr>
                      <w:rFonts w:hint="eastAsia" w:cs="Times New Roman"/>
                      <w:i w:val="0"/>
                      <w:iCs w:val="0"/>
                      <w:color w:val="auto"/>
                      <w:highlight w:val="none"/>
                      <w:u w:val="none" w:color="auto"/>
                      <w:lang w:val="en-US" w:eastAsia="zh-CN"/>
                    </w:rPr>
                    <w:t>2m</w:t>
                  </w:r>
                  <w:r>
                    <w:rPr>
                      <w:rFonts w:hint="eastAsia" w:cs="Times New Roman"/>
                      <w:i w:val="0"/>
                      <w:iCs w:val="0"/>
                      <w:color w:val="auto"/>
                      <w:highlight w:val="none"/>
                      <w:u w:val="none" w:color="auto"/>
                      <w:vertAlign w:val="superscript"/>
                      <w:lang w:val="en-US" w:eastAsia="zh-CN"/>
                    </w:rPr>
                    <w:t>3</w:t>
                  </w:r>
                </w:p>
              </w:tc>
              <w:tc>
                <w:tcPr>
                  <w:tcW w:w="515" w:type="pct"/>
                  <w:noWrap w:val="0"/>
                  <w:vAlign w:val="center"/>
                </w:tcPr>
                <w:p w14:paraId="505F87E8">
                  <w:pPr>
                    <w:snapToGrid w:val="0"/>
                    <w:jc w:val="center"/>
                    <w:rPr>
                      <w:rFonts w:hint="default" w:ascii="Times New Roman" w:hAnsi="Times New Roman" w:eastAsia="宋体"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16</w:t>
                  </w:r>
                </w:p>
              </w:tc>
              <w:tc>
                <w:tcPr>
                  <w:tcW w:w="510" w:type="pct"/>
                  <w:noWrap w:val="0"/>
                  <w:vAlign w:val="center"/>
                </w:tcPr>
                <w:p w14:paraId="4BE16732">
                  <w:pPr>
                    <w:snapToGrid w:val="0"/>
                    <w:jc w:val="center"/>
                    <w:rPr>
                      <w:rFonts w:hint="eastAsia" w:ascii="Times New Roman" w:hAnsi="Times New Roman" w:eastAsia="宋体" w:cs="Times New Roman"/>
                      <w:i w:val="0"/>
                      <w:iCs w:val="0"/>
                      <w:color w:val="auto"/>
                      <w:highlight w:val="none"/>
                      <w:u w:val="none" w:color="auto"/>
                    </w:rPr>
                  </w:pPr>
                  <w:r>
                    <w:rPr>
                      <w:rFonts w:hint="eastAsia" w:ascii="Times New Roman" w:hAnsi="Times New Roman" w:eastAsia="宋体" w:cs="Times New Roman"/>
                      <w:i w:val="0"/>
                      <w:iCs w:val="0"/>
                      <w:color w:val="auto"/>
                      <w:highlight w:val="none"/>
                      <w:u w:val="none" w:color="auto"/>
                    </w:rPr>
                    <w:t>台</w:t>
                  </w:r>
                </w:p>
              </w:tc>
              <w:tc>
                <w:tcPr>
                  <w:tcW w:w="1525" w:type="pct"/>
                  <w:noWrap w:val="0"/>
                  <w:vAlign w:val="center"/>
                </w:tcPr>
                <w:p w14:paraId="31C2859D">
                  <w:pPr>
                    <w:snapToGrid w:val="0"/>
                    <w:jc w:val="center"/>
                    <w:rPr>
                      <w:rFonts w:hint="default" w:ascii="Times New Roman" w:hAnsi="Times New Roman" w:eastAsia="宋体"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8台</w:t>
                  </w:r>
                  <w:r>
                    <w:rPr>
                      <w:rFonts w:hint="eastAsia" w:ascii="Times New Roman" w:hAnsi="Times New Roman" w:eastAsia="宋体" w:cs="Times New Roman"/>
                      <w:i w:val="0"/>
                      <w:iCs w:val="0"/>
                      <w:color w:val="auto"/>
                      <w:highlight w:val="none"/>
                      <w:u w:val="none" w:color="auto"/>
                      <w:lang w:val="en-US" w:eastAsia="zh-CN"/>
                    </w:rPr>
                    <w:t>1</w:t>
                  </w:r>
                  <w:r>
                    <w:rPr>
                      <w:rFonts w:hint="eastAsia" w:cs="Times New Roman"/>
                      <w:i w:val="0"/>
                      <w:iCs w:val="0"/>
                      <w:color w:val="auto"/>
                      <w:highlight w:val="none"/>
                      <w:u w:val="none" w:color="auto"/>
                      <w:lang w:val="en-US" w:eastAsia="zh-CN"/>
                    </w:rPr>
                    <w:t>0m</w:t>
                  </w:r>
                  <w:r>
                    <w:rPr>
                      <w:rFonts w:hint="eastAsia" w:cs="Times New Roman"/>
                      <w:i w:val="0"/>
                      <w:iCs w:val="0"/>
                      <w:color w:val="auto"/>
                      <w:highlight w:val="none"/>
                      <w:u w:val="none" w:color="auto"/>
                      <w:vertAlign w:val="superscript"/>
                      <w:lang w:val="en-US" w:eastAsia="zh-CN"/>
                    </w:rPr>
                    <w:t>3</w:t>
                  </w:r>
                  <w:r>
                    <w:rPr>
                      <w:rFonts w:hint="eastAsia" w:cs="Times New Roman"/>
                      <w:i w:val="0"/>
                      <w:iCs w:val="0"/>
                      <w:color w:val="auto"/>
                      <w:highlight w:val="none"/>
                      <w:u w:val="none" w:color="auto"/>
                      <w:lang w:val="en-US" w:eastAsia="zh-CN"/>
                    </w:rPr>
                    <w:t>、8台</w:t>
                  </w:r>
                  <w:r>
                    <w:rPr>
                      <w:rFonts w:hint="eastAsia" w:ascii="Times New Roman" w:hAnsi="Times New Roman" w:eastAsia="宋体" w:cs="Times New Roman"/>
                      <w:i w:val="0"/>
                      <w:iCs w:val="0"/>
                      <w:color w:val="auto"/>
                      <w:highlight w:val="none"/>
                      <w:u w:val="none" w:color="auto"/>
                      <w:lang w:val="en-US" w:eastAsia="zh-CN"/>
                    </w:rPr>
                    <w:t>1</w:t>
                  </w:r>
                  <w:r>
                    <w:rPr>
                      <w:rFonts w:hint="eastAsia" w:cs="Times New Roman"/>
                      <w:i w:val="0"/>
                      <w:iCs w:val="0"/>
                      <w:color w:val="auto"/>
                      <w:highlight w:val="none"/>
                      <w:u w:val="none" w:color="auto"/>
                      <w:lang w:val="en-US" w:eastAsia="zh-CN"/>
                    </w:rPr>
                    <w:t>2m</w:t>
                  </w:r>
                  <w:r>
                    <w:rPr>
                      <w:rFonts w:hint="eastAsia" w:cs="Times New Roman"/>
                      <w:i w:val="0"/>
                      <w:iCs w:val="0"/>
                      <w:color w:val="auto"/>
                      <w:highlight w:val="none"/>
                      <w:u w:val="none" w:color="auto"/>
                      <w:vertAlign w:val="superscript"/>
                      <w:lang w:val="en-US" w:eastAsia="zh-CN"/>
                    </w:rPr>
                    <w:t>3</w:t>
                  </w:r>
                </w:p>
              </w:tc>
            </w:tr>
            <w:tr w14:paraId="47EE81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noWrap w:val="0"/>
                  <w:vAlign w:val="center"/>
                </w:tcPr>
                <w:p w14:paraId="299B3242">
                  <w:pPr>
                    <w:snapToGrid w:val="0"/>
                    <w:jc w:val="center"/>
                    <w:rPr>
                      <w:rFonts w:hint="default" w:ascii="Times New Roman" w:hAnsi="Times New Roman" w:cs="Times New Roman"/>
                      <w:i w:val="0"/>
                      <w:iCs w:val="0"/>
                      <w:color w:val="auto"/>
                      <w:highlight w:val="none"/>
                      <w:u w:val="none" w:color="auto"/>
                      <w:lang w:val="en-US" w:eastAsia="zh-CN"/>
                    </w:rPr>
                  </w:pPr>
                  <w:r>
                    <w:rPr>
                      <w:rFonts w:hint="eastAsia" w:ascii="Times New Roman" w:hAnsi="Times New Roman" w:cs="Times New Roman"/>
                      <w:i w:val="0"/>
                      <w:iCs w:val="0"/>
                      <w:color w:val="auto"/>
                      <w:highlight w:val="none"/>
                      <w:u w:val="none" w:color="auto"/>
                      <w:lang w:val="en-US" w:eastAsia="zh-CN"/>
                    </w:rPr>
                    <w:t>13</w:t>
                  </w:r>
                </w:p>
              </w:tc>
              <w:tc>
                <w:tcPr>
                  <w:tcW w:w="1198" w:type="pct"/>
                  <w:noWrap w:val="0"/>
                  <w:vAlign w:val="center"/>
                </w:tcPr>
                <w:p w14:paraId="745FF6AF">
                  <w:pPr>
                    <w:snapToGrid w:val="0"/>
                    <w:jc w:val="center"/>
                    <w:rPr>
                      <w:rFonts w:hint="eastAsia" w:ascii="Times New Roman" w:hAnsi="Times New Roman" w:eastAsia="宋体"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铲车</w:t>
                  </w:r>
                </w:p>
              </w:tc>
              <w:tc>
                <w:tcPr>
                  <w:tcW w:w="869" w:type="pct"/>
                  <w:noWrap w:val="0"/>
                  <w:vAlign w:val="center"/>
                </w:tcPr>
                <w:p w14:paraId="7F15D3B7">
                  <w:pPr>
                    <w:snapToGrid w:val="0"/>
                    <w:jc w:val="center"/>
                    <w:rPr>
                      <w:rFonts w:hint="default" w:ascii="Times New Roman" w:hAnsi="Times New Roman" w:eastAsia="宋体"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50型、30型</w:t>
                  </w:r>
                </w:p>
              </w:tc>
              <w:tc>
                <w:tcPr>
                  <w:tcW w:w="515" w:type="pct"/>
                  <w:noWrap w:val="0"/>
                  <w:vAlign w:val="center"/>
                </w:tcPr>
                <w:p w14:paraId="0B74EEE1">
                  <w:pPr>
                    <w:snapToGrid w:val="0"/>
                    <w:jc w:val="center"/>
                    <w:rPr>
                      <w:rFonts w:hint="eastAsia" w:ascii="Times New Roman" w:hAnsi="Times New Roman" w:eastAsia="宋体"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2</w:t>
                  </w:r>
                </w:p>
              </w:tc>
              <w:tc>
                <w:tcPr>
                  <w:tcW w:w="510" w:type="pct"/>
                  <w:noWrap w:val="0"/>
                  <w:vAlign w:val="center"/>
                </w:tcPr>
                <w:p w14:paraId="3E852104">
                  <w:pPr>
                    <w:snapToGrid w:val="0"/>
                    <w:jc w:val="center"/>
                    <w:rPr>
                      <w:rFonts w:hint="default" w:ascii="Times New Roman" w:hAnsi="Times New Roman" w:eastAsia="宋体"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台</w:t>
                  </w:r>
                </w:p>
              </w:tc>
              <w:tc>
                <w:tcPr>
                  <w:tcW w:w="1525" w:type="pct"/>
                  <w:noWrap w:val="0"/>
                  <w:vAlign w:val="center"/>
                </w:tcPr>
                <w:p w14:paraId="120BE118">
                  <w:pPr>
                    <w:snapToGrid w:val="0"/>
                    <w:jc w:val="center"/>
                    <w:rPr>
                      <w:rFonts w:hint="eastAsia" w:ascii="Times New Roman" w:hAnsi="Times New Roman" w:eastAsia="宋体" w:cs="Times New Roman"/>
                      <w:i w:val="0"/>
                      <w:iCs w:val="0"/>
                      <w:color w:val="auto"/>
                      <w:highlight w:val="none"/>
                      <w:u w:val="none" w:color="auto"/>
                      <w:lang w:val="en-US" w:eastAsia="zh-CN"/>
                    </w:rPr>
                  </w:pPr>
                </w:p>
              </w:tc>
            </w:tr>
            <w:tr w14:paraId="62AC5B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noWrap w:val="0"/>
                  <w:vAlign w:val="center"/>
                </w:tcPr>
                <w:p w14:paraId="5772B830">
                  <w:pPr>
                    <w:snapToGrid w:val="0"/>
                    <w:jc w:val="center"/>
                    <w:rPr>
                      <w:rFonts w:hint="default" w:ascii="Times New Roman" w:hAnsi="Times New Roman" w:cs="Times New Roman"/>
                      <w:i w:val="0"/>
                      <w:iCs w:val="0"/>
                      <w:color w:val="auto"/>
                      <w:highlight w:val="none"/>
                      <w:u w:val="none" w:color="auto"/>
                      <w:lang w:val="en-US" w:eastAsia="zh-CN"/>
                    </w:rPr>
                  </w:pPr>
                  <w:r>
                    <w:rPr>
                      <w:rFonts w:hint="eastAsia" w:ascii="Times New Roman" w:hAnsi="Times New Roman" w:cs="Times New Roman"/>
                      <w:i w:val="0"/>
                      <w:iCs w:val="0"/>
                      <w:color w:val="auto"/>
                      <w:highlight w:val="none"/>
                      <w:u w:val="none" w:color="auto"/>
                      <w:lang w:val="en-US" w:eastAsia="zh-CN"/>
                    </w:rPr>
                    <w:t>14</w:t>
                  </w:r>
                </w:p>
              </w:tc>
              <w:tc>
                <w:tcPr>
                  <w:tcW w:w="1198" w:type="pct"/>
                  <w:noWrap w:val="0"/>
                  <w:vAlign w:val="center"/>
                </w:tcPr>
                <w:p w14:paraId="632A4A15">
                  <w:pPr>
                    <w:snapToGrid w:val="0"/>
                    <w:jc w:val="center"/>
                    <w:rPr>
                      <w:rFonts w:hint="eastAsia" w:ascii="Times New Roman" w:hAnsi="Times New Roman" w:eastAsia="宋体" w:cs="Times New Roman"/>
                      <w:i w:val="0"/>
                      <w:iCs w:val="0"/>
                      <w:color w:val="auto"/>
                      <w:highlight w:val="none"/>
                      <w:u w:val="none" w:color="auto"/>
                      <w:lang w:eastAsia="zh-CN"/>
                    </w:rPr>
                  </w:pPr>
                  <w:r>
                    <w:rPr>
                      <w:rFonts w:hint="eastAsia" w:cs="Times New Roman"/>
                      <w:i w:val="0"/>
                      <w:iCs w:val="0"/>
                      <w:color w:val="auto"/>
                      <w:highlight w:val="none"/>
                      <w:u w:val="none" w:color="auto"/>
                      <w:lang w:eastAsia="zh-CN"/>
                    </w:rPr>
                    <w:t>地磅</w:t>
                  </w:r>
                </w:p>
              </w:tc>
              <w:tc>
                <w:tcPr>
                  <w:tcW w:w="869" w:type="pct"/>
                  <w:noWrap w:val="0"/>
                  <w:vAlign w:val="center"/>
                </w:tcPr>
                <w:p w14:paraId="1B27AE41">
                  <w:pPr>
                    <w:snapToGrid w:val="0"/>
                    <w:jc w:val="center"/>
                    <w:rPr>
                      <w:rFonts w:hint="default" w:ascii="Times New Roman" w:hAnsi="Times New Roman" w:eastAsia="宋体"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w:t>
                  </w:r>
                </w:p>
              </w:tc>
              <w:tc>
                <w:tcPr>
                  <w:tcW w:w="515" w:type="pct"/>
                  <w:shd w:val="clear" w:color="auto" w:fill="auto"/>
                  <w:noWrap w:val="0"/>
                  <w:vAlign w:val="center"/>
                </w:tcPr>
                <w:p w14:paraId="62D8D925">
                  <w:pPr>
                    <w:snapToGrid w:val="0"/>
                    <w:jc w:val="center"/>
                    <w:rPr>
                      <w:rFonts w:hint="eastAsia" w:ascii="Times New Roman" w:hAnsi="Times New Roman" w:eastAsia="宋体" w:cs="Times New Roman"/>
                      <w:i w:val="0"/>
                      <w:iCs w:val="0"/>
                      <w:color w:val="auto"/>
                      <w:kern w:val="2"/>
                      <w:sz w:val="21"/>
                      <w:szCs w:val="24"/>
                      <w:highlight w:val="none"/>
                      <w:u w:val="none" w:color="auto"/>
                      <w:lang w:val="en-US" w:eastAsia="zh-CN" w:bidi="ar-SA"/>
                    </w:rPr>
                  </w:pPr>
                  <w:r>
                    <w:rPr>
                      <w:rFonts w:hint="eastAsia" w:ascii="Times New Roman" w:hAnsi="Times New Roman" w:eastAsia="宋体" w:cs="Times New Roman"/>
                      <w:i w:val="0"/>
                      <w:iCs w:val="0"/>
                      <w:color w:val="auto"/>
                      <w:highlight w:val="none"/>
                      <w:u w:val="none" w:color="auto"/>
                    </w:rPr>
                    <w:t>1</w:t>
                  </w:r>
                </w:p>
              </w:tc>
              <w:tc>
                <w:tcPr>
                  <w:tcW w:w="510" w:type="pct"/>
                  <w:shd w:val="clear" w:color="auto" w:fill="auto"/>
                  <w:noWrap w:val="0"/>
                  <w:vAlign w:val="center"/>
                </w:tcPr>
                <w:p w14:paraId="11F97D8B">
                  <w:pPr>
                    <w:snapToGrid w:val="0"/>
                    <w:jc w:val="center"/>
                    <w:rPr>
                      <w:rFonts w:hint="eastAsia" w:ascii="Times New Roman" w:hAnsi="Times New Roman" w:eastAsia="宋体" w:cs="Times New Roman"/>
                      <w:i w:val="0"/>
                      <w:iCs w:val="0"/>
                      <w:color w:val="auto"/>
                      <w:kern w:val="2"/>
                      <w:sz w:val="21"/>
                      <w:szCs w:val="24"/>
                      <w:highlight w:val="none"/>
                      <w:u w:val="none" w:color="auto"/>
                      <w:lang w:val="en-US" w:eastAsia="zh-CN" w:bidi="ar-SA"/>
                    </w:rPr>
                  </w:pPr>
                  <w:r>
                    <w:rPr>
                      <w:rFonts w:hint="eastAsia" w:eastAsia="宋体" w:cs="Times New Roman"/>
                      <w:i w:val="0"/>
                      <w:iCs w:val="0"/>
                      <w:color w:val="auto"/>
                      <w:highlight w:val="none"/>
                      <w:u w:val="none" w:color="auto"/>
                      <w:lang w:eastAsia="zh-CN"/>
                    </w:rPr>
                    <w:t>台</w:t>
                  </w:r>
                </w:p>
              </w:tc>
              <w:tc>
                <w:tcPr>
                  <w:tcW w:w="1525" w:type="pct"/>
                  <w:noWrap w:val="0"/>
                  <w:vAlign w:val="center"/>
                </w:tcPr>
                <w:p w14:paraId="0A775F00">
                  <w:pPr>
                    <w:snapToGrid w:val="0"/>
                    <w:jc w:val="center"/>
                    <w:rPr>
                      <w:rFonts w:hint="eastAsia" w:ascii="Times New Roman" w:hAnsi="Times New Roman" w:eastAsia="宋体" w:cs="Times New Roman"/>
                      <w:i w:val="0"/>
                      <w:iCs w:val="0"/>
                      <w:color w:val="auto"/>
                      <w:highlight w:val="none"/>
                      <w:u w:val="none" w:color="auto"/>
                      <w:lang w:val="en-US" w:eastAsia="zh-CN"/>
                    </w:rPr>
                  </w:pPr>
                </w:p>
              </w:tc>
            </w:tr>
            <w:tr w14:paraId="10ECF0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noWrap w:val="0"/>
                  <w:vAlign w:val="center"/>
                </w:tcPr>
                <w:p w14:paraId="53CB0CFB">
                  <w:pPr>
                    <w:snapToGrid w:val="0"/>
                    <w:jc w:val="center"/>
                    <w:rPr>
                      <w:rFonts w:hint="default" w:ascii="Times New Roman" w:hAnsi="Times New Roman" w:cs="Times New Roman"/>
                      <w:i w:val="0"/>
                      <w:iCs w:val="0"/>
                      <w:color w:val="auto"/>
                      <w:highlight w:val="none"/>
                      <w:u w:val="none" w:color="auto"/>
                      <w:lang w:val="en-US" w:eastAsia="zh-CN"/>
                    </w:rPr>
                  </w:pPr>
                  <w:r>
                    <w:rPr>
                      <w:rFonts w:hint="eastAsia" w:ascii="Times New Roman" w:hAnsi="Times New Roman" w:cs="Times New Roman"/>
                      <w:i w:val="0"/>
                      <w:iCs w:val="0"/>
                      <w:color w:val="auto"/>
                      <w:highlight w:val="none"/>
                      <w:u w:val="none" w:color="auto"/>
                      <w:lang w:val="en-US" w:eastAsia="zh-CN"/>
                    </w:rPr>
                    <w:t>15</w:t>
                  </w:r>
                </w:p>
              </w:tc>
              <w:tc>
                <w:tcPr>
                  <w:tcW w:w="1198" w:type="pct"/>
                  <w:noWrap w:val="0"/>
                  <w:vAlign w:val="center"/>
                </w:tcPr>
                <w:p w14:paraId="6B6227B4">
                  <w:pPr>
                    <w:snapToGrid w:val="0"/>
                    <w:jc w:val="center"/>
                    <w:rPr>
                      <w:rFonts w:hint="eastAsia" w:ascii="Times New Roman" w:hAnsi="Times New Roman" w:eastAsia="宋体" w:cs="Times New Roman"/>
                      <w:i w:val="0"/>
                      <w:iCs w:val="0"/>
                      <w:color w:val="auto"/>
                      <w:highlight w:val="none"/>
                      <w:u w:val="none" w:color="auto"/>
                    </w:rPr>
                  </w:pPr>
                  <w:r>
                    <w:rPr>
                      <w:rFonts w:hint="eastAsia" w:ascii="Times New Roman" w:hAnsi="Times New Roman" w:eastAsia="宋体" w:cs="Times New Roman"/>
                      <w:i w:val="0"/>
                      <w:iCs w:val="0"/>
                      <w:color w:val="auto"/>
                      <w:highlight w:val="none"/>
                      <w:u w:val="none" w:color="auto"/>
                    </w:rPr>
                    <w:t>脉冲袋式除尘器</w:t>
                  </w:r>
                </w:p>
              </w:tc>
              <w:tc>
                <w:tcPr>
                  <w:tcW w:w="869" w:type="pct"/>
                  <w:noWrap w:val="0"/>
                  <w:vAlign w:val="center"/>
                </w:tcPr>
                <w:p w14:paraId="7410E55C">
                  <w:pPr>
                    <w:snapToGrid w:val="0"/>
                    <w:jc w:val="center"/>
                    <w:rPr>
                      <w:rFonts w:hint="eastAsia" w:ascii="Times New Roman" w:hAnsi="Times New Roman" w:eastAsia="宋体" w:cs="Times New Roman"/>
                      <w:i w:val="0"/>
                      <w:iCs w:val="0"/>
                      <w:color w:val="auto"/>
                      <w:highlight w:val="none"/>
                      <w:u w:val="none" w:color="auto"/>
                      <w:lang w:val="en-US" w:eastAsia="zh-CN"/>
                    </w:rPr>
                  </w:pPr>
                  <w:r>
                    <w:rPr>
                      <w:rFonts w:hint="eastAsia" w:ascii="Times New Roman" w:hAnsi="Times New Roman" w:eastAsia="宋体" w:cs="Times New Roman"/>
                      <w:i w:val="0"/>
                      <w:iCs w:val="0"/>
                      <w:color w:val="auto"/>
                      <w:highlight w:val="none"/>
                      <w:u w:val="none" w:color="auto"/>
                      <w:lang w:val="en-US" w:eastAsia="zh-CN"/>
                    </w:rPr>
                    <w:t>/</w:t>
                  </w:r>
                </w:p>
              </w:tc>
              <w:tc>
                <w:tcPr>
                  <w:tcW w:w="515" w:type="pct"/>
                  <w:noWrap w:val="0"/>
                  <w:vAlign w:val="center"/>
                </w:tcPr>
                <w:p w14:paraId="1AFABEF0">
                  <w:pPr>
                    <w:snapToGrid w:val="0"/>
                    <w:jc w:val="center"/>
                    <w:rPr>
                      <w:rFonts w:hint="default" w:ascii="Times New Roman" w:hAnsi="Times New Roman" w:eastAsia="宋体"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12</w:t>
                  </w:r>
                </w:p>
              </w:tc>
              <w:tc>
                <w:tcPr>
                  <w:tcW w:w="510" w:type="pct"/>
                  <w:noWrap w:val="0"/>
                  <w:vAlign w:val="center"/>
                </w:tcPr>
                <w:p w14:paraId="7D559891">
                  <w:pPr>
                    <w:snapToGrid w:val="0"/>
                    <w:jc w:val="center"/>
                    <w:rPr>
                      <w:rFonts w:hint="eastAsia" w:ascii="Times New Roman" w:hAnsi="Times New Roman" w:eastAsia="宋体" w:cs="Times New Roman"/>
                      <w:i w:val="0"/>
                      <w:iCs w:val="0"/>
                      <w:color w:val="auto"/>
                      <w:highlight w:val="none"/>
                      <w:u w:val="none" w:color="auto"/>
                    </w:rPr>
                  </w:pPr>
                  <w:r>
                    <w:rPr>
                      <w:rFonts w:hint="eastAsia" w:ascii="Times New Roman" w:hAnsi="Times New Roman" w:eastAsia="宋体" w:cs="Times New Roman"/>
                      <w:i w:val="0"/>
                      <w:iCs w:val="0"/>
                      <w:color w:val="auto"/>
                      <w:highlight w:val="none"/>
                      <w:u w:val="none" w:color="auto"/>
                    </w:rPr>
                    <w:t>套</w:t>
                  </w:r>
                </w:p>
              </w:tc>
              <w:tc>
                <w:tcPr>
                  <w:tcW w:w="1525" w:type="pct"/>
                  <w:noWrap w:val="0"/>
                  <w:vAlign w:val="center"/>
                </w:tcPr>
                <w:p w14:paraId="3C23D6CC">
                  <w:pPr>
                    <w:snapToGrid w:val="0"/>
                    <w:jc w:val="center"/>
                    <w:rPr>
                      <w:rFonts w:hint="default" w:ascii="Times New Roman" w:hAnsi="Times New Roman" w:eastAsia="宋体" w:cs="Times New Roman"/>
                      <w:i w:val="0"/>
                      <w:iCs w:val="0"/>
                      <w:color w:val="auto"/>
                      <w:highlight w:val="none"/>
                      <w:u w:val="none" w:color="auto"/>
                      <w:lang w:val="en-US" w:eastAsia="zh-CN"/>
                    </w:rPr>
                  </w:pPr>
                  <w:r>
                    <w:rPr>
                      <w:rFonts w:hint="eastAsia" w:ascii="Times New Roman" w:hAnsi="Times New Roman" w:eastAsia="宋体" w:cs="Times New Roman"/>
                      <w:i w:val="0"/>
                      <w:iCs w:val="0"/>
                      <w:color w:val="auto"/>
                      <w:highlight w:val="none"/>
                      <w:u w:val="none" w:color="auto"/>
                    </w:rPr>
                    <w:t>粉料</w:t>
                  </w:r>
                  <w:r>
                    <w:rPr>
                      <w:rFonts w:hint="eastAsia" w:cs="Times New Roman"/>
                      <w:i w:val="0"/>
                      <w:iCs w:val="0"/>
                      <w:color w:val="auto"/>
                      <w:highlight w:val="none"/>
                      <w:u w:val="none" w:color="auto"/>
                      <w:lang w:eastAsia="zh-CN"/>
                    </w:rPr>
                    <w:t>筒仓</w:t>
                  </w:r>
                  <w:r>
                    <w:rPr>
                      <w:rFonts w:hint="eastAsia" w:ascii="Times New Roman" w:hAnsi="Times New Roman" w:eastAsia="宋体" w:cs="Times New Roman"/>
                      <w:i w:val="0"/>
                      <w:iCs w:val="0"/>
                      <w:color w:val="auto"/>
                      <w:highlight w:val="none"/>
                      <w:u w:val="none" w:color="auto"/>
                    </w:rPr>
                    <w:t>自带，各1</w:t>
                  </w:r>
                  <w:r>
                    <w:rPr>
                      <w:rFonts w:hint="eastAsia" w:cs="Times New Roman"/>
                      <w:i w:val="0"/>
                      <w:iCs w:val="0"/>
                      <w:color w:val="auto"/>
                      <w:highlight w:val="none"/>
                      <w:u w:val="none" w:color="auto"/>
                      <w:lang w:eastAsia="zh-CN"/>
                    </w:rPr>
                    <w:t>台</w:t>
                  </w:r>
                  <w:r>
                    <w:rPr>
                      <w:rFonts w:hint="eastAsia" w:eastAsia="宋体" w:cs="Times New Roman"/>
                      <w:i w:val="0"/>
                      <w:iCs w:val="0"/>
                      <w:color w:val="auto"/>
                      <w:highlight w:val="none"/>
                      <w:u w:val="none" w:color="auto"/>
                      <w:lang w:eastAsia="zh-CN"/>
                    </w:rPr>
                    <w:t>，</w:t>
                  </w:r>
                  <w:r>
                    <w:rPr>
                      <w:rFonts w:hint="eastAsia" w:cs="Times New Roman"/>
                      <w:i w:val="0"/>
                      <w:iCs w:val="0"/>
                      <w:color w:val="auto"/>
                      <w:highlight w:val="none"/>
                      <w:u w:val="none" w:color="auto"/>
                      <w:lang w:eastAsia="zh-CN"/>
                    </w:rPr>
                    <w:t>共</w:t>
                  </w:r>
                  <w:r>
                    <w:rPr>
                      <w:rFonts w:hint="eastAsia" w:cs="Times New Roman"/>
                      <w:i w:val="0"/>
                      <w:iCs w:val="0"/>
                      <w:color w:val="auto"/>
                      <w:highlight w:val="none"/>
                      <w:u w:val="none" w:color="auto"/>
                      <w:lang w:val="en-US" w:eastAsia="zh-CN"/>
                    </w:rPr>
                    <w:t>8台；每台</w:t>
                  </w:r>
                  <w:r>
                    <w:rPr>
                      <w:rFonts w:hint="eastAsia" w:ascii="Times New Roman" w:hAnsi="Times New Roman" w:eastAsia="宋体" w:cs="Times New Roman"/>
                      <w:i w:val="0"/>
                      <w:iCs w:val="0"/>
                      <w:color w:val="auto"/>
                      <w:highlight w:val="none"/>
                      <w:u w:val="none" w:color="auto"/>
                    </w:rPr>
                    <w:t>搅拌</w:t>
                  </w:r>
                  <w:r>
                    <w:rPr>
                      <w:rFonts w:hint="eastAsia" w:cs="Times New Roman"/>
                      <w:i w:val="0"/>
                      <w:iCs w:val="0"/>
                      <w:color w:val="auto"/>
                      <w:highlight w:val="none"/>
                      <w:u w:val="none" w:color="auto"/>
                      <w:lang w:val="en-US" w:eastAsia="zh-CN"/>
                    </w:rPr>
                    <w:t>机2台，共4台</w:t>
                  </w:r>
                </w:p>
              </w:tc>
            </w:tr>
            <w:tr w14:paraId="0EA458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5000" w:type="pct"/>
                  <w:gridSpan w:val="6"/>
                  <w:noWrap w:val="0"/>
                  <w:vAlign w:val="center"/>
                </w:tcPr>
                <w:p w14:paraId="270A6ACB">
                  <w:pPr>
                    <w:snapToGrid w:val="0"/>
                    <w:jc w:val="center"/>
                    <w:rPr>
                      <w:rFonts w:hint="eastAsia" w:ascii="Times New Roman" w:hAnsi="Times New Roman" w:eastAsia="宋体" w:cs="Times New Roman"/>
                      <w:i w:val="0"/>
                      <w:iCs w:val="0"/>
                      <w:color w:val="auto"/>
                      <w:highlight w:val="none"/>
                      <w:u w:val="none" w:color="auto"/>
                      <w:lang w:eastAsia="zh-CN"/>
                    </w:rPr>
                  </w:pPr>
                  <w:r>
                    <w:rPr>
                      <w:rFonts w:hint="eastAsia" w:cs="Times New Roman"/>
                      <w:i w:val="0"/>
                      <w:iCs w:val="0"/>
                      <w:color w:val="auto"/>
                      <w:highlight w:val="none"/>
                      <w:u w:val="none" w:color="auto"/>
                      <w:lang w:eastAsia="zh-CN"/>
                    </w:rPr>
                    <w:t>化验用</w:t>
                  </w:r>
                </w:p>
              </w:tc>
            </w:tr>
            <w:tr w14:paraId="747C29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shd w:val="clear" w:color="auto" w:fill="auto"/>
                  <w:noWrap w:val="0"/>
                  <w:vAlign w:val="center"/>
                </w:tcPr>
                <w:p w14:paraId="6AB4F3B9">
                  <w:pPr>
                    <w:snapToGrid w:val="0"/>
                    <w:jc w:val="center"/>
                    <w:rPr>
                      <w:rFonts w:hint="eastAsia" w:ascii="Times New Roman" w:hAnsi="Times New Roman" w:eastAsia="宋体" w:cs="Times New Roman"/>
                      <w:i w:val="0"/>
                      <w:iCs w:val="0"/>
                      <w:color w:val="auto"/>
                      <w:kern w:val="2"/>
                      <w:sz w:val="21"/>
                      <w:szCs w:val="24"/>
                      <w:highlight w:val="none"/>
                      <w:u w:val="none" w:color="auto"/>
                      <w:lang w:val="en-US" w:eastAsia="zh-CN" w:bidi="ar-SA"/>
                    </w:rPr>
                  </w:pPr>
                  <w:r>
                    <w:rPr>
                      <w:rFonts w:hint="eastAsia" w:ascii="Times New Roman" w:hAnsi="Times New Roman" w:eastAsia="宋体" w:cs="Times New Roman"/>
                      <w:i w:val="0"/>
                      <w:iCs w:val="0"/>
                      <w:color w:val="auto"/>
                      <w:highlight w:val="none"/>
                      <w:u w:val="none" w:color="auto"/>
                    </w:rPr>
                    <w:t>1</w:t>
                  </w:r>
                </w:p>
              </w:tc>
              <w:tc>
                <w:tcPr>
                  <w:tcW w:w="1198" w:type="pct"/>
                  <w:shd w:val="clear" w:color="auto" w:fill="auto"/>
                  <w:noWrap w:val="0"/>
                  <w:vAlign w:val="top"/>
                </w:tcPr>
                <w:p w14:paraId="2AEDC661">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eastAsia="zh-CN"/>
                    </w:rPr>
                    <w:t>水泥净浆搅拌机</w:t>
                  </w:r>
                </w:p>
              </w:tc>
              <w:tc>
                <w:tcPr>
                  <w:tcW w:w="869" w:type="pct"/>
                  <w:shd w:val="clear" w:color="auto" w:fill="auto"/>
                  <w:noWrap w:val="0"/>
                  <w:vAlign w:val="top"/>
                </w:tcPr>
                <w:p w14:paraId="714F9CF3">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NJ-160</w:t>
                  </w:r>
                </w:p>
              </w:tc>
              <w:tc>
                <w:tcPr>
                  <w:tcW w:w="515" w:type="pct"/>
                  <w:shd w:val="clear" w:color="auto" w:fill="auto"/>
                  <w:noWrap w:val="0"/>
                  <w:vAlign w:val="top"/>
                </w:tcPr>
                <w:p w14:paraId="5BF53A37">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1</w:t>
                  </w:r>
                </w:p>
              </w:tc>
              <w:tc>
                <w:tcPr>
                  <w:tcW w:w="510" w:type="pct"/>
                  <w:noWrap w:val="0"/>
                  <w:vAlign w:val="center"/>
                </w:tcPr>
                <w:p w14:paraId="05F913A6">
                  <w:pPr>
                    <w:snapToGrid w:val="0"/>
                    <w:jc w:val="center"/>
                    <w:rPr>
                      <w:rFonts w:hint="default" w:ascii="Times New Roman" w:hAnsi="Times New Roman" w:eastAsia="宋体" w:cs="Times New Roman"/>
                      <w:i w:val="0"/>
                      <w:iCs w:val="0"/>
                      <w:color w:val="auto"/>
                      <w:highlight w:val="none"/>
                      <w:u w:val="none" w:color="auto"/>
                    </w:rPr>
                  </w:pPr>
                  <w:r>
                    <w:rPr>
                      <w:rFonts w:hint="default" w:ascii="Times New Roman" w:hAnsi="Times New Roman" w:eastAsia="宋体" w:cs="Times New Roman"/>
                      <w:color w:val="auto"/>
                      <w:highlight w:val="none"/>
                      <w:u w:val="none" w:color="auto"/>
                      <w:shd w:val="clear" w:color="auto" w:fill="auto"/>
                      <w:lang w:val="zh-TW" w:eastAsia="zh-TW"/>
                    </w:rPr>
                    <w:t>台</w:t>
                  </w:r>
                </w:p>
              </w:tc>
              <w:tc>
                <w:tcPr>
                  <w:tcW w:w="1525" w:type="pct"/>
                  <w:noWrap w:val="0"/>
                  <w:vAlign w:val="center"/>
                </w:tcPr>
                <w:p w14:paraId="78FA8938">
                  <w:pPr>
                    <w:snapToGrid w:val="0"/>
                    <w:jc w:val="center"/>
                    <w:rPr>
                      <w:rFonts w:hint="eastAsia" w:ascii="Times New Roman" w:hAnsi="Times New Roman" w:eastAsia="宋体" w:cs="Times New Roman"/>
                      <w:i w:val="0"/>
                      <w:iCs w:val="0"/>
                      <w:color w:val="auto"/>
                      <w:highlight w:val="none"/>
                      <w:u w:val="none" w:color="auto"/>
                    </w:rPr>
                  </w:pPr>
                </w:p>
              </w:tc>
            </w:tr>
            <w:tr w14:paraId="32CD84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shd w:val="clear" w:color="auto" w:fill="auto"/>
                  <w:noWrap w:val="0"/>
                  <w:vAlign w:val="center"/>
                </w:tcPr>
                <w:p w14:paraId="77088C9F">
                  <w:pPr>
                    <w:snapToGrid w:val="0"/>
                    <w:jc w:val="center"/>
                    <w:rPr>
                      <w:rFonts w:hint="eastAsia" w:ascii="Times New Roman" w:hAnsi="Times New Roman" w:eastAsia="宋体" w:cs="Times New Roman"/>
                      <w:i w:val="0"/>
                      <w:iCs w:val="0"/>
                      <w:color w:val="auto"/>
                      <w:kern w:val="2"/>
                      <w:sz w:val="21"/>
                      <w:szCs w:val="24"/>
                      <w:highlight w:val="none"/>
                      <w:u w:val="none" w:color="auto"/>
                      <w:lang w:val="en-US" w:eastAsia="zh-CN" w:bidi="ar-SA"/>
                    </w:rPr>
                  </w:pPr>
                  <w:r>
                    <w:rPr>
                      <w:rFonts w:hint="eastAsia" w:ascii="Times New Roman" w:hAnsi="Times New Roman" w:eastAsia="宋体" w:cs="Times New Roman"/>
                      <w:i w:val="0"/>
                      <w:iCs w:val="0"/>
                      <w:color w:val="auto"/>
                      <w:highlight w:val="none"/>
                      <w:u w:val="none" w:color="auto"/>
                    </w:rPr>
                    <w:t>2</w:t>
                  </w:r>
                </w:p>
              </w:tc>
              <w:tc>
                <w:tcPr>
                  <w:tcW w:w="1198" w:type="pct"/>
                  <w:shd w:val="clear" w:color="auto" w:fill="auto"/>
                  <w:noWrap w:val="0"/>
                  <w:vAlign w:val="top"/>
                </w:tcPr>
                <w:p w14:paraId="3A9F6265">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eastAsia="zh-CN"/>
                    </w:rPr>
                    <w:t>水泥胶砂搅拌机</w:t>
                  </w:r>
                </w:p>
              </w:tc>
              <w:tc>
                <w:tcPr>
                  <w:tcW w:w="869" w:type="pct"/>
                  <w:shd w:val="clear" w:color="auto" w:fill="auto"/>
                  <w:noWrap w:val="0"/>
                  <w:vAlign w:val="top"/>
                </w:tcPr>
                <w:p w14:paraId="4D6DF4A1">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JJ-5</w:t>
                  </w:r>
                </w:p>
              </w:tc>
              <w:tc>
                <w:tcPr>
                  <w:tcW w:w="515" w:type="pct"/>
                  <w:shd w:val="clear" w:color="auto" w:fill="auto"/>
                  <w:noWrap w:val="0"/>
                  <w:vAlign w:val="top"/>
                </w:tcPr>
                <w:p w14:paraId="437A51C6">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1</w:t>
                  </w:r>
                </w:p>
              </w:tc>
              <w:tc>
                <w:tcPr>
                  <w:tcW w:w="510" w:type="pct"/>
                  <w:noWrap w:val="0"/>
                  <w:vAlign w:val="center"/>
                </w:tcPr>
                <w:p w14:paraId="4AF8689E">
                  <w:pPr>
                    <w:snapToGrid w:val="0"/>
                    <w:jc w:val="center"/>
                    <w:rPr>
                      <w:rFonts w:hint="default" w:ascii="Times New Roman" w:hAnsi="Times New Roman" w:eastAsia="宋体" w:cs="Times New Roman"/>
                      <w:i w:val="0"/>
                      <w:iCs w:val="0"/>
                      <w:color w:val="auto"/>
                      <w:highlight w:val="none"/>
                      <w:u w:val="none" w:color="auto"/>
                    </w:rPr>
                  </w:pPr>
                  <w:r>
                    <w:rPr>
                      <w:rFonts w:hint="default" w:ascii="Times New Roman" w:hAnsi="Times New Roman" w:eastAsia="宋体" w:cs="Times New Roman"/>
                      <w:color w:val="auto"/>
                      <w:highlight w:val="none"/>
                      <w:u w:val="none" w:color="auto"/>
                      <w:shd w:val="clear" w:color="auto" w:fill="auto"/>
                      <w:lang w:val="zh-TW" w:eastAsia="zh-TW"/>
                    </w:rPr>
                    <w:t>台</w:t>
                  </w:r>
                </w:p>
              </w:tc>
              <w:tc>
                <w:tcPr>
                  <w:tcW w:w="1525" w:type="pct"/>
                  <w:noWrap w:val="0"/>
                  <w:vAlign w:val="center"/>
                </w:tcPr>
                <w:p w14:paraId="0474646C">
                  <w:pPr>
                    <w:snapToGrid w:val="0"/>
                    <w:jc w:val="center"/>
                    <w:rPr>
                      <w:rFonts w:hint="eastAsia" w:ascii="Times New Roman" w:hAnsi="Times New Roman" w:eastAsia="宋体" w:cs="Times New Roman"/>
                      <w:i w:val="0"/>
                      <w:iCs w:val="0"/>
                      <w:color w:val="auto"/>
                      <w:highlight w:val="none"/>
                      <w:u w:val="none" w:color="auto"/>
                    </w:rPr>
                  </w:pPr>
                </w:p>
              </w:tc>
            </w:tr>
            <w:tr w14:paraId="59E512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shd w:val="clear" w:color="auto" w:fill="auto"/>
                  <w:noWrap w:val="0"/>
                  <w:vAlign w:val="center"/>
                </w:tcPr>
                <w:p w14:paraId="6A13FE1B">
                  <w:pPr>
                    <w:snapToGrid w:val="0"/>
                    <w:jc w:val="center"/>
                    <w:rPr>
                      <w:rFonts w:hint="eastAsia" w:ascii="Times New Roman" w:hAnsi="Times New Roman" w:eastAsia="宋体" w:cs="Times New Roman"/>
                      <w:i w:val="0"/>
                      <w:iCs w:val="0"/>
                      <w:color w:val="auto"/>
                      <w:kern w:val="2"/>
                      <w:sz w:val="21"/>
                      <w:szCs w:val="24"/>
                      <w:highlight w:val="none"/>
                      <w:u w:val="none" w:color="auto"/>
                      <w:lang w:val="en-US" w:eastAsia="zh-CN" w:bidi="ar-SA"/>
                    </w:rPr>
                  </w:pPr>
                  <w:r>
                    <w:rPr>
                      <w:rFonts w:hint="eastAsia" w:ascii="Times New Roman" w:hAnsi="Times New Roman" w:eastAsia="宋体" w:cs="Times New Roman"/>
                      <w:i w:val="0"/>
                      <w:iCs w:val="0"/>
                      <w:color w:val="auto"/>
                      <w:highlight w:val="none"/>
                      <w:u w:val="none" w:color="auto"/>
                    </w:rPr>
                    <w:t>3</w:t>
                  </w:r>
                </w:p>
              </w:tc>
              <w:tc>
                <w:tcPr>
                  <w:tcW w:w="1198" w:type="pct"/>
                  <w:shd w:val="clear" w:color="auto" w:fill="auto"/>
                  <w:noWrap w:val="0"/>
                  <w:vAlign w:val="top"/>
                </w:tcPr>
                <w:p w14:paraId="1311955B">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eastAsia="zh-CN"/>
                    </w:rPr>
                    <w:t>水泥胶砂振实台</w:t>
                  </w:r>
                </w:p>
              </w:tc>
              <w:tc>
                <w:tcPr>
                  <w:tcW w:w="869" w:type="pct"/>
                  <w:shd w:val="clear" w:color="auto" w:fill="auto"/>
                  <w:noWrap w:val="0"/>
                  <w:vAlign w:val="top"/>
                </w:tcPr>
                <w:p w14:paraId="223831FD">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ZT-96</w:t>
                  </w:r>
                </w:p>
              </w:tc>
              <w:tc>
                <w:tcPr>
                  <w:tcW w:w="515" w:type="pct"/>
                  <w:shd w:val="clear" w:color="auto" w:fill="auto"/>
                  <w:noWrap w:val="0"/>
                  <w:vAlign w:val="top"/>
                </w:tcPr>
                <w:p w14:paraId="67FAECFB">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1</w:t>
                  </w:r>
                </w:p>
              </w:tc>
              <w:tc>
                <w:tcPr>
                  <w:tcW w:w="510" w:type="pct"/>
                  <w:noWrap w:val="0"/>
                  <w:vAlign w:val="center"/>
                </w:tcPr>
                <w:p w14:paraId="41666350">
                  <w:pPr>
                    <w:snapToGrid w:val="0"/>
                    <w:jc w:val="center"/>
                    <w:rPr>
                      <w:rFonts w:hint="default" w:ascii="Times New Roman" w:hAnsi="Times New Roman" w:eastAsia="宋体" w:cs="Times New Roman"/>
                      <w:i w:val="0"/>
                      <w:iCs w:val="0"/>
                      <w:color w:val="auto"/>
                      <w:highlight w:val="none"/>
                      <w:u w:val="none" w:color="auto"/>
                    </w:rPr>
                  </w:pPr>
                  <w:r>
                    <w:rPr>
                      <w:rFonts w:hint="default" w:ascii="Times New Roman" w:hAnsi="Times New Roman" w:eastAsia="宋体" w:cs="Times New Roman"/>
                      <w:color w:val="auto"/>
                      <w:highlight w:val="none"/>
                      <w:u w:val="none" w:color="auto"/>
                      <w:shd w:val="clear" w:color="auto" w:fill="auto"/>
                      <w:lang w:val="zh-TW" w:eastAsia="zh-TW"/>
                    </w:rPr>
                    <w:t>台</w:t>
                  </w:r>
                </w:p>
              </w:tc>
              <w:tc>
                <w:tcPr>
                  <w:tcW w:w="1525" w:type="pct"/>
                  <w:noWrap w:val="0"/>
                  <w:vAlign w:val="center"/>
                </w:tcPr>
                <w:p w14:paraId="113C5EE0">
                  <w:pPr>
                    <w:snapToGrid w:val="0"/>
                    <w:jc w:val="center"/>
                    <w:rPr>
                      <w:rFonts w:hint="eastAsia" w:ascii="Times New Roman" w:hAnsi="Times New Roman" w:eastAsia="宋体" w:cs="Times New Roman"/>
                      <w:i w:val="0"/>
                      <w:iCs w:val="0"/>
                      <w:color w:val="auto"/>
                      <w:highlight w:val="none"/>
                      <w:u w:val="none" w:color="auto"/>
                    </w:rPr>
                  </w:pPr>
                </w:p>
              </w:tc>
            </w:tr>
            <w:tr w14:paraId="1275D2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shd w:val="clear" w:color="auto" w:fill="auto"/>
                  <w:noWrap w:val="0"/>
                  <w:vAlign w:val="center"/>
                </w:tcPr>
                <w:p w14:paraId="4B4355F6">
                  <w:pPr>
                    <w:snapToGrid w:val="0"/>
                    <w:jc w:val="center"/>
                    <w:rPr>
                      <w:rFonts w:hint="eastAsia" w:ascii="Times New Roman" w:hAnsi="Times New Roman" w:eastAsia="宋体" w:cs="Times New Roman"/>
                      <w:i w:val="0"/>
                      <w:iCs w:val="0"/>
                      <w:color w:val="auto"/>
                      <w:kern w:val="2"/>
                      <w:sz w:val="21"/>
                      <w:szCs w:val="24"/>
                      <w:highlight w:val="none"/>
                      <w:u w:val="none" w:color="auto"/>
                      <w:lang w:val="en-US" w:eastAsia="zh-CN" w:bidi="ar-SA"/>
                    </w:rPr>
                  </w:pPr>
                  <w:r>
                    <w:rPr>
                      <w:rFonts w:hint="eastAsia" w:cs="Times New Roman"/>
                      <w:i w:val="0"/>
                      <w:iCs w:val="0"/>
                      <w:color w:val="auto"/>
                      <w:highlight w:val="none"/>
                      <w:u w:val="none" w:color="auto"/>
                      <w:lang w:val="en-US" w:eastAsia="zh-CN"/>
                    </w:rPr>
                    <w:t>4</w:t>
                  </w:r>
                </w:p>
              </w:tc>
              <w:tc>
                <w:tcPr>
                  <w:tcW w:w="1198" w:type="pct"/>
                  <w:shd w:val="clear" w:color="auto" w:fill="auto"/>
                  <w:noWrap w:val="0"/>
                  <w:vAlign w:val="top"/>
                </w:tcPr>
                <w:p w14:paraId="03C23833">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eastAsia="zh-CN"/>
                    </w:rPr>
                    <w:t>水泥胶砂流动度测定仪</w:t>
                  </w:r>
                </w:p>
              </w:tc>
              <w:tc>
                <w:tcPr>
                  <w:tcW w:w="869" w:type="pct"/>
                  <w:shd w:val="clear" w:color="auto" w:fill="auto"/>
                  <w:noWrap w:val="0"/>
                  <w:vAlign w:val="top"/>
                </w:tcPr>
                <w:p w14:paraId="367FE6C6">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NLD-3</w:t>
                  </w:r>
                </w:p>
              </w:tc>
              <w:tc>
                <w:tcPr>
                  <w:tcW w:w="515" w:type="pct"/>
                  <w:shd w:val="clear" w:color="auto" w:fill="auto"/>
                  <w:noWrap w:val="0"/>
                  <w:vAlign w:val="top"/>
                </w:tcPr>
                <w:p w14:paraId="3A7678FE">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1</w:t>
                  </w:r>
                </w:p>
              </w:tc>
              <w:tc>
                <w:tcPr>
                  <w:tcW w:w="510" w:type="pct"/>
                  <w:noWrap w:val="0"/>
                  <w:vAlign w:val="center"/>
                </w:tcPr>
                <w:p w14:paraId="20AB4434">
                  <w:pPr>
                    <w:snapToGrid w:val="0"/>
                    <w:jc w:val="center"/>
                    <w:rPr>
                      <w:rFonts w:hint="default" w:ascii="Times New Roman" w:hAnsi="Times New Roman" w:eastAsia="宋体" w:cs="Times New Roman"/>
                      <w:i w:val="0"/>
                      <w:iCs w:val="0"/>
                      <w:color w:val="auto"/>
                      <w:highlight w:val="none"/>
                      <w:u w:val="none" w:color="auto"/>
                    </w:rPr>
                  </w:pPr>
                  <w:r>
                    <w:rPr>
                      <w:rFonts w:hint="default" w:ascii="Times New Roman" w:hAnsi="Times New Roman" w:eastAsia="宋体" w:cs="Times New Roman"/>
                      <w:color w:val="auto"/>
                      <w:highlight w:val="none"/>
                      <w:u w:val="none" w:color="auto"/>
                      <w:shd w:val="clear" w:color="auto" w:fill="auto"/>
                      <w:lang w:val="zh-TW" w:eastAsia="zh-TW"/>
                    </w:rPr>
                    <w:t>台</w:t>
                  </w:r>
                </w:p>
              </w:tc>
              <w:tc>
                <w:tcPr>
                  <w:tcW w:w="1525" w:type="pct"/>
                  <w:noWrap w:val="0"/>
                  <w:vAlign w:val="center"/>
                </w:tcPr>
                <w:p w14:paraId="69D2E08B">
                  <w:pPr>
                    <w:snapToGrid w:val="0"/>
                    <w:jc w:val="center"/>
                    <w:rPr>
                      <w:rFonts w:hint="eastAsia" w:ascii="Times New Roman" w:hAnsi="Times New Roman" w:eastAsia="宋体" w:cs="Times New Roman"/>
                      <w:i w:val="0"/>
                      <w:iCs w:val="0"/>
                      <w:color w:val="auto"/>
                      <w:highlight w:val="none"/>
                      <w:u w:val="none" w:color="auto"/>
                    </w:rPr>
                  </w:pPr>
                </w:p>
              </w:tc>
            </w:tr>
            <w:tr w14:paraId="716B2D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shd w:val="clear" w:color="auto" w:fill="auto"/>
                  <w:noWrap w:val="0"/>
                  <w:vAlign w:val="center"/>
                </w:tcPr>
                <w:p w14:paraId="3D33D6C5">
                  <w:pPr>
                    <w:snapToGrid w:val="0"/>
                    <w:jc w:val="center"/>
                    <w:rPr>
                      <w:rFonts w:hint="eastAsia" w:ascii="Times New Roman" w:hAnsi="Times New Roman" w:eastAsia="宋体" w:cs="Times New Roman"/>
                      <w:i w:val="0"/>
                      <w:iCs w:val="0"/>
                      <w:color w:val="auto"/>
                      <w:kern w:val="2"/>
                      <w:sz w:val="21"/>
                      <w:szCs w:val="24"/>
                      <w:highlight w:val="none"/>
                      <w:u w:val="none" w:color="auto"/>
                      <w:lang w:val="en-US" w:eastAsia="zh-CN" w:bidi="ar-SA"/>
                    </w:rPr>
                  </w:pPr>
                  <w:r>
                    <w:rPr>
                      <w:rFonts w:hint="eastAsia" w:cs="Times New Roman"/>
                      <w:i w:val="0"/>
                      <w:iCs w:val="0"/>
                      <w:color w:val="auto"/>
                      <w:highlight w:val="none"/>
                      <w:u w:val="none" w:color="auto"/>
                      <w:lang w:val="en-US" w:eastAsia="zh-CN"/>
                    </w:rPr>
                    <w:t>5</w:t>
                  </w:r>
                </w:p>
              </w:tc>
              <w:tc>
                <w:tcPr>
                  <w:tcW w:w="1198" w:type="pct"/>
                  <w:shd w:val="clear" w:color="auto" w:fill="auto"/>
                  <w:noWrap w:val="0"/>
                  <w:vAlign w:val="top"/>
                </w:tcPr>
                <w:p w14:paraId="7A76BE6D">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eastAsia="zh-CN"/>
                    </w:rPr>
                    <w:t>沸煮箱</w:t>
                  </w:r>
                </w:p>
              </w:tc>
              <w:tc>
                <w:tcPr>
                  <w:tcW w:w="869" w:type="pct"/>
                  <w:shd w:val="clear" w:color="auto" w:fill="auto"/>
                  <w:noWrap w:val="0"/>
                  <w:vAlign w:val="top"/>
                </w:tcPr>
                <w:p w14:paraId="171E3FB1">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FZ-31A</w:t>
                  </w:r>
                </w:p>
              </w:tc>
              <w:tc>
                <w:tcPr>
                  <w:tcW w:w="515" w:type="pct"/>
                  <w:shd w:val="clear" w:color="auto" w:fill="auto"/>
                  <w:noWrap w:val="0"/>
                  <w:vAlign w:val="top"/>
                </w:tcPr>
                <w:p w14:paraId="255906AB">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1</w:t>
                  </w:r>
                </w:p>
              </w:tc>
              <w:tc>
                <w:tcPr>
                  <w:tcW w:w="510" w:type="pct"/>
                  <w:noWrap w:val="0"/>
                  <w:vAlign w:val="center"/>
                </w:tcPr>
                <w:p w14:paraId="6F7C9C5A">
                  <w:pPr>
                    <w:snapToGrid w:val="0"/>
                    <w:jc w:val="center"/>
                    <w:rPr>
                      <w:rFonts w:hint="default" w:ascii="Times New Roman" w:hAnsi="Times New Roman" w:eastAsia="宋体" w:cs="Times New Roman"/>
                      <w:i w:val="0"/>
                      <w:iCs w:val="0"/>
                      <w:color w:val="auto"/>
                      <w:highlight w:val="none"/>
                      <w:u w:val="none" w:color="auto"/>
                    </w:rPr>
                  </w:pPr>
                  <w:r>
                    <w:rPr>
                      <w:rFonts w:hint="default" w:ascii="Times New Roman" w:hAnsi="Times New Roman" w:eastAsia="宋体" w:cs="Times New Roman"/>
                      <w:color w:val="auto"/>
                      <w:highlight w:val="none"/>
                      <w:u w:val="none" w:color="auto"/>
                      <w:shd w:val="clear" w:color="auto" w:fill="auto"/>
                      <w:lang w:val="zh-TW" w:eastAsia="zh-TW"/>
                    </w:rPr>
                    <w:t>台</w:t>
                  </w:r>
                </w:p>
              </w:tc>
              <w:tc>
                <w:tcPr>
                  <w:tcW w:w="1525" w:type="pct"/>
                  <w:noWrap w:val="0"/>
                  <w:vAlign w:val="center"/>
                </w:tcPr>
                <w:p w14:paraId="6274B4D2">
                  <w:pPr>
                    <w:snapToGrid w:val="0"/>
                    <w:jc w:val="center"/>
                    <w:rPr>
                      <w:rFonts w:hint="eastAsia" w:ascii="Times New Roman" w:hAnsi="Times New Roman" w:eastAsia="宋体" w:cs="Times New Roman"/>
                      <w:i w:val="0"/>
                      <w:iCs w:val="0"/>
                      <w:color w:val="auto"/>
                      <w:highlight w:val="none"/>
                      <w:u w:val="none" w:color="auto"/>
                    </w:rPr>
                  </w:pPr>
                </w:p>
              </w:tc>
            </w:tr>
            <w:tr w14:paraId="1AA660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shd w:val="clear" w:color="auto" w:fill="auto"/>
                  <w:noWrap w:val="0"/>
                  <w:vAlign w:val="center"/>
                </w:tcPr>
                <w:p w14:paraId="2F807414">
                  <w:pPr>
                    <w:snapToGrid w:val="0"/>
                    <w:jc w:val="center"/>
                    <w:rPr>
                      <w:rFonts w:hint="eastAsia" w:ascii="Times New Roman" w:hAnsi="Times New Roman" w:eastAsia="宋体" w:cs="Times New Roman"/>
                      <w:i w:val="0"/>
                      <w:iCs w:val="0"/>
                      <w:color w:val="auto"/>
                      <w:kern w:val="2"/>
                      <w:sz w:val="21"/>
                      <w:szCs w:val="24"/>
                      <w:highlight w:val="none"/>
                      <w:u w:val="none" w:color="auto"/>
                      <w:lang w:val="en-US" w:eastAsia="zh-CN" w:bidi="ar-SA"/>
                    </w:rPr>
                  </w:pPr>
                  <w:r>
                    <w:rPr>
                      <w:rFonts w:hint="eastAsia" w:cs="Times New Roman"/>
                      <w:i w:val="0"/>
                      <w:iCs w:val="0"/>
                      <w:color w:val="auto"/>
                      <w:highlight w:val="none"/>
                      <w:u w:val="none" w:color="auto"/>
                      <w:lang w:val="en-US" w:eastAsia="zh-CN"/>
                    </w:rPr>
                    <w:t>6</w:t>
                  </w:r>
                </w:p>
              </w:tc>
              <w:tc>
                <w:tcPr>
                  <w:tcW w:w="1198" w:type="pct"/>
                  <w:shd w:val="clear" w:color="auto" w:fill="auto"/>
                  <w:noWrap w:val="0"/>
                  <w:vAlign w:val="top"/>
                </w:tcPr>
                <w:p w14:paraId="0721812B">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eastAsia="zh-CN"/>
                    </w:rPr>
                    <w:t>胶砂试模</w:t>
                  </w:r>
                </w:p>
              </w:tc>
              <w:tc>
                <w:tcPr>
                  <w:tcW w:w="869" w:type="pct"/>
                  <w:shd w:val="clear" w:color="auto" w:fill="auto"/>
                  <w:noWrap w:val="0"/>
                  <w:vAlign w:val="top"/>
                </w:tcPr>
                <w:p w14:paraId="3675C0E4">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40*40*160</w:t>
                  </w:r>
                </w:p>
              </w:tc>
              <w:tc>
                <w:tcPr>
                  <w:tcW w:w="515" w:type="pct"/>
                  <w:shd w:val="clear" w:color="auto" w:fill="auto"/>
                  <w:noWrap w:val="0"/>
                  <w:vAlign w:val="top"/>
                </w:tcPr>
                <w:p w14:paraId="17030462">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5</w:t>
                  </w:r>
                </w:p>
              </w:tc>
              <w:tc>
                <w:tcPr>
                  <w:tcW w:w="510" w:type="pct"/>
                  <w:noWrap w:val="0"/>
                  <w:vAlign w:val="center"/>
                </w:tcPr>
                <w:p w14:paraId="6E064EA0">
                  <w:pPr>
                    <w:snapToGrid w:val="0"/>
                    <w:jc w:val="center"/>
                    <w:rPr>
                      <w:rFonts w:hint="default" w:ascii="Times New Roman" w:hAnsi="Times New Roman" w:eastAsia="宋体" w:cs="Times New Roman"/>
                      <w:i w:val="0"/>
                      <w:iCs w:val="0"/>
                      <w:color w:val="auto"/>
                      <w:highlight w:val="none"/>
                      <w:u w:val="none" w:color="auto"/>
                    </w:rPr>
                  </w:pPr>
                  <w:r>
                    <w:rPr>
                      <w:rFonts w:hint="default" w:ascii="Times New Roman" w:hAnsi="Times New Roman" w:eastAsia="宋体" w:cs="Times New Roman"/>
                      <w:color w:val="auto"/>
                      <w:highlight w:val="none"/>
                      <w:u w:val="none" w:color="auto"/>
                      <w:shd w:val="clear" w:color="auto" w:fill="auto"/>
                      <w:lang w:val="zh-TW" w:eastAsia="zh-TW"/>
                    </w:rPr>
                    <w:t>个</w:t>
                  </w:r>
                </w:p>
              </w:tc>
              <w:tc>
                <w:tcPr>
                  <w:tcW w:w="1525" w:type="pct"/>
                  <w:noWrap w:val="0"/>
                  <w:vAlign w:val="center"/>
                </w:tcPr>
                <w:p w14:paraId="5D8C0687">
                  <w:pPr>
                    <w:snapToGrid w:val="0"/>
                    <w:jc w:val="center"/>
                    <w:rPr>
                      <w:rFonts w:hint="eastAsia" w:ascii="Times New Roman" w:hAnsi="Times New Roman" w:eastAsia="宋体" w:cs="Times New Roman"/>
                      <w:i w:val="0"/>
                      <w:iCs w:val="0"/>
                      <w:color w:val="auto"/>
                      <w:highlight w:val="none"/>
                      <w:u w:val="none" w:color="auto"/>
                    </w:rPr>
                  </w:pPr>
                </w:p>
              </w:tc>
            </w:tr>
            <w:tr w14:paraId="6993AE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shd w:val="clear" w:color="auto" w:fill="auto"/>
                  <w:noWrap w:val="0"/>
                  <w:vAlign w:val="center"/>
                </w:tcPr>
                <w:p w14:paraId="0827C767">
                  <w:pPr>
                    <w:snapToGrid w:val="0"/>
                    <w:jc w:val="center"/>
                    <w:rPr>
                      <w:rFonts w:hint="eastAsia" w:ascii="Times New Roman" w:hAnsi="Times New Roman" w:eastAsia="宋体" w:cs="Times New Roman"/>
                      <w:i w:val="0"/>
                      <w:iCs w:val="0"/>
                      <w:color w:val="auto"/>
                      <w:kern w:val="2"/>
                      <w:sz w:val="21"/>
                      <w:szCs w:val="24"/>
                      <w:highlight w:val="none"/>
                      <w:u w:val="none" w:color="auto"/>
                      <w:lang w:val="en-US" w:eastAsia="zh-CN" w:bidi="ar-SA"/>
                    </w:rPr>
                  </w:pPr>
                  <w:r>
                    <w:rPr>
                      <w:rFonts w:hint="eastAsia" w:cs="Times New Roman"/>
                      <w:i w:val="0"/>
                      <w:iCs w:val="0"/>
                      <w:color w:val="auto"/>
                      <w:highlight w:val="none"/>
                      <w:u w:val="none" w:color="auto"/>
                      <w:lang w:val="en-US" w:eastAsia="zh-CN"/>
                    </w:rPr>
                    <w:t>7</w:t>
                  </w:r>
                </w:p>
              </w:tc>
              <w:tc>
                <w:tcPr>
                  <w:tcW w:w="1198" w:type="pct"/>
                  <w:shd w:val="clear" w:color="auto" w:fill="auto"/>
                  <w:noWrap w:val="0"/>
                  <w:vAlign w:val="top"/>
                </w:tcPr>
                <w:p w14:paraId="011FCFCF">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eastAsia="zh-CN"/>
                    </w:rPr>
                    <w:t>抗压夹具</w:t>
                  </w:r>
                </w:p>
              </w:tc>
              <w:tc>
                <w:tcPr>
                  <w:tcW w:w="869" w:type="pct"/>
                  <w:shd w:val="clear" w:color="auto" w:fill="auto"/>
                  <w:noWrap w:val="0"/>
                  <w:vAlign w:val="top"/>
                </w:tcPr>
                <w:p w14:paraId="1F148D8E">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p>
              </w:tc>
              <w:tc>
                <w:tcPr>
                  <w:tcW w:w="515" w:type="pct"/>
                  <w:shd w:val="clear" w:color="auto" w:fill="auto"/>
                  <w:noWrap w:val="0"/>
                  <w:vAlign w:val="top"/>
                </w:tcPr>
                <w:p w14:paraId="043CAA4F">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1</w:t>
                  </w:r>
                </w:p>
              </w:tc>
              <w:tc>
                <w:tcPr>
                  <w:tcW w:w="510" w:type="pct"/>
                  <w:noWrap w:val="0"/>
                  <w:vAlign w:val="center"/>
                </w:tcPr>
                <w:p w14:paraId="2853DC8D">
                  <w:pPr>
                    <w:snapToGrid w:val="0"/>
                    <w:jc w:val="center"/>
                    <w:rPr>
                      <w:rFonts w:hint="default" w:ascii="Times New Roman" w:hAnsi="Times New Roman" w:eastAsia="宋体" w:cs="Times New Roman"/>
                      <w:i w:val="0"/>
                      <w:iCs w:val="0"/>
                      <w:color w:val="auto"/>
                      <w:highlight w:val="none"/>
                      <w:u w:val="none" w:color="auto"/>
                    </w:rPr>
                  </w:pPr>
                  <w:r>
                    <w:rPr>
                      <w:rFonts w:hint="default" w:ascii="Times New Roman" w:hAnsi="Times New Roman" w:eastAsia="宋体" w:cs="Times New Roman"/>
                      <w:color w:val="auto"/>
                      <w:highlight w:val="none"/>
                      <w:u w:val="none" w:color="auto"/>
                      <w:shd w:val="clear" w:color="auto" w:fill="auto"/>
                      <w:lang w:val="zh-TW" w:eastAsia="zh-TW"/>
                    </w:rPr>
                    <w:t>个</w:t>
                  </w:r>
                </w:p>
              </w:tc>
              <w:tc>
                <w:tcPr>
                  <w:tcW w:w="1525" w:type="pct"/>
                  <w:noWrap w:val="0"/>
                  <w:vAlign w:val="center"/>
                </w:tcPr>
                <w:p w14:paraId="677EC8FF">
                  <w:pPr>
                    <w:snapToGrid w:val="0"/>
                    <w:jc w:val="center"/>
                    <w:rPr>
                      <w:rFonts w:hint="eastAsia" w:ascii="Times New Roman" w:hAnsi="Times New Roman" w:eastAsia="宋体" w:cs="Times New Roman"/>
                      <w:i w:val="0"/>
                      <w:iCs w:val="0"/>
                      <w:color w:val="auto"/>
                      <w:highlight w:val="none"/>
                      <w:u w:val="none" w:color="auto"/>
                    </w:rPr>
                  </w:pPr>
                </w:p>
              </w:tc>
            </w:tr>
            <w:tr w14:paraId="0570D6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shd w:val="clear" w:color="auto" w:fill="auto"/>
                  <w:noWrap w:val="0"/>
                  <w:vAlign w:val="center"/>
                </w:tcPr>
                <w:p w14:paraId="3797B75E">
                  <w:pPr>
                    <w:snapToGrid w:val="0"/>
                    <w:jc w:val="center"/>
                    <w:rPr>
                      <w:rFonts w:hint="eastAsia" w:ascii="Times New Roman" w:hAnsi="Times New Roman" w:eastAsia="宋体" w:cs="Times New Roman"/>
                      <w:i w:val="0"/>
                      <w:iCs w:val="0"/>
                      <w:color w:val="auto"/>
                      <w:kern w:val="2"/>
                      <w:sz w:val="21"/>
                      <w:szCs w:val="24"/>
                      <w:highlight w:val="none"/>
                      <w:u w:val="none" w:color="auto"/>
                      <w:lang w:val="en-US" w:eastAsia="zh-CN" w:bidi="ar-SA"/>
                    </w:rPr>
                  </w:pPr>
                  <w:r>
                    <w:rPr>
                      <w:rFonts w:hint="eastAsia" w:cs="Times New Roman"/>
                      <w:i w:val="0"/>
                      <w:iCs w:val="0"/>
                      <w:color w:val="auto"/>
                      <w:highlight w:val="none"/>
                      <w:u w:val="none" w:color="auto"/>
                      <w:lang w:val="en-US" w:eastAsia="zh-CN"/>
                    </w:rPr>
                    <w:t>8</w:t>
                  </w:r>
                </w:p>
              </w:tc>
              <w:tc>
                <w:tcPr>
                  <w:tcW w:w="1198" w:type="pct"/>
                  <w:shd w:val="clear" w:color="auto" w:fill="auto"/>
                  <w:noWrap w:val="0"/>
                  <w:vAlign w:val="top"/>
                </w:tcPr>
                <w:p w14:paraId="35515863">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eastAsia="zh-CN"/>
                    </w:rPr>
                    <w:t>雷氏夹测定仪</w:t>
                  </w:r>
                </w:p>
              </w:tc>
              <w:tc>
                <w:tcPr>
                  <w:tcW w:w="869" w:type="pct"/>
                  <w:shd w:val="clear" w:color="auto" w:fill="auto"/>
                  <w:noWrap w:val="0"/>
                  <w:vAlign w:val="top"/>
                </w:tcPr>
                <w:p w14:paraId="01E7FA88">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LD-50</w:t>
                  </w:r>
                </w:p>
              </w:tc>
              <w:tc>
                <w:tcPr>
                  <w:tcW w:w="515" w:type="pct"/>
                  <w:shd w:val="clear" w:color="auto" w:fill="auto"/>
                  <w:noWrap w:val="0"/>
                  <w:vAlign w:val="top"/>
                </w:tcPr>
                <w:p w14:paraId="42B004D9">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1</w:t>
                  </w:r>
                </w:p>
              </w:tc>
              <w:tc>
                <w:tcPr>
                  <w:tcW w:w="510" w:type="pct"/>
                  <w:noWrap w:val="0"/>
                  <w:vAlign w:val="center"/>
                </w:tcPr>
                <w:p w14:paraId="74260572">
                  <w:pPr>
                    <w:snapToGrid w:val="0"/>
                    <w:jc w:val="center"/>
                    <w:rPr>
                      <w:rFonts w:hint="default" w:ascii="Times New Roman" w:hAnsi="Times New Roman" w:eastAsia="宋体" w:cs="Times New Roman"/>
                      <w:i w:val="0"/>
                      <w:iCs w:val="0"/>
                      <w:color w:val="auto"/>
                      <w:highlight w:val="none"/>
                      <w:u w:val="none" w:color="auto"/>
                    </w:rPr>
                  </w:pPr>
                  <w:r>
                    <w:rPr>
                      <w:rFonts w:hint="default" w:ascii="Times New Roman" w:hAnsi="Times New Roman" w:eastAsia="宋体" w:cs="Times New Roman"/>
                      <w:color w:val="auto"/>
                      <w:highlight w:val="none"/>
                      <w:u w:val="none" w:color="auto"/>
                      <w:shd w:val="clear" w:color="auto" w:fill="auto"/>
                      <w:lang w:val="zh-TW" w:eastAsia="zh-TW"/>
                    </w:rPr>
                    <w:t>台</w:t>
                  </w:r>
                </w:p>
              </w:tc>
              <w:tc>
                <w:tcPr>
                  <w:tcW w:w="1525" w:type="pct"/>
                  <w:noWrap w:val="0"/>
                  <w:vAlign w:val="center"/>
                </w:tcPr>
                <w:p w14:paraId="4C743FEB">
                  <w:pPr>
                    <w:snapToGrid w:val="0"/>
                    <w:jc w:val="center"/>
                    <w:rPr>
                      <w:rFonts w:hint="eastAsia" w:ascii="Times New Roman" w:hAnsi="Times New Roman" w:eastAsia="宋体" w:cs="Times New Roman"/>
                      <w:i w:val="0"/>
                      <w:iCs w:val="0"/>
                      <w:color w:val="auto"/>
                      <w:highlight w:val="none"/>
                      <w:u w:val="none" w:color="auto"/>
                    </w:rPr>
                  </w:pPr>
                </w:p>
              </w:tc>
            </w:tr>
            <w:tr w14:paraId="66BBA9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shd w:val="clear" w:color="auto" w:fill="auto"/>
                  <w:noWrap w:val="0"/>
                  <w:vAlign w:val="center"/>
                </w:tcPr>
                <w:p w14:paraId="4B773EAA">
                  <w:pPr>
                    <w:snapToGrid w:val="0"/>
                    <w:jc w:val="center"/>
                    <w:rPr>
                      <w:rFonts w:hint="eastAsia" w:ascii="Times New Roman" w:hAnsi="Times New Roman" w:eastAsia="宋体" w:cs="Times New Roman"/>
                      <w:i w:val="0"/>
                      <w:iCs w:val="0"/>
                      <w:color w:val="auto"/>
                      <w:kern w:val="2"/>
                      <w:sz w:val="21"/>
                      <w:szCs w:val="24"/>
                      <w:highlight w:val="none"/>
                      <w:u w:val="none" w:color="auto"/>
                      <w:lang w:val="en-US" w:eastAsia="zh-CN" w:bidi="ar-SA"/>
                    </w:rPr>
                  </w:pPr>
                  <w:r>
                    <w:rPr>
                      <w:rFonts w:hint="eastAsia" w:cs="Times New Roman"/>
                      <w:i w:val="0"/>
                      <w:iCs w:val="0"/>
                      <w:color w:val="auto"/>
                      <w:highlight w:val="none"/>
                      <w:u w:val="none" w:color="auto"/>
                      <w:lang w:val="en-US" w:eastAsia="zh-CN"/>
                    </w:rPr>
                    <w:t>9</w:t>
                  </w:r>
                </w:p>
              </w:tc>
              <w:tc>
                <w:tcPr>
                  <w:tcW w:w="1198" w:type="pct"/>
                  <w:shd w:val="clear" w:color="auto" w:fill="auto"/>
                  <w:noWrap w:val="0"/>
                  <w:vAlign w:val="top"/>
                </w:tcPr>
                <w:p w14:paraId="399D19E2">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eastAsia="zh-CN"/>
                    </w:rPr>
                    <w:t>砂子压碎仪</w:t>
                  </w:r>
                </w:p>
              </w:tc>
              <w:tc>
                <w:tcPr>
                  <w:tcW w:w="869" w:type="pct"/>
                  <w:shd w:val="clear" w:color="auto" w:fill="auto"/>
                  <w:noWrap w:val="0"/>
                  <w:vAlign w:val="top"/>
                </w:tcPr>
                <w:p w14:paraId="07C2D2B8">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p>
              </w:tc>
              <w:tc>
                <w:tcPr>
                  <w:tcW w:w="515" w:type="pct"/>
                  <w:shd w:val="clear" w:color="auto" w:fill="auto"/>
                  <w:noWrap w:val="0"/>
                  <w:vAlign w:val="top"/>
                </w:tcPr>
                <w:p w14:paraId="5802CC5D">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1</w:t>
                  </w:r>
                </w:p>
              </w:tc>
              <w:tc>
                <w:tcPr>
                  <w:tcW w:w="510" w:type="pct"/>
                  <w:noWrap w:val="0"/>
                  <w:vAlign w:val="center"/>
                </w:tcPr>
                <w:p w14:paraId="0FABB684">
                  <w:pPr>
                    <w:snapToGrid w:val="0"/>
                    <w:jc w:val="center"/>
                    <w:rPr>
                      <w:rFonts w:hint="default" w:ascii="Times New Roman" w:hAnsi="Times New Roman" w:eastAsia="宋体" w:cs="Times New Roman"/>
                      <w:i w:val="0"/>
                      <w:iCs w:val="0"/>
                      <w:color w:val="auto"/>
                      <w:highlight w:val="none"/>
                      <w:u w:val="none" w:color="auto"/>
                    </w:rPr>
                  </w:pPr>
                  <w:r>
                    <w:rPr>
                      <w:rFonts w:hint="default" w:ascii="Times New Roman" w:hAnsi="Times New Roman" w:eastAsia="宋体" w:cs="Times New Roman"/>
                      <w:color w:val="auto"/>
                      <w:highlight w:val="none"/>
                      <w:u w:val="none" w:color="auto"/>
                      <w:shd w:val="clear" w:color="auto" w:fill="auto"/>
                      <w:lang w:val="zh-TW" w:eastAsia="zh-TW"/>
                    </w:rPr>
                    <w:t>台</w:t>
                  </w:r>
                </w:p>
              </w:tc>
              <w:tc>
                <w:tcPr>
                  <w:tcW w:w="1525" w:type="pct"/>
                  <w:noWrap w:val="0"/>
                  <w:vAlign w:val="center"/>
                </w:tcPr>
                <w:p w14:paraId="4E4EE5EB">
                  <w:pPr>
                    <w:snapToGrid w:val="0"/>
                    <w:jc w:val="center"/>
                    <w:rPr>
                      <w:rFonts w:hint="eastAsia" w:ascii="Times New Roman" w:hAnsi="Times New Roman" w:eastAsia="宋体" w:cs="Times New Roman"/>
                      <w:i w:val="0"/>
                      <w:iCs w:val="0"/>
                      <w:color w:val="auto"/>
                      <w:highlight w:val="none"/>
                      <w:u w:val="none" w:color="auto"/>
                    </w:rPr>
                  </w:pPr>
                </w:p>
              </w:tc>
            </w:tr>
            <w:tr w14:paraId="468A6B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shd w:val="clear" w:color="auto" w:fill="auto"/>
                  <w:noWrap w:val="0"/>
                  <w:vAlign w:val="center"/>
                </w:tcPr>
                <w:p w14:paraId="189EE57A">
                  <w:pPr>
                    <w:snapToGrid w:val="0"/>
                    <w:jc w:val="center"/>
                    <w:rPr>
                      <w:rFonts w:hint="eastAsia" w:ascii="Times New Roman" w:hAnsi="Times New Roman" w:eastAsia="宋体" w:cs="Times New Roman"/>
                      <w:i w:val="0"/>
                      <w:iCs w:val="0"/>
                      <w:color w:val="auto"/>
                      <w:kern w:val="2"/>
                      <w:sz w:val="21"/>
                      <w:szCs w:val="24"/>
                      <w:highlight w:val="none"/>
                      <w:u w:val="none" w:color="auto"/>
                      <w:lang w:val="en-US" w:eastAsia="zh-CN" w:bidi="ar-SA"/>
                    </w:rPr>
                  </w:pPr>
                  <w:r>
                    <w:rPr>
                      <w:rFonts w:hint="eastAsia" w:cs="Times New Roman"/>
                      <w:i w:val="0"/>
                      <w:iCs w:val="0"/>
                      <w:color w:val="auto"/>
                      <w:highlight w:val="none"/>
                      <w:u w:val="none" w:color="auto"/>
                      <w:lang w:val="en-US" w:eastAsia="zh-CN"/>
                    </w:rPr>
                    <w:t>10</w:t>
                  </w:r>
                </w:p>
              </w:tc>
              <w:tc>
                <w:tcPr>
                  <w:tcW w:w="1198" w:type="pct"/>
                  <w:shd w:val="clear" w:color="auto" w:fill="auto"/>
                  <w:noWrap w:val="0"/>
                  <w:vAlign w:val="top"/>
                </w:tcPr>
                <w:p w14:paraId="5AB60D1F">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eastAsia="zh-CN"/>
                    </w:rPr>
                    <w:t>水泥标准稠度仪</w:t>
                  </w:r>
                </w:p>
              </w:tc>
              <w:tc>
                <w:tcPr>
                  <w:tcW w:w="869" w:type="pct"/>
                  <w:shd w:val="clear" w:color="auto" w:fill="auto"/>
                  <w:noWrap w:val="0"/>
                  <w:vAlign w:val="top"/>
                </w:tcPr>
                <w:p w14:paraId="7C9BC7D9">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ISO</w:t>
                  </w:r>
                </w:p>
              </w:tc>
              <w:tc>
                <w:tcPr>
                  <w:tcW w:w="515" w:type="pct"/>
                  <w:shd w:val="clear" w:color="auto" w:fill="auto"/>
                  <w:noWrap w:val="0"/>
                  <w:vAlign w:val="top"/>
                </w:tcPr>
                <w:p w14:paraId="7AEC539F">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1</w:t>
                  </w:r>
                </w:p>
              </w:tc>
              <w:tc>
                <w:tcPr>
                  <w:tcW w:w="510" w:type="pct"/>
                  <w:noWrap w:val="0"/>
                  <w:vAlign w:val="center"/>
                </w:tcPr>
                <w:p w14:paraId="75BEE231">
                  <w:pPr>
                    <w:snapToGrid w:val="0"/>
                    <w:jc w:val="center"/>
                    <w:rPr>
                      <w:rFonts w:hint="default" w:ascii="Times New Roman" w:hAnsi="Times New Roman" w:eastAsia="宋体" w:cs="Times New Roman"/>
                      <w:i w:val="0"/>
                      <w:iCs w:val="0"/>
                      <w:color w:val="auto"/>
                      <w:highlight w:val="none"/>
                      <w:u w:val="none" w:color="auto"/>
                    </w:rPr>
                  </w:pPr>
                  <w:r>
                    <w:rPr>
                      <w:rFonts w:hint="default" w:ascii="Times New Roman" w:hAnsi="Times New Roman" w:eastAsia="宋体" w:cs="Times New Roman"/>
                      <w:color w:val="auto"/>
                      <w:highlight w:val="none"/>
                      <w:u w:val="none" w:color="auto"/>
                      <w:shd w:val="clear" w:color="auto" w:fill="auto"/>
                      <w:lang w:val="zh-TW" w:eastAsia="zh-TW"/>
                    </w:rPr>
                    <w:t>台</w:t>
                  </w:r>
                </w:p>
              </w:tc>
              <w:tc>
                <w:tcPr>
                  <w:tcW w:w="1525" w:type="pct"/>
                  <w:noWrap w:val="0"/>
                  <w:vAlign w:val="center"/>
                </w:tcPr>
                <w:p w14:paraId="7AEFB9B5">
                  <w:pPr>
                    <w:snapToGrid w:val="0"/>
                    <w:jc w:val="center"/>
                    <w:rPr>
                      <w:rFonts w:hint="eastAsia" w:ascii="Times New Roman" w:hAnsi="Times New Roman" w:eastAsia="宋体" w:cs="Times New Roman"/>
                      <w:i w:val="0"/>
                      <w:iCs w:val="0"/>
                      <w:color w:val="auto"/>
                      <w:highlight w:val="none"/>
                      <w:u w:val="none" w:color="auto"/>
                    </w:rPr>
                  </w:pPr>
                </w:p>
              </w:tc>
            </w:tr>
            <w:tr w14:paraId="3F9188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shd w:val="clear" w:color="auto" w:fill="auto"/>
                  <w:noWrap w:val="0"/>
                  <w:vAlign w:val="center"/>
                </w:tcPr>
                <w:p w14:paraId="2587BD80">
                  <w:pPr>
                    <w:snapToGrid w:val="0"/>
                    <w:jc w:val="center"/>
                    <w:rPr>
                      <w:rFonts w:hint="eastAsia" w:ascii="Times New Roman" w:hAnsi="Times New Roman" w:eastAsia="宋体" w:cs="Times New Roman"/>
                      <w:i w:val="0"/>
                      <w:iCs w:val="0"/>
                      <w:color w:val="auto"/>
                      <w:kern w:val="2"/>
                      <w:sz w:val="21"/>
                      <w:szCs w:val="24"/>
                      <w:highlight w:val="none"/>
                      <w:u w:val="none" w:color="auto"/>
                      <w:lang w:val="en-US" w:eastAsia="zh-CN" w:bidi="ar-SA"/>
                    </w:rPr>
                  </w:pPr>
                  <w:r>
                    <w:rPr>
                      <w:rFonts w:hint="eastAsia" w:cs="Times New Roman"/>
                      <w:i w:val="0"/>
                      <w:iCs w:val="0"/>
                      <w:color w:val="auto"/>
                      <w:highlight w:val="none"/>
                      <w:u w:val="none" w:color="auto"/>
                      <w:lang w:val="en-US" w:eastAsia="zh-CN"/>
                    </w:rPr>
                    <w:t>11</w:t>
                  </w:r>
                </w:p>
              </w:tc>
              <w:tc>
                <w:tcPr>
                  <w:tcW w:w="1198" w:type="pct"/>
                  <w:shd w:val="clear" w:color="auto" w:fill="auto"/>
                  <w:noWrap w:val="0"/>
                  <w:vAlign w:val="top"/>
                </w:tcPr>
                <w:p w14:paraId="30B9CF1B">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eastAsia="zh-CN"/>
                    </w:rPr>
                    <w:t>负压筛析仪</w:t>
                  </w:r>
                </w:p>
              </w:tc>
              <w:tc>
                <w:tcPr>
                  <w:tcW w:w="869" w:type="pct"/>
                  <w:shd w:val="clear" w:color="auto" w:fill="auto"/>
                  <w:noWrap w:val="0"/>
                  <w:vAlign w:val="top"/>
                </w:tcPr>
                <w:p w14:paraId="77F3239F">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FYS-150B</w:t>
                  </w:r>
                </w:p>
              </w:tc>
              <w:tc>
                <w:tcPr>
                  <w:tcW w:w="515" w:type="pct"/>
                  <w:shd w:val="clear" w:color="auto" w:fill="auto"/>
                  <w:noWrap w:val="0"/>
                  <w:vAlign w:val="top"/>
                </w:tcPr>
                <w:p w14:paraId="250B2302">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1</w:t>
                  </w:r>
                </w:p>
              </w:tc>
              <w:tc>
                <w:tcPr>
                  <w:tcW w:w="510" w:type="pct"/>
                  <w:noWrap w:val="0"/>
                  <w:vAlign w:val="center"/>
                </w:tcPr>
                <w:p w14:paraId="795169E5">
                  <w:pPr>
                    <w:snapToGrid w:val="0"/>
                    <w:jc w:val="center"/>
                    <w:rPr>
                      <w:rFonts w:hint="default" w:ascii="Times New Roman" w:hAnsi="Times New Roman" w:eastAsia="宋体" w:cs="Times New Roman"/>
                      <w:i w:val="0"/>
                      <w:iCs w:val="0"/>
                      <w:color w:val="auto"/>
                      <w:highlight w:val="none"/>
                      <w:u w:val="none" w:color="auto"/>
                    </w:rPr>
                  </w:pPr>
                  <w:r>
                    <w:rPr>
                      <w:rFonts w:hint="default" w:ascii="Times New Roman" w:hAnsi="Times New Roman" w:eastAsia="宋体" w:cs="Times New Roman"/>
                      <w:color w:val="auto"/>
                      <w:highlight w:val="none"/>
                      <w:u w:val="none" w:color="auto"/>
                      <w:shd w:val="clear" w:color="auto" w:fill="auto"/>
                      <w:lang w:val="zh-TW" w:eastAsia="zh-TW"/>
                    </w:rPr>
                    <w:t>台</w:t>
                  </w:r>
                </w:p>
              </w:tc>
              <w:tc>
                <w:tcPr>
                  <w:tcW w:w="1525" w:type="pct"/>
                  <w:noWrap w:val="0"/>
                  <w:vAlign w:val="center"/>
                </w:tcPr>
                <w:p w14:paraId="185984CF">
                  <w:pPr>
                    <w:snapToGrid w:val="0"/>
                    <w:jc w:val="center"/>
                    <w:rPr>
                      <w:rFonts w:hint="eastAsia" w:ascii="Times New Roman" w:hAnsi="Times New Roman" w:eastAsia="宋体" w:cs="Times New Roman"/>
                      <w:i w:val="0"/>
                      <w:iCs w:val="0"/>
                      <w:color w:val="auto"/>
                      <w:highlight w:val="none"/>
                      <w:u w:val="none" w:color="auto"/>
                    </w:rPr>
                  </w:pPr>
                </w:p>
              </w:tc>
            </w:tr>
            <w:tr w14:paraId="014670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shd w:val="clear" w:color="auto" w:fill="auto"/>
                  <w:noWrap w:val="0"/>
                  <w:vAlign w:val="center"/>
                </w:tcPr>
                <w:p w14:paraId="08DB280B">
                  <w:pPr>
                    <w:snapToGrid w:val="0"/>
                    <w:jc w:val="center"/>
                    <w:rPr>
                      <w:rFonts w:hint="eastAsia" w:ascii="Times New Roman" w:hAnsi="Times New Roman" w:eastAsia="宋体" w:cs="Times New Roman"/>
                      <w:i w:val="0"/>
                      <w:iCs w:val="0"/>
                      <w:color w:val="auto"/>
                      <w:kern w:val="2"/>
                      <w:sz w:val="21"/>
                      <w:szCs w:val="24"/>
                      <w:highlight w:val="none"/>
                      <w:u w:val="none" w:color="auto"/>
                      <w:lang w:val="en-US" w:eastAsia="zh-CN" w:bidi="ar-SA"/>
                    </w:rPr>
                  </w:pPr>
                  <w:r>
                    <w:rPr>
                      <w:rFonts w:hint="eastAsia" w:cs="Times New Roman"/>
                      <w:i w:val="0"/>
                      <w:iCs w:val="0"/>
                      <w:color w:val="auto"/>
                      <w:highlight w:val="none"/>
                      <w:u w:val="none" w:color="auto"/>
                      <w:lang w:val="en-US" w:eastAsia="zh-CN"/>
                    </w:rPr>
                    <w:t>12</w:t>
                  </w:r>
                </w:p>
              </w:tc>
              <w:tc>
                <w:tcPr>
                  <w:tcW w:w="1198" w:type="pct"/>
                  <w:shd w:val="clear" w:color="auto" w:fill="auto"/>
                  <w:noWrap w:val="0"/>
                  <w:vAlign w:val="top"/>
                </w:tcPr>
                <w:p w14:paraId="23591F6F">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eastAsia="zh-CN"/>
                    </w:rPr>
                    <w:t>水泥留样桶</w:t>
                  </w:r>
                </w:p>
              </w:tc>
              <w:tc>
                <w:tcPr>
                  <w:tcW w:w="869" w:type="pct"/>
                  <w:shd w:val="clear" w:color="auto" w:fill="auto"/>
                  <w:noWrap w:val="0"/>
                  <w:vAlign w:val="top"/>
                </w:tcPr>
                <w:p w14:paraId="1417C0B5">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p>
              </w:tc>
              <w:tc>
                <w:tcPr>
                  <w:tcW w:w="515" w:type="pct"/>
                  <w:shd w:val="clear" w:color="auto" w:fill="auto"/>
                  <w:noWrap w:val="0"/>
                  <w:vAlign w:val="top"/>
                </w:tcPr>
                <w:p w14:paraId="02BB3C23">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6</w:t>
                  </w:r>
                </w:p>
              </w:tc>
              <w:tc>
                <w:tcPr>
                  <w:tcW w:w="510" w:type="pct"/>
                  <w:noWrap w:val="0"/>
                  <w:vAlign w:val="center"/>
                </w:tcPr>
                <w:p w14:paraId="57936015">
                  <w:pPr>
                    <w:snapToGrid w:val="0"/>
                    <w:jc w:val="center"/>
                    <w:rPr>
                      <w:rFonts w:hint="default" w:ascii="Times New Roman" w:hAnsi="Times New Roman" w:eastAsia="宋体" w:cs="Times New Roman"/>
                      <w:i w:val="0"/>
                      <w:iCs w:val="0"/>
                      <w:color w:val="auto"/>
                      <w:highlight w:val="none"/>
                      <w:u w:val="none" w:color="auto"/>
                    </w:rPr>
                  </w:pPr>
                  <w:r>
                    <w:rPr>
                      <w:rFonts w:hint="eastAsia"/>
                      <w:b w:val="0"/>
                      <w:i w:val="0"/>
                      <w:caps w:val="0"/>
                      <w:color w:val="auto"/>
                      <w:spacing w:val="0"/>
                      <w:w w:val="100"/>
                      <w:sz w:val="21"/>
                      <w:highlight w:val="none"/>
                      <w:u w:val="none" w:color="auto"/>
                      <w:lang w:val="en-US" w:eastAsia="zh-CN"/>
                    </w:rPr>
                    <w:t>个</w:t>
                  </w:r>
                </w:p>
              </w:tc>
              <w:tc>
                <w:tcPr>
                  <w:tcW w:w="1525" w:type="pct"/>
                  <w:noWrap w:val="0"/>
                  <w:vAlign w:val="center"/>
                </w:tcPr>
                <w:p w14:paraId="5B86CCAC">
                  <w:pPr>
                    <w:snapToGrid w:val="0"/>
                    <w:jc w:val="center"/>
                    <w:rPr>
                      <w:rFonts w:hint="eastAsia" w:ascii="Times New Roman" w:hAnsi="Times New Roman" w:eastAsia="宋体" w:cs="Times New Roman"/>
                      <w:i w:val="0"/>
                      <w:iCs w:val="0"/>
                      <w:color w:val="auto"/>
                      <w:highlight w:val="none"/>
                      <w:u w:val="none" w:color="auto"/>
                    </w:rPr>
                  </w:pPr>
                </w:p>
              </w:tc>
            </w:tr>
            <w:tr w14:paraId="5F7462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shd w:val="clear" w:color="auto" w:fill="auto"/>
                  <w:noWrap w:val="0"/>
                  <w:vAlign w:val="center"/>
                </w:tcPr>
                <w:p w14:paraId="33D5EE8A">
                  <w:pPr>
                    <w:snapToGrid w:val="0"/>
                    <w:jc w:val="center"/>
                    <w:rPr>
                      <w:rFonts w:hint="eastAsia" w:ascii="Times New Roman" w:hAnsi="Times New Roman" w:eastAsia="宋体" w:cs="Times New Roman"/>
                      <w:i w:val="0"/>
                      <w:iCs w:val="0"/>
                      <w:color w:val="auto"/>
                      <w:kern w:val="2"/>
                      <w:sz w:val="21"/>
                      <w:szCs w:val="24"/>
                      <w:highlight w:val="none"/>
                      <w:u w:val="none" w:color="auto"/>
                      <w:lang w:val="en-US" w:eastAsia="zh-CN" w:bidi="ar-SA"/>
                    </w:rPr>
                  </w:pPr>
                  <w:r>
                    <w:rPr>
                      <w:rFonts w:hint="eastAsia" w:cs="Times New Roman"/>
                      <w:i w:val="0"/>
                      <w:iCs w:val="0"/>
                      <w:color w:val="auto"/>
                      <w:highlight w:val="none"/>
                      <w:u w:val="none" w:color="auto"/>
                      <w:lang w:val="en-US" w:eastAsia="zh-CN"/>
                    </w:rPr>
                    <w:t>13</w:t>
                  </w:r>
                </w:p>
              </w:tc>
              <w:tc>
                <w:tcPr>
                  <w:tcW w:w="1198" w:type="pct"/>
                  <w:shd w:val="clear" w:color="auto" w:fill="auto"/>
                  <w:noWrap w:val="0"/>
                  <w:vAlign w:val="top"/>
                </w:tcPr>
                <w:p w14:paraId="576DFCC5">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eastAsia="zh-CN"/>
                    </w:rPr>
                    <w:t>水泥恒温养护箱</w:t>
                  </w:r>
                </w:p>
              </w:tc>
              <w:tc>
                <w:tcPr>
                  <w:tcW w:w="869" w:type="pct"/>
                  <w:shd w:val="clear" w:color="auto" w:fill="auto"/>
                  <w:noWrap w:val="0"/>
                  <w:vAlign w:val="top"/>
                </w:tcPr>
                <w:p w14:paraId="7AFDD04F">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YH-40B</w:t>
                  </w:r>
                </w:p>
              </w:tc>
              <w:tc>
                <w:tcPr>
                  <w:tcW w:w="515" w:type="pct"/>
                  <w:shd w:val="clear" w:color="auto" w:fill="auto"/>
                  <w:noWrap w:val="0"/>
                  <w:vAlign w:val="top"/>
                </w:tcPr>
                <w:p w14:paraId="46DDDD8A">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1</w:t>
                  </w:r>
                </w:p>
              </w:tc>
              <w:tc>
                <w:tcPr>
                  <w:tcW w:w="510" w:type="pct"/>
                  <w:noWrap w:val="0"/>
                  <w:vAlign w:val="center"/>
                </w:tcPr>
                <w:p w14:paraId="3F0EF773">
                  <w:pPr>
                    <w:snapToGrid w:val="0"/>
                    <w:jc w:val="center"/>
                    <w:rPr>
                      <w:rFonts w:hint="default" w:ascii="Times New Roman" w:hAnsi="Times New Roman" w:eastAsia="宋体" w:cs="Times New Roman"/>
                      <w:i w:val="0"/>
                      <w:iCs w:val="0"/>
                      <w:color w:val="auto"/>
                      <w:highlight w:val="none"/>
                      <w:u w:val="none" w:color="auto"/>
                    </w:rPr>
                  </w:pPr>
                  <w:r>
                    <w:rPr>
                      <w:rFonts w:hint="default" w:ascii="Times New Roman" w:hAnsi="Times New Roman" w:eastAsia="宋体" w:cs="Times New Roman"/>
                      <w:color w:val="auto"/>
                      <w:highlight w:val="none"/>
                      <w:u w:val="none" w:color="auto"/>
                      <w:shd w:val="clear" w:color="auto" w:fill="auto"/>
                      <w:lang w:val="zh-TW" w:eastAsia="zh-TW"/>
                    </w:rPr>
                    <w:t>台</w:t>
                  </w:r>
                </w:p>
              </w:tc>
              <w:tc>
                <w:tcPr>
                  <w:tcW w:w="1525" w:type="pct"/>
                  <w:noWrap w:val="0"/>
                  <w:vAlign w:val="center"/>
                </w:tcPr>
                <w:p w14:paraId="74B70877">
                  <w:pPr>
                    <w:snapToGrid w:val="0"/>
                    <w:jc w:val="center"/>
                    <w:rPr>
                      <w:rFonts w:hint="eastAsia" w:ascii="Times New Roman" w:hAnsi="Times New Roman" w:eastAsia="宋体" w:cs="Times New Roman"/>
                      <w:i w:val="0"/>
                      <w:iCs w:val="0"/>
                      <w:color w:val="auto"/>
                      <w:highlight w:val="none"/>
                      <w:u w:val="none" w:color="auto"/>
                    </w:rPr>
                  </w:pPr>
                </w:p>
              </w:tc>
            </w:tr>
            <w:tr w14:paraId="508579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noWrap w:val="0"/>
                  <w:vAlign w:val="center"/>
                </w:tcPr>
                <w:p w14:paraId="03A1B3EE">
                  <w:pPr>
                    <w:snapToGrid w:val="0"/>
                    <w:jc w:val="center"/>
                    <w:rPr>
                      <w:rFonts w:hint="default"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14</w:t>
                  </w:r>
                </w:p>
              </w:tc>
              <w:tc>
                <w:tcPr>
                  <w:tcW w:w="1198" w:type="pct"/>
                  <w:shd w:val="clear" w:color="auto" w:fill="auto"/>
                  <w:noWrap w:val="0"/>
                  <w:vAlign w:val="top"/>
                </w:tcPr>
                <w:p w14:paraId="1BE8B8F7">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eastAsia="zh-CN"/>
                    </w:rPr>
                    <w:t>强制式搅拌机</w:t>
                  </w:r>
                </w:p>
              </w:tc>
              <w:tc>
                <w:tcPr>
                  <w:tcW w:w="869" w:type="pct"/>
                  <w:shd w:val="clear" w:color="auto" w:fill="auto"/>
                  <w:noWrap w:val="0"/>
                  <w:vAlign w:val="top"/>
                </w:tcPr>
                <w:p w14:paraId="00409DD6">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HJW-60</w:t>
                  </w:r>
                </w:p>
              </w:tc>
              <w:tc>
                <w:tcPr>
                  <w:tcW w:w="515" w:type="pct"/>
                  <w:shd w:val="clear" w:color="auto" w:fill="auto"/>
                  <w:noWrap w:val="0"/>
                  <w:vAlign w:val="top"/>
                </w:tcPr>
                <w:p w14:paraId="0D703E33">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1</w:t>
                  </w:r>
                </w:p>
              </w:tc>
              <w:tc>
                <w:tcPr>
                  <w:tcW w:w="510" w:type="pct"/>
                  <w:noWrap w:val="0"/>
                  <w:vAlign w:val="center"/>
                </w:tcPr>
                <w:p w14:paraId="7CBFBE3F">
                  <w:pPr>
                    <w:snapToGrid w:val="0"/>
                    <w:jc w:val="center"/>
                    <w:rPr>
                      <w:rFonts w:hint="default" w:ascii="Times New Roman" w:hAnsi="Times New Roman" w:eastAsia="宋体" w:cs="Times New Roman"/>
                      <w:i w:val="0"/>
                      <w:iCs w:val="0"/>
                      <w:color w:val="auto"/>
                      <w:highlight w:val="none"/>
                      <w:u w:val="none" w:color="auto"/>
                    </w:rPr>
                  </w:pPr>
                  <w:r>
                    <w:rPr>
                      <w:rFonts w:hint="default" w:ascii="Times New Roman" w:hAnsi="Times New Roman" w:eastAsia="宋体" w:cs="Times New Roman"/>
                      <w:color w:val="auto"/>
                      <w:highlight w:val="none"/>
                      <w:u w:val="none" w:color="auto"/>
                      <w:lang w:val="zh-TW" w:eastAsia="zh-TW"/>
                    </w:rPr>
                    <w:t>台</w:t>
                  </w:r>
                </w:p>
              </w:tc>
              <w:tc>
                <w:tcPr>
                  <w:tcW w:w="1525" w:type="pct"/>
                  <w:noWrap w:val="0"/>
                  <w:vAlign w:val="center"/>
                </w:tcPr>
                <w:p w14:paraId="6D8EFCF4">
                  <w:pPr>
                    <w:snapToGrid w:val="0"/>
                    <w:jc w:val="center"/>
                    <w:rPr>
                      <w:rFonts w:hint="eastAsia" w:ascii="Times New Roman" w:hAnsi="Times New Roman" w:eastAsia="宋体" w:cs="Times New Roman"/>
                      <w:i w:val="0"/>
                      <w:iCs w:val="0"/>
                      <w:color w:val="auto"/>
                      <w:highlight w:val="none"/>
                      <w:u w:val="none" w:color="auto"/>
                    </w:rPr>
                  </w:pPr>
                </w:p>
              </w:tc>
            </w:tr>
            <w:tr w14:paraId="65FE15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noWrap w:val="0"/>
                  <w:vAlign w:val="center"/>
                </w:tcPr>
                <w:p w14:paraId="1705C332">
                  <w:pPr>
                    <w:snapToGrid w:val="0"/>
                    <w:jc w:val="center"/>
                    <w:rPr>
                      <w:rFonts w:hint="default"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15</w:t>
                  </w:r>
                </w:p>
              </w:tc>
              <w:tc>
                <w:tcPr>
                  <w:tcW w:w="1198" w:type="pct"/>
                  <w:shd w:val="clear" w:color="auto" w:fill="auto"/>
                  <w:noWrap w:val="0"/>
                  <w:vAlign w:val="top"/>
                </w:tcPr>
                <w:p w14:paraId="4E2AA729">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eastAsia="zh-CN"/>
                    </w:rPr>
                    <w:t>振动台</w:t>
                  </w:r>
                </w:p>
              </w:tc>
              <w:tc>
                <w:tcPr>
                  <w:tcW w:w="869" w:type="pct"/>
                  <w:shd w:val="clear" w:color="auto" w:fill="auto"/>
                  <w:noWrap w:val="0"/>
                  <w:vAlign w:val="top"/>
                </w:tcPr>
                <w:p w14:paraId="74B85175">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1M</w:t>
                  </w:r>
                </w:p>
              </w:tc>
              <w:tc>
                <w:tcPr>
                  <w:tcW w:w="515" w:type="pct"/>
                  <w:shd w:val="clear" w:color="auto" w:fill="auto"/>
                  <w:noWrap w:val="0"/>
                  <w:vAlign w:val="top"/>
                </w:tcPr>
                <w:p w14:paraId="6BC7B3EC">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1</w:t>
                  </w:r>
                </w:p>
              </w:tc>
              <w:tc>
                <w:tcPr>
                  <w:tcW w:w="510" w:type="pct"/>
                  <w:noWrap w:val="0"/>
                  <w:vAlign w:val="center"/>
                </w:tcPr>
                <w:p w14:paraId="71E3978D">
                  <w:pPr>
                    <w:snapToGrid w:val="0"/>
                    <w:jc w:val="center"/>
                    <w:rPr>
                      <w:rFonts w:hint="default" w:ascii="Times New Roman" w:hAnsi="Times New Roman" w:eastAsia="宋体" w:cs="Times New Roman"/>
                      <w:i w:val="0"/>
                      <w:iCs w:val="0"/>
                      <w:color w:val="auto"/>
                      <w:highlight w:val="none"/>
                      <w:u w:val="none" w:color="auto"/>
                    </w:rPr>
                  </w:pPr>
                  <w:r>
                    <w:rPr>
                      <w:rFonts w:hint="default" w:ascii="Times New Roman" w:hAnsi="Times New Roman" w:eastAsia="宋体" w:cs="Times New Roman"/>
                      <w:color w:val="auto"/>
                      <w:highlight w:val="none"/>
                      <w:u w:val="none" w:color="auto"/>
                      <w:lang w:val="zh-TW" w:eastAsia="zh-TW"/>
                    </w:rPr>
                    <w:t>台</w:t>
                  </w:r>
                </w:p>
              </w:tc>
              <w:tc>
                <w:tcPr>
                  <w:tcW w:w="1525" w:type="pct"/>
                  <w:noWrap w:val="0"/>
                  <w:vAlign w:val="center"/>
                </w:tcPr>
                <w:p w14:paraId="1F990A98">
                  <w:pPr>
                    <w:snapToGrid w:val="0"/>
                    <w:jc w:val="center"/>
                    <w:rPr>
                      <w:rFonts w:hint="eastAsia" w:ascii="Times New Roman" w:hAnsi="Times New Roman" w:eastAsia="宋体" w:cs="Times New Roman"/>
                      <w:i w:val="0"/>
                      <w:iCs w:val="0"/>
                      <w:color w:val="auto"/>
                      <w:highlight w:val="none"/>
                      <w:u w:val="none" w:color="auto"/>
                    </w:rPr>
                  </w:pPr>
                </w:p>
              </w:tc>
            </w:tr>
            <w:tr w14:paraId="07F964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noWrap w:val="0"/>
                  <w:vAlign w:val="center"/>
                </w:tcPr>
                <w:p w14:paraId="29B27F0A">
                  <w:pPr>
                    <w:snapToGrid w:val="0"/>
                    <w:jc w:val="center"/>
                    <w:rPr>
                      <w:rFonts w:hint="default"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16</w:t>
                  </w:r>
                </w:p>
              </w:tc>
              <w:tc>
                <w:tcPr>
                  <w:tcW w:w="1198" w:type="pct"/>
                  <w:shd w:val="clear" w:color="auto" w:fill="auto"/>
                  <w:noWrap w:val="0"/>
                  <w:vAlign w:val="top"/>
                </w:tcPr>
                <w:p w14:paraId="6E5DCAAC">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eastAsia="zh-CN"/>
                    </w:rPr>
                    <w:t>干燥箱</w:t>
                  </w:r>
                </w:p>
              </w:tc>
              <w:tc>
                <w:tcPr>
                  <w:tcW w:w="869" w:type="pct"/>
                  <w:shd w:val="clear" w:color="auto" w:fill="auto"/>
                  <w:noWrap w:val="0"/>
                  <w:vAlign w:val="top"/>
                </w:tcPr>
                <w:p w14:paraId="5E44DF57">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101-2</w:t>
                  </w:r>
                </w:p>
              </w:tc>
              <w:tc>
                <w:tcPr>
                  <w:tcW w:w="515" w:type="pct"/>
                  <w:shd w:val="clear" w:color="auto" w:fill="auto"/>
                  <w:noWrap w:val="0"/>
                  <w:vAlign w:val="top"/>
                </w:tcPr>
                <w:p w14:paraId="0A3C3136">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1</w:t>
                  </w:r>
                </w:p>
              </w:tc>
              <w:tc>
                <w:tcPr>
                  <w:tcW w:w="510" w:type="pct"/>
                  <w:noWrap w:val="0"/>
                  <w:vAlign w:val="center"/>
                </w:tcPr>
                <w:p w14:paraId="3A27497F">
                  <w:pPr>
                    <w:snapToGrid w:val="0"/>
                    <w:jc w:val="center"/>
                    <w:rPr>
                      <w:rFonts w:hint="default" w:ascii="Times New Roman" w:hAnsi="Times New Roman" w:eastAsia="宋体" w:cs="Times New Roman"/>
                      <w:i w:val="0"/>
                      <w:iCs w:val="0"/>
                      <w:color w:val="auto"/>
                      <w:highlight w:val="none"/>
                      <w:u w:val="none" w:color="auto"/>
                    </w:rPr>
                  </w:pPr>
                  <w:r>
                    <w:rPr>
                      <w:rFonts w:hint="eastAsia"/>
                      <w:b w:val="0"/>
                      <w:i w:val="0"/>
                      <w:caps w:val="0"/>
                      <w:color w:val="auto"/>
                      <w:spacing w:val="0"/>
                      <w:w w:val="100"/>
                      <w:sz w:val="21"/>
                      <w:highlight w:val="none"/>
                      <w:u w:val="none" w:color="auto"/>
                      <w:lang w:val="en-US" w:eastAsia="zh-CN"/>
                    </w:rPr>
                    <w:t>台</w:t>
                  </w:r>
                </w:p>
              </w:tc>
              <w:tc>
                <w:tcPr>
                  <w:tcW w:w="1525" w:type="pct"/>
                  <w:noWrap w:val="0"/>
                  <w:vAlign w:val="center"/>
                </w:tcPr>
                <w:p w14:paraId="53C311CF">
                  <w:pPr>
                    <w:snapToGrid w:val="0"/>
                    <w:jc w:val="center"/>
                    <w:rPr>
                      <w:rFonts w:hint="eastAsia" w:ascii="Times New Roman" w:hAnsi="Times New Roman" w:eastAsia="宋体" w:cs="Times New Roman"/>
                      <w:i w:val="0"/>
                      <w:iCs w:val="0"/>
                      <w:color w:val="auto"/>
                      <w:highlight w:val="none"/>
                      <w:u w:val="none" w:color="auto"/>
                    </w:rPr>
                  </w:pPr>
                </w:p>
              </w:tc>
            </w:tr>
            <w:tr w14:paraId="766510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noWrap w:val="0"/>
                  <w:vAlign w:val="center"/>
                </w:tcPr>
                <w:p w14:paraId="0BBF1933">
                  <w:pPr>
                    <w:snapToGrid w:val="0"/>
                    <w:jc w:val="center"/>
                    <w:rPr>
                      <w:rFonts w:hint="default"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17</w:t>
                  </w:r>
                </w:p>
              </w:tc>
              <w:tc>
                <w:tcPr>
                  <w:tcW w:w="1198" w:type="pct"/>
                  <w:shd w:val="clear" w:color="auto" w:fill="auto"/>
                  <w:noWrap w:val="0"/>
                  <w:vAlign w:val="top"/>
                </w:tcPr>
                <w:p w14:paraId="61CD73DB">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eastAsia="zh-CN"/>
                    </w:rPr>
                    <w:t>砂石筛</w:t>
                  </w:r>
                </w:p>
              </w:tc>
              <w:tc>
                <w:tcPr>
                  <w:tcW w:w="869" w:type="pct"/>
                  <w:shd w:val="clear" w:color="auto" w:fill="auto"/>
                  <w:noWrap w:val="0"/>
                  <w:vAlign w:val="top"/>
                </w:tcPr>
                <w:p w14:paraId="4EB7CC58">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eastAsia="zh-CN"/>
                    </w:rPr>
                    <w:t>直径</w:t>
                  </w:r>
                  <w:r>
                    <w:rPr>
                      <w:rFonts w:hint="eastAsia"/>
                      <w:b w:val="0"/>
                      <w:i w:val="0"/>
                      <w:caps w:val="0"/>
                      <w:color w:val="auto"/>
                      <w:spacing w:val="0"/>
                      <w:w w:val="100"/>
                      <w:sz w:val="21"/>
                      <w:highlight w:val="none"/>
                      <w:u w:val="none" w:color="auto"/>
                      <w:lang w:val="en-US" w:eastAsia="zh-CN"/>
                    </w:rPr>
                    <w:t>300</w:t>
                  </w:r>
                </w:p>
              </w:tc>
              <w:tc>
                <w:tcPr>
                  <w:tcW w:w="515" w:type="pct"/>
                  <w:shd w:val="clear" w:color="auto" w:fill="auto"/>
                  <w:noWrap w:val="0"/>
                  <w:vAlign w:val="top"/>
                </w:tcPr>
                <w:p w14:paraId="49F3AEA9">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1</w:t>
                  </w:r>
                </w:p>
              </w:tc>
              <w:tc>
                <w:tcPr>
                  <w:tcW w:w="510" w:type="pct"/>
                  <w:noWrap w:val="0"/>
                  <w:vAlign w:val="center"/>
                </w:tcPr>
                <w:p w14:paraId="05B051D2">
                  <w:pPr>
                    <w:snapToGrid w:val="0"/>
                    <w:jc w:val="center"/>
                    <w:rPr>
                      <w:rFonts w:hint="default" w:ascii="Times New Roman" w:hAnsi="Times New Roman" w:eastAsia="宋体" w:cs="Times New Roman"/>
                      <w:i w:val="0"/>
                      <w:iCs w:val="0"/>
                      <w:color w:val="auto"/>
                      <w:highlight w:val="none"/>
                      <w:u w:val="none" w:color="auto"/>
                    </w:rPr>
                  </w:pPr>
                  <w:r>
                    <w:rPr>
                      <w:rFonts w:hint="default" w:ascii="Times New Roman" w:hAnsi="Times New Roman" w:eastAsia="宋体" w:cs="Times New Roman"/>
                      <w:color w:val="auto"/>
                      <w:highlight w:val="none"/>
                      <w:u w:val="none" w:color="auto"/>
                      <w:shd w:val="clear" w:color="auto" w:fill="auto"/>
                      <w:lang w:val="zh-TW" w:eastAsia="zh-TW"/>
                    </w:rPr>
                    <w:t>套</w:t>
                  </w:r>
                </w:p>
              </w:tc>
              <w:tc>
                <w:tcPr>
                  <w:tcW w:w="1525" w:type="pct"/>
                  <w:noWrap w:val="0"/>
                  <w:vAlign w:val="center"/>
                </w:tcPr>
                <w:p w14:paraId="1F789A4E">
                  <w:pPr>
                    <w:snapToGrid w:val="0"/>
                    <w:jc w:val="center"/>
                    <w:rPr>
                      <w:rFonts w:hint="eastAsia" w:ascii="Times New Roman" w:hAnsi="Times New Roman" w:eastAsia="宋体" w:cs="Times New Roman"/>
                      <w:i w:val="0"/>
                      <w:iCs w:val="0"/>
                      <w:color w:val="auto"/>
                      <w:highlight w:val="none"/>
                      <w:u w:val="none" w:color="auto"/>
                    </w:rPr>
                  </w:pPr>
                </w:p>
              </w:tc>
            </w:tr>
            <w:tr w14:paraId="34602A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noWrap w:val="0"/>
                  <w:vAlign w:val="center"/>
                </w:tcPr>
                <w:p w14:paraId="018F7595">
                  <w:pPr>
                    <w:snapToGrid w:val="0"/>
                    <w:jc w:val="center"/>
                    <w:rPr>
                      <w:rFonts w:hint="default"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18</w:t>
                  </w:r>
                </w:p>
              </w:tc>
              <w:tc>
                <w:tcPr>
                  <w:tcW w:w="1198" w:type="pct"/>
                  <w:shd w:val="clear" w:color="auto" w:fill="auto"/>
                  <w:noWrap w:val="0"/>
                  <w:vAlign w:val="top"/>
                </w:tcPr>
                <w:p w14:paraId="6CDA8E16">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eastAsia="zh-CN"/>
                    </w:rPr>
                    <w:t>石子筛</w:t>
                  </w:r>
                </w:p>
              </w:tc>
              <w:tc>
                <w:tcPr>
                  <w:tcW w:w="869" w:type="pct"/>
                  <w:shd w:val="clear" w:color="auto" w:fill="auto"/>
                  <w:noWrap w:val="0"/>
                  <w:vAlign w:val="top"/>
                </w:tcPr>
                <w:p w14:paraId="09982DF4">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eastAsia="zh-CN"/>
                    </w:rPr>
                    <w:t>直径</w:t>
                  </w:r>
                  <w:r>
                    <w:rPr>
                      <w:rFonts w:hint="eastAsia"/>
                      <w:b w:val="0"/>
                      <w:i w:val="0"/>
                      <w:caps w:val="0"/>
                      <w:color w:val="auto"/>
                      <w:spacing w:val="0"/>
                      <w:w w:val="100"/>
                      <w:sz w:val="21"/>
                      <w:highlight w:val="none"/>
                      <w:u w:val="none" w:color="auto"/>
                      <w:lang w:val="en-US" w:eastAsia="zh-CN"/>
                    </w:rPr>
                    <w:t>300</w:t>
                  </w:r>
                </w:p>
              </w:tc>
              <w:tc>
                <w:tcPr>
                  <w:tcW w:w="515" w:type="pct"/>
                  <w:shd w:val="clear" w:color="auto" w:fill="auto"/>
                  <w:noWrap w:val="0"/>
                  <w:vAlign w:val="top"/>
                </w:tcPr>
                <w:p w14:paraId="7C905DF8">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1</w:t>
                  </w:r>
                </w:p>
              </w:tc>
              <w:tc>
                <w:tcPr>
                  <w:tcW w:w="510" w:type="pct"/>
                  <w:noWrap w:val="0"/>
                  <w:vAlign w:val="center"/>
                </w:tcPr>
                <w:p w14:paraId="09D44B45">
                  <w:pPr>
                    <w:snapToGrid w:val="0"/>
                    <w:jc w:val="center"/>
                    <w:rPr>
                      <w:rFonts w:hint="default" w:ascii="Times New Roman" w:hAnsi="Times New Roman" w:eastAsia="宋体" w:cs="Times New Roman"/>
                      <w:i w:val="0"/>
                      <w:iCs w:val="0"/>
                      <w:color w:val="auto"/>
                      <w:highlight w:val="none"/>
                      <w:u w:val="none" w:color="auto"/>
                    </w:rPr>
                  </w:pPr>
                  <w:r>
                    <w:rPr>
                      <w:rFonts w:hint="eastAsia"/>
                      <w:b w:val="0"/>
                      <w:i w:val="0"/>
                      <w:caps w:val="0"/>
                      <w:color w:val="auto"/>
                      <w:spacing w:val="0"/>
                      <w:w w:val="100"/>
                      <w:sz w:val="21"/>
                      <w:highlight w:val="none"/>
                      <w:u w:val="none" w:color="auto"/>
                      <w:lang w:val="en-US" w:eastAsia="zh-CN"/>
                    </w:rPr>
                    <w:t>套</w:t>
                  </w:r>
                </w:p>
              </w:tc>
              <w:tc>
                <w:tcPr>
                  <w:tcW w:w="1525" w:type="pct"/>
                  <w:noWrap w:val="0"/>
                  <w:vAlign w:val="center"/>
                </w:tcPr>
                <w:p w14:paraId="2F366417">
                  <w:pPr>
                    <w:snapToGrid w:val="0"/>
                    <w:jc w:val="center"/>
                    <w:rPr>
                      <w:rFonts w:hint="eastAsia" w:ascii="Times New Roman" w:hAnsi="Times New Roman" w:eastAsia="宋体" w:cs="Times New Roman"/>
                      <w:i w:val="0"/>
                      <w:iCs w:val="0"/>
                      <w:color w:val="auto"/>
                      <w:highlight w:val="none"/>
                      <w:u w:val="none" w:color="auto"/>
                    </w:rPr>
                  </w:pPr>
                </w:p>
              </w:tc>
            </w:tr>
            <w:tr w14:paraId="3587E8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noWrap w:val="0"/>
                  <w:vAlign w:val="center"/>
                </w:tcPr>
                <w:p w14:paraId="322FD828">
                  <w:pPr>
                    <w:snapToGrid w:val="0"/>
                    <w:jc w:val="center"/>
                    <w:rPr>
                      <w:rFonts w:hint="default"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19</w:t>
                  </w:r>
                </w:p>
              </w:tc>
              <w:tc>
                <w:tcPr>
                  <w:tcW w:w="1198" w:type="pct"/>
                  <w:shd w:val="clear" w:color="auto" w:fill="auto"/>
                  <w:noWrap w:val="0"/>
                  <w:vAlign w:val="center"/>
                </w:tcPr>
                <w:p w14:paraId="387C44E1">
                  <w:pPr>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highlight w:val="none"/>
                      <w:u w:val="none" w:color="auto"/>
                      <w:shd w:val="clear" w:color="auto" w:fill="auto"/>
                      <w:lang w:val="zh-TW" w:eastAsia="zh-TW"/>
                    </w:rPr>
                    <w:t>针片状规准仪</w:t>
                  </w:r>
                </w:p>
              </w:tc>
              <w:tc>
                <w:tcPr>
                  <w:tcW w:w="869" w:type="pct"/>
                  <w:shd w:val="clear" w:color="auto" w:fill="auto"/>
                  <w:noWrap w:val="0"/>
                  <w:vAlign w:val="center"/>
                </w:tcPr>
                <w:p w14:paraId="34F5B97D">
                  <w:pPr>
                    <w:jc w:val="center"/>
                    <w:rPr>
                      <w:rFonts w:hint="default" w:ascii="Times New Roman" w:hAnsi="Times New Roman" w:eastAsia="宋体" w:cs="Times New Roman"/>
                      <w:color w:val="auto"/>
                      <w:kern w:val="2"/>
                      <w:sz w:val="21"/>
                      <w:szCs w:val="24"/>
                      <w:highlight w:val="none"/>
                      <w:u w:val="none" w:color="auto"/>
                      <w:lang w:val="en-US" w:eastAsia="zh-CN" w:bidi="ar-SA"/>
                    </w:rPr>
                  </w:pPr>
                </w:p>
              </w:tc>
              <w:tc>
                <w:tcPr>
                  <w:tcW w:w="515" w:type="pct"/>
                  <w:shd w:val="clear" w:color="auto" w:fill="auto"/>
                  <w:noWrap w:val="0"/>
                  <w:vAlign w:val="center"/>
                </w:tcPr>
                <w:p w14:paraId="5A330498">
                  <w:pPr>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highlight w:val="none"/>
                      <w:u w:val="none" w:color="auto"/>
                      <w:shd w:val="clear" w:color="auto" w:fill="auto"/>
                      <w:lang w:val="en-US"/>
                    </w:rPr>
                    <w:t>1</w:t>
                  </w:r>
                </w:p>
              </w:tc>
              <w:tc>
                <w:tcPr>
                  <w:tcW w:w="510" w:type="pct"/>
                  <w:noWrap w:val="0"/>
                  <w:vAlign w:val="center"/>
                </w:tcPr>
                <w:p w14:paraId="410D8D41">
                  <w:pPr>
                    <w:snapToGrid w:val="0"/>
                    <w:jc w:val="center"/>
                    <w:rPr>
                      <w:rFonts w:hint="default" w:ascii="Times New Roman" w:hAnsi="Times New Roman" w:eastAsia="宋体"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台</w:t>
                  </w:r>
                </w:p>
              </w:tc>
              <w:tc>
                <w:tcPr>
                  <w:tcW w:w="1525" w:type="pct"/>
                  <w:noWrap w:val="0"/>
                  <w:vAlign w:val="center"/>
                </w:tcPr>
                <w:p w14:paraId="6192727B">
                  <w:pPr>
                    <w:snapToGrid w:val="0"/>
                    <w:jc w:val="center"/>
                    <w:rPr>
                      <w:rFonts w:hint="eastAsia" w:ascii="Times New Roman" w:hAnsi="Times New Roman" w:eastAsia="宋体" w:cs="Times New Roman"/>
                      <w:i w:val="0"/>
                      <w:iCs w:val="0"/>
                      <w:color w:val="auto"/>
                      <w:highlight w:val="none"/>
                      <w:u w:val="none" w:color="auto"/>
                    </w:rPr>
                  </w:pPr>
                </w:p>
              </w:tc>
            </w:tr>
            <w:tr w14:paraId="022C71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noWrap w:val="0"/>
                  <w:vAlign w:val="center"/>
                </w:tcPr>
                <w:p w14:paraId="3C2539C5">
                  <w:pPr>
                    <w:snapToGrid w:val="0"/>
                    <w:jc w:val="center"/>
                    <w:rPr>
                      <w:rFonts w:hint="default"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20</w:t>
                  </w:r>
                </w:p>
              </w:tc>
              <w:tc>
                <w:tcPr>
                  <w:tcW w:w="1198" w:type="pct"/>
                  <w:shd w:val="clear" w:color="auto" w:fill="auto"/>
                  <w:noWrap w:val="0"/>
                  <w:vAlign w:val="center"/>
                </w:tcPr>
                <w:p w14:paraId="08A7F077">
                  <w:pPr>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highlight w:val="none"/>
                      <w:u w:val="none" w:color="auto"/>
                      <w:shd w:val="clear" w:color="auto" w:fill="auto"/>
                      <w:lang w:val="zh-TW" w:eastAsia="zh-TW"/>
                    </w:rPr>
                    <w:t>回弹仪</w:t>
                  </w:r>
                </w:p>
              </w:tc>
              <w:tc>
                <w:tcPr>
                  <w:tcW w:w="869" w:type="pct"/>
                  <w:shd w:val="clear" w:color="auto" w:fill="auto"/>
                  <w:noWrap w:val="0"/>
                  <w:vAlign w:val="center"/>
                </w:tcPr>
                <w:p w14:paraId="2AFA9D71">
                  <w:pPr>
                    <w:jc w:val="center"/>
                    <w:rPr>
                      <w:rFonts w:hint="default" w:ascii="Times New Roman" w:hAnsi="Times New Roman" w:eastAsia="宋体" w:cs="Times New Roman"/>
                      <w:color w:val="auto"/>
                      <w:kern w:val="2"/>
                      <w:sz w:val="21"/>
                      <w:szCs w:val="24"/>
                      <w:highlight w:val="none"/>
                      <w:u w:val="none" w:color="auto"/>
                      <w:lang w:val="en-US" w:eastAsia="zh-CN" w:bidi="ar-SA"/>
                    </w:rPr>
                  </w:pPr>
                </w:p>
              </w:tc>
              <w:tc>
                <w:tcPr>
                  <w:tcW w:w="515" w:type="pct"/>
                  <w:shd w:val="clear" w:color="auto" w:fill="auto"/>
                  <w:noWrap w:val="0"/>
                  <w:vAlign w:val="center"/>
                </w:tcPr>
                <w:p w14:paraId="5B73CCD6">
                  <w:pPr>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highlight w:val="none"/>
                      <w:u w:val="none" w:color="auto"/>
                      <w:shd w:val="clear" w:color="auto" w:fill="auto"/>
                      <w:lang w:val="en-US"/>
                    </w:rPr>
                    <w:t>1</w:t>
                  </w:r>
                </w:p>
              </w:tc>
              <w:tc>
                <w:tcPr>
                  <w:tcW w:w="510" w:type="pct"/>
                  <w:noWrap w:val="0"/>
                  <w:vAlign w:val="center"/>
                </w:tcPr>
                <w:p w14:paraId="728DC5EB">
                  <w:pPr>
                    <w:snapToGrid w:val="0"/>
                    <w:jc w:val="center"/>
                    <w:rPr>
                      <w:rFonts w:hint="default" w:ascii="Times New Roman" w:hAnsi="Times New Roman" w:eastAsia="宋体" w:cs="Times New Roman"/>
                      <w:i w:val="0"/>
                      <w:iCs w:val="0"/>
                      <w:color w:val="auto"/>
                      <w:highlight w:val="none"/>
                      <w:u w:val="none" w:color="auto"/>
                    </w:rPr>
                  </w:pPr>
                  <w:r>
                    <w:rPr>
                      <w:rFonts w:hint="default" w:ascii="Times New Roman" w:hAnsi="Times New Roman" w:eastAsia="宋体" w:cs="Times New Roman"/>
                      <w:color w:val="auto"/>
                      <w:highlight w:val="none"/>
                      <w:u w:val="none" w:color="auto"/>
                      <w:shd w:val="clear" w:color="auto" w:fill="auto"/>
                      <w:lang w:val="zh-TW" w:eastAsia="zh-TW"/>
                    </w:rPr>
                    <w:t>台</w:t>
                  </w:r>
                </w:p>
              </w:tc>
              <w:tc>
                <w:tcPr>
                  <w:tcW w:w="1525" w:type="pct"/>
                  <w:noWrap w:val="0"/>
                  <w:vAlign w:val="center"/>
                </w:tcPr>
                <w:p w14:paraId="18731170">
                  <w:pPr>
                    <w:snapToGrid w:val="0"/>
                    <w:jc w:val="center"/>
                    <w:rPr>
                      <w:rFonts w:hint="eastAsia" w:ascii="Times New Roman" w:hAnsi="Times New Roman" w:eastAsia="宋体" w:cs="Times New Roman"/>
                      <w:i w:val="0"/>
                      <w:iCs w:val="0"/>
                      <w:color w:val="auto"/>
                      <w:highlight w:val="none"/>
                      <w:u w:val="none" w:color="auto"/>
                    </w:rPr>
                  </w:pPr>
                </w:p>
              </w:tc>
            </w:tr>
            <w:tr w14:paraId="22DA6E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noWrap w:val="0"/>
                  <w:vAlign w:val="center"/>
                </w:tcPr>
                <w:p w14:paraId="163E1D85">
                  <w:pPr>
                    <w:snapToGrid w:val="0"/>
                    <w:jc w:val="center"/>
                    <w:rPr>
                      <w:rFonts w:hint="default"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21</w:t>
                  </w:r>
                </w:p>
              </w:tc>
              <w:tc>
                <w:tcPr>
                  <w:tcW w:w="1198" w:type="pct"/>
                  <w:shd w:val="clear" w:color="auto" w:fill="auto"/>
                  <w:noWrap w:val="0"/>
                  <w:vAlign w:val="center"/>
                </w:tcPr>
                <w:p w14:paraId="18EEA72D">
                  <w:pPr>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highlight w:val="none"/>
                      <w:u w:val="none" w:color="auto"/>
                      <w:shd w:val="clear" w:color="auto" w:fill="auto"/>
                      <w:lang w:val="zh-TW" w:eastAsia="zh-TW"/>
                    </w:rPr>
                    <w:t>压力机</w:t>
                  </w:r>
                </w:p>
              </w:tc>
              <w:tc>
                <w:tcPr>
                  <w:tcW w:w="869" w:type="pct"/>
                  <w:shd w:val="clear" w:color="auto" w:fill="auto"/>
                  <w:noWrap w:val="0"/>
                  <w:vAlign w:val="center"/>
                </w:tcPr>
                <w:p w14:paraId="706DE657">
                  <w:pPr>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highlight w:val="none"/>
                      <w:u w:val="none" w:color="auto"/>
                      <w:shd w:val="clear" w:color="auto" w:fill="auto"/>
                      <w:lang w:val="en-US"/>
                    </w:rPr>
                    <w:t>30</w:t>
                  </w:r>
                  <w:r>
                    <w:rPr>
                      <w:rFonts w:hint="default" w:ascii="Times New Roman" w:hAnsi="Times New Roman" w:eastAsia="宋体" w:cs="Times New Roman"/>
                      <w:color w:val="auto"/>
                      <w:highlight w:val="none"/>
                      <w:u w:val="none" w:color="auto"/>
                      <w:shd w:val="clear" w:color="auto" w:fill="auto"/>
                      <w:lang w:val="zh-TW" w:eastAsia="zh-TW"/>
                    </w:rPr>
                    <w:t>吨</w:t>
                  </w:r>
                </w:p>
              </w:tc>
              <w:tc>
                <w:tcPr>
                  <w:tcW w:w="515" w:type="pct"/>
                  <w:shd w:val="clear" w:color="auto" w:fill="auto"/>
                  <w:noWrap w:val="0"/>
                  <w:vAlign w:val="center"/>
                </w:tcPr>
                <w:p w14:paraId="0CFED61E">
                  <w:pPr>
                    <w:jc w:val="center"/>
                    <w:rPr>
                      <w:rFonts w:hint="eastAsia" w:ascii="Times New Roman" w:hAnsi="Times New Roman" w:eastAsia="宋体" w:cs="Times New Roman"/>
                      <w:color w:val="auto"/>
                      <w:kern w:val="2"/>
                      <w:sz w:val="21"/>
                      <w:szCs w:val="24"/>
                      <w:highlight w:val="none"/>
                      <w:u w:val="none" w:color="auto"/>
                      <w:lang w:val="en-US" w:eastAsia="zh-CN" w:bidi="ar-SA"/>
                    </w:rPr>
                  </w:pPr>
                  <w:r>
                    <w:rPr>
                      <w:rFonts w:hint="eastAsia" w:cs="Times New Roman"/>
                      <w:color w:val="auto"/>
                      <w:highlight w:val="none"/>
                      <w:u w:val="none" w:color="auto"/>
                      <w:shd w:val="clear" w:color="auto" w:fill="auto"/>
                      <w:lang w:val="en-US" w:eastAsia="zh-CN"/>
                    </w:rPr>
                    <w:t>2</w:t>
                  </w:r>
                </w:p>
              </w:tc>
              <w:tc>
                <w:tcPr>
                  <w:tcW w:w="510" w:type="pct"/>
                  <w:noWrap w:val="0"/>
                  <w:vAlign w:val="center"/>
                </w:tcPr>
                <w:p w14:paraId="5B0CF537">
                  <w:pPr>
                    <w:snapToGrid w:val="0"/>
                    <w:jc w:val="center"/>
                    <w:rPr>
                      <w:rFonts w:hint="default" w:ascii="Times New Roman" w:hAnsi="Times New Roman" w:eastAsia="宋体" w:cs="Times New Roman"/>
                      <w:i w:val="0"/>
                      <w:iCs w:val="0"/>
                      <w:color w:val="auto"/>
                      <w:highlight w:val="none"/>
                      <w:u w:val="none" w:color="auto"/>
                    </w:rPr>
                  </w:pPr>
                  <w:r>
                    <w:rPr>
                      <w:rFonts w:hint="default" w:ascii="Times New Roman" w:hAnsi="Times New Roman" w:eastAsia="宋体" w:cs="Times New Roman"/>
                      <w:color w:val="auto"/>
                      <w:highlight w:val="none"/>
                      <w:u w:val="none" w:color="auto"/>
                      <w:shd w:val="clear" w:color="auto" w:fill="auto"/>
                      <w:lang w:val="zh-TW" w:eastAsia="zh-TW"/>
                    </w:rPr>
                    <w:t>台</w:t>
                  </w:r>
                </w:p>
              </w:tc>
              <w:tc>
                <w:tcPr>
                  <w:tcW w:w="1525" w:type="pct"/>
                  <w:noWrap w:val="0"/>
                  <w:vAlign w:val="center"/>
                </w:tcPr>
                <w:p w14:paraId="4EBED45E">
                  <w:pPr>
                    <w:snapToGrid w:val="0"/>
                    <w:jc w:val="center"/>
                    <w:rPr>
                      <w:rFonts w:hint="eastAsia" w:ascii="Times New Roman" w:hAnsi="Times New Roman" w:eastAsia="宋体" w:cs="Times New Roman"/>
                      <w:i w:val="0"/>
                      <w:iCs w:val="0"/>
                      <w:color w:val="auto"/>
                      <w:highlight w:val="none"/>
                      <w:u w:val="none" w:color="auto"/>
                    </w:rPr>
                  </w:pPr>
                </w:p>
              </w:tc>
            </w:tr>
            <w:tr w14:paraId="66540F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noWrap w:val="0"/>
                  <w:vAlign w:val="center"/>
                </w:tcPr>
                <w:p w14:paraId="42C831A3">
                  <w:pPr>
                    <w:snapToGrid w:val="0"/>
                    <w:jc w:val="center"/>
                    <w:rPr>
                      <w:rFonts w:hint="default"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22</w:t>
                  </w:r>
                </w:p>
              </w:tc>
              <w:tc>
                <w:tcPr>
                  <w:tcW w:w="1198" w:type="pct"/>
                  <w:shd w:val="clear" w:color="auto" w:fill="auto"/>
                  <w:noWrap w:val="0"/>
                  <w:vAlign w:val="center"/>
                </w:tcPr>
                <w:p w14:paraId="7780F7EE">
                  <w:pPr>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highlight w:val="none"/>
                      <w:u w:val="none" w:color="auto"/>
                      <w:shd w:val="clear" w:color="auto" w:fill="auto"/>
                      <w:lang w:val="zh-TW" w:eastAsia="zh-TW"/>
                    </w:rPr>
                    <w:t>数显压力机</w:t>
                  </w:r>
                </w:p>
              </w:tc>
              <w:tc>
                <w:tcPr>
                  <w:tcW w:w="869" w:type="pct"/>
                  <w:shd w:val="clear" w:color="auto" w:fill="auto"/>
                  <w:noWrap w:val="0"/>
                  <w:vAlign w:val="center"/>
                </w:tcPr>
                <w:p w14:paraId="13A83D9B">
                  <w:pPr>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highlight w:val="none"/>
                      <w:u w:val="none" w:color="auto"/>
                      <w:shd w:val="clear" w:color="auto" w:fill="auto"/>
                      <w:lang w:val="en-US"/>
                    </w:rPr>
                    <w:t>200</w:t>
                  </w:r>
                  <w:r>
                    <w:rPr>
                      <w:rFonts w:hint="default" w:ascii="Times New Roman" w:hAnsi="Times New Roman" w:eastAsia="宋体" w:cs="Times New Roman"/>
                      <w:color w:val="auto"/>
                      <w:highlight w:val="none"/>
                      <w:u w:val="none" w:color="auto"/>
                      <w:shd w:val="clear" w:color="auto" w:fill="auto"/>
                      <w:lang w:val="zh-TW" w:eastAsia="zh-TW"/>
                    </w:rPr>
                    <w:t>吨</w:t>
                  </w:r>
                </w:p>
              </w:tc>
              <w:tc>
                <w:tcPr>
                  <w:tcW w:w="515" w:type="pct"/>
                  <w:shd w:val="clear" w:color="auto" w:fill="auto"/>
                  <w:noWrap w:val="0"/>
                  <w:vAlign w:val="center"/>
                </w:tcPr>
                <w:p w14:paraId="0FE21696">
                  <w:pPr>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highlight w:val="none"/>
                      <w:u w:val="none" w:color="auto"/>
                      <w:shd w:val="clear" w:color="auto" w:fill="auto"/>
                      <w:lang w:val="en-US"/>
                    </w:rPr>
                    <w:t>1</w:t>
                  </w:r>
                </w:p>
              </w:tc>
              <w:tc>
                <w:tcPr>
                  <w:tcW w:w="510" w:type="pct"/>
                  <w:noWrap w:val="0"/>
                  <w:vAlign w:val="center"/>
                </w:tcPr>
                <w:p w14:paraId="49445072">
                  <w:pPr>
                    <w:snapToGrid w:val="0"/>
                    <w:jc w:val="center"/>
                    <w:rPr>
                      <w:rFonts w:hint="default" w:ascii="Times New Roman" w:hAnsi="Times New Roman" w:eastAsia="宋体" w:cs="Times New Roman"/>
                      <w:i w:val="0"/>
                      <w:iCs w:val="0"/>
                      <w:color w:val="auto"/>
                      <w:highlight w:val="none"/>
                      <w:u w:val="none" w:color="auto"/>
                    </w:rPr>
                  </w:pPr>
                  <w:r>
                    <w:rPr>
                      <w:rFonts w:hint="default" w:ascii="Times New Roman" w:hAnsi="Times New Roman" w:eastAsia="宋体" w:cs="Times New Roman"/>
                      <w:color w:val="auto"/>
                      <w:highlight w:val="none"/>
                      <w:u w:val="none" w:color="auto"/>
                      <w:shd w:val="clear" w:color="auto" w:fill="auto"/>
                      <w:lang w:val="zh-TW" w:eastAsia="zh-TW"/>
                    </w:rPr>
                    <w:t>台</w:t>
                  </w:r>
                </w:p>
              </w:tc>
              <w:tc>
                <w:tcPr>
                  <w:tcW w:w="1525" w:type="pct"/>
                  <w:noWrap w:val="0"/>
                  <w:vAlign w:val="center"/>
                </w:tcPr>
                <w:p w14:paraId="0B75D336">
                  <w:pPr>
                    <w:snapToGrid w:val="0"/>
                    <w:jc w:val="center"/>
                    <w:rPr>
                      <w:rFonts w:hint="eastAsia" w:ascii="Times New Roman" w:hAnsi="Times New Roman" w:eastAsia="宋体" w:cs="Times New Roman"/>
                      <w:i w:val="0"/>
                      <w:iCs w:val="0"/>
                      <w:color w:val="auto"/>
                      <w:highlight w:val="none"/>
                      <w:u w:val="none" w:color="auto"/>
                    </w:rPr>
                  </w:pPr>
                </w:p>
              </w:tc>
            </w:tr>
            <w:tr w14:paraId="14EB65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noWrap w:val="0"/>
                  <w:vAlign w:val="center"/>
                </w:tcPr>
                <w:p w14:paraId="183C6EE7">
                  <w:pPr>
                    <w:snapToGrid w:val="0"/>
                    <w:jc w:val="center"/>
                    <w:rPr>
                      <w:rFonts w:hint="default"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23</w:t>
                  </w:r>
                </w:p>
              </w:tc>
              <w:tc>
                <w:tcPr>
                  <w:tcW w:w="1198" w:type="pct"/>
                  <w:shd w:val="clear" w:color="auto" w:fill="auto"/>
                  <w:noWrap w:val="0"/>
                  <w:vAlign w:val="center"/>
                </w:tcPr>
                <w:p w14:paraId="57FFF2DC">
                  <w:pPr>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highlight w:val="none"/>
                      <w:u w:val="none" w:color="auto"/>
                      <w:shd w:val="clear" w:color="auto" w:fill="auto"/>
                      <w:lang w:val="zh-TW" w:eastAsia="zh-TW"/>
                    </w:rPr>
                    <w:t>抗压试模</w:t>
                  </w:r>
                </w:p>
              </w:tc>
              <w:tc>
                <w:tcPr>
                  <w:tcW w:w="869" w:type="pct"/>
                  <w:shd w:val="clear" w:color="auto" w:fill="auto"/>
                  <w:noWrap w:val="0"/>
                  <w:vAlign w:val="center"/>
                </w:tcPr>
                <w:p w14:paraId="255FC0AA">
                  <w:pPr>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highlight w:val="none"/>
                      <w:u w:val="none" w:color="auto"/>
                      <w:shd w:val="clear" w:color="auto" w:fill="auto"/>
                      <w:lang w:val="en-US"/>
                    </w:rPr>
                    <w:t>150</w:t>
                  </w:r>
                  <w:r>
                    <w:rPr>
                      <w:rFonts w:hint="default" w:ascii="Times New Roman" w:hAnsi="Times New Roman" w:eastAsia="宋体" w:cs="Times New Roman"/>
                      <w:color w:val="auto"/>
                      <w:highlight w:val="none"/>
                      <w:u w:val="none" w:color="auto"/>
                      <w:shd w:val="clear" w:color="auto" w:fill="auto"/>
                      <w:lang w:val="zh-TW" w:eastAsia="zh-TW"/>
                    </w:rPr>
                    <w:t>方</w:t>
                  </w:r>
                </w:p>
              </w:tc>
              <w:tc>
                <w:tcPr>
                  <w:tcW w:w="515" w:type="pct"/>
                  <w:shd w:val="clear" w:color="auto" w:fill="auto"/>
                  <w:noWrap w:val="0"/>
                  <w:vAlign w:val="center"/>
                </w:tcPr>
                <w:p w14:paraId="2022403B">
                  <w:pPr>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highlight w:val="none"/>
                      <w:u w:val="none" w:color="auto"/>
                      <w:shd w:val="clear" w:color="auto" w:fill="auto"/>
                      <w:lang w:val="en-US"/>
                    </w:rPr>
                    <w:t>10</w:t>
                  </w:r>
                </w:p>
              </w:tc>
              <w:tc>
                <w:tcPr>
                  <w:tcW w:w="510" w:type="pct"/>
                  <w:noWrap w:val="0"/>
                  <w:vAlign w:val="center"/>
                </w:tcPr>
                <w:p w14:paraId="1F82D215">
                  <w:pPr>
                    <w:snapToGrid w:val="0"/>
                    <w:jc w:val="center"/>
                    <w:rPr>
                      <w:rFonts w:hint="default" w:ascii="Times New Roman" w:hAnsi="Times New Roman" w:eastAsia="宋体" w:cs="Times New Roman"/>
                      <w:i w:val="0"/>
                      <w:iCs w:val="0"/>
                      <w:color w:val="auto"/>
                      <w:highlight w:val="none"/>
                      <w:u w:val="none" w:color="auto"/>
                    </w:rPr>
                  </w:pPr>
                  <w:r>
                    <w:rPr>
                      <w:rFonts w:hint="default" w:ascii="Times New Roman" w:hAnsi="Times New Roman" w:eastAsia="宋体" w:cs="Times New Roman"/>
                      <w:color w:val="auto"/>
                      <w:highlight w:val="none"/>
                      <w:u w:val="none" w:color="auto"/>
                      <w:shd w:val="clear" w:color="auto" w:fill="auto"/>
                      <w:lang w:val="zh-TW" w:eastAsia="zh-TW"/>
                    </w:rPr>
                    <w:t>个</w:t>
                  </w:r>
                </w:p>
              </w:tc>
              <w:tc>
                <w:tcPr>
                  <w:tcW w:w="1525" w:type="pct"/>
                  <w:noWrap w:val="0"/>
                  <w:vAlign w:val="center"/>
                </w:tcPr>
                <w:p w14:paraId="4C0F7808">
                  <w:pPr>
                    <w:snapToGrid w:val="0"/>
                    <w:jc w:val="center"/>
                    <w:rPr>
                      <w:rFonts w:hint="eastAsia" w:ascii="Times New Roman" w:hAnsi="Times New Roman" w:eastAsia="宋体" w:cs="Times New Roman"/>
                      <w:i w:val="0"/>
                      <w:iCs w:val="0"/>
                      <w:color w:val="auto"/>
                      <w:highlight w:val="none"/>
                      <w:u w:val="none" w:color="auto"/>
                    </w:rPr>
                  </w:pPr>
                </w:p>
              </w:tc>
            </w:tr>
            <w:tr w14:paraId="774140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noWrap w:val="0"/>
                  <w:vAlign w:val="center"/>
                </w:tcPr>
                <w:p w14:paraId="6F893809">
                  <w:pPr>
                    <w:snapToGrid w:val="0"/>
                    <w:jc w:val="center"/>
                    <w:rPr>
                      <w:rFonts w:hint="default"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24</w:t>
                  </w:r>
                </w:p>
              </w:tc>
              <w:tc>
                <w:tcPr>
                  <w:tcW w:w="1198" w:type="pct"/>
                  <w:shd w:val="clear" w:color="auto" w:fill="auto"/>
                  <w:noWrap w:val="0"/>
                  <w:vAlign w:val="center"/>
                </w:tcPr>
                <w:p w14:paraId="1831EDD8">
                  <w:pPr>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highlight w:val="none"/>
                      <w:u w:val="none" w:color="auto"/>
                      <w:shd w:val="clear" w:color="auto" w:fill="auto"/>
                      <w:lang w:val="zh-TW" w:eastAsia="zh-TW"/>
                    </w:rPr>
                    <w:t>电动抗折机</w:t>
                  </w:r>
                </w:p>
              </w:tc>
              <w:tc>
                <w:tcPr>
                  <w:tcW w:w="869" w:type="pct"/>
                  <w:shd w:val="clear" w:color="auto" w:fill="auto"/>
                  <w:noWrap w:val="0"/>
                  <w:vAlign w:val="center"/>
                </w:tcPr>
                <w:p w14:paraId="5D350E2F">
                  <w:pPr>
                    <w:jc w:val="center"/>
                    <w:rPr>
                      <w:rFonts w:hint="default" w:ascii="Times New Roman" w:hAnsi="Times New Roman" w:eastAsia="宋体" w:cs="Times New Roman"/>
                      <w:color w:val="auto"/>
                      <w:kern w:val="2"/>
                      <w:sz w:val="21"/>
                      <w:szCs w:val="24"/>
                      <w:highlight w:val="none"/>
                      <w:u w:val="none" w:color="auto"/>
                      <w:lang w:val="en-US" w:eastAsia="zh-CN" w:bidi="ar-SA"/>
                    </w:rPr>
                  </w:pPr>
                </w:p>
              </w:tc>
              <w:tc>
                <w:tcPr>
                  <w:tcW w:w="515" w:type="pct"/>
                  <w:shd w:val="clear" w:color="auto" w:fill="auto"/>
                  <w:noWrap w:val="0"/>
                  <w:vAlign w:val="center"/>
                </w:tcPr>
                <w:p w14:paraId="5D6C2961">
                  <w:pPr>
                    <w:jc w:val="center"/>
                    <w:rPr>
                      <w:rFonts w:hint="default" w:ascii="Times New Roman" w:hAnsi="Times New Roman" w:eastAsia="宋体" w:cs="Times New Roman"/>
                      <w:color w:val="auto"/>
                      <w:kern w:val="2"/>
                      <w:sz w:val="21"/>
                      <w:szCs w:val="24"/>
                      <w:highlight w:val="none"/>
                      <w:u w:val="none" w:color="auto"/>
                      <w:lang w:val="en-US" w:eastAsia="zh-CN" w:bidi="ar-SA"/>
                    </w:rPr>
                  </w:pPr>
                  <w:r>
                    <w:rPr>
                      <w:rFonts w:hint="default" w:ascii="Times New Roman" w:hAnsi="Times New Roman" w:eastAsia="宋体" w:cs="Times New Roman"/>
                      <w:color w:val="auto"/>
                      <w:highlight w:val="none"/>
                      <w:u w:val="none" w:color="auto"/>
                      <w:shd w:val="clear" w:color="auto" w:fill="auto"/>
                      <w:lang w:val="en-US"/>
                    </w:rPr>
                    <w:t>1</w:t>
                  </w:r>
                </w:p>
              </w:tc>
              <w:tc>
                <w:tcPr>
                  <w:tcW w:w="510" w:type="pct"/>
                  <w:noWrap w:val="0"/>
                  <w:vAlign w:val="center"/>
                </w:tcPr>
                <w:p w14:paraId="102FCE46">
                  <w:pPr>
                    <w:snapToGrid w:val="0"/>
                    <w:jc w:val="center"/>
                    <w:rPr>
                      <w:rFonts w:hint="default" w:ascii="Times New Roman" w:hAnsi="Times New Roman" w:eastAsia="宋体" w:cs="Times New Roman"/>
                      <w:i w:val="0"/>
                      <w:iCs w:val="0"/>
                      <w:color w:val="auto"/>
                      <w:highlight w:val="none"/>
                      <w:u w:val="none" w:color="auto"/>
                    </w:rPr>
                  </w:pPr>
                  <w:r>
                    <w:rPr>
                      <w:rFonts w:hint="default" w:ascii="Times New Roman" w:hAnsi="Times New Roman" w:eastAsia="宋体" w:cs="Times New Roman"/>
                      <w:color w:val="auto"/>
                      <w:highlight w:val="none"/>
                      <w:u w:val="none" w:color="auto"/>
                      <w:shd w:val="clear" w:color="auto" w:fill="auto"/>
                      <w:lang w:val="zh-TW" w:eastAsia="zh-TW"/>
                    </w:rPr>
                    <w:t>台</w:t>
                  </w:r>
                </w:p>
              </w:tc>
              <w:tc>
                <w:tcPr>
                  <w:tcW w:w="1525" w:type="pct"/>
                  <w:noWrap w:val="0"/>
                  <w:vAlign w:val="center"/>
                </w:tcPr>
                <w:p w14:paraId="49880330">
                  <w:pPr>
                    <w:snapToGrid w:val="0"/>
                    <w:jc w:val="center"/>
                    <w:rPr>
                      <w:rFonts w:hint="eastAsia" w:ascii="Times New Roman" w:hAnsi="Times New Roman" w:eastAsia="宋体" w:cs="Times New Roman"/>
                      <w:i w:val="0"/>
                      <w:iCs w:val="0"/>
                      <w:color w:val="auto"/>
                      <w:highlight w:val="none"/>
                      <w:u w:val="none" w:color="auto"/>
                    </w:rPr>
                  </w:pPr>
                </w:p>
              </w:tc>
            </w:tr>
            <w:tr w14:paraId="356D7F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noWrap w:val="0"/>
                  <w:vAlign w:val="center"/>
                </w:tcPr>
                <w:p w14:paraId="16B65A98">
                  <w:pPr>
                    <w:snapToGrid w:val="0"/>
                    <w:jc w:val="center"/>
                    <w:rPr>
                      <w:rFonts w:hint="default"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25</w:t>
                  </w:r>
                </w:p>
              </w:tc>
              <w:tc>
                <w:tcPr>
                  <w:tcW w:w="1198" w:type="pct"/>
                  <w:shd w:val="clear" w:color="auto" w:fill="auto"/>
                  <w:noWrap w:val="0"/>
                  <w:vAlign w:val="top"/>
                </w:tcPr>
                <w:p w14:paraId="5739824D">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zh-TW" w:eastAsia="zh-TW" w:bidi="ar-SA"/>
                    </w:rPr>
                  </w:pPr>
                  <w:r>
                    <w:rPr>
                      <w:rFonts w:hint="eastAsia"/>
                      <w:b w:val="0"/>
                      <w:i w:val="0"/>
                      <w:caps w:val="0"/>
                      <w:color w:val="auto"/>
                      <w:spacing w:val="0"/>
                      <w:w w:val="100"/>
                      <w:sz w:val="21"/>
                      <w:highlight w:val="none"/>
                      <w:u w:val="none" w:color="auto"/>
                      <w:lang w:eastAsia="zh-CN"/>
                    </w:rPr>
                    <w:t>石子压碎仪</w:t>
                  </w:r>
                </w:p>
              </w:tc>
              <w:tc>
                <w:tcPr>
                  <w:tcW w:w="869" w:type="pct"/>
                  <w:shd w:val="clear" w:color="auto" w:fill="auto"/>
                  <w:noWrap w:val="0"/>
                  <w:vAlign w:val="top"/>
                </w:tcPr>
                <w:p w14:paraId="37BA3FC2">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p>
              </w:tc>
              <w:tc>
                <w:tcPr>
                  <w:tcW w:w="515" w:type="pct"/>
                  <w:shd w:val="clear" w:color="auto" w:fill="auto"/>
                  <w:noWrap w:val="0"/>
                  <w:vAlign w:val="top"/>
                </w:tcPr>
                <w:p w14:paraId="62C151C7">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1</w:t>
                  </w:r>
                </w:p>
              </w:tc>
              <w:tc>
                <w:tcPr>
                  <w:tcW w:w="510" w:type="pct"/>
                  <w:noWrap w:val="0"/>
                  <w:vAlign w:val="center"/>
                </w:tcPr>
                <w:p w14:paraId="59DCD1C7">
                  <w:pPr>
                    <w:snapToGrid w:val="0"/>
                    <w:jc w:val="center"/>
                    <w:rPr>
                      <w:rFonts w:hint="default" w:ascii="Times New Roman" w:hAnsi="Times New Roman" w:eastAsia="宋体" w:cs="Times New Roman"/>
                      <w:color w:val="auto"/>
                      <w:highlight w:val="none"/>
                      <w:u w:val="none" w:color="auto"/>
                      <w:shd w:val="clear" w:color="auto" w:fill="auto"/>
                      <w:lang w:val="zh-TW" w:eastAsia="zh-TW"/>
                    </w:rPr>
                  </w:pPr>
                  <w:r>
                    <w:rPr>
                      <w:rFonts w:hint="eastAsia"/>
                      <w:b w:val="0"/>
                      <w:i w:val="0"/>
                      <w:caps w:val="0"/>
                      <w:color w:val="auto"/>
                      <w:spacing w:val="0"/>
                      <w:w w:val="100"/>
                      <w:sz w:val="21"/>
                      <w:highlight w:val="none"/>
                      <w:u w:val="none" w:color="auto"/>
                      <w:lang w:val="en-US" w:eastAsia="zh-CN"/>
                    </w:rPr>
                    <w:t>台</w:t>
                  </w:r>
                </w:p>
              </w:tc>
              <w:tc>
                <w:tcPr>
                  <w:tcW w:w="1525" w:type="pct"/>
                  <w:noWrap w:val="0"/>
                  <w:vAlign w:val="center"/>
                </w:tcPr>
                <w:p w14:paraId="75546A63">
                  <w:pPr>
                    <w:snapToGrid w:val="0"/>
                    <w:jc w:val="center"/>
                    <w:rPr>
                      <w:rFonts w:hint="eastAsia" w:ascii="Times New Roman" w:hAnsi="Times New Roman" w:eastAsia="宋体" w:cs="Times New Roman"/>
                      <w:i w:val="0"/>
                      <w:iCs w:val="0"/>
                      <w:color w:val="auto"/>
                      <w:highlight w:val="none"/>
                      <w:u w:val="none" w:color="auto"/>
                    </w:rPr>
                  </w:pPr>
                </w:p>
              </w:tc>
            </w:tr>
            <w:tr w14:paraId="7DB963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noWrap w:val="0"/>
                  <w:vAlign w:val="center"/>
                </w:tcPr>
                <w:p w14:paraId="31F6414D">
                  <w:pPr>
                    <w:snapToGrid w:val="0"/>
                    <w:jc w:val="center"/>
                    <w:rPr>
                      <w:rFonts w:hint="default"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26</w:t>
                  </w:r>
                </w:p>
              </w:tc>
              <w:tc>
                <w:tcPr>
                  <w:tcW w:w="1198" w:type="pct"/>
                  <w:shd w:val="clear" w:color="auto" w:fill="auto"/>
                  <w:noWrap w:val="0"/>
                  <w:vAlign w:val="top"/>
                </w:tcPr>
                <w:p w14:paraId="5CA76D62">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zh-TW" w:eastAsia="zh-TW" w:bidi="ar-SA"/>
                    </w:rPr>
                  </w:pPr>
                  <w:r>
                    <w:rPr>
                      <w:rFonts w:hint="eastAsia"/>
                      <w:b w:val="0"/>
                      <w:i w:val="0"/>
                      <w:caps w:val="0"/>
                      <w:color w:val="auto"/>
                      <w:spacing w:val="0"/>
                      <w:w w:val="100"/>
                      <w:sz w:val="21"/>
                      <w:highlight w:val="none"/>
                      <w:u w:val="none" w:color="auto"/>
                      <w:lang w:eastAsia="zh-CN"/>
                    </w:rPr>
                    <w:t>针片状规准仪</w:t>
                  </w:r>
                </w:p>
              </w:tc>
              <w:tc>
                <w:tcPr>
                  <w:tcW w:w="869" w:type="pct"/>
                  <w:shd w:val="clear" w:color="auto" w:fill="auto"/>
                  <w:noWrap w:val="0"/>
                  <w:vAlign w:val="top"/>
                </w:tcPr>
                <w:p w14:paraId="4416C054">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p>
              </w:tc>
              <w:tc>
                <w:tcPr>
                  <w:tcW w:w="515" w:type="pct"/>
                  <w:shd w:val="clear" w:color="auto" w:fill="auto"/>
                  <w:noWrap w:val="0"/>
                  <w:vAlign w:val="top"/>
                </w:tcPr>
                <w:p w14:paraId="45FA4A80">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1</w:t>
                  </w:r>
                </w:p>
              </w:tc>
              <w:tc>
                <w:tcPr>
                  <w:tcW w:w="510" w:type="pct"/>
                  <w:noWrap w:val="0"/>
                  <w:vAlign w:val="center"/>
                </w:tcPr>
                <w:p w14:paraId="55BD3630">
                  <w:pPr>
                    <w:snapToGrid w:val="0"/>
                    <w:jc w:val="center"/>
                    <w:rPr>
                      <w:rFonts w:hint="default" w:ascii="Times New Roman" w:hAnsi="Times New Roman" w:eastAsia="宋体" w:cs="Times New Roman"/>
                      <w:color w:val="auto"/>
                      <w:highlight w:val="none"/>
                      <w:u w:val="none" w:color="auto"/>
                      <w:shd w:val="clear" w:color="auto" w:fill="auto"/>
                      <w:lang w:val="zh-TW" w:eastAsia="zh-TW"/>
                    </w:rPr>
                  </w:pPr>
                  <w:r>
                    <w:rPr>
                      <w:rFonts w:hint="eastAsia"/>
                      <w:b w:val="0"/>
                      <w:i w:val="0"/>
                      <w:caps w:val="0"/>
                      <w:color w:val="auto"/>
                      <w:spacing w:val="0"/>
                      <w:w w:val="100"/>
                      <w:sz w:val="21"/>
                      <w:highlight w:val="none"/>
                      <w:u w:val="none" w:color="auto"/>
                      <w:lang w:val="en-US" w:eastAsia="zh-CN"/>
                    </w:rPr>
                    <w:t>套</w:t>
                  </w:r>
                </w:p>
              </w:tc>
              <w:tc>
                <w:tcPr>
                  <w:tcW w:w="1525" w:type="pct"/>
                  <w:noWrap w:val="0"/>
                  <w:vAlign w:val="center"/>
                </w:tcPr>
                <w:p w14:paraId="11E08157">
                  <w:pPr>
                    <w:snapToGrid w:val="0"/>
                    <w:jc w:val="center"/>
                    <w:rPr>
                      <w:rFonts w:hint="eastAsia" w:ascii="Times New Roman" w:hAnsi="Times New Roman" w:eastAsia="宋体" w:cs="Times New Roman"/>
                      <w:i w:val="0"/>
                      <w:iCs w:val="0"/>
                      <w:color w:val="auto"/>
                      <w:highlight w:val="none"/>
                      <w:u w:val="none" w:color="auto"/>
                    </w:rPr>
                  </w:pPr>
                </w:p>
              </w:tc>
            </w:tr>
            <w:tr w14:paraId="175D4E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noWrap w:val="0"/>
                  <w:vAlign w:val="center"/>
                </w:tcPr>
                <w:p w14:paraId="3F6BFEB0">
                  <w:pPr>
                    <w:snapToGrid w:val="0"/>
                    <w:jc w:val="center"/>
                    <w:rPr>
                      <w:rFonts w:hint="default"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27</w:t>
                  </w:r>
                </w:p>
              </w:tc>
              <w:tc>
                <w:tcPr>
                  <w:tcW w:w="1198" w:type="pct"/>
                  <w:shd w:val="clear" w:color="auto" w:fill="auto"/>
                  <w:noWrap w:val="0"/>
                  <w:vAlign w:val="top"/>
                </w:tcPr>
                <w:p w14:paraId="24A74C31">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zh-TW" w:eastAsia="zh-TW" w:bidi="ar-SA"/>
                    </w:rPr>
                  </w:pPr>
                  <w:r>
                    <w:rPr>
                      <w:rFonts w:hint="eastAsia"/>
                      <w:b w:val="0"/>
                      <w:i w:val="0"/>
                      <w:caps w:val="0"/>
                      <w:color w:val="auto"/>
                      <w:spacing w:val="0"/>
                      <w:w w:val="100"/>
                      <w:sz w:val="21"/>
                      <w:highlight w:val="none"/>
                      <w:u w:val="none" w:color="auto"/>
                      <w:lang w:eastAsia="zh-CN"/>
                    </w:rPr>
                    <w:t>坍落度桶</w:t>
                  </w:r>
                </w:p>
              </w:tc>
              <w:tc>
                <w:tcPr>
                  <w:tcW w:w="869" w:type="pct"/>
                  <w:shd w:val="clear" w:color="auto" w:fill="auto"/>
                  <w:noWrap w:val="0"/>
                  <w:vAlign w:val="top"/>
                </w:tcPr>
                <w:p w14:paraId="293D75D3">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100*200*300</w:t>
                  </w:r>
                </w:p>
              </w:tc>
              <w:tc>
                <w:tcPr>
                  <w:tcW w:w="515" w:type="pct"/>
                  <w:shd w:val="clear" w:color="auto" w:fill="auto"/>
                  <w:noWrap w:val="0"/>
                  <w:vAlign w:val="top"/>
                </w:tcPr>
                <w:p w14:paraId="3F360195">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1</w:t>
                  </w:r>
                </w:p>
              </w:tc>
              <w:tc>
                <w:tcPr>
                  <w:tcW w:w="510" w:type="pct"/>
                  <w:noWrap w:val="0"/>
                  <w:vAlign w:val="center"/>
                </w:tcPr>
                <w:p w14:paraId="24FC19B0">
                  <w:pPr>
                    <w:snapToGrid w:val="0"/>
                    <w:jc w:val="center"/>
                    <w:rPr>
                      <w:rFonts w:hint="default" w:ascii="Times New Roman" w:hAnsi="Times New Roman" w:eastAsia="宋体" w:cs="Times New Roman"/>
                      <w:color w:val="auto"/>
                      <w:highlight w:val="none"/>
                      <w:u w:val="none" w:color="auto"/>
                      <w:shd w:val="clear" w:color="auto" w:fill="auto"/>
                      <w:lang w:val="zh-TW" w:eastAsia="zh-TW"/>
                    </w:rPr>
                  </w:pPr>
                  <w:r>
                    <w:rPr>
                      <w:rFonts w:hint="eastAsia"/>
                      <w:b w:val="0"/>
                      <w:i w:val="0"/>
                      <w:caps w:val="0"/>
                      <w:color w:val="auto"/>
                      <w:spacing w:val="0"/>
                      <w:w w:val="100"/>
                      <w:sz w:val="21"/>
                      <w:highlight w:val="none"/>
                      <w:u w:val="none" w:color="auto"/>
                      <w:lang w:val="en-US" w:eastAsia="zh-CN"/>
                    </w:rPr>
                    <w:t>个</w:t>
                  </w:r>
                </w:p>
              </w:tc>
              <w:tc>
                <w:tcPr>
                  <w:tcW w:w="1525" w:type="pct"/>
                  <w:noWrap w:val="0"/>
                  <w:vAlign w:val="center"/>
                </w:tcPr>
                <w:p w14:paraId="452849E3">
                  <w:pPr>
                    <w:snapToGrid w:val="0"/>
                    <w:jc w:val="center"/>
                    <w:rPr>
                      <w:rFonts w:hint="eastAsia" w:ascii="Times New Roman" w:hAnsi="Times New Roman" w:eastAsia="宋体" w:cs="Times New Roman"/>
                      <w:i w:val="0"/>
                      <w:iCs w:val="0"/>
                      <w:color w:val="auto"/>
                      <w:highlight w:val="none"/>
                      <w:u w:val="none" w:color="auto"/>
                    </w:rPr>
                  </w:pPr>
                </w:p>
              </w:tc>
            </w:tr>
            <w:tr w14:paraId="6CBF71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noWrap w:val="0"/>
                  <w:vAlign w:val="center"/>
                </w:tcPr>
                <w:p w14:paraId="54A878DD">
                  <w:pPr>
                    <w:snapToGrid w:val="0"/>
                    <w:jc w:val="center"/>
                    <w:rPr>
                      <w:rFonts w:hint="default"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28</w:t>
                  </w:r>
                </w:p>
              </w:tc>
              <w:tc>
                <w:tcPr>
                  <w:tcW w:w="1198" w:type="pct"/>
                  <w:shd w:val="clear" w:color="auto" w:fill="auto"/>
                  <w:noWrap w:val="0"/>
                  <w:vAlign w:val="top"/>
                </w:tcPr>
                <w:p w14:paraId="4FAC57A6">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zh-TW" w:eastAsia="zh-TW" w:bidi="ar-SA"/>
                    </w:rPr>
                  </w:pPr>
                  <w:r>
                    <w:rPr>
                      <w:rFonts w:hint="eastAsia"/>
                      <w:b w:val="0"/>
                      <w:i w:val="0"/>
                      <w:caps w:val="0"/>
                      <w:color w:val="auto"/>
                      <w:spacing w:val="0"/>
                      <w:w w:val="100"/>
                      <w:sz w:val="21"/>
                      <w:highlight w:val="none"/>
                      <w:u w:val="none" w:color="auto"/>
                      <w:lang w:eastAsia="zh-CN"/>
                    </w:rPr>
                    <w:t>坍落度漏斗</w:t>
                  </w:r>
                </w:p>
              </w:tc>
              <w:tc>
                <w:tcPr>
                  <w:tcW w:w="869" w:type="pct"/>
                  <w:shd w:val="clear" w:color="auto" w:fill="auto"/>
                  <w:noWrap w:val="0"/>
                  <w:vAlign w:val="top"/>
                </w:tcPr>
                <w:p w14:paraId="3DD1294A">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p>
              </w:tc>
              <w:tc>
                <w:tcPr>
                  <w:tcW w:w="515" w:type="pct"/>
                  <w:shd w:val="clear" w:color="auto" w:fill="auto"/>
                  <w:noWrap w:val="0"/>
                  <w:vAlign w:val="top"/>
                </w:tcPr>
                <w:p w14:paraId="0F09A3D4">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1</w:t>
                  </w:r>
                </w:p>
              </w:tc>
              <w:tc>
                <w:tcPr>
                  <w:tcW w:w="510" w:type="pct"/>
                  <w:noWrap w:val="0"/>
                  <w:vAlign w:val="center"/>
                </w:tcPr>
                <w:p w14:paraId="629519CF">
                  <w:pPr>
                    <w:snapToGrid w:val="0"/>
                    <w:jc w:val="center"/>
                    <w:rPr>
                      <w:rFonts w:hint="default" w:ascii="Times New Roman" w:hAnsi="Times New Roman" w:eastAsia="宋体" w:cs="Times New Roman"/>
                      <w:color w:val="auto"/>
                      <w:highlight w:val="none"/>
                      <w:u w:val="none" w:color="auto"/>
                      <w:shd w:val="clear" w:color="auto" w:fill="auto"/>
                      <w:lang w:val="zh-TW" w:eastAsia="zh-TW"/>
                    </w:rPr>
                  </w:pPr>
                  <w:r>
                    <w:rPr>
                      <w:rFonts w:hint="eastAsia"/>
                      <w:b w:val="0"/>
                      <w:i w:val="0"/>
                      <w:caps w:val="0"/>
                      <w:color w:val="auto"/>
                      <w:spacing w:val="0"/>
                      <w:w w:val="100"/>
                      <w:sz w:val="21"/>
                      <w:highlight w:val="none"/>
                      <w:u w:val="none" w:color="auto"/>
                      <w:lang w:val="en-US" w:eastAsia="zh-CN"/>
                    </w:rPr>
                    <w:t>个</w:t>
                  </w:r>
                </w:p>
              </w:tc>
              <w:tc>
                <w:tcPr>
                  <w:tcW w:w="1525" w:type="pct"/>
                  <w:noWrap w:val="0"/>
                  <w:vAlign w:val="center"/>
                </w:tcPr>
                <w:p w14:paraId="61882CE4">
                  <w:pPr>
                    <w:snapToGrid w:val="0"/>
                    <w:jc w:val="center"/>
                    <w:rPr>
                      <w:rFonts w:hint="eastAsia" w:ascii="Times New Roman" w:hAnsi="Times New Roman" w:eastAsia="宋体" w:cs="Times New Roman"/>
                      <w:i w:val="0"/>
                      <w:iCs w:val="0"/>
                      <w:color w:val="auto"/>
                      <w:highlight w:val="none"/>
                      <w:u w:val="none" w:color="auto"/>
                    </w:rPr>
                  </w:pPr>
                </w:p>
              </w:tc>
            </w:tr>
            <w:tr w14:paraId="20FE1E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noWrap w:val="0"/>
                  <w:vAlign w:val="center"/>
                </w:tcPr>
                <w:p w14:paraId="40C69A95">
                  <w:pPr>
                    <w:snapToGrid w:val="0"/>
                    <w:jc w:val="center"/>
                    <w:rPr>
                      <w:rFonts w:hint="default"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29</w:t>
                  </w:r>
                </w:p>
              </w:tc>
              <w:tc>
                <w:tcPr>
                  <w:tcW w:w="1198" w:type="pct"/>
                  <w:shd w:val="clear" w:color="auto" w:fill="auto"/>
                  <w:noWrap w:val="0"/>
                  <w:vAlign w:val="top"/>
                </w:tcPr>
                <w:p w14:paraId="16A5F809">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zh-TW" w:eastAsia="zh-TW" w:bidi="ar-SA"/>
                    </w:rPr>
                  </w:pPr>
                  <w:r>
                    <w:rPr>
                      <w:rFonts w:hint="eastAsia"/>
                      <w:b w:val="0"/>
                      <w:i w:val="0"/>
                      <w:caps w:val="0"/>
                      <w:color w:val="auto"/>
                      <w:spacing w:val="0"/>
                      <w:w w:val="100"/>
                      <w:sz w:val="21"/>
                      <w:highlight w:val="none"/>
                      <w:u w:val="none" w:color="auto"/>
                      <w:lang w:eastAsia="zh-CN"/>
                    </w:rPr>
                    <w:t>坍落度标尺</w:t>
                  </w:r>
                </w:p>
              </w:tc>
              <w:tc>
                <w:tcPr>
                  <w:tcW w:w="869" w:type="pct"/>
                  <w:shd w:val="clear" w:color="auto" w:fill="auto"/>
                  <w:noWrap w:val="0"/>
                  <w:vAlign w:val="top"/>
                </w:tcPr>
                <w:p w14:paraId="4BB31ADE">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p>
              </w:tc>
              <w:tc>
                <w:tcPr>
                  <w:tcW w:w="515" w:type="pct"/>
                  <w:shd w:val="clear" w:color="auto" w:fill="auto"/>
                  <w:noWrap w:val="0"/>
                  <w:vAlign w:val="top"/>
                </w:tcPr>
                <w:p w14:paraId="32028310">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1</w:t>
                  </w:r>
                </w:p>
              </w:tc>
              <w:tc>
                <w:tcPr>
                  <w:tcW w:w="510" w:type="pct"/>
                  <w:noWrap w:val="0"/>
                  <w:vAlign w:val="center"/>
                </w:tcPr>
                <w:p w14:paraId="60C4220B">
                  <w:pPr>
                    <w:snapToGrid w:val="0"/>
                    <w:jc w:val="center"/>
                    <w:rPr>
                      <w:rFonts w:hint="default" w:ascii="Times New Roman" w:hAnsi="Times New Roman" w:eastAsia="宋体" w:cs="Times New Roman"/>
                      <w:color w:val="auto"/>
                      <w:highlight w:val="none"/>
                      <w:u w:val="none" w:color="auto"/>
                      <w:shd w:val="clear" w:color="auto" w:fill="auto"/>
                      <w:lang w:val="zh-TW" w:eastAsia="zh-TW"/>
                    </w:rPr>
                  </w:pPr>
                  <w:r>
                    <w:rPr>
                      <w:rFonts w:hint="eastAsia"/>
                      <w:b w:val="0"/>
                      <w:i w:val="0"/>
                      <w:caps w:val="0"/>
                      <w:color w:val="auto"/>
                      <w:spacing w:val="0"/>
                      <w:w w:val="100"/>
                      <w:sz w:val="21"/>
                      <w:highlight w:val="none"/>
                      <w:u w:val="none" w:color="auto"/>
                      <w:lang w:val="en-US" w:eastAsia="zh-CN"/>
                    </w:rPr>
                    <w:t>个</w:t>
                  </w:r>
                </w:p>
              </w:tc>
              <w:tc>
                <w:tcPr>
                  <w:tcW w:w="1525" w:type="pct"/>
                  <w:noWrap w:val="0"/>
                  <w:vAlign w:val="center"/>
                </w:tcPr>
                <w:p w14:paraId="437FB1EF">
                  <w:pPr>
                    <w:snapToGrid w:val="0"/>
                    <w:jc w:val="center"/>
                    <w:rPr>
                      <w:rFonts w:hint="eastAsia" w:ascii="Times New Roman" w:hAnsi="Times New Roman" w:eastAsia="宋体" w:cs="Times New Roman"/>
                      <w:i w:val="0"/>
                      <w:iCs w:val="0"/>
                      <w:color w:val="auto"/>
                      <w:highlight w:val="none"/>
                      <w:u w:val="none" w:color="auto"/>
                    </w:rPr>
                  </w:pPr>
                </w:p>
              </w:tc>
            </w:tr>
            <w:tr w14:paraId="4F227B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noWrap w:val="0"/>
                  <w:vAlign w:val="center"/>
                </w:tcPr>
                <w:p w14:paraId="260F19FC">
                  <w:pPr>
                    <w:snapToGrid w:val="0"/>
                    <w:jc w:val="center"/>
                    <w:rPr>
                      <w:rFonts w:hint="default"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30</w:t>
                  </w:r>
                </w:p>
              </w:tc>
              <w:tc>
                <w:tcPr>
                  <w:tcW w:w="1198" w:type="pct"/>
                  <w:shd w:val="clear" w:color="auto" w:fill="auto"/>
                  <w:noWrap w:val="0"/>
                  <w:vAlign w:val="top"/>
                </w:tcPr>
                <w:p w14:paraId="5BD4955C">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zh-TW" w:eastAsia="zh-TW" w:bidi="ar-SA"/>
                    </w:rPr>
                  </w:pPr>
                  <w:r>
                    <w:rPr>
                      <w:rFonts w:hint="eastAsia"/>
                      <w:b w:val="0"/>
                      <w:i w:val="0"/>
                      <w:caps w:val="0"/>
                      <w:color w:val="auto"/>
                      <w:spacing w:val="0"/>
                      <w:w w:val="100"/>
                      <w:sz w:val="21"/>
                      <w:highlight w:val="none"/>
                      <w:u w:val="none" w:color="auto"/>
                      <w:lang w:eastAsia="zh-CN"/>
                    </w:rPr>
                    <w:t>坍落度捣棒</w:t>
                  </w:r>
                </w:p>
              </w:tc>
              <w:tc>
                <w:tcPr>
                  <w:tcW w:w="869" w:type="pct"/>
                  <w:shd w:val="clear" w:color="auto" w:fill="auto"/>
                  <w:noWrap w:val="0"/>
                  <w:vAlign w:val="top"/>
                </w:tcPr>
                <w:p w14:paraId="0E0E0397">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p>
              </w:tc>
              <w:tc>
                <w:tcPr>
                  <w:tcW w:w="515" w:type="pct"/>
                  <w:shd w:val="clear" w:color="auto" w:fill="auto"/>
                  <w:noWrap w:val="0"/>
                  <w:vAlign w:val="top"/>
                </w:tcPr>
                <w:p w14:paraId="17423DE4">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1</w:t>
                  </w:r>
                </w:p>
              </w:tc>
              <w:tc>
                <w:tcPr>
                  <w:tcW w:w="510" w:type="pct"/>
                  <w:noWrap w:val="0"/>
                  <w:vAlign w:val="center"/>
                </w:tcPr>
                <w:p w14:paraId="7809E954">
                  <w:pPr>
                    <w:snapToGrid w:val="0"/>
                    <w:jc w:val="center"/>
                    <w:rPr>
                      <w:rFonts w:hint="default" w:ascii="Times New Roman" w:hAnsi="Times New Roman" w:eastAsia="宋体" w:cs="Times New Roman"/>
                      <w:color w:val="auto"/>
                      <w:highlight w:val="none"/>
                      <w:u w:val="none" w:color="auto"/>
                      <w:shd w:val="clear" w:color="auto" w:fill="auto"/>
                      <w:lang w:val="zh-TW" w:eastAsia="zh-TW"/>
                    </w:rPr>
                  </w:pPr>
                  <w:r>
                    <w:rPr>
                      <w:rFonts w:hint="eastAsia"/>
                      <w:b w:val="0"/>
                      <w:i w:val="0"/>
                      <w:caps w:val="0"/>
                      <w:color w:val="auto"/>
                      <w:spacing w:val="0"/>
                      <w:w w:val="100"/>
                      <w:sz w:val="21"/>
                      <w:highlight w:val="none"/>
                      <w:u w:val="none" w:color="auto"/>
                      <w:lang w:val="en-US" w:eastAsia="zh-CN"/>
                    </w:rPr>
                    <w:t>根</w:t>
                  </w:r>
                </w:p>
              </w:tc>
              <w:tc>
                <w:tcPr>
                  <w:tcW w:w="1525" w:type="pct"/>
                  <w:noWrap w:val="0"/>
                  <w:vAlign w:val="center"/>
                </w:tcPr>
                <w:p w14:paraId="69DA4412">
                  <w:pPr>
                    <w:snapToGrid w:val="0"/>
                    <w:jc w:val="center"/>
                    <w:rPr>
                      <w:rFonts w:hint="eastAsia" w:ascii="Times New Roman" w:hAnsi="Times New Roman" w:eastAsia="宋体" w:cs="Times New Roman"/>
                      <w:i w:val="0"/>
                      <w:iCs w:val="0"/>
                      <w:color w:val="auto"/>
                      <w:highlight w:val="none"/>
                      <w:u w:val="none" w:color="auto"/>
                    </w:rPr>
                  </w:pPr>
                </w:p>
              </w:tc>
            </w:tr>
            <w:tr w14:paraId="0060BD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noWrap w:val="0"/>
                  <w:vAlign w:val="center"/>
                </w:tcPr>
                <w:p w14:paraId="79A0B8E2">
                  <w:pPr>
                    <w:snapToGrid w:val="0"/>
                    <w:jc w:val="center"/>
                    <w:rPr>
                      <w:rFonts w:hint="default"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31</w:t>
                  </w:r>
                </w:p>
              </w:tc>
              <w:tc>
                <w:tcPr>
                  <w:tcW w:w="1198" w:type="pct"/>
                  <w:shd w:val="clear" w:color="auto" w:fill="auto"/>
                  <w:noWrap w:val="0"/>
                  <w:vAlign w:val="top"/>
                </w:tcPr>
                <w:p w14:paraId="5FC0094D">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zh-TW" w:eastAsia="zh-TW" w:bidi="ar-SA"/>
                    </w:rPr>
                  </w:pPr>
                  <w:r>
                    <w:rPr>
                      <w:rFonts w:hint="eastAsia"/>
                      <w:b w:val="0"/>
                      <w:i w:val="0"/>
                      <w:caps w:val="0"/>
                      <w:color w:val="auto"/>
                      <w:spacing w:val="0"/>
                      <w:w w:val="100"/>
                      <w:sz w:val="21"/>
                      <w:highlight w:val="none"/>
                      <w:u w:val="none" w:color="auto"/>
                      <w:lang w:eastAsia="zh-CN"/>
                    </w:rPr>
                    <w:t>容积升</w:t>
                  </w:r>
                </w:p>
              </w:tc>
              <w:tc>
                <w:tcPr>
                  <w:tcW w:w="869" w:type="pct"/>
                  <w:shd w:val="clear" w:color="auto" w:fill="auto"/>
                  <w:noWrap w:val="0"/>
                  <w:vAlign w:val="top"/>
                </w:tcPr>
                <w:p w14:paraId="3563477E">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1-30L</w:t>
                  </w:r>
                </w:p>
              </w:tc>
              <w:tc>
                <w:tcPr>
                  <w:tcW w:w="515" w:type="pct"/>
                  <w:shd w:val="clear" w:color="auto" w:fill="auto"/>
                  <w:noWrap w:val="0"/>
                  <w:vAlign w:val="top"/>
                </w:tcPr>
                <w:p w14:paraId="211BAFC4">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1</w:t>
                  </w:r>
                </w:p>
              </w:tc>
              <w:tc>
                <w:tcPr>
                  <w:tcW w:w="510" w:type="pct"/>
                  <w:noWrap w:val="0"/>
                  <w:vAlign w:val="center"/>
                </w:tcPr>
                <w:p w14:paraId="15ABCB14">
                  <w:pPr>
                    <w:snapToGrid w:val="0"/>
                    <w:jc w:val="center"/>
                    <w:rPr>
                      <w:rFonts w:hint="default" w:ascii="Times New Roman" w:hAnsi="Times New Roman" w:eastAsia="宋体" w:cs="Times New Roman"/>
                      <w:color w:val="auto"/>
                      <w:highlight w:val="none"/>
                      <w:u w:val="none" w:color="auto"/>
                      <w:shd w:val="clear" w:color="auto" w:fill="auto"/>
                      <w:lang w:val="zh-TW" w:eastAsia="zh-TW"/>
                    </w:rPr>
                  </w:pPr>
                  <w:r>
                    <w:rPr>
                      <w:rFonts w:hint="eastAsia"/>
                      <w:b w:val="0"/>
                      <w:i w:val="0"/>
                      <w:caps w:val="0"/>
                      <w:color w:val="auto"/>
                      <w:spacing w:val="0"/>
                      <w:w w:val="100"/>
                      <w:sz w:val="21"/>
                      <w:highlight w:val="none"/>
                      <w:u w:val="none" w:color="auto"/>
                      <w:lang w:val="en-US" w:eastAsia="zh-CN"/>
                    </w:rPr>
                    <w:t>套</w:t>
                  </w:r>
                </w:p>
              </w:tc>
              <w:tc>
                <w:tcPr>
                  <w:tcW w:w="1525" w:type="pct"/>
                  <w:noWrap w:val="0"/>
                  <w:vAlign w:val="center"/>
                </w:tcPr>
                <w:p w14:paraId="713F33CE">
                  <w:pPr>
                    <w:snapToGrid w:val="0"/>
                    <w:jc w:val="center"/>
                    <w:rPr>
                      <w:rFonts w:hint="eastAsia" w:ascii="Times New Roman" w:hAnsi="Times New Roman" w:eastAsia="宋体" w:cs="Times New Roman"/>
                      <w:i w:val="0"/>
                      <w:iCs w:val="0"/>
                      <w:color w:val="auto"/>
                      <w:highlight w:val="none"/>
                      <w:u w:val="none" w:color="auto"/>
                    </w:rPr>
                  </w:pPr>
                </w:p>
              </w:tc>
            </w:tr>
            <w:tr w14:paraId="4911C0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noWrap w:val="0"/>
                  <w:vAlign w:val="center"/>
                </w:tcPr>
                <w:p w14:paraId="01B84661">
                  <w:pPr>
                    <w:snapToGrid w:val="0"/>
                    <w:jc w:val="center"/>
                    <w:rPr>
                      <w:rFonts w:hint="default"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32</w:t>
                  </w:r>
                </w:p>
              </w:tc>
              <w:tc>
                <w:tcPr>
                  <w:tcW w:w="1198" w:type="pct"/>
                  <w:shd w:val="clear" w:color="auto" w:fill="auto"/>
                  <w:noWrap w:val="0"/>
                  <w:vAlign w:val="top"/>
                </w:tcPr>
                <w:p w14:paraId="17813614">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zh-TW" w:eastAsia="zh-TW" w:bidi="ar-SA"/>
                    </w:rPr>
                  </w:pPr>
                  <w:r>
                    <w:rPr>
                      <w:rFonts w:hint="eastAsia"/>
                      <w:b w:val="0"/>
                      <w:i w:val="0"/>
                      <w:caps w:val="0"/>
                      <w:color w:val="auto"/>
                      <w:spacing w:val="0"/>
                      <w:w w:val="100"/>
                      <w:sz w:val="21"/>
                      <w:highlight w:val="none"/>
                      <w:u w:val="none" w:color="auto"/>
                      <w:lang w:eastAsia="zh-CN"/>
                    </w:rPr>
                    <w:t>数显压力机</w:t>
                  </w:r>
                </w:p>
              </w:tc>
              <w:tc>
                <w:tcPr>
                  <w:tcW w:w="869" w:type="pct"/>
                  <w:shd w:val="clear" w:color="auto" w:fill="auto"/>
                  <w:noWrap w:val="0"/>
                  <w:vAlign w:val="top"/>
                </w:tcPr>
                <w:p w14:paraId="5DA4A1E7">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200吨</w:t>
                  </w:r>
                </w:p>
              </w:tc>
              <w:tc>
                <w:tcPr>
                  <w:tcW w:w="515" w:type="pct"/>
                  <w:shd w:val="clear" w:color="auto" w:fill="auto"/>
                  <w:noWrap w:val="0"/>
                  <w:vAlign w:val="top"/>
                </w:tcPr>
                <w:p w14:paraId="4161CB3B">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1</w:t>
                  </w:r>
                </w:p>
              </w:tc>
              <w:tc>
                <w:tcPr>
                  <w:tcW w:w="510" w:type="pct"/>
                  <w:noWrap w:val="0"/>
                  <w:vAlign w:val="center"/>
                </w:tcPr>
                <w:p w14:paraId="3D3E5DAA">
                  <w:pPr>
                    <w:snapToGrid w:val="0"/>
                    <w:jc w:val="center"/>
                    <w:rPr>
                      <w:rFonts w:hint="default" w:ascii="Times New Roman" w:hAnsi="Times New Roman" w:eastAsia="宋体" w:cs="Times New Roman"/>
                      <w:color w:val="auto"/>
                      <w:highlight w:val="none"/>
                      <w:u w:val="none" w:color="auto"/>
                      <w:shd w:val="clear" w:color="auto" w:fill="auto"/>
                      <w:lang w:val="zh-TW" w:eastAsia="zh-TW"/>
                    </w:rPr>
                  </w:pPr>
                  <w:r>
                    <w:rPr>
                      <w:rFonts w:hint="eastAsia"/>
                      <w:b w:val="0"/>
                      <w:i w:val="0"/>
                      <w:caps w:val="0"/>
                      <w:color w:val="auto"/>
                      <w:spacing w:val="0"/>
                      <w:w w:val="100"/>
                      <w:sz w:val="21"/>
                      <w:highlight w:val="none"/>
                      <w:u w:val="none" w:color="auto"/>
                      <w:lang w:val="en-US" w:eastAsia="zh-CN"/>
                    </w:rPr>
                    <w:t>台</w:t>
                  </w:r>
                </w:p>
              </w:tc>
              <w:tc>
                <w:tcPr>
                  <w:tcW w:w="1525" w:type="pct"/>
                  <w:noWrap w:val="0"/>
                  <w:vAlign w:val="center"/>
                </w:tcPr>
                <w:p w14:paraId="08F61EC4">
                  <w:pPr>
                    <w:snapToGrid w:val="0"/>
                    <w:jc w:val="center"/>
                    <w:rPr>
                      <w:rFonts w:hint="eastAsia" w:ascii="Times New Roman" w:hAnsi="Times New Roman" w:eastAsia="宋体" w:cs="Times New Roman"/>
                      <w:i w:val="0"/>
                      <w:iCs w:val="0"/>
                      <w:color w:val="auto"/>
                      <w:highlight w:val="none"/>
                      <w:u w:val="none" w:color="auto"/>
                    </w:rPr>
                  </w:pPr>
                </w:p>
              </w:tc>
            </w:tr>
            <w:tr w14:paraId="54006C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noWrap w:val="0"/>
                  <w:vAlign w:val="center"/>
                </w:tcPr>
                <w:p w14:paraId="5B9B78E3">
                  <w:pPr>
                    <w:snapToGrid w:val="0"/>
                    <w:jc w:val="center"/>
                    <w:rPr>
                      <w:rFonts w:hint="default"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33</w:t>
                  </w:r>
                </w:p>
              </w:tc>
              <w:tc>
                <w:tcPr>
                  <w:tcW w:w="1198" w:type="pct"/>
                  <w:shd w:val="clear" w:color="auto" w:fill="auto"/>
                  <w:noWrap w:val="0"/>
                  <w:vAlign w:val="top"/>
                </w:tcPr>
                <w:p w14:paraId="1E90F138">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zh-TW" w:eastAsia="zh-TW" w:bidi="ar-SA"/>
                    </w:rPr>
                  </w:pPr>
                  <w:r>
                    <w:rPr>
                      <w:rFonts w:hint="eastAsia"/>
                      <w:b w:val="0"/>
                      <w:i w:val="0"/>
                      <w:caps w:val="0"/>
                      <w:color w:val="auto"/>
                      <w:spacing w:val="0"/>
                      <w:w w:val="100"/>
                      <w:sz w:val="21"/>
                      <w:highlight w:val="none"/>
                      <w:u w:val="none" w:color="auto"/>
                      <w:lang w:eastAsia="zh-CN"/>
                    </w:rPr>
                    <w:t>抗压试模</w:t>
                  </w:r>
                </w:p>
              </w:tc>
              <w:tc>
                <w:tcPr>
                  <w:tcW w:w="869" w:type="pct"/>
                  <w:shd w:val="clear" w:color="auto" w:fill="auto"/>
                  <w:noWrap w:val="0"/>
                  <w:vAlign w:val="top"/>
                </w:tcPr>
                <w:p w14:paraId="146AC0FE">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150方</w:t>
                  </w:r>
                </w:p>
              </w:tc>
              <w:tc>
                <w:tcPr>
                  <w:tcW w:w="515" w:type="pct"/>
                  <w:shd w:val="clear" w:color="auto" w:fill="auto"/>
                  <w:noWrap w:val="0"/>
                  <w:vAlign w:val="top"/>
                </w:tcPr>
                <w:p w14:paraId="74C488EF">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10</w:t>
                  </w:r>
                </w:p>
              </w:tc>
              <w:tc>
                <w:tcPr>
                  <w:tcW w:w="510" w:type="pct"/>
                  <w:noWrap w:val="0"/>
                  <w:vAlign w:val="center"/>
                </w:tcPr>
                <w:p w14:paraId="5BA521E1">
                  <w:pPr>
                    <w:snapToGrid w:val="0"/>
                    <w:jc w:val="center"/>
                    <w:rPr>
                      <w:rFonts w:hint="default" w:ascii="Times New Roman" w:hAnsi="Times New Roman" w:eastAsia="宋体" w:cs="Times New Roman"/>
                      <w:color w:val="auto"/>
                      <w:highlight w:val="none"/>
                      <w:u w:val="none" w:color="auto"/>
                      <w:shd w:val="clear" w:color="auto" w:fill="auto"/>
                      <w:lang w:val="zh-TW" w:eastAsia="zh-TW"/>
                    </w:rPr>
                  </w:pPr>
                  <w:r>
                    <w:rPr>
                      <w:rFonts w:hint="eastAsia"/>
                      <w:b w:val="0"/>
                      <w:i w:val="0"/>
                      <w:caps w:val="0"/>
                      <w:color w:val="auto"/>
                      <w:spacing w:val="0"/>
                      <w:w w:val="100"/>
                      <w:sz w:val="21"/>
                      <w:highlight w:val="none"/>
                      <w:u w:val="none" w:color="auto"/>
                      <w:lang w:val="en-US" w:eastAsia="zh-CN"/>
                    </w:rPr>
                    <w:t>个</w:t>
                  </w:r>
                </w:p>
              </w:tc>
              <w:tc>
                <w:tcPr>
                  <w:tcW w:w="1525" w:type="pct"/>
                  <w:noWrap w:val="0"/>
                  <w:vAlign w:val="center"/>
                </w:tcPr>
                <w:p w14:paraId="47683DA0">
                  <w:pPr>
                    <w:snapToGrid w:val="0"/>
                    <w:jc w:val="center"/>
                    <w:rPr>
                      <w:rFonts w:hint="eastAsia" w:ascii="Times New Roman" w:hAnsi="Times New Roman" w:eastAsia="宋体" w:cs="Times New Roman"/>
                      <w:i w:val="0"/>
                      <w:iCs w:val="0"/>
                      <w:color w:val="auto"/>
                      <w:highlight w:val="none"/>
                      <w:u w:val="none" w:color="auto"/>
                    </w:rPr>
                  </w:pPr>
                </w:p>
              </w:tc>
            </w:tr>
            <w:tr w14:paraId="313BCD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82" w:type="pct"/>
                  <w:noWrap w:val="0"/>
                  <w:vAlign w:val="center"/>
                </w:tcPr>
                <w:p w14:paraId="1ED90533">
                  <w:pPr>
                    <w:snapToGrid w:val="0"/>
                    <w:jc w:val="center"/>
                    <w:rPr>
                      <w:rFonts w:hint="default" w:cs="Times New Roman"/>
                      <w:i w:val="0"/>
                      <w:iCs w:val="0"/>
                      <w:color w:val="auto"/>
                      <w:highlight w:val="none"/>
                      <w:u w:val="none" w:color="auto"/>
                      <w:lang w:val="en-US" w:eastAsia="zh-CN"/>
                    </w:rPr>
                  </w:pPr>
                  <w:r>
                    <w:rPr>
                      <w:rFonts w:hint="eastAsia" w:cs="Times New Roman"/>
                      <w:i w:val="0"/>
                      <w:iCs w:val="0"/>
                      <w:color w:val="auto"/>
                      <w:highlight w:val="none"/>
                      <w:u w:val="none" w:color="auto"/>
                      <w:lang w:val="en-US" w:eastAsia="zh-CN"/>
                    </w:rPr>
                    <w:t>34</w:t>
                  </w:r>
                </w:p>
              </w:tc>
              <w:tc>
                <w:tcPr>
                  <w:tcW w:w="1198" w:type="pct"/>
                  <w:shd w:val="clear" w:color="auto" w:fill="auto"/>
                  <w:noWrap w:val="0"/>
                  <w:vAlign w:val="top"/>
                </w:tcPr>
                <w:p w14:paraId="390F4397">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zh-TW" w:eastAsia="zh-TW" w:bidi="ar-SA"/>
                    </w:rPr>
                  </w:pPr>
                  <w:r>
                    <w:rPr>
                      <w:rFonts w:hint="eastAsia"/>
                      <w:b w:val="0"/>
                      <w:i w:val="0"/>
                      <w:caps w:val="0"/>
                      <w:color w:val="auto"/>
                      <w:spacing w:val="0"/>
                      <w:w w:val="100"/>
                      <w:sz w:val="21"/>
                      <w:highlight w:val="none"/>
                      <w:u w:val="none" w:color="auto"/>
                      <w:lang w:eastAsia="zh-CN"/>
                    </w:rPr>
                    <w:t>电动抗折机</w:t>
                  </w:r>
                </w:p>
              </w:tc>
              <w:tc>
                <w:tcPr>
                  <w:tcW w:w="869" w:type="pct"/>
                  <w:shd w:val="clear" w:color="auto" w:fill="auto"/>
                  <w:noWrap w:val="0"/>
                  <w:vAlign w:val="top"/>
                </w:tcPr>
                <w:p w14:paraId="7F411F71">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p>
              </w:tc>
              <w:tc>
                <w:tcPr>
                  <w:tcW w:w="515" w:type="pct"/>
                  <w:shd w:val="clear" w:color="auto" w:fill="auto"/>
                  <w:noWrap w:val="0"/>
                  <w:vAlign w:val="top"/>
                </w:tcPr>
                <w:p w14:paraId="4424C23D">
                  <w:pPr>
                    <w:snapToGrid/>
                    <w:spacing w:before="0" w:beforeAutospacing="0" w:after="0" w:afterAutospacing="0" w:line="240" w:lineRule="auto"/>
                    <w:jc w:val="center"/>
                    <w:textAlignment w:val="baseline"/>
                    <w:rPr>
                      <w:rFonts w:hint="default" w:ascii="Times New Roman" w:hAnsi="Times New Roman" w:eastAsia="宋体" w:cs="Times New Roman"/>
                      <w:b w:val="0"/>
                      <w:i w:val="0"/>
                      <w:caps w:val="0"/>
                      <w:color w:val="auto"/>
                      <w:spacing w:val="0"/>
                      <w:w w:val="100"/>
                      <w:kern w:val="2"/>
                      <w:sz w:val="20"/>
                      <w:szCs w:val="24"/>
                      <w:highlight w:val="none"/>
                      <w:u w:val="none" w:color="auto"/>
                      <w:lang w:val="en-US" w:eastAsia="zh-CN" w:bidi="ar-SA"/>
                    </w:rPr>
                  </w:pPr>
                  <w:r>
                    <w:rPr>
                      <w:rFonts w:hint="eastAsia"/>
                      <w:b w:val="0"/>
                      <w:i w:val="0"/>
                      <w:caps w:val="0"/>
                      <w:color w:val="auto"/>
                      <w:spacing w:val="0"/>
                      <w:w w:val="100"/>
                      <w:sz w:val="21"/>
                      <w:highlight w:val="none"/>
                      <w:u w:val="none" w:color="auto"/>
                      <w:lang w:val="en-US" w:eastAsia="zh-CN"/>
                    </w:rPr>
                    <w:t>1</w:t>
                  </w:r>
                </w:p>
              </w:tc>
              <w:tc>
                <w:tcPr>
                  <w:tcW w:w="510" w:type="pct"/>
                  <w:noWrap w:val="0"/>
                  <w:vAlign w:val="center"/>
                </w:tcPr>
                <w:p w14:paraId="1659B7E7">
                  <w:pPr>
                    <w:snapToGrid w:val="0"/>
                    <w:jc w:val="center"/>
                    <w:rPr>
                      <w:rFonts w:hint="default" w:ascii="Times New Roman" w:hAnsi="Times New Roman" w:eastAsia="宋体" w:cs="Times New Roman"/>
                      <w:color w:val="auto"/>
                      <w:highlight w:val="none"/>
                      <w:u w:val="none" w:color="auto"/>
                      <w:shd w:val="clear" w:color="auto" w:fill="auto"/>
                      <w:lang w:val="zh-TW" w:eastAsia="zh-TW"/>
                    </w:rPr>
                  </w:pPr>
                  <w:r>
                    <w:rPr>
                      <w:rFonts w:hint="eastAsia"/>
                      <w:b w:val="0"/>
                      <w:i w:val="0"/>
                      <w:caps w:val="0"/>
                      <w:color w:val="auto"/>
                      <w:spacing w:val="0"/>
                      <w:w w:val="100"/>
                      <w:sz w:val="21"/>
                      <w:highlight w:val="none"/>
                      <w:u w:val="none" w:color="auto"/>
                      <w:lang w:val="en-US" w:eastAsia="zh-CN"/>
                    </w:rPr>
                    <w:t>台</w:t>
                  </w:r>
                </w:p>
              </w:tc>
              <w:tc>
                <w:tcPr>
                  <w:tcW w:w="1525" w:type="pct"/>
                  <w:noWrap w:val="0"/>
                  <w:vAlign w:val="center"/>
                </w:tcPr>
                <w:p w14:paraId="4AE7A254">
                  <w:pPr>
                    <w:snapToGrid w:val="0"/>
                    <w:jc w:val="center"/>
                    <w:rPr>
                      <w:rFonts w:hint="eastAsia" w:ascii="Times New Roman" w:hAnsi="Times New Roman" w:eastAsia="宋体" w:cs="Times New Roman"/>
                      <w:i w:val="0"/>
                      <w:iCs w:val="0"/>
                      <w:color w:val="auto"/>
                      <w:highlight w:val="none"/>
                      <w:u w:val="none" w:color="auto"/>
                    </w:rPr>
                  </w:pPr>
                </w:p>
              </w:tc>
            </w:tr>
          </w:tbl>
          <w:p w14:paraId="2A0B130C">
            <w:pPr>
              <w:adjustRightInd w:val="0"/>
              <w:spacing w:line="360" w:lineRule="auto"/>
              <w:ind w:firstLine="480" w:firstLineChars="200"/>
              <w:jc w:val="left"/>
              <w:rPr>
                <w:rFonts w:hint="eastAsia"/>
                <w:b w:val="0"/>
                <w:bCs w:val="0"/>
                <w:sz w:val="24"/>
                <w:szCs w:val="24"/>
                <w:highlight w:val="none"/>
                <w:lang w:val="en-US" w:eastAsia="zh-CN"/>
              </w:rPr>
            </w:pPr>
          </w:p>
          <w:p w14:paraId="15141A73">
            <w:pPr>
              <w:adjustRightInd w:val="0"/>
              <w:spacing w:line="360" w:lineRule="auto"/>
              <w:ind w:firstLine="482" w:firstLineChars="200"/>
              <w:jc w:val="left"/>
              <w:rPr>
                <w:b/>
                <w:bCs/>
                <w:sz w:val="24"/>
                <w:szCs w:val="24"/>
                <w:highlight w:val="none"/>
              </w:rPr>
            </w:pPr>
            <w:r>
              <w:rPr>
                <w:rFonts w:hint="eastAsia"/>
                <w:b/>
                <w:bCs/>
                <w:sz w:val="24"/>
                <w:szCs w:val="24"/>
                <w:highlight w:val="none"/>
                <w:lang w:val="en-US" w:eastAsia="zh-CN"/>
              </w:rPr>
              <w:t>6</w:t>
            </w:r>
            <w:r>
              <w:rPr>
                <w:rFonts w:hint="eastAsia"/>
                <w:b/>
                <w:bCs/>
                <w:sz w:val="24"/>
                <w:szCs w:val="24"/>
                <w:highlight w:val="none"/>
              </w:rPr>
              <w:t>、</w:t>
            </w:r>
            <w:r>
              <w:rPr>
                <w:b/>
                <w:bCs/>
                <w:sz w:val="24"/>
                <w:szCs w:val="24"/>
                <w:highlight w:val="none"/>
              </w:rPr>
              <w:t>主要原辅材料</w:t>
            </w:r>
          </w:p>
          <w:p w14:paraId="63BE200F">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auto"/>
              <w:rPr>
                <w:rFonts w:hint="eastAsia" w:eastAsia="宋体"/>
                <w:sz w:val="24"/>
                <w:szCs w:val="24"/>
                <w:highlight w:val="none"/>
                <w:lang w:eastAsia="zh-CN"/>
              </w:rPr>
            </w:pPr>
            <w:r>
              <w:rPr>
                <w:rFonts w:hint="eastAsia"/>
                <w:bCs/>
                <w:sz w:val="24"/>
                <w:szCs w:val="24"/>
                <w:highlight w:val="none"/>
                <w:lang w:eastAsia="zh-CN"/>
              </w:rPr>
              <w:t>本</w:t>
            </w:r>
            <w:r>
              <w:rPr>
                <w:rFonts w:hint="eastAsia"/>
                <w:bCs/>
                <w:sz w:val="24"/>
                <w:szCs w:val="24"/>
                <w:highlight w:val="none"/>
              </w:rPr>
              <w:t>项目原辅材料主要是</w:t>
            </w:r>
            <w:r>
              <w:rPr>
                <w:rFonts w:hint="eastAsia"/>
                <w:bCs/>
                <w:sz w:val="24"/>
                <w:szCs w:val="24"/>
                <w:highlight w:val="none"/>
                <w:lang w:eastAsia="zh-CN"/>
              </w:rPr>
              <w:t>砂子、碎石</w:t>
            </w:r>
            <w:r>
              <w:rPr>
                <w:rFonts w:hint="eastAsia"/>
                <w:bCs/>
                <w:sz w:val="24"/>
                <w:szCs w:val="24"/>
                <w:highlight w:val="none"/>
              </w:rPr>
              <w:t>、水泥、粉煤灰及水等，</w:t>
            </w:r>
            <w:r>
              <w:rPr>
                <w:rFonts w:hint="eastAsia"/>
                <w:sz w:val="24"/>
                <w:szCs w:val="24"/>
                <w:highlight w:val="none"/>
              </w:rPr>
              <w:t>本项目</w:t>
            </w:r>
            <w:r>
              <w:rPr>
                <w:rFonts w:hint="eastAsia"/>
                <w:sz w:val="24"/>
                <w:szCs w:val="24"/>
                <w:highlight w:val="none"/>
                <w:lang w:eastAsia="zh-CN"/>
              </w:rPr>
              <w:t>砂</w:t>
            </w:r>
            <w:r>
              <w:rPr>
                <w:rFonts w:hint="eastAsia"/>
                <w:sz w:val="24"/>
                <w:szCs w:val="24"/>
                <w:highlight w:val="none"/>
              </w:rPr>
              <w:t>石料为标准石料，不需要再进行破碎</w:t>
            </w:r>
            <w:r>
              <w:rPr>
                <w:rFonts w:hint="eastAsia"/>
                <w:sz w:val="24"/>
                <w:szCs w:val="24"/>
                <w:highlight w:val="none"/>
                <w:lang w:eastAsia="zh-CN"/>
              </w:rPr>
              <w:t>，</w:t>
            </w:r>
            <w:r>
              <w:rPr>
                <w:rFonts w:hint="eastAsia"/>
                <w:bCs/>
                <w:sz w:val="24"/>
                <w:szCs w:val="24"/>
                <w:highlight w:val="none"/>
              </w:rPr>
              <w:t>原材料及产品的运输方式均采用汽车公路运输，</w:t>
            </w:r>
            <w:r>
              <w:rPr>
                <w:rFonts w:hint="eastAsia"/>
                <w:sz w:val="24"/>
                <w:szCs w:val="24"/>
                <w:highlight w:val="none"/>
              </w:rPr>
              <w:t>详见下表。</w:t>
            </w:r>
          </w:p>
          <w:p w14:paraId="628E1879">
            <w:pPr>
              <w:jc w:val="center"/>
              <w:rPr>
                <w:b/>
                <w:i w:val="0"/>
                <w:iCs w:val="0"/>
                <w:color w:val="auto"/>
                <w:sz w:val="24"/>
                <w:szCs w:val="24"/>
                <w:highlight w:val="none"/>
                <w:u w:val="none"/>
              </w:rPr>
            </w:pPr>
            <w:r>
              <w:rPr>
                <w:b/>
                <w:bCs w:val="0"/>
                <w:i w:val="0"/>
                <w:iCs w:val="0"/>
                <w:color w:val="auto"/>
                <w:sz w:val="24"/>
                <w:szCs w:val="24"/>
                <w:highlight w:val="none"/>
                <w:u w:val="none"/>
              </w:rPr>
              <w:t>表</w:t>
            </w:r>
            <w:r>
              <w:rPr>
                <w:rFonts w:hint="eastAsia"/>
                <w:b/>
                <w:bCs w:val="0"/>
                <w:i w:val="0"/>
                <w:iCs w:val="0"/>
                <w:color w:val="auto"/>
                <w:sz w:val="24"/>
                <w:szCs w:val="24"/>
                <w:highlight w:val="none"/>
                <w:u w:val="none"/>
                <w:lang w:val="en-US" w:eastAsia="zh-CN"/>
              </w:rPr>
              <w:t>2-5</w:t>
            </w:r>
            <w:r>
              <w:rPr>
                <w:b/>
                <w:bCs w:val="0"/>
                <w:i w:val="0"/>
                <w:iCs w:val="0"/>
                <w:color w:val="auto"/>
                <w:sz w:val="24"/>
                <w:szCs w:val="24"/>
                <w:highlight w:val="none"/>
                <w:u w:val="none"/>
              </w:rPr>
              <w:t xml:space="preserve">  本项目主要</w:t>
            </w:r>
            <w:r>
              <w:rPr>
                <w:rFonts w:hint="eastAsia"/>
                <w:b/>
                <w:bCs w:val="0"/>
                <w:i w:val="0"/>
                <w:iCs w:val="0"/>
                <w:color w:val="auto"/>
                <w:sz w:val="24"/>
                <w:szCs w:val="24"/>
                <w:highlight w:val="none"/>
                <w:u w:val="none"/>
              </w:rPr>
              <w:t>原辅材料</w:t>
            </w:r>
            <w:r>
              <w:rPr>
                <w:b/>
                <w:bCs w:val="0"/>
                <w:i w:val="0"/>
                <w:iCs w:val="0"/>
                <w:color w:val="auto"/>
                <w:sz w:val="24"/>
                <w:szCs w:val="24"/>
                <w:highlight w:val="none"/>
                <w:u w:val="none"/>
              </w:rPr>
              <w:t>一览表</w:t>
            </w:r>
          </w:p>
          <w:tbl>
            <w:tblPr>
              <w:tblStyle w:val="25"/>
              <w:tblW w:w="492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66"/>
              <w:gridCol w:w="1484"/>
              <w:gridCol w:w="682"/>
              <w:gridCol w:w="1352"/>
              <w:gridCol w:w="1394"/>
              <w:gridCol w:w="846"/>
              <w:gridCol w:w="800"/>
              <w:gridCol w:w="967"/>
            </w:tblGrid>
            <w:tr w14:paraId="1A97C9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 w:hRule="atLeast"/>
              </w:trPr>
              <w:tc>
                <w:tcPr>
                  <w:tcW w:w="415" w:type="pct"/>
                  <w:noWrap w:val="0"/>
                  <w:vAlign w:val="center"/>
                </w:tcPr>
                <w:p w14:paraId="18F5FD99">
                  <w:pPr>
                    <w:autoSpaceDE w:val="0"/>
                    <w:autoSpaceDN w:val="0"/>
                    <w:adjustRightInd w:val="0"/>
                    <w:jc w:val="center"/>
                    <w:rPr>
                      <w:rFonts w:ascii="Times New Roman" w:hAnsi="Times New Roman" w:eastAsia="宋体" w:cs="Times New Roman"/>
                      <w:b/>
                      <w:bCs/>
                      <w:i w:val="0"/>
                      <w:iCs w:val="0"/>
                      <w:color w:val="auto"/>
                      <w:sz w:val="21"/>
                      <w:szCs w:val="21"/>
                      <w:highlight w:val="none"/>
                      <w:u w:val="single"/>
                    </w:rPr>
                  </w:pPr>
                  <w:r>
                    <w:rPr>
                      <w:rFonts w:ascii="Times New Roman" w:hAnsi="Times New Roman" w:eastAsia="宋体" w:cs="Times New Roman"/>
                      <w:b/>
                      <w:bCs/>
                      <w:i w:val="0"/>
                      <w:iCs w:val="0"/>
                      <w:color w:val="auto"/>
                      <w:sz w:val="21"/>
                      <w:szCs w:val="21"/>
                      <w:highlight w:val="none"/>
                      <w:u w:val="single"/>
                    </w:rPr>
                    <w:t>序号</w:t>
                  </w:r>
                </w:p>
              </w:tc>
              <w:tc>
                <w:tcPr>
                  <w:tcW w:w="913" w:type="pct"/>
                  <w:noWrap w:val="0"/>
                  <w:vAlign w:val="center"/>
                </w:tcPr>
                <w:p w14:paraId="7906DFD1">
                  <w:pPr>
                    <w:autoSpaceDE w:val="0"/>
                    <w:autoSpaceDN w:val="0"/>
                    <w:adjustRightInd w:val="0"/>
                    <w:jc w:val="center"/>
                    <w:rPr>
                      <w:rFonts w:ascii="Times New Roman" w:hAnsi="Times New Roman" w:eastAsia="宋体" w:cs="Times New Roman"/>
                      <w:b/>
                      <w:bCs/>
                      <w:i w:val="0"/>
                      <w:iCs w:val="0"/>
                      <w:color w:val="auto"/>
                      <w:sz w:val="21"/>
                      <w:szCs w:val="21"/>
                      <w:highlight w:val="none"/>
                      <w:u w:val="single"/>
                    </w:rPr>
                  </w:pPr>
                  <w:r>
                    <w:rPr>
                      <w:rFonts w:ascii="Times New Roman" w:hAnsi="Times New Roman" w:eastAsia="宋体" w:cs="Times New Roman"/>
                      <w:b/>
                      <w:bCs/>
                      <w:i w:val="0"/>
                      <w:iCs w:val="0"/>
                      <w:color w:val="auto"/>
                      <w:sz w:val="21"/>
                      <w:szCs w:val="21"/>
                      <w:highlight w:val="none"/>
                      <w:u w:val="single"/>
                    </w:rPr>
                    <w:t>名称</w:t>
                  </w:r>
                </w:p>
              </w:tc>
              <w:tc>
                <w:tcPr>
                  <w:tcW w:w="424" w:type="pct"/>
                  <w:noWrap w:val="0"/>
                  <w:vAlign w:val="center"/>
                </w:tcPr>
                <w:p w14:paraId="3A19E686">
                  <w:pPr>
                    <w:autoSpaceDE w:val="0"/>
                    <w:autoSpaceDN w:val="0"/>
                    <w:adjustRightInd w:val="0"/>
                    <w:jc w:val="center"/>
                    <w:rPr>
                      <w:rFonts w:ascii="Times New Roman" w:hAnsi="Times New Roman" w:eastAsia="宋体" w:cs="Times New Roman"/>
                      <w:b/>
                      <w:bCs/>
                      <w:i w:val="0"/>
                      <w:iCs w:val="0"/>
                      <w:color w:val="auto"/>
                      <w:sz w:val="21"/>
                      <w:szCs w:val="21"/>
                      <w:highlight w:val="none"/>
                      <w:u w:val="single"/>
                    </w:rPr>
                  </w:pPr>
                  <w:r>
                    <w:rPr>
                      <w:rFonts w:ascii="Times New Roman" w:hAnsi="Times New Roman" w:eastAsia="宋体" w:cs="Times New Roman"/>
                      <w:b/>
                      <w:bCs/>
                      <w:i w:val="0"/>
                      <w:iCs w:val="0"/>
                      <w:color w:val="auto"/>
                      <w:sz w:val="21"/>
                      <w:szCs w:val="21"/>
                      <w:highlight w:val="none"/>
                      <w:u w:val="single"/>
                    </w:rPr>
                    <w:t>单位</w:t>
                  </w:r>
                </w:p>
              </w:tc>
              <w:tc>
                <w:tcPr>
                  <w:tcW w:w="768" w:type="pct"/>
                  <w:noWrap w:val="0"/>
                  <w:vAlign w:val="center"/>
                </w:tcPr>
                <w:p w14:paraId="400181A1">
                  <w:pPr>
                    <w:autoSpaceDE w:val="0"/>
                    <w:autoSpaceDN w:val="0"/>
                    <w:adjustRightInd w:val="0"/>
                    <w:jc w:val="center"/>
                    <w:rPr>
                      <w:rFonts w:ascii="Times New Roman" w:hAnsi="Times New Roman" w:eastAsia="宋体" w:cs="Times New Roman"/>
                      <w:b/>
                      <w:bCs/>
                      <w:i w:val="0"/>
                      <w:iCs w:val="0"/>
                      <w:color w:val="auto"/>
                      <w:sz w:val="21"/>
                      <w:szCs w:val="21"/>
                      <w:highlight w:val="none"/>
                      <w:u w:val="single"/>
                    </w:rPr>
                  </w:pPr>
                  <w:r>
                    <w:rPr>
                      <w:rFonts w:ascii="Times New Roman" w:hAnsi="Times New Roman" w:eastAsia="宋体" w:cs="Times New Roman"/>
                      <w:b/>
                      <w:bCs/>
                      <w:i w:val="0"/>
                      <w:iCs w:val="0"/>
                      <w:color w:val="auto"/>
                      <w:sz w:val="21"/>
                      <w:szCs w:val="21"/>
                      <w:highlight w:val="none"/>
                      <w:u w:val="single"/>
                    </w:rPr>
                    <w:t>数量</w:t>
                  </w:r>
                </w:p>
              </w:tc>
              <w:tc>
                <w:tcPr>
                  <w:tcW w:w="858" w:type="pct"/>
                  <w:noWrap w:val="0"/>
                  <w:vAlign w:val="center"/>
                </w:tcPr>
                <w:p w14:paraId="6E96632A">
                  <w:pPr>
                    <w:autoSpaceDE w:val="0"/>
                    <w:autoSpaceDN w:val="0"/>
                    <w:adjustRightInd w:val="0"/>
                    <w:jc w:val="center"/>
                    <w:rPr>
                      <w:rFonts w:ascii="Times New Roman" w:hAnsi="Times New Roman" w:eastAsia="宋体" w:cs="Times New Roman"/>
                      <w:b/>
                      <w:bCs/>
                      <w:i w:val="0"/>
                      <w:iCs w:val="0"/>
                      <w:color w:val="auto"/>
                      <w:sz w:val="21"/>
                      <w:szCs w:val="21"/>
                      <w:highlight w:val="none"/>
                      <w:u w:val="single"/>
                    </w:rPr>
                  </w:pPr>
                  <w:r>
                    <w:rPr>
                      <w:rFonts w:ascii="Times New Roman" w:hAnsi="Times New Roman" w:eastAsia="宋体" w:cs="Times New Roman"/>
                      <w:b/>
                      <w:bCs/>
                      <w:i w:val="0"/>
                      <w:iCs w:val="0"/>
                      <w:color w:val="auto"/>
                      <w:sz w:val="21"/>
                      <w:szCs w:val="21"/>
                      <w:highlight w:val="none"/>
                      <w:u w:val="single"/>
                    </w:rPr>
                    <w:t>运输方式</w:t>
                  </w:r>
                </w:p>
              </w:tc>
              <w:tc>
                <w:tcPr>
                  <w:tcW w:w="524" w:type="pct"/>
                  <w:noWrap w:val="0"/>
                  <w:vAlign w:val="center"/>
                </w:tcPr>
                <w:p w14:paraId="2086C7EA">
                  <w:pPr>
                    <w:autoSpaceDE w:val="0"/>
                    <w:autoSpaceDN w:val="0"/>
                    <w:adjustRightInd w:val="0"/>
                    <w:jc w:val="center"/>
                    <w:rPr>
                      <w:rFonts w:ascii="Times New Roman" w:hAnsi="Times New Roman" w:eastAsia="宋体" w:cs="Times New Roman"/>
                      <w:b/>
                      <w:bCs/>
                      <w:i w:val="0"/>
                      <w:iCs w:val="0"/>
                      <w:color w:val="auto"/>
                      <w:sz w:val="21"/>
                      <w:szCs w:val="21"/>
                      <w:highlight w:val="none"/>
                      <w:u w:val="single"/>
                    </w:rPr>
                  </w:pPr>
                  <w:r>
                    <w:rPr>
                      <w:rFonts w:ascii="Times New Roman" w:hAnsi="Times New Roman" w:eastAsia="宋体" w:cs="Times New Roman"/>
                      <w:b/>
                      <w:bCs/>
                      <w:i w:val="0"/>
                      <w:iCs w:val="0"/>
                      <w:color w:val="auto"/>
                      <w:sz w:val="21"/>
                      <w:szCs w:val="21"/>
                      <w:highlight w:val="none"/>
                      <w:u w:val="single"/>
                    </w:rPr>
                    <w:t>存储</w:t>
                  </w:r>
                </w:p>
              </w:tc>
              <w:tc>
                <w:tcPr>
                  <w:tcW w:w="496" w:type="pct"/>
                  <w:noWrap w:val="0"/>
                  <w:vAlign w:val="center"/>
                </w:tcPr>
                <w:p w14:paraId="2C9EA1FC">
                  <w:pPr>
                    <w:autoSpaceDE w:val="0"/>
                    <w:autoSpaceDN w:val="0"/>
                    <w:adjustRightInd w:val="0"/>
                    <w:jc w:val="center"/>
                    <w:rPr>
                      <w:rFonts w:hint="eastAsia" w:ascii="Times New Roman" w:hAnsi="Times New Roman" w:eastAsia="宋体" w:cs="Times New Roman"/>
                      <w:b/>
                      <w:bCs/>
                      <w:i w:val="0"/>
                      <w:iCs w:val="0"/>
                      <w:color w:val="auto"/>
                      <w:sz w:val="21"/>
                      <w:szCs w:val="21"/>
                      <w:highlight w:val="none"/>
                      <w:u w:val="single"/>
                      <w:lang w:eastAsia="zh-CN"/>
                    </w:rPr>
                  </w:pPr>
                  <w:r>
                    <w:rPr>
                      <w:rFonts w:hint="eastAsia" w:cs="Times New Roman"/>
                      <w:b/>
                      <w:bCs/>
                      <w:i w:val="0"/>
                      <w:iCs w:val="0"/>
                      <w:color w:val="auto"/>
                      <w:sz w:val="21"/>
                      <w:szCs w:val="21"/>
                      <w:highlight w:val="none"/>
                      <w:u w:val="single"/>
                      <w:lang w:eastAsia="zh-CN"/>
                    </w:rPr>
                    <w:t>形态</w:t>
                  </w:r>
                </w:p>
              </w:tc>
              <w:tc>
                <w:tcPr>
                  <w:tcW w:w="598" w:type="pct"/>
                  <w:noWrap w:val="0"/>
                  <w:vAlign w:val="center"/>
                </w:tcPr>
                <w:p w14:paraId="74C316F0">
                  <w:pPr>
                    <w:autoSpaceDE w:val="0"/>
                    <w:autoSpaceDN w:val="0"/>
                    <w:adjustRightInd w:val="0"/>
                    <w:jc w:val="center"/>
                    <w:rPr>
                      <w:rFonts w:ascii="Times New Roman" w:hAnsi="Times New Roman" w:eastAsia="宋体" w:cs="Times New Roman"/>
                      <w:b/>
                      <w:bCs/>
                      <w:i w:val="0"/>
                      <w:iCs w:val="0"/>
                      <w:color w:val="auto"/>
                      <w:sz w:val="21"/>
                      <w:szCs w:val="21"/>
                      <w:highlight w:val="none"/>
                      <w:u w:val="single"/>
                    </w:rPr>
                  </w:pPr>
                  <w:r>
                    <w:rPr>
                      <w:rFonts w:ascii="Times New Roman" w:hAnsi="Times New Roman" w:eastAsia="宋体" w:cs="Times New Roman"/>
                      <w:b/>
                      <w:bCs/>
                      <w:i w:val="0"/>
                      <w:iCs w:val="0"/>
                      <w:color w:val="auto"/>
                      <w:sz w:val="21"/>
                      <w:szCs w:val="21"/>
                      <w:highlight w:val="none"/>
                      <w:u w:val="single"/>
                    </w:rPr>
                    <w:t>来源</w:t>
                  </w:r>
                </w:p>
              </w:tc>
            </w:tr>
            <w:tr w14:paraId="05625A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 w:hRule="atLeast"/>
              </w:trPr>
              <w:tc>
                <w:tcPr>
                  <w:tcW w:w="415" w:type="pct"/>
                  <w:noWrap w:val="0"/>
                  <w:vAlign w:val="center"/>
                </w:tcPr>
                <w:p w14:paraId="5C4A04B5">
                  <w:pPr>
                    <w:autoSpaceDE w:val="0"/>
                    <w:autoSpaceDN w:val="0"/>
                    <w:adjustRightInd w:val="0"/>
                    <w:jc w:val="center"/>
                    <w:rPr>
                      <w:rFonts w:ascii="Times New Roman" w:hAnsi="Times New Roman" w:eastAsia="宋体" w:cs="Times New Roman"/>
                      <w:i w:val="0"/>
                      <w:iCs w:val="0"/>
                      <w:color w:val="auto"/>
                      <w:sz w:val="21"/>
                      <w:szCs w:val="21"/>
                      <w:highlight w:val="none"/>
                      <w:u w:val="single"/>
                    </w:rPr>
                  </w:pPr>
                  <w:r>
                    <w:rPr>
                      <w:rFonts w:ascii="Times New Roman" w:hAnsi="Times New Roman" w:eastAsia="宋体" w:cs="Times New Roman"/>
                      <w:i w:val="0"/>
                      <w:iCs w:val="0"/>
                      <w:color w:val="auto"/>
                      <w:sz w:val="21"/>
                      <w:szCs w:val="21"/>
                      <w:highlight w:val="none"/>
                      <w:u w:val="single"/>
                    </w:rPr>
                    <w:t>1</w:t>
                  </w:r>
                </w:p>
              </w:tc>
              <w:tc>
                <w:tcPr>
                  <w:tcW w:w="913" w:type="pct"/>
                  <w:noWrap w:val="0"/>
                  <w:vAlign w:val="center"/>
                </w:tcPr>
                <w:p w14:paraId="5E88BA5C">
                  <w:pPr>
                    <w:autoSpaceDE w:val="0"/>
                    <w:autoSpaceDN w:val="0"/>
                    <w:adjustRightInd w:val="0"/>
                    <w:jc w:val="center"/>
                    <w:rPr>
                      <w:rFonts w:ascii="Times New Roman" w:hAnsi="Times New Roman" w:eastAsia="宋体" w:cs="Times New Roman"/>
                      <w:i w:val="0"/>
                      <w:iCs w:val="0"/>
                      <w:color w:val="auto"/>
                      <w:sz w:val="21"/>
                      <w:szCs w:val="21"/>
                      <w:highlight w:val="none"/>
                      <w:u w:val="single"/>
                    </w:rPr>
                  </w:pPr>
                  <w:r>
                    <w:rPr>
                      <w:rFonts w:ascii="Times New Roman" w:hAnsi="Times New Roman" w:eastAsia="宋体" w:cs="Times New Roman"/>
                      <w:i w:val="0"/>
                      <w:iCs w:val="0"/>
                      <w:color w:val="auto"/>
                      <w:sz w:val="21"/>
                      <w:szCs w:val="21"/>
                      <w:highlight w:val="none"/>
                      <w:u w:val="single"/>
                    </w:rPr>
                    <w:t>水泥</w:t>
                  </w:r>
                </w:p>
              </w:tc>
              <w:tc>
                <w:tcPr>
                  <w:tcW w:w="424" w:type="pct"/>
                  <w:shd w:val="clear" w:color="auto" w:fill="auto"/>
                  <w:noWrap w:val="0"/>
                  <w:vAlign w:val="center"/>
                </w:tcPr>
                <w:p w14:paraId="391ACFB0">
                  <w:pPr>
                    <w:autoSpaceDE w:val="0"/>
                    <w:autoSpaceDN w:val="0"/>
                    <w:adjustRightInd w:val="0"/>
                    <w:jc w:val="center"/>
                    <w:rPr>
                      <w:rFonts w:hint="default" w:ascii="Times New Roman" w:hAnsi="Times New Roman" w:eastAsia="宋体" w:cs="Times New Roman"/>
                      <w:i w:val="0"/>
                      <w:iCs w:val="0"/>
                      <w:color w:val="auto"/>
                      <w:kern w:val="2"/>
                      <w:sz w:val="21"/>
                      <w:szCs w:val="21"/>
                      <w:highlight w:val="none"/>
                      <w:u w:val="single"/>
                      <w:lang w:val="en-US" w:eastAsia="zh-CN" w:bidi="ar-SA"/>
                    </w:rPr>
                  </w:pPr>
                  <w:r>
                    <w:rPr>
                      <w:rFonts w:hint="eastAsia" w:ascii="Times New Roman" w:hAnsi="Times New Roman" w:eastAsia="宋体" w:cs="Times New Roman"/>
                      <w:i w:val="0"/>
                      <w:iCs w:val="0"/>
                      <w:color w:val="auto"/>
                      <w:sz w:val="21"/>
                      <w:szCs w:val="21"/>
                      <w:highlight w:val="none"/>
                      <w:u w:val="single"/>
                      <w:lang w:val="en-US" w:eastAsia="zh-CN"/>
                    </w:rPr>
                    <w:t>t/a</w:t>
                  </w:r>
                </w:p>
              </w:tc>
              <w:tc>
                <w:tcPr>
                  <w:tcW w:w="1214" w:type="dxa"/>
                  <w:noWrap w:val="0"/>
                  <w:vAlign w:val="center"/>
                </w:tcPr>
                <w:p w14:paraId="76C71338">
                  <w:pPr>
                    <w:autoSpaceDE w:val="0"/>
                    <w:autoSpaceDN w:val="0"/>
                    <w:adjustRightInd w:val="0"/>
                    <w:jc w:val="center"/>
                    <w:rPr>
                      <w:rFonts w:hint="default" w:ascii="Times New Roman" w:hAnsi="Times New Roman" w:eastAsia="宋体" w:cs="Times New Roman"/>
                      <w:i w:val="0"/>
                      <w:iCs w:val="0"/>
                      <w:color w:val="auto"/>
                      <w:sz w:val="21"/>
                      <w:szCs w:val="21"/>
                      <w:highlight w:val="none"/>
                      <w:u w:val="single"/>
                      <w:lang w:val="en-US" w:eastAsia="zh-CN"/>
                    </w:rPr>
                  </w:pPr>
                  <w:r>
                    <w:rPr>
                      <w:rFonts w:hint="eastAsia" w:ascii="Times New Roman" w:hAnsi="Times New Roman" w:eastAsia="宋体" w:cs="Times New Roman"/>
                      <w:i w:val="0"/>
                      <w:iCs w:val="0"/>
                      <w:color w:val="auto"/>
                      <w:sz w:val="21"/>
                      <w:szCs w:val="21"/>
                      <w:highlight w:val="none"/>
                      <w:u w:val="single"/>
                      <w:lang w:val="en-US" w:eastAsia="zh-CN"/>
                    </w:rPr>
                    <w:t>150000</w:t>
                  </w:r>
                </w:p>
              </w:tc>
              <w:tc>
                <w:tcPr>
                  <w:tcW w:w="858" w:type="pct"/>
                  <w:noWrap w:val="0"/>
                  <w:vAlign w:val="center"/>
                </w:tcPr>
                <w:p w14:paraId="31A0E156">
                  <w:pPr>
                    <w:autoSpaceDE w:val="0"/>
                    <w:autoSpaceDN w:val="0"/>
                    <w:adjustRightInd w:val="0"/>
                    <w:jc w:val="center"/>
                    <w:rPr>
                      <w:rFonts w:ascii="Times New Roman" w:hAnsi="Times New Roman" w:eastAsia="宋体" w:cs="Times New Roman"/>
                      <w:i w:val="0"/>
                      <w:iCs w:val="0"/>
                      <w:color w:val="auto"/>
                      <w:sz w:val="21"/>
                      <w:szCs w:val="21"/>
                      <w:highlight w:val="none"/>
                      <w:u w:val="single"/>
                    </w:rPr>
                  </w:pPr>
                  <w:r>
                    <w:rPr>
                      <w:rFonts w:ascii="Times New Roman" w:hAnsi="Times New Roman" w:eastAsia="宋体" w:cs="Times New Roman"/>
                      <w:i w:val="0"/>
                      <w:iCs w:val="0"/>
                      <w:color w:val="auto"/>
                      <w:sz w:val="21"/>
                      <w:szCs w:val="21"/>
                      <w:highlight w:val="none"/>
                      <w:u w:val="single"/>
                    </w:rPr>
                    <w:t>汽运（罐车）</w:t>
                  </w:r>
                </w:p>
              </w:tc>
              <w:tc>
                <w:tcPr>
                  <w:tcW w:w="524" w:type="pct"/>
                  <w:noWrap w:val="0"/>
                  <w:vAlign w:val="center"/>
                </w:tcPr>
                <w:p w14:paraId="6475A23F">
                  <w:pPr>
                    <w:autoSpaceDE w:val="0"/>
                    <w:autoSpaceDN w:val="0"/>
                    <w:adjustRightInd w:val="0"/>
                    <w:jc w:val="center"/>
                    <w:rPr>
                      <w:rFonts w:ascii="Times New Roman" w:hAnsi="Times New Roman" w:eastAsia="宋体" w:cs="Times New Roman"/>
                      <w:i w:val="0"/>
                      <w:iCs w:val="0"/>
                      <w:color w:val="auto"/>
                      <w:sz w:val="21"/>
                      <w:szCs w:val="21"/>
                      <w:highlight w:val="none"/>
                      <w:u w:val="single"/>
                    </w:rPr>
                  </w:pPr>
                  <w:r>
                    <w:rPr>
                      <w:rFonts w:hint="eastAsia" w:ascii="Times New Roman" w:hAnsi="Times New Roman" w:eastAsia="宋体" w:cs="Times New Roman"/>
                      <w:i w:val="0"/>
                      <w:iCs w:val="0"/>
                      <w:color w:val="auto"/>
                      <w:sz w:val="21"/>
                      <w:szCs w:val="21"/>
                      <w:highlight w:val="none"/>
                      <w:u w:val="single"/>
                    </w:rPr>
                    <w:t>筒仓</w:t>
                  </w:r>
                </w:p>
              </w:tc>
              <w:tc>
                <w:tcPr>
                  <w:tcW w:w="496" w:type="pct"/>
                  <w:noWrap w:val="0"/>
                  <w:vAlign w:val="center"/>
                </w:tcPr>
                <w:p w14:paraId="1E8BFA20">
                  <w:pPr>
                    <w:autoSpaceDE w:val="0"/>
                    <w:autoSpaceDN w:val="0"/>
                    <w:adjustRightInd w:val="0"/>
                    <w:jc w:val="center"/>
                    <w:rPr>
                      <w:rFonts w:hint="eastAsia" w:ascii="Times New Roman" w:hAnsi="Times New Roman" w:eastAsia="宋体" w:cs="Times New Roman"/>
                      <w:i w:val="0"/>
                      <w:iCs w:val="0"/>
                      <w:color w:val="auto"/>
                      <w:sz w:val="21"/>
                      <w:szCs w:val="21"/>
                      <w:highlight w:val="none"/>
                      <w:u w:val="single"/>
                      <w:lang w:eastAsia="zh-CN"/>
                    </w:rPr>
                  </w:pPr>
                  <w:r>
                    <w:rPr>
                      <w:rFonts w:hint="eastAsia" w:cs="Times New Roman"/>
                      <w:i w:val="0"/>
                      <w:iCs w:val="0"/>
                      <w:color w:val="auto"/>
                      <w:sz w:val="21"/>
                      <w:szCs w:val="21"/>
                      <w:highlight w:val="none"/>
                      <w:u w:val="single"/>
                      <w:lang w:eastAsia="zh-CN"/>
                    </w:rPr>
                    <w:t>固态</w:t>
                  </w:r>
                </w:p>
              </w:tc>
              <w:tc>
                <w:tcPr>
                  <w:tcW w:w="598" w:type="pct"/>
                  <w:shd w:val="clear" w:color="auto" w:fill="auto"/>
                  <w:noWrap w:val="0"/>
                  <w:vAlign w:val="center"/>
                </w:tcPr>
                <w:p w14:paraId="31A35B9F">
                  <w:pPr>
                    <w:autoSpaceDE w:val="0"/>
                    <w:autoSpaceDN w:val="0"/>
                    <w:adjustRightInd w:val="0"/>
                    <w:jc w:val="center"/>
                    <w:rPr>
                      <w:rFonts w:hint="eastAsia" w:ascii="Times New Roman" w:hAnsi="Times New Roman" w:eastAsia="宋体" w:cs="Times New Roman"/>
                      <w:i w:val="0"/>
                      <w:iCs w:val="0"/>
                      <w:color w:val="auto"/>
                      <w:kern w:val="2"/>
                      <w:sz w:val="21"/>
                      <w:szCs w:val="21"/>
                      <w:highlight w:val="none"/>
                      <w:u w:val="single"/>
                      <w:lang w:val="en-US" w:eastAsia="zh-CN" w:bidi="ar-SA"/>
                    </w:rPr>
                  </w:pPr>
                  <w:r>
                    <w:rPr>
                      <w:rFonts w:hint="eastAsia" w:ascii="Times New Roman" w:hAnsi="Times New Roman" w:eastAsia="宋体" w:cs="Times New Roman"/>
                      <w:i w:val="0"/>
                      <w:iCs w:val="0"/>
                      <w:color w:val="auto"/>
                      <w:sz w:val="21"/>
                      <w:szCs w:val="21"/>
                      <w:highlight w:val="none"/>
                      <w:u w:val="single"/>
                      <w:lang w:val="en-US" w:eastAsia="zh-CN"/>
                    </w:rPr>
                    <w:t>外购</w:t>
                  </w:r>
                </w:p>
              </w:tc>
            </w:tr>
            <w:tr w14:paraId="45D271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 w:hRule="atLeast"/>
              </w:trPr>
              <w:tc>
                <w:tcPr>
                  <w:tcW w:w="415" w:type="pct"/>
                  <w:noWrap w:val="0"/>
                  <w:vAlign w:val="center"/>
                </w:tcPr>
                <w:p w14:paraId="6A091064">
                  <w:pPr>
                    <w:autoSpaceDE w:val="0"/>
                    <w:autoSpaceDN w:val="0"/>
                    <w:adjustRightInd w:val="0"/>
                    <w:jc w:val="center"/>
                    <w:rPr>
                      <w:rFonts w:ascii="Times New Roman" w:hAnsi="Times New Roman" w:eastAsia="宋体" w:cs="Times New Roman"/>
                      <w:i w:val="0"/>
                      <w:iCs w:val="0"/>
                      <w:color w:val="auto"/>
                      <w:sz w:val="21"/>
                      <w:szCs w:val="21"/>
                      <w:highlight w:val="none"/>
                      <w:u w:val="single"/>
                    </w:rPr>
                  </w:pPr>
                  <w:r>
                    <w:rPr>
                      <w:rFonts w:hint="eastAsia" w:ascii="Times New Roman" w:hAnsi="Times New Roman" w:eastAsia="宋体" w:cs="Times New Roman"/>
                      <w:i w:val="0"/>
                      <w:iCs w:val="0"/>
                      <w:color w:val="auto"/>
                      <w:sz w:val="21"/>
                      <w:szCs w:val="21"/>
                      <w:highlight w:val="none"/>
                      <w:u w:val="single"/>
                    </w:rPr>
                    <w:t>2</w:t>
                  </w:r>
                </w:p>
              </w:tc>
              <w:tc>
                <w:tcPr>
                  <w:tcW w:w="913" w:type="pct"/>
                  <w:noWrap w:val="0"/>
                  <w:vAlign w:val="center"/>
                </w:tcPr>
                <w:p w14:paraId="6C7702F7">
                  <w:pPr>
                    <w:autoSpaceDE w:val="0"/>
                    <w:autoSpaceDN w:val="0"/>
                    <w:adjustRightInd w:val="0"/>
                    <w:jc w:val="center"/>
                    <w:rPr>
                      <w:rFonts w:ascii="Times New Roman" w:hAnsi="Times New Roman" w:eastAsia="宋体" w:cs="Times New Roman"/>
                      <w:i w:val="0"/>
                      <w:iCs w:val="0"/>
                      <w:color w:val="auto"/>
                      <w:sz w:val="21"/>
                      <w:szCs w:val="21"/>
                      <w:highlight w:val="none"/>
                      <w:u w:val="single"/>
                    </w:rPr>
                  </w:pPr>
                  <w:r>
                    <w:rPr>
                      <w:rFonts w:hint="eastAsia" w:ascii="Times New Roman" w:hAnsi="Times New Roman" w:eastAsia="宋体" w:cs="Times New Roman"/>
                      <w:i w:val="0"/>
                      <w:iCs w:val="0"/>
                      <w:color w:val="auto"/>
                      <w:sz w:val="21"/>
                      <w:szCs w:val="21"/>
                      <w:highlight w:val="none"/>
                      <w:u w:val="single"/>
                    </w:rPr>
                    <w:t>粉煤灰</w:t>
                  </w:r>
                </w:p>
              </w:tc>
              <w:tc>
                <w:tcPr>
                  <w:tcW w:w="424" w:type="pct"/>
                  <w:shd w:val="clear" w:color="auto" w:fill="auto"/>
                  <w:noWrap w:val="0"/>
                  <w:vAlign w:val="center"/>
                </w:tcPr>
                <w:p w14:paraId="782A1B4C">
                  <w:pPr>
                    <w:autoSpaceDE w:val="0"/>
                    <w:autoSpaceDN w:val="0"/>
                    <w:adjustRightInd w:val="0"/>
                    <w:jc w:val="center"/>
                    <w:rPr>
                      <w:rFonts w:ascii="Times New Roman" w:hAnsi="Times New Roman" w:eastAsia="宋体" w:cs="Times New Roman"/>
                      <w:i w:val="0"/>
                      <w:iCs w:val="0"/>
                      <w:color w:val="auto"/>
                      <w:kern w:val="2"/>
                      <w:sz w:val="21"/>
                      <w:szCs w:val="21"/>
                      <w:highlight w:val="none"/>
                      <w:u w:val="single"/>
                      <w:lang w:val="en-US" w:eastAsia="zh-CN" w:bidi="ar-SA"/>
                    </w:rPr>
                  </w:pPr>
                  <w:r>
                    <w:rPr>
                      <w:rFonts w:hint="eastAsia" w:ascii="Times New Roman" w:hAnsi="Times New Roman" w:eastAsia="宋体" w:cs="Times New Roman"/>
                      <w:i w:val="0"/>
                      <w:iCs w:val="0"/>
                      <w:color w:val="auto"/>
                      <w:sz w:val="21"/>
                      <w:szCs w:val="21"/>
                      <w:highlight w:val="none"/>
                      <w:u w:val="single"/>
                      <w:lang w:val="en-US" w:eastAsia="zh-CN"/>
                    </w:rPr>
                    <w:t>t/a</w:t>
                  </w:r>
                </w:p>
              </w:tc>
              <w:tc>
                <w:tcPr>
                  <w:tcW w:w="1214" w:type="dxa"/>
                  <w:noWrap w:val="0"/>
                  <w:vAlign w:val="center"/>
                </w:tcPr>
                <w:p w14:paraId="29BB176A">
                  <w:pPr>
                    <w:autoSpaceDE w:val="0"/>
                    <w:autoSpaceDN w:val="0"/>
                    <w:adjustRightInd w:val="0"/>
                    <w:jc w:val="center"/>
                    <w:rPr>
                      <w:rFonts w:hint="default" w:ascii="Times New Roman" w:hAnsi="Times New Roman" w:eastAsia="宋体" w:cs="Times New Roman"/>
                      <w:i w:val="0"/>
                      <w:iCs w:val="0"/>
                      <w:color w:val="auto"/>
                      <w:sz w:val="21"/>
                      <w:szCs w:val="21"/>
                      <w:highlight w:val="none"/>
                      <w:u w:val="single"/>
                      <w:lang w:val="en-US" w:eastAsia="zh-CN"/>
                    </w:rPr>
                  </w:pPr>
                  <w:r>
                    <w:rPr>
                      <w:rFonts w:hint="eastAsia" w:ascii="Times New Roman" w:hAnsi="Times New Roman" w:eastAsia="宋体" w:cs="Times New Roman"/>
                      <w:i w:val="0"/>
                      <w:iCs w:val="0"/>
                      <w:color w:val="auto"/>
                      <w:sz w:val="21"/>
                      <w:szCs w:val="21"/>
                      <w:highlight w:val="none"/>
                      <w:u w:val="single"/>
                      <w:lang w:val="en-US" w:eastAsia="zh-CN"/>
                    </w:rPr>
                    <w:t>7000</w:t>
                  </w:r>
                </w:p>
              </w:tc>
              <w:tc>
                <w:tcPr>
                  <w:tcW w:w="858" w:type="pct"/>
                  <w:noWrap w:val="0"/>
                  <w:vAlign w:val="center"/>
                </w:tcPr>
                <w:p w14:paraId="378B96A1">
                  <w:pPr>
                    <w:autoSpaceDE w:val="0"/>
                    <w:autoSpaceDN w:val="0"/>
                    <w:adjustRightInd w:val="0"/>
                    <w:jc w:val="center"/>
                    <w:rPr>
                      <w:rFonts w:ascii="Times New Roman" w:hAnsi="Times New Roman" w:eastAsia="宋体" w:cs="Times New Roman"/>
                      <w:i w:val="0"/>
                      <w:iCs w:val="0"/>
                      <w:color w:val="auto"/>
                      <w:sz w:val="21"/>
                      <w:szCs w:val="21"/>
                      <w:highlight w:val="none"/>
                      <w:u w:val="single"/>
                    </w:rPr>
                  </w:pPr>
                  <w:r>
                    <w:rPr>
                      <w:rFonts w:ascii="Times New Roman" w:hAnsi="Times New Roman" w:eastAsia="宋体" w:cs="Times New Roman"/>
                      <w:i w:val="0"/>
                      <w:iCs w:val="0"/>
                      <w:color w:val="auto"/>
                      <w:sz w:val="21"/>
                      <w:szCs w:val="21"/>
                      <w:highlight w:val="none"/>
                      <w:u w:val="single"/>
                    </w:rPr>
                    <w:t>汽运（罐车）</w:t>
                  </w:r>
                </w:p>
              </w:tc>
              <w:tc>
                <w:tcPr>
                  <w:tcW w:w="524" w:type="pct"/>
                  <w:noWrap w:val="0"/>
                  <w:vAlign w:val="center"/>
                </w:tcPr>
                <w:p w14:paraId="4F57848A">
                  <w:pPr>
                    <w:autoSpaceDE w:val="0"/>
                    <w:autoSpaceDN w:val="0"/>
                    <w:adjustRightInd w:val="0"/>
                    <w:jc w:val="center"/>
                    <w:rPr>
                      <w:rFonts w:ascii="Times New Roman" w:hAnsi="Times New Roman" w:eastAsia="宋体" w:cs="Times New Roman"/>
                      <w:i w:val="0"/>
                      <w:iCs w:val="0"/>
                      <w:color w:val="auto"/>
                      <w:sz w:val="21"/>
                      <w:szCs w:val="21"/>
                      <w:highlight w:val="none"/>
                      <w:u w:val="single"/>
                    </w:rPr>
                  </w:pPr>
                  <w:r>
                    <w:rPr>
                      <w:rFonts w:hint="eastAsia" w:ascii="Times New Roman" w:hAnsi="Times New Roman" w:eastAsia="宋体" w:cs="Times New Roman"/>
                      <w:i w:val="0"/>
                      <w:iCs w:val="0"/>
                      <w:color w:val="auto"/>
                      <w:sz w:val="21"/>
                      <w:szCs w:val="21"/>
                      <w:highlight w:val="none"/>
                      <w:u w:val="single"/>
                    </w:rPr>
                    <w:t>筒仓</w:t>
                  </w:r>
                </w:p>
              </w:tc>
              <w:tc>
                <w:tcPr>
                  <w:tcW w:w="496" w:type="pct"/>
                  <w:noWrap w:val="0"/>
                  <w:vAlign w:val="center"/>
                </w:tcPr>
                <w:p w14:paraId="5DA4ADEC">
                  <w:pPr>
                    <w:autoSpaceDE w:val="0"/>
                    <w:autoSpaceDN w:val="0"/>
                    <w:adjustRightInd w:val="0"/>
                    <w:jc w:val="center"/>
                    <w:rPr>
                      <w:rFonts w:hint="eastAsia" w:ascii="Times New Roman" w:hAnsi="Times New Roman" w:eastAsia="宋体" w:cs="Times New Roman"/>
                      <w:i w:val="0"/>
                      <w:iCs w:val="0"/>
                      <w:color w:val="auto"/>
                      <w:sz w:val="21"/>
                      <w:szCs w:val="21"/>
                      <w:highlight w:val="none"/>
                      <w:u w:val="single"/>
                    </w:rPr>
                  </w:pPr>
                  <w:r>
                    <w:rPr>
                      <w:rFonts w:hint="eastAsia" w:cs="Times New Roman"/>
                      <w:i w:val="0"/>
                      <w:iCs w:val="0"/>
                      <w:color w:val="auto"/>
                      <w:sz w:val="21"/>
                      <w:szCs w:val="21"/>
                      <w:highlight w:val="none"/>
                      <w:u w:val="single"/>
                      <w:lang w:eastAsia="zh-CN"/>
                    </w:rPr>
                    <w:t>固态</w:t>
                  </w:r>
                </w:p>
              </w:tc>
              <w:tc>
                <w:tcPr>
                  <w:tcW w:w="598" w:type="pct"/>
                  <w:shd w:val="clear" w:color="auto" w:fill="auto"/>
                  <w:noWrap w:val="0"/>
                  <w:vAlign w:val="center"/>
                </w:tcPr>
                <w:p w14:paraId="40A0441F">
                  <w:pPr>
                    <w:autoSpaceDE w:val="0"/>
                    <w:autoSpaceDN w:val="0"/>
                    <w:adjustRightInd w:val="0"/>
                    <w:jc w:val="center"/>
                    <w:rPr>
                      <w:rFonts w:hint="eastAsia" w:ascii="Times New Roman" w:hAnsi="Times New Roman" w:eastAsia="宋体" w:cs="Times New Roman"/>
                      <w:i w:val="0"/>
                      <w:iCs w:val="0"/>
                      <w:color w:val="auto"/>
                      <w:kern w:val="2"/>
                      <w:sz w:val="21"/>
                      <w:szCs w:val="21"/>
                      <w:highlight w:val="none"/>
                      <w:u w:val="single"/>
                      <w:lang w:val="en-US" w:eastAsia="zh-CN" w:bidi="ar-SA"/>
                    </w:rPr>
                  </w:pPr>
                  <w:r>
                    <w:rPr>
                      <w:rFonts w:hint="eastAsia" w:ascii="Times New Roman" w:hAnsi="Times New Roman" w:eastAsia="宋体" w:cs="Times New Roman"/>
                      <w:i w:val="0"/>
                      <w:iCs w:val="0"/>
                      <w:color w:val="auto"/>
                      <w:sz w:val="21"/>
                      <w:szCs w:val="21"/>
                      <w:highlight w:val="none"/>
                      <w:u w:val="single"/>
                      <w:lang w:val="en-US" w:eastAsia="zh-CN"/>
                    </w:rPr>
                    <w:t>外购</w:t>
                  </w:r>
                </w:p>
              </w:tc>
            </w:tr>
            <w:tr w14:paraId="1125E7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 w:hRule="atLeast"/>
              </w:trPr>
              <w:tc>
                <w:tcPr>
                  <w:tcW w:w="415" w:type="pct"/>
                  <w:noWrap w:val="0"/>
                  <w:vAlign w:val="center"/>
                </w:tcPr>
                <w:p w14:paraId="62410988">
                  <w:pPr>
                    <w:autoSpaceDE w:val="0"/>
                    <w:autoSpaceDN w:val="0"/>
                    <w:adjustRightInd w:val="0"/>
                    <w:jc w:val="center"/>
                    <w:rPr>
                      <w:rFonts w:hint="default" w:cs="Times New Roman"/>
                      <w:i w:val="0"/>
                      <w:iCs w:val="0"/>
                      <w:color w:val="auto"/>
                      <w:sz w:val="21"/>
                      <w:szCs w:val="21"/>
                      <w:highlight w:val="none"/>
                      <w:u w:val="single"/>
                      <w:lang w:val="en-US" w:eastAsia="zh-CN"/>
                    </w:rPr>
                  </w:pPr>
                  <w:r>
                    <w:rPr>
                      <w:rFonts w:hint="eastAsia" w:cs="Times New Roman"/>
                      <w:i w:val="0"/>
                      <w:iCs w:val="0"/>
                      <w:color w:val="auto"/>
                      <w:sz w:val="21"/>
                      <w:szCs w:val="21"/>
                      <w:highlight w:val="none"/>
                      <w:u w:val="single"/>
                      <w:lang w:val="en-US" w:eastAsia="zh-CN"/>
                    </w:rPr>
                    <w:t>3</w:t>
                  </w:r>
                </w:p>
              </w:tc>
              <w:tc>
                <w:tcPr>
                  <w:tcW w:w="913" w:type="pct"/>
                  <w:noWrap w:val="0"/>
                  <w:vAlign w:val="center"/>
                </w:tcPr>
                <w:p w14:paraId="6D5041F7">
                  <w:pPr>
                    <w:autoSpaceDE w:val="0"/>
                    <w:autoSpaceDN w:val="0"/>
                    <w:adjustRightInd w:val="0"/>
                    <w:jc w:val="center"/>
                    <w:rPr>
                      <w:rFonts w:hint="eastAsia" w:cs="Times New Roman"/>
                      <w:i w:val="0"/>
                      <w:iCs w:val="0"/>
                      <w:color w:val="auto"/>
                      <w:sz w:val="21"/>
                      <w:szCs w:val="21"/>
                      <w:highlight w:val="none"/>
                      <w:u w:val="single"/>
                      <w:lang w:eastAsia="zh-CN"/>
                    </w:rPr>
                  </w:pPr>
                  <w:r>
                    <w:rPr>
                      <w:rFonts w:hint="eastAsia" w:cs="Times New Roman"/>
                      <w:i w:val="0"/>
                      <w:iCs w:val="0"/>
                      <w:color w:val="auto"/>
                      <w:sz w:val="21"/>
                      <w:szCs w:val="21"/>
                      <w:highlight w:val="none"/>
                      <w:u w:val="single"/>
                      <w:lang w:eastAsia="zh-CN"/>
                    </w:rPr>
                    <w:t>砂子</w:t>
                  </w:r>
                </w:p>
              </w:tc>
              <w:tc>
                <w:tcPr>
                  <w:tcW w:w="424" w:type="pct"/>
                  <w:shd w:val="clear" w:color="auto" w:fill="auto"/>
                  <w:noWrap w:val="0"/>
                  <w:vAlign w:val="center"/>
                </w:tcPr>
                <w:p w14:paraId="5785EDE5">
                  <w:pPr>
                    <w:autoSpaceDE w:val="0"/>
                    <w:autoSpaceDN w:val="0"/>
                    <w:adjustRightInd w:val="0"/>
                    <w:jc w:val="center"/>
                    <w:rPr>
                      <w:rFonts w:hint="eastAsia" w:ascii="Times New Roman" w:hAnsi="Times New Roman" w:eastAsia="宋体" w:cs="Times New Roman"/>
                      <w:i w:val="0"/>
                      <w:iCs w:val="0"/>
                      <w:color w:val="auto"/>
                      <w:sz w:val="21"/>
                      <w:szCs w:val="21"/>
                      <w:highlight w:val="none"/>
                      <w:u w:val="single"/>
                      <w:lang w:val="en-US" w:eastAsia="zh-CN"/>
                    </w:rPr>
                  </w:pPr>
                  <w:r>
                    <w:rPr>
                      <w:rFonts w:hint="eastAsia" w:ascii="Times New Roman" w:hAnsi="Times New Roman" w:eastAsia="宋体" w:cs="Times New Roman"/>
                      <w:i w:val="0"/>
                      <w:iCs w:val="0"/>
                      <w:color w:val="auto"/>
                      <w:sz w:val="21"/>
                      <w:szCs w:val="21"/>
                      <w:highlight w:val="none"/>
                      <w:u w:val="single"/>
                      <w:lang w:val="en-US" w:eastAsia="zh-CN"/>
                    </w:rPr>
                    <w:t>t/a</w:t>
                  </w:r>
                </w:p>
              </w:tc>
              <w:tc>
                <w:tcPr>
                  <w:tcW w:w="1214" w:type="dxa"/>
                  <w:shd w:val="clear" w:color="auto" w:fill="auto"/>
                  <w:noWrap w:val="0"/>
                  <w:vAlign w:val="center"/>
                </w:tcPr>
                <w:p w14:paraId="762384A9">
                  <w:pPr>
                    <w:autoSpaceDE w:val="0"/>
                    <w:autoSpaceDN w:val="0"/>
                    <w:adjustRightInd w:val="0"/>
                    <w:jc w:val="center"/>
                    <w:rPr>
                      <w:rFonts w:hint="default" w:ascii="Times New Roman" w:hAnsi="Times New Roman" w:eastAsia="宋体" w:cs="Times New Roman"/>
                      <w:i w:val="0"/>
                      <w:iCs w:val="0"/>
                      <w:color w:val="auto"/>
                      <w:sz w:val="21"/>
                      <w:szCs w:val="21"/>
                      <w:highlight w:val="none"/>
                      <w:u w:val="single"/>
                      <w:lang w:val="en-US" w:eastAsia="zh-CN"/>
                    </w:rPr>
                  </w:pPr>
                  <w:r>
                    <w:rPr>
                      <w:rFonts w:hint="eastAsia" w:ascii="Times New Roman" w:hAnsi="Times New Roman" w:eastAsia="宋体" w:cs="Times New Roman"/>
                      <w:i w:val="0"/>
                      <w:iCs w:val="0"/>
                      <w:color w:val="auto"/>
                      <w:sz w:val="21"/>
                      <w:szCs w:val="21"/>
                      <w:highlight w:val="none"/>
                      <w:u w:val="single"/>
                      <w:lang w:val="en-US" w:eastAsia="zh-CN"/>
                    </w:rPr>
                    <w:t>84070.311</w:t>
                  </w:r>
                </w:p>
              </w:tc>
              <w:tc>
                <w:tcPr>
                  <w:tcW w:w="858" w:type="pct"/>
                  <w:shd w:val="clear" w:color="auto" w:fill="auto"/>
                  <w:noWrap w:val="0"/>
                  <w:vAlign w:val="center"/>
                </w:tcPr>
                <w:p w14:paraId="22BD1307">
                  <w:pPr>
                    <w:autoSpaceDE w:val="0"/>
                    <w:autoSpaceDN w:val="0"/>
                    <w:adjustRightInd w:val="0"/>
                    <w:jc w:val="center"/>
                    <w:rPr>
                      <w:rFonts w:ascii="Times New Roman" w:hAnsi="Times New Roman" w:eastAsia="宋体" w:cs="Times New Roman"/>
                      <w:i w:val="0"/>
                      <w:iCs w:val="0"/>
                      <w:color w:val="auto"/>
                      <w:kern w:val="2"/>
                      <w:sz w:val="21"/>
                      <w:szCs w:val="21"/>
                      <w:highlight w:val="none"/>
                      <w:u w:val="single"/>
                      <w:lang w:val="en-US" w:eastAsia="zh-CN" w:bidi="ar-SA"/>
                    </w:rPr>
                  </w:pPr>
                  <w:r>
                    <w:rPr>
                      <w:rFonts w:ascii="Times New Roman" w:hAnsi="Times New Roman" w:eastAsia="宋体" w:cs="Times New Roman"/>
                      <w:i w:val="0"/>
                      <w:iCs w:val="0"/>
                      <w:color w:val="auto"/>
                      <w:sz w:val="21"/>
                      <w:szCs w:val="21"/>
                      <w:highlight w:val="none"/>
                      <w:u w:val="single"/>
                    </w:rPr>
                    <w:t>汽运</w:t>
                  </w:r>
                </w:p>
              </w:tc>
              <w:tc>
                <w:tcPr>
                  <w:tcW w:w="524" w:type="pct"/>
                  <w:shd w:val="clear" w:color="auto" w:fill="auto"/>
                  <w:noWrap w:val="0"/>
                  <w:vAlign w:val="center"/>
                </w:tcPr>
                <w:p w14:paraId="4B830884">
                  <w:pPr>
                    <w:autoSpaceDE w:val="0"/>
                    <w:autoSpaceDN w:val="0"/>
                    <w:adjustRightInd w:val="0"/>
                    <w:jc w:val="center"/>
                    <w:rPr>
                      <w:rFonts w:hint="eastAsia" w:ascii="Times New Roman" w:hAnsi="Times New Roman" w:eastAsia="宋体" w:cs="Times New Roman"/>
                      <w:i w:val="0"/>
                      <w:iCs w:val="0"/>
                      <w:color w:val="auto"/>
                      <w:kern w:val="2"/>
                      <w:sz w:val="21"/>
                      <w:szCs w:val="21"/>
                      <w:highlight w:val="none"/>
                      <w:u w:val="single"/>
                      <w:lang w:val="en-US" w:eastAsia="zh-CN" w:bidi="ar-SA"/>
                    </w:rPr>
                  </w:pPr>
                  <w:r>
                    <w:rPr>
                      <w:rFonts w:ascii="Times New Roman" w:hAnsi="Times New Roman" w:eastAsia="宋体" w:cs="Times New Roman"/>
                      <w:i w:val="0"/>
                      <w:iCs w:val="0"/>
                      <w:color w:val="auto"/>
                      <w:sz w:val="21"/>
                      <w:szCs w:val="21"/>
                      <w:highlight w:val="none"/>
                      <w:u w:val="single"/>
                    </w:rPr>
                    <w:t>料</w:t>
                  </w:r>
                  <w:r>
                    <w:rPr>
                      <w:rFonts w:hint="eastAsia" w:ascii="Times New Roman" w:hAnsi="Times New Roman" w:eastAsia="宋体" w:cs="Times New Roman"/>
                      <w:i w:val="0"/>
                      <w:iCs w:val="0"/>
                      <w:color w:val="auto"/>
                      <w:sz w:val="21"/>
                      <w:szCs w:val="21"/>
                      <w:highlight w:val="none"/>
                      <w:u w:val="single"/>
                    </w:rPr>
                    <w:t>场</w:t>
                  </w:r>
                </w:p>
              </w:tc>
              <w:tc>
                <w:tcPr>
                  <w:tcW w:w="496" w:type="pct"/>
                  <w:shd w:val="clear" w:color="auto" w:fill="auto"/>
                  <w:noWrap w:val="0"/>
                  <w:vAlign w:val="center"/>
                </w:tcPr>
                <w:p w14:paraId="032C84DD">
                  <w:pPr>
                    <w:autoSpaceDE w:val="0"/>
                    <w:autoSpaceDN w:val="0"/>
                    <w:adjustRightInd w:val="0"/>
                    <w:jc w:val="center"/>
                    <w:rPr>
                      <w:rFonts w:hint="eastAsia" w:ascii="Times New Roman" w:hAnsi="Times New Roman" w:eastAsia="宋体" w:cs="Times New Roman"/>
                      <w:i w:val="0"/>
                      <w:iCs w:val="0"/>
                      <w:color w:val="auto"/>
                      <w:kern w:val="2"/>
                      <w:sz w:val="21"/>
                      <w:szCs w:val="21"/>
                      <w:highlight w:val="none"/>
                      <w:u w:val="single"/>
                      <w:lang w:val="en-US" w:eastAsia="zh-CN" w:bidi="ar-SA"/>
                    </w:rPr>
                  </w:pPr>
                  <w:r>
                    <w:rPr>
                      <w:rFonts w:hint="eastAsia" w:cs="Times New Roman"/>
                      <w:i w:val="0"/>
                      <w:iCs w:val="0"/>
                      <w:color w:val="auto"/>
                      <w:sz w:val="21"/>
                      <w:szCs w:val="21"/>
                      <w:highlight w:val="none"/>
                      <w:u w:val="single"/>
                      <w:lang w:eastAsia="zh-CN"/>
                    </w:rPr>
                    <w:t>固态</w:t>
                  </w:r>
                </w:p>
              </w:tc>
              <w:tc>
                <w:tcPr>
                  <w:tcW w:w="598" w:type="pct"/>
                  <w:shd w:val="clear" w:color="auto" w:fill="auto"/>
                  <w:noWrap w:val="0"/>
                  <w:vAlign w:val="center"/>
                </w:tcPr>
                <w:p w14:paraId="6B3B4064">
                  <w:pPr>
                    <w:autoSpaceDE w:val="0"/>
                    <w:autoSpaceDN w:val="0"/>
                    <w:adjustRightInd w:val="0"/>
                    <w:jc w:val="center"/>
                    <w:rPr>
                      <w:rFonts w:hint="eastAsia" w:ascii="Times New Roman" w:hAnsi="Times New Roman" w:eastAsia="宋体" w:cs="Times New Roman"/>
                      <w:i w:val="0"/>
                      <w:iCs w:val="0"/>
                      <w:color w:val="auto"/>
                      <w:kern w:val="2"/>
                      <w:sz w:val="21"/>
                      <w:szCs w:val="21"/>
                      <w:highlight w:val="none"/>
                      <w:u w:val="single"/>
                      <w:lang w:val="en-US" w:eastAsia="zh-CN" w:bidi="ar-SA"/>
                    </w:rPr>
                  </w:pPr>
                  <w:r>
                    <w:rPr>
                      <w:rFonts w:hint="eastAsia" w:ascii="Times New Roman" w:hAnsi="Times New Roman" w:eastAsia="宋体" w:cs="Times New Roman"/>
                      <w:i w:val="0"/>
                      <w:iCs w:val="0"/>
                      <w:color w:val="auto"/>
                      <w:sz w:val="21"/>
                      <w:szCs w:val="21"/>
                      <w:highlight w:val="none"/>
                      <w:u w:val="single"/>
                      <w:lang w:val="en-US" w:eastAsia="zh-CN"/>
                    </w:rPr>
                    <w:t>外购</w:t>
                  </w:r>
                </w:p>
              </w:tc>
            </w:tr>
            <w:tr w14:paraId="5E62CA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 w:hRule="atLeast"/>
              </w:trPr>
              <w:tc>
                <w:tcPr>
                  <w:tcW w:w="415" w:type="pct"/>
                  <w:noWrap w:val="0"/>
                  <w:vAlign w:val="center"/>
                </w:tcPr>
                <w:p w14:paraId="2696DA8F">
                  <w:pPr>
                    <w:autoSpaceDE w:val="0"/>
                    <w:autoSpaceDN w:val="0"/>
                    <w:adjustRightInd w:val="0"/>
                    <w:jc w:val="center"/>
                    <w:rPr>
                      <w:rFonts w:hint="eastAsia" w:ascii="Times New Roman" w:hAnsi="Times New Roman" w:eastAsia="宋体" w:cs="Times New Roman"/>
                      <w:i w:val="0"/>
                      <w:iCs w:val="0"/>
                      <w:color w:val="auto"/>
                      <w:sz w:val="21"/>
                      <w:szCs w:val="21"/>
                      <w:highlight w:val="none"/>
                      <w:u w:val="single"/>
                      <w:lang w:val="en-US" w:eastAsia="zh-CN"/>
                    </w:rPr>
                  </w:pPr>
                  <w:r>
                    <w:rPr>
                      <w:rFonts w:hint="eastAsia" w:cs="Times New Roman"/>
                      <w:i w:val="0"/>
                      <w:iCs w:val="0"/>
                      <w:color w:val="auto"/>
                      <w:sz w:val="21"/>
                      <w:szCs w:val="21"/>
                      <w:highlight w:val="none"/>
                      <w:u w:val="single"/>
                      <w:lang w:val="en-US" w:eastAsia="zh-CN"/>
                    </w:rPr>
                    <w:t>4</w:t>
                  </w:r>
                </w:p>
              </w:tc>
              <w:tc>
                <w:tcPr>
                  <w:tcW w:w="913" w:type="pct"/>
                  <w:noWrap w:val="0"/>
                  <w:vAlign w:val="center"/>
                </w:tcPr>
                <w:p w14:paraId="4CBB85A9">
                  <w:pPr>
                    <w:autoSpaceDE w:val="0"/>
                    <w:autoSpaceDN w:val="0"/>
                    <w:adjustRightInd w:val="0"/>
                    <w:jc w:val="center"/>
                    <w:rPr>
                      <w:rFonts w:hint="eastAsia" w:ascii="Times New Roman" w:hAnsi="Times New Roman" w:eastAsia="宋体" w:cs="Times New Roman"/>
                      <w:i w:val="0"/>
                      <w:iCs w:val="0"/>
                      <w:color w:val="auto"/>
                      <w:sz w:val="21"/>
                      <w:szCs w:val="21"/>
                      <w:highlight w:val="none"/>
                      <w:u w:val="single"/>
                      <w:lang w:val="en-US" w:eastAsia="zh-CN"/>
                    </w:rPr>
                  </w:pPr>
                  <w:r>
                    <w:rPr>
                      <w:rFonts w:hint="eastAsia" w:cs="Times New Roman"/>
                      <w:i w:val="0"/>
                      <w:iCs w:val="0"/>
                      <w:color w:val="auto"/>
                      <w:sz w:val="21"/>
                      <w:szCs w:val="21"/>
                      <w:highlight w:val="none"/>
                      <w:u w:val="single"/>
                      <w:lang w:val="en-US" w:eastAsia="zh-CN"/>
                    </w:rPr>
                    <w:t>碎石</w:t>
                  </w:r>
                </w:p>
              </w:tc>
              <w:tc>
                <w:tcPr>
                  <w:tcW w:w="424" w:type="pct"/>
                  <w:shd w:val="clear" w:color="auto" w:fill="auto"/>
                  <w:noWrap w:val="0"/>
                  <w:vAlign w:val="center"/>
                </w:tcPr>
                <w:p w14:paraId="608FED60">
                  <w:pPr>
                    <w:autoSpaceDE w:val="0"/>
                    <w:autoSpaceDN w:val="0"/>
                    <w:adjustRightInd w:val="0"/>
                    <w:jc w:val="center"/>
                    <w:rPr>
                      <w:rFonts w:ascii="Times New Roman" w:hAnsi="Times New Roman" w:eastAsia="宋体" w:cs="Times New Roman"/>
                      <w:i w:val="0"/>
                      <w:iCs w:val="0"/>
                      <w:color w:val="auto"/>
                      <w:kern w:val="2"/>
                      <w:sz w:val="21"/>
                      <w:szCs w:val="21"/>
                      <w:highlight w:val="none"/>
                      <w:u w:val="single"/>
                      <w:lang w:val="en-US" w:eastAsia="zh-CN" w:bidi="ar-SA"/>
                    </w:rPr>
                  </w:pPr>
                  <w:r>
                    <w:rPr>
                      <w:rFonts w:hint="eastAsia" w:ascii="Times New Roman" w:hAnsi="Times New Roman" w:eastAsia="宋体" w:cs="Times New Roman"/>
                      <w:i w:val="0"/>
                      <w:iCs w:val="0"/>
                      <w:color w:val="auto"/>
                      <w:sz w:val="21"/>
                      <w:szCs w:val="21"/>
                      <w:highlight w:val="none"/>
                      <w:u w:val="single"/>
                      <w:lang w:val="en-US" w:eastAsia="zh-CN"/>
                    </w:rPr>
                    <w:t>t/a</w:t>
                  </w:r>
                </w:p>
              </w:tc>
              <w:tc>
                <w:tcPr>
                  <w:tcW w:w="1214" w:type="dxa"/>
                  <w:shd w:val="clear" w:color="auto" w:fill="auto"/>
                  <w:noWrap w:val="0"/>
                  <w:vAlign w:val="center"/>
                </w:tcPr>
                <w:p w14:paraId="0E6E52D2">
                  <w:pPr>
                    <w:autoSpaceDE w:val="0"/>
                    <w:autoSpaceDN w:val="0"/>
                    <w:adjustRightInd w:val="0"/>
                    <w:jc w:val="center"/>
                    <w:rPr>
                      <w:rFonts w:hint="default" w:ascii="Times New Roman" w:hAnsi="Times New Roman" w:eastAsia="宋体" w:cs="Times New Roman"/>
                      <w:i w:val="0"/>
                      <w:iCs w:val="0"/>
                      <w:color w:val="auto"/>
                      <w:sz w:val="21"/>
                      <w:szCs w:val="21"/>
                      <w:highlight w:val="none"/>
                      <w:u w:val="single"/>
                      <w:lang w:val="en-US" w:eastAsia="zh-CN"/>
                    </w:rPr>
                  </w:pPr>
                  <w:r>
                    <w:rPr>
                      <w:rFonts w:hint="eastAsia" w:ascii="Times New Roman" w:hAnsi="Times New Roman" w:eastAsia="宋体" w:cs="Times New Roman"/>
                      <w:i w:val="0"/>
                      <w:iCs w:val="0"/>
                      <w:color w:val="auto"/>
                      <w:sz w:val="21"/>
                      <w:szCs w:val="21"/>
                      <w:highlight w:val="none"/>
                      <w:u w:val="single"/>
                      <w:lang w:val="en-US" w:eastAsia="zh-CN"/>
                    </w:rPr>
                    <w:t>96050</w:t>
                  </w:r>
                </w:p>
              </w:tc>
              <w:tc>
                <w:tcPr>
                  <w:tcW w:w="858" w:type="pct"/>
                  <w:noWrap w:val="0"/>
                  <w:vAlign w:val="center"/>
                </w:tcPr>
                <w:p w14:paraId="7906D0B8">
                  <w:pPr>
                    <w:autoSpaceDE w:val="0"/>
                    <w:autoSpaceDN w:val="0"/>
                    <w:adjustRightInd w:val="0"/>
                    <w:jc w:val="center"/>
                    <w:rPr>
                      <w:rFonts w:ascii="Times New Roman" w:hAnsi="Times New Roman" w:eastAsia="宋体" w:cs="Times New Roman"/>
                      <w:i w:val="0"/>
                      <w:iCs w:val="0"/>
                      <w:color w:val="auto"/>
                      <w:sz w:val="21"/>
                      <w:szCs w:val="21"/>
                      <w:highlight w:val="none"/>
                      <w:u w:val="single"/>
                      <w:lang w:val="en-US" w:eastAsia="zh-CN"/>
                    </w:rPr>
                  </w:pPr>
                  <w:r>
                    <w:rPr>
                      <w:rFonts w:ascii="Times New Roman" w:hAnsi="Times New Roman" w:eastAsia="宋体" w:cs="Times New Roman"/>
                      <w:i w:val="0"/>
                      <w:iCs w:val="0"/>
                      <w:color w:val="auto"/>
                      <w:sz w:val="21"/>
                      <w:szCs w:val="21"/>
                      <w:highlight w:val="none"/>
                      <w:u w:val="single"/>
                    </w:rPr>
                    <w:t>汽运</w:t>
                  </w:r>
                </w:p>
              </w:tc>
              <w:tc>
                <w:tcPr>
                  <w:tcW w:w="524" w:type="pct"/>
                  <w:noWrap w:val="0"/>
                  <w:vAlign w:val="center"/>
                </w:tcPr>
                <w:p w14:paraId="08039311">
                  <w:pPr>
                    <w:autoSpaceDE w:val="0"/>
                    <w:autoSpaceDN w:val="0"/>
                    <w:adjustRightInd w:val="0"/>
                    <w:jc w:val="center"/>
                    <w:rPr>
                      <w:rFonts w:hint="eastAsia" w:ascii="Times New Roman" w:hAnsi="Times New Roman" w:eastAsia="宋体" w:cs="Times New Roman"/>
                      <w:i w:val="0"/>
                      <w:iCs w:val="0"/>
                      <w:color w:val="auto"/>
                      <w:sz w:val="21"/>
                      <w:szCs w:val="21"/>
                      <w:highlight w:val="none"/>
                      <w:u w:val="single"/>
                      <w:lang w:val="en-US" w:eastAsia="zh-CN"/>
                    </w:rPr>
                  </w:pPr>
                  <w:r>
                    <w:rPr>
                      <w:rFonts w:ascii="Times New Roman" w:hAnsi="Times New Roman" w:eastAsia="宋体" w:cs="Times New Roman"/>
                      <w:i w:val="0"/>
                      <w:iCs w:val="0"/>
                      <w:color w:val="auto"/>
                      <w:sz w:val="21"/>
                      <w:szCs w:val="21"/>
                      <w:highlight w:val="none"/>
                      <w:u w:val="single"/>
                    </w:rPr>
                    <w:t>料</w:t>
                  </w:r>
                  <w:r>
                    <w:rPr>
                      <w:rFonts w:hint="eastAsia" w:ascii="Times New Roman" w:hAnsi="Times New Roman" w:eastAsia="宋体" w:cs="Times New Roman"/>
                      <w:i w:val="0"/>
                      <w:iCs w:val="0"/>
                      <w:color w:val="auto"/>
                      <w:sz w:val="21"/>
                      <w:szCs w:val="21"/>
                      <w:highlight w:val="none"/>
                      <w:u w:val="single"/>
                    </w:rPr>
                    <w:t>场</w:t>
                  </w:r>
                </w:p>
              </w:tc>
              <w:tc>
                <w:tcPr>
                  <w:tcW w:w="496" w:type="pct"/>
                  <w:noWrap w:val="0"/>
                  <w:vAlign w:val="center"/>
                </w:tcPr>
                <w:p w14:paraId="155154D6">
                  <w:pPr>
                    <w:autoSpaceDE w:val="0"/>
                    <w:autoSpaceDN w:val="0"/>
                    <w:adjustRightInd w:val="0"/>
                    <w:jc w:val="center"/>
                    <w:rPr>
                      <w:rFonts w:hint="eastAsia" w:ascii="Times New Roman" w:hAnsi="Times New Roman" w:eastAsia="宋体" w:cs="Times New Roman"/>
                      <w:i w:val="0"/>
                      <w:iCs w:val="0"/>
                      <w:color w:val="auto"/>
                      <w:sz w:val="21"/>
                      <w:szCs w:val="21"/>
                      <w:highlight w:val="none"/>
                      <w:u w:val="single"/>
                      <w:lang w:val="en-US" w:eastAsia="zh-CN"/>
                    </w:rPr>
                  </w:pPr>
                  <w:r>
                    <w:rPr>
                      <w:rFonts w:hint="eastAsia" w:cs="Times New Roman"/>
                      <w:i w:val="0"/>
                      <w:iCs w:val="0"/>
                      <w:color w:val="auto"/>
                      <w:sz w:val="21"/>
                      <w:szCs w:val="21"/>
                      <w:highlight w:val="none"/>
                      <w:u w:val="single"/>
                      <w:lang w:eastAsia="zh-CN"/>
                    </w:rPr>
                    <w:t>固态</w:t>
                  </w:r>
                </w:p>
              </w:tc>
              <w:tc>
                <w:tcPr>
                  <w:tcW w:w="598" w:type="pct"/>
                  <w:shd w:val="clear" w:color="auto" w:fill="auto"/>
                  <w:noWrap w:val="0"/>
                  <w:vAlign w:val="center"/>
                </w:tcPr>
                <w:p w14:paraId="2BB45080">
                  <w:pPr>
                    <w:autoSpaceDE w:val="0"/>
                    <w:autoSpaceDN w:val="0"/>
                    <w:adjustRightInd w:val="0"/>
                    <w:jc w:val="center"/>
                    <w:rPr>
                      <w:rFonts w:hint="eastAsia" w:ascii="Times New Roman" w:hAnsi="Times New Roman" w:eastAsia="宋体" w:cs="Times New Roman"/>
                      <w:i w:val="0"/>
                      <w:iCs w:val="0"/>
                      <w:color w:val="auto"/>
                      <w:kern w:val="2"/>
                      <w:sz w:val="21"/>
                      <w:szCs w:val="21"/>
                      <w:highlight w:val="none"/>
                      <w:u w:val="single"/>
                      <w:lang w:val="en-US" w:eastAsia="zh-CN" w:bidi="ar-SA"/>
                    </w:rPr>
                  </w:pPr>
                  <w:r>
                    <w:rPr>
                      <w:rFonts w:hint="eastAsia" w:ascii="Times New Roman" w:hAnsi="Times New Roman" w:eastAsia="宋体" w:cs="Times New Roman"/>
                      <w:i w:val="0"/>
                      <w:iCs w:val="0"/>
                      <w:color w:val="auto"/>
                      <w:sz w:val="21"/>
                      <w:szCs w:val="21"/>
                      <w:highlight w:val="none"/>
                      <w:u w:val="single"/>
                      <w:lang w:val="en-US" w:eastAsia="zh-CN"/>
                    </w:rPr>
                    <w:t>外购</w:t>
                  </w:r>
                </w:p>
              </w:tc>
            </w:tr>
            <w:tr w14:paraId="13E068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 w:hRule="atLeast"/>
              </w:trPr>
              <w:tc>
                <w:tcPr>
                  <w:tcW w:w="415" w:type="pct"/>
                  <w:noWrap w:val="0"/>
                  <w:vAlign w:val="center"/>
                </w:tcPr>
                <w:p w14:paraId="31B1CED9">
                  <w:pPr>
                    <w:autoSpaceDE w:val="0"/>
                    <w:autoSpaceDN w:val="0"/>
                    <w:adjustRightInd w:val="0"/>
                    <w:jc w:val="center"/>
                    <w:rPr>
                      <w:rFonts w:hint="eastAsia" w:ascii="Times New Roman" w:hAnsi="Times New Roman" w:eastAsia="宋体" w:cs="Times New Roman"/>
                      <w:i w:val="0"/>
                      <w:iCs w:val="0"/>
                      <w:color w:val="auto"/>
                      <w:sz w:val="21"/>
                      <w:szCs w:val="21"/>
                      <w:highlight w:val="none"/>
                      <w:u w:val="single"/>
                      <w:lang w:val="en-US" w:eastAsia="zh-CN"/>
                    </w:rPr>
                  </w:pPr>
                  <w:r>
                    <w:rPr>
                      <w:rFonts w:hint="eastAsia" w:cs="Times New Roman"/>
                      <w:i w:val="0"/>
                      <w:iCs w:val="0"/>
                      <w:color w:val="auto"/>
                      <w:sz w:val="21"/>
                      <w:szCs w:val="21"/>
                      <w:highlight w:val="none"/>
                      <w:u w:val="single"/>
                      <w:lang w:val="en-US" w:eastAsia="zh-CN"/>
                    </w:rPr>
                    <w:t>5</w:t>
                  </w:r>
                </w:p>
              </w:tc>
              <w:tc>
                <w:tcPr>
                  <w:tcW w:w="913" w:type="pct"/>
                  <w:noWrap w:val="0"/>
                  <w:vAlign w:val="center"/>
                </w:tcPr>
                <w:p w14:paraId="4304F2D2">
                  <w:pPr>
                    <w:autoSpaceDE w:val="0"/>
                    <w:autoSpaceDN w:val="0"/>
                    <w:adjustRightInd w:val="0"/>
                    <w:jc w:val="center"/>
                    <w:rPr>
                      <w:rFonts w:ascii="Times New Roman" w:hAnsi="Times New Roman" w:eastAsia="宋体" w:cs="Times New Roman"/>
                      <w:i w:val="0"/>
                      <w:iCs w:val="0"/>
                      <w:color w:val="auto"/>
                      <w:sz w:val="21"/>
                      <w:szCs w:val="21"/>
                      <w:highlight w:val="none"/>
                      <w:u w:val="single"/>
                      <w:lang w:val="en-US" w:eastAsia="zh-CN"/>
                    </w:rPr>
                  </w:pPr>
                  <w:r>
                    <w:rPr>
                      <w:rFonts w:ascii="Times New Roman" w:hAnsi="Times New Roman" w:eastAsia="宋体" w:cs="Times New Roman"/>
                      <w:i w:val="0"/>
                      <w:iCs w:val="0"/>
                      <w:color w:val="auto"/>
                      <w:sz w:val="21"/>
                      <w:szCs w:val="21"/>
                      <w:highlight w:val="none"/>
                      <w:u w:val="single"/>
                    </w:rPr>
                    <w:t>水</w:t>
                  </w:r>
                </w:p>
              </w:tc>
              <w:tc>
                <w:tcPr>
                  <w:tcW w:w="424" w:type="pct"/>
                  <w:shd w:val="clear" w:color="auto" w:fill="auto"/>
                  <w:noWrap w:val="0"/>
                  <w:vAlign w:val="center"/>
                </w:tcPr>
                <w:p w14:paraId="0AD3CF31">
                  <w:pPr>
                    <w:autoSpaceDE w:val="0"/>
                    <w:autoSpaceDN w:val="0"/>
                    <w:adjustRightInd w:val="0"/>
                    <w:jc w:val="center"/>
                    <w:rPr>
                      <w:rFonts w:ascii="Times New Roman" w:hAnsi="Times New Roman" w:eastAsia="宋体" w:cs="Times New Roman"/>
                      <w:i w:val="0"/>
                      <w:iCs w:val="0"/>
                      <w:color w:val="auto"/>
                      <w:kern w:val="2"/>
                      <w:sz w:val="21"/>
                      <w:szCs w:val="21"/>
                      <w:highlight w:val="none"/>
                      <w:u w:val="single"/>
                      <w:lang w:val="en-US" w:eastAsia="zh-CN" w:bidi="ar-SA"/>
                    </w:rPr>
                  </w:pPr>
                  <w:r>
                    <w:rPr>
                      <w:rFonts w:hint="eastAsia" w:ascii="Times New Roman" w:hAnsi="Times New Roman" w:eastAsia="宋体" w:cs="Times New Roman"/>
                      <w:i w:val="0"/>
                      <w:iCs w:val="0"/>
                      <w:color w:val="auto"/>
                      <w:sz w:val="21"/>
                      <w:szCs w:val="21"/>
                      <w:highlight w:val="none"/>
                      <w:u w:val="single"/>
                      <w:lang w:val="en-US" w:eastAsia="zh-CN"/>
                    </w:rPr>
                    <w:t>t/a</w:t>
                  </w:r>
                </w:p>
              </w:tc>
              <w:tc>
                <w:tcPr>
                  <w:tcW w:w="1214" w:type="dxa"/>
                  <w:noWrap w:val="0"/>
                  <w:vAlign w:val="center"/>
                </w:tcPr>
                <w:p w14:paraId="3ACE0D5F">
                  <w:pPr>
                    <w:autoSpaceDE w:val="0"/>
                    <w:autoSpaceDN w:val="0"/>
                    <w:adjustRightInd w:val="0"/>
                    <w:jc w:val="center"/>
                    <w:rPr>
                      <w:rFonts w:hint="default" w:ascii="Times New Roman" w:hAnsi="Times New Roman" w:eastAsia="宋体" w:cs="Times New Roman"/>
                      <w:i w:val="0"/>
                      <w:iCs w:val="0"/>
                      <w:color w:val="auto"/>
                      <w:sz w:val="21"/>
                      <w:szCs w:val="21"/>
                      <w:highlight w:val="none"/>
                      <w:u w:val="single"/>
                      <w:lang w:val="en-US" w:eastAsia="zh-CN"/>
                    </w:rPr>
                  </w:pPr>
                  <w:r>
                    <w:rPr>
                      <w:rFonts w:hint="eastAsia" w:ascii="Times New Roman" w:hAnsi="Times New Roman" w:eastAsia="宋体" w:cs="Times New Roman"/>
                      <w:i w:val="0"/>
                      <w:iCs w:val="0"/>
                      <w:color w:val="auto"/>
                      <w:sz w:val="21"/>
                      <w:szCs w:val="21"/>
                      <w:highlight w:val="none"/>
                      <w:u w:val="single"/>
                      <w:lang w:val="en-US" w:eastAsia="zh-CN"/>
                    </w:rPr>
                    <w:t>22500</w:t>
                  </w:r>
                </w:p>
              </w:tc>
              <w:tc>
                <w:tcPr>
                  <w:tcW w:w="858" w:type="pct"/>
                  <w:noWrap w:val="0"/>
                  <w:vAlign w:val="center"/>
                </w:tcPr>
                <w:p w14:paraId="012214F8">
                  <w:pPr>
                    <w:autoSpaceDE w:val="0"/>
                    <w:autoSpaceDN w:val="0"/>
                    <w:adjustRightInd w:val="0"/>
                    <w:jc w:val="center"/>
                    <w:rPr>
                      <w:rFonts w:ascii="Times New Roman" w:hAnsi="Times New Roman" w:eastAsia="宋体" w:cs="Times New Roman"/>
                      <w:i w:val="0"/>
                      <w:iCs w:val="0"/>
                      <w:color w:val="auto"/>
                      <w:sz w:val="21"/>
                      <w:szCs w:val="21"/>
                      <w:highlight w:val="none"/>
                      <w:u w:val="single"/>
                      <w:lang w:val="en-US" w:eastAsia="zh-CN"/>
                    </w:rPr>
                  </w:pPr>
                  <w:r>
                    <w:rPr>
                      <w:rFonts w:ascii="Times New Roman" w:hAnsi="Times New Roman" w:eastAsia="宋体" w:cs="Times New Roman"/>
                      <w:i w:val="0"/>
                      <w:iCs w:val="0"/>
                      <w:color w:val="auto"/>
                      <w:sz w:val="21"/>
                      <w:szCs w:val="21"/>
                      <w:highlight w:val="none"/>
                      <w:u w:val="single"/>
                    </w:rPr>
                    <w:t>--</w:t>
                  </w:r>
                </w:p>
              </w:tc>
              <w:tc>
                <w:tcPr>
                  <w:tcW w:w="524" w:type="pct"/>
                  <w:noWrap w:val="0"/>
                  <w:vAlign w:val="center"/>
                </w:tcPr>
                <w:p w14:paraId="3B16C4FC">
                  <w:pPr>
                    <w:autoSpaceDE w:val="0"/>
                    <w:autoSpaceDN w:val="0"/>
                    <w:adjustRightInd w:val="0"/>
                    <w:jc w:val="center"/>
                    <w:rPr>
                      <w:rFonts w:hint="eastAsia" w:ascii="Times New Roman" w:hAnsi="Times New Roman" w:eastAsia="宋体" w:cs="Times New Roman"/>
                      <w:i w:val="0"/>
                      <w:iCs w:val="0"/>
                      <w:color w:val="auto"/>
                      <w:sz w:val="21"/>
                      <w:szCs w:val="21"/>
                      <w:highlight w:val="none"/>
                      <w:u w:val="single"/>
                      <w:lang w:val="en-US" w:eastAsia="zh-CN"/>
                    </w:rPr>
                  </w:pPr>
                  <w:r>
                    <w:rPr>
                      <w:rFonts w:ascii="Times New Roman" w:hAnsi="Times New Roman" w:eastAsia="宋体" w:cs="Times New Roman"/>
                      <w:i w:val="0"/>
                      <w:iCs w:val="0"/>
                      <w:color w:val="auto"/>
                      <w:sz w:val="21"/>
                      <w:szCs w:val="21"/>
                      <w:highlight w:val="none"/>
                      <w:u w:val="single"/>
                    </w:rPr>
                    <w:t>--</w:t>
                  </w:r>
                </w:p>
              </w:tc>
              <w:tc>
                <w:tcPr>
                  <w:tcW w:w="496" w:type="pct"/>
                  <w:noWrap w:val="0"/>
                  <w:vAlign w:val="center"/>
                </w:tcPr>
                <w:p w14:paraId="71E19C2F">
                  <w:pPr>
                    <w:autoSpaceDE w:val="0"/>
                    <w:autoSpaceDN w:val="0"/>
                    <w:adjustRightInd w:val="0"/>
                    <w:jc w:val="center"/>
                    <w:rPr>
                      <w:rFonts w:hint="eastAsia" w:ascii="Times New Roman" w:hAnsi="Times New Roman" w:eastAsia="宋体" w:cs="Times New Roman"/>
                      <w:i w:val="0"/>
                      <w:iCs w:val="0"/>
                      <w:color w:val="auto"/>
                      <w:sz w:val="21"/>
                      <w:szCs w:val="21"/>
                      <w:highlight w:val="none"/>
                      <w:u w:val="single"/>
                      <w:lang w:val="en-US" w:eastAsia="zh-CN"/>
                    </w:rPr>
                  </w:pPr>
                  <w:r>
                    <w:rPr>
                      <w:rFonts w:hint="eastAsia" w:cs="Times New Roman"/>
                      <w:i w:val="0"/>
                      <w:iCs w:val="0"/>
                      <w:color w:val="auto"/>
                      <w:sz w:val="21"/>
                      <w:szCs w:val="21"/>
                      <w:highlight w:val="none"/>
                      <w:u w:val="single"/>
                      <w:lang w:eastAsia="zh-CN"/>
                    </w:rPr>
                    <w:t>液态</w:t>
                  </w:r>
                </w:p>
              </w:tc>
              <w:tc>
                <w:tcPr>
                  <w:tcW w:w="598" w:type="pct"/>
                  <w:shd w:val="clear" w:color="auto" w:fill="auto"/>
                  <w:noWrap w:val="0"/>
                  <w:vAlign w:val="center"/>
                </w:tcPr>
                <w:p w14:paraId="3662F586">
                  <w:pPr>
                    <w:autoSpaceDE w:val="0"/>
                    <w:autoSpaceDN w:val="0"/>
                    <w:adjustRightInd w:val="0"/>
                    <w:jc w:val="center"/>
                    <w:rPr>
                      <w:rFonts w:hint="eastAsia" w:ascii="Times New Roman" w:hAnsi="Times New Roman" w:eastAsia="宋体" w:cs="Times New Roman"/>
                      <w:i w:val="0"/>
                      <w:iCs w:val="0"/>
                      <w:color w:val="auto"/>
                      <w:kern w:val="2"/>
                      <w:sz w:val="21"/>
                      <w:szCs w:val="21"/>
                      <w:highlight w:val="none"/>
                      <w:u w:val="single"/>
                      <w:lang w:val="en-US" w:eastAsia="zh-CN" w:bidi="ar-SA"/>
                    </w:rPr>
                  </w:pPr>
                  <w:r>
                    <w:rPr>
                      <w:rFonts w:hint="eastAsia" w:cs="Times New Roman"/>
                      <w:i w:val="0"/>
                      <w:iCs w:val="0"/>
                      <w:color w:val="auto"/>
                      <w:sz w:val="21"/>
                      <w:szCs w:val="21"/>
                      <w:highlight w:val="none"/>
                      <w:u w:val="single"/>
                      <w:lang w:val="en-US" w:eastAsia="zh-CN"/>
                    </w:rPr>
                    <w:t>地下水</w:t>
                  </w:r>
                </w:p>
              </w:tc>
            </w:tr>
            <w:tr w14:paraId="1AD6D9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 w:hRule="atLeast"/>
              </w:trPr>
              <w:tc>
                <w:tcPr>
                  <w:tcW w:w="415" w:type="pct"/>
                  <w:noWrap w:val="0"/>
                  <w:vAlign w:val="center"/>
                </w:tcPr>
                <w:p w14:paraId="297DADC2">
                  <w:pPr>
                    <w:autoSpaceDE w:val="0"/>
                    <w:autoSpaceDN w:val="0"/>
                    <w:adjustRightInd w:val="0"/>
                    <w:jc w:val="center"/>
                    <w:rPr>
                      <w:rFonts w:hint="eastAsia" w:ascii="Times New Roman" w:hAnsi="Times New Roman" w:eastAsia="宋体" w:cs="Times New Roman"/>
                      <w:i w:val="0"/>
                      <w:iCs w:val="0"/>
                      <w:color w:val="auto"/>
                      <w:sz w:val="21"/>
                      <w:szCs w:val="21"/>
                      <w:highlight w:val="none"/>
                      <w:u w:val="single"/>
                      <w:lang w:val="en-US" w:eastAsia="zh-CN"/>
                    </w:rPr>
                  </w:pPr>
                  <w:r>
                    <w:rPr>
                      <w:rFonts w:hint="eastAsia" w:cs="Times New Roman"/>
                      <w:i w:val="0"/>
                      <w:iCs w:val="0"/>
                      <w:color w:val="auto"/>
                      <w:sz w:val="21"/>
                      <w:szCs w:val="21"/>
                      <w:highlight w:val="none"/>
                      <w:u w:val="single"/>
                      <w:lang w:val="en-US" w:eastAsia="zh-CN"/>
                    </w:rPr>
                    <w:t>6</w:t>
                  </w:r>
                </w:p>
              </w:tc>
              <w:tc>
                <w:tcPr>
                  <w:tcW w:w="913" w:type="pct"/>
                  <w:noWrap w:val="0"/>
                  <w:vAlign w:val="center"/>
                </w:tcPr>
                <w:p w14:paraId="5740C33F">
                  <w:pPr>
                    <w:autoSpaceDE w:val="0"/>
                    <w:autoSpaceDN w:val="0"/>
                    <w:adjustRightInd w:val="0"/>
                    <w:jc w:val="center"/>
                    <w:rPr>
                      <w:rFonts w:ascii="Times New Roman" w:hAnsi="Times New Roman" w:eastAsia="宋体" w:cs="Times New Roman"/>
                      <w:i w:val="0"/>
                      <w:iCs w:val="0"/>
                      <w:color w:val="auto"/>
                      <w:sz w:val="21"/>
                      <w:szCs w:val="21"/>
                      <w:highlight w:val="none"/>
                      <w:u w:val="single"/>
                      <w:lang w:val="en-US" w:eastAsia="zh-CN"/>
                    </w:rPr>
                  </w:pPr>
                  <w:r>
                    <w:rPr>
                      <w:rFonts w:ascii="Times New Roman" w:hAnsi="Times New Roman" w:eastAsia="宋体" w:cs="Times New Roman"/>
                      <w:i w:val="0"/>
                      <w:iCs w:val="0"/>
                      <w:color w:val="auto"/>
                      <w:sz w:val="21"/>
                      <w:szCs w:val="21"/>
                      <w:highlight w:val="none"/>
                      <w:u w:val="single"/>
                    </w:rPr>
                    <w:t>外加剂</w:t>
                  </w:r>
                </w:p>
              </w:tc>
              <w:tc>
                <w:tcPr>
                  <w:tcW w:w="424" w:type="pct"/>
                  <w:shd w:val="clear" w:color="auto" w:fill="auto"/>
                  <w:noWrap w:val="0"/>
                  <w:vAlign w:val="center"/>
                </w:tcPr>
                <w:p w14:paraId="273CD59A">
                  <w:pPr>
                    <w:autoSpaceDE w:val="0"/>
                    <w:autoSpaceDN w:val="0"/>
                    <w:adjustRightInd w:val="0"/>
                    <w:jc w:val="center"/>
                    <w:rPr>
                      <w:rFonts w:ascii="Times New Roman" w:hAnsi="Times New Roman" w:eastAsia="宋体" w:cs="Times New Roman"/>
                      <w:i w:val="0"/>
                      <w:iCs w:val="0"/>
                      <w:color w:val="auto"/>
                      <w:kern w:val="2"/>
                      <w:sz w:val="21"/>
                      <w:szCs w:val="21"/>
                      <w:highlight w:val="none"/>
                      <w:u w:val="single"/>
                      <w:lang w:val="en-US" w:eastAsia="zh-CN" w:bidi="ar-SA"/>
                    </w:rPr>
                  </w:pPr>
                  <w:r>
                    <w:rPr>
                      <w:rFonts w:hint="eastAsia" w:ascii="Times New Roman" w:hAnsi="Times New Roman" w:eastAsia="宋体" w:cs="Times New Roman"/>
                      <w:i w:val="0"/>
                      <w:iCs w:val="0"/>
                      <w:color w:val="auto"/>
                      <w:sz w:val="21"/>
                      <w:szCs w:val="21"/>
                      <w:highlight w:val="none"/>
                      <w:u w:val="single"/>
                      <w:lang w:val="en-US" w:eastAsia="zh-CN"/>
                    </w:rPr>
                    <w:t>t/a</w:t>
                  </w:r>
                </w:p>
              </w:tc>
              <w:tc>
                <w:tcPr>
                  <w:tcW w:w="1214" w:type="dxa"/>
                  <w:noWrap w:val="0"/>
                  <w:vAlign w:val="center"/>
                </w:tcPr>
                <w:p w14:paraId="7499B701">
                  <w:pPr>
                    <w:autoSpaceDE w:val="0"/>
                    <w:autoSpaceDN w:val="0"/>
                    <w:adjustRightInd w:val="0"/>
                    <w:jc w:val="center"/>
                    <w:rPr>
                      <w:rFonts w:hint="default" w:ascii="Times New Roman" w:hAnsi="Times New Roman" w:eastAsia="宋体" w:cs="Times New Roman"/>
                      <w:i w:val="0"/>
                      <w:iCs w:val="0"/>
                      <w:color w:val="auto"/>
                      <w:sz w:val="21"/>
                      <w:szCs w:val="21"/>
                      <w:highlight w:val="none"/>
                      <w:u w:val="single"/>
                      <w:lang w:val="en-US" w:eastAsia="zh-CN"/>
                    </w:rPr>
                  </w:pPr>
                  <w:r>
                    <w:rPr>
                      <w:rFonts w:hint="eastAsia" w:ascii="Times New Roman" w:hAnsi="Times New Roman" w:eastAsia="宋体" w:cs="Times New Roman"/>
                      <w:i w:val="0"/>
                      <w:iCs w:val="0"/>
                      <w:color w:val="auto"/>
                      <w:sz w:val="21"/>
                      <w:szCs w:val="21"/>
                      <w:highlight w:val="none"/>
                      <w:u w:val="single"/>
                      <w:lang w:val="en-US" w:eastAsia="zh-CN"/>
                    </w:rPr>
                    <w:t>500</w:t>
                  </w:r>
                </w:p>
              </w:tc>
              <w:tc>
                <w:tcPr>
                  <w:tcW w:w="858" w:type="pct"/>
                  <w:noWrap w:val="0"/>
                  <w:vAlign w:val="center"/>
                </w:tcPr>
                <w:p w14:paraId="16C29D2E">
                  <w:pPr>
                    <w:autoSpaceDE w:val="0"/>
                    <w:autoSpaceDN w:val="0"/>
                    <w:adjustRightInd w:val="0"/>
                    <w:jc w:val="center"/>
                    <w:rPr>
                      <w:rFonts w:ascii="Times New Roman" w:hAnsi="Times New Roman" w:eastAsia="宋体" w:cs="Times New Roman"/>
                      <w:i w:val="0"/>
                      <w:iCs w:val="0"/>
                      <w:color w:val="auto"/>
                      <w:sz w:val="21"/>
                      <w:szCs w:val="21"/>
                      <w:highlight w:val="none"/>
                      <w:u w:val="single"/>
                      <w:lang w:val="en-US" w:eastAsia="zh-CN"/>
                    </w:rPr>
                  </w:pPr>
                  <w:r>
                    <w:rPr>
                      <w:rFonts w:ascii="Times New Roman" w:hAnsi="Times New Roman" w:eastAsia="宋体" w:cs="Times New Roman"/>
                      <w:i w:val="0"/>
                      <w:iCs w:val="0"/>
                      <w:color w:val="auto"/>
                      <w:sz w:val="21"/>
                      <w:szCs w:val="21"/>
                      <w:highlight w:val="none"/>
                      <w:u w:val="single"/>
                    </w:rPr>
                    <w:t>汽运</w:t>
                  </w:r>
                  <w:r>
                    <w:rPr>
                      <w:rFonts w:hint="eastAsia" w:ascii="Times New Roman" w:hAnsi="Times New Roman" w:eastAsia="宋体" w:cs="Times New Roman"/>
                      <w:i w:val="0"/>
                      <w:iCs w:val="0"/>
                      <w:color w:val="auto"/>
                      <w:sz w:val="21"/>
                      <w:szCs w:val="21"/>
                      <w:highlight w:val="none"/>
                      <w:u w:val="single"/>
                    </w:rPr>
                    <w:t>，包装方式桶装</w:t>
                  </w:r>
                </w:p>
              </w:tc>
              <w:tc>
                <w:tcPr>
                  <w:tcW w:w="524" w:type="pct"/>
                  <w:noWrap w:val="0"/>
                  <w:vAlign w:val="center"/>
                </w:tcPr>
                <w:p w14:paraId="152015ED">
                  <w:pPr>
                    <w:autoSpaceDE w:val="0"/>
                    <w:autoSpaceDN w:val="0"/>
                    <w:adjustRightInd w:val="0"/>
                    <w:jc w:val="center"/>
                    <w:rPr>
                      <w:rFonts w:ascii="Times New Roman" w:hAnsi="Times New Roman" w:eastAsia="宋体" w:cs="Times New Roman"/>
                      <w:i w:val="0"/>
                      <w:iCs w:val="0"/>
                      <w:color w:val="auto"/>
                      <w:sz w:val="21"/>
                      <w:szCs w:val="21"/>
                      <w:highlight w:val="none"/>
                      <w:u w:val="single"/>
                      <w:lang w:val="en-US" w:eastAsia="zh-CN"/>
                    </w:rPr>
                  </w:pPr>
                  <w:r>
                    <w:rPr>
                      <w:rFonts w:hint="eastAsia" w:ascii="Times New Roman" w:hAnsi="Times New Roman" w:eastAsia="宋体" w:cs="Times New Roman"/>
                      <w:i w:val="0"/>
                      <w:iCs w:val="0"/>
                      <w:color w:val="auto"/>
                      <w:sz w:val="21"/>
                      <w:szCs w:val="21"/>
                      <w:highlight w:val="none"/>
                      <w:u w:val="single"/>
                    </w:rPr>
                    <w:t>储罐</w:t>
                  </w:r>
                </w:p>
              </w:tc>
              <w:tc>
                <w:tcPr>
                  <w:tcW w:w="496" w:type="pct"/>
                  <w:noWrap w:val="0"/>
                  <w:vAlign w:val="center"/>
                </w:tcPr>
                <w:p w14:paraId="704955B0">
                  <w:pPr>
                    <w:autoSpaceDE w:val="0"/>
                    <w:autoSpaceDN w:val="0"/>
                    <w:adjustRightInd w:val="0"/>
                    <w:jc w:val="center"/>
                    <w:rPr>
                      <w:rFonts w:ascii="Times New Roman" w:hAnsi="Times New Roman" w:eastAsia="宋体" w:cs="Times New Roman"/>
                      <w:i w:val="0"/>
                      <w:iCs w:val="0"/>
                      <w:color w:val="auto"/>
                      <w:sz w:val="21"/>
                      <w:szCs w:val="21"/>
                      <w:highlight w:val="none"/>
                      <w:u w:val="single"/>
                      <w:lang w:val="en-US" w:eastAsia="zh-CN"/>
                    </w:rPr>
                  </w:pPr>
                  <w:r>
                    <w:rPr>
                      <w:rFonts w:hint="eastAsia" w:cs="Times New Roman"/>
                      <w:i w:val="0"/>
                      <w:iCs w:val="0"/>
                      <w:color w:val="auto"/>
                      <w:sz w:val="21"/>
                      <w:szCs w:val="21"/>
                      <w:highlight w:val="none"/>
                      <w:u w:val="single"/>
                      <w:lang w:eastAsia="zh-CN"/>
                    </w:rPr>
                    <w:t>液态</w:t>
                  </w:r>
                </w:p>
              </w:tc>
              <w:tc>
                <w:tcPr>
                  <w:tcW w:w="598" w:type="pct"/>
                  <w:shd w:val="clear" w:color="auto" w:fill="auto"/>
                  <w:noWrap w:val="0"/>
                  <w:vAlign w:val="center"/>
                </w:tcPr>
                <w:p w14:paraId="436BFAD9">
                  <w:pPr>
                    <w:autoSpaceDE w:val="0"/>
                    <w:autoSpaceDN w:val="0"/>
                    <w:adjustRightInd w:val="0"/>
                    <w:jc w:val="center"/>
                    <w:rPr>
                      <w:rFonts w:hint="eastAsia" w:ascii="Times New Roman" w:hAnsi="Times New Roman" w:eastAsia="宋体" w:cs="Times New Roman"/>
                      <w:i w:val="0"/>
                      <w:iCs w:val="0"/>
                      <w:color w:val="auto"/>
                      <w:kern w:val="2"/>
                      <w:sz w:val="21"/>
                      <w:szCs w:val="21"/>
                      <w:highlight w:val="none"/>
                      <w:u w:val="single"/>
                      <w:lang w:val="en-US" w:eastAsia="zh-CN" w:bidi="ar-SA"/>
                    </w:rPr>
                  </w:pPr>
                  <w:r>
                    <w:rPr>
                      <w:rFonts w:hint="eastAsia" w:ascii="Times New Roman" w:hAnsi="Times New Roman" w:eastAsia="宋体" w:cs="Times New Roman"/>
                      <w:i w:val="0"/>
                      <w:iCs w:val="0"/>
                      <w:color w:val="auto"/>
                      <w:sz w:val="21"/>
                      <w:szCs w:val="21"/>
                      <w:highlight w:val="none"/>
                      <w:u w:val="single"/>
                      <w:lang w:val="en-US" w:eastAsia="zh-CN"/>
                    </w:rPr>
                    <w:t>外购</w:t>
                  </w:r>
                </w:p>
              </w:tc>
            </w:tr>
          </w:tbl>
          <w:p w14:paraId="22BF024C">
            <w:pPr>
              <w:adjustRightInd w:val="0"/>
              <w:spacing w:line="360" w:lineRule="auto"/>
              <w:ind w:firstLine="420" w:firstLineChars="200"/>
              <w:jc w:val="both"/>
              <w:rPr>
                <w:bCs/>
                <w:color w:val="000000"/>
                <w:szCs w:val="21"/>
                <w:highlight w:val="none"/>
                <w:u w:val="none"/>
              </w:rPr>
            </w:pPr>
            <w:r>
              <w:rPr>
                <w:rFonts w:hint="eastAsia"/>
                <w:bCs/>
                <w:color w:val="auto"/>
                <w:szCs w:val="21"/>
                <w:highlight w:val="none"/>
                <w:u w:val="none"/>
              </w:rPr>
              <w:t>外加剂：学名为</w:t>
            </w:r>
            <w:r>
              <w:rPr>
                <w:bCs/>
                <w:color w:val="auto"/>
                <w:szCs w:val="21"/>
                <w:highlight w:val="none"/>
                <w:u w:val="none"/>
              </w:rPr>
              <w:t>聚羧酸减水剂</w:t>
            </w:r>
            <w:r>
              <w:rPr>
                <w:rFonts w:hint="eastAsia"/>
                <w:bCs/>
                <w:color w:val="auto"/>
                <w:szCs w:val="21"/>
                <w:highlight w:val="none"/>
                <w:u w:val="none"/>
                <w:lang w:eastAsia="zh-CN"/>
              </w:rPr>
              <w:t>（</w:t>
            </w:r>
            <w:r>
              <w:rPr>
                <w:bCs/>
                <w:color w:val="auto"/>
                <w:szCs w:val="21"/>
                <w:highlight w:val="none"/>
                <w:u w:val="none"/>
              </w:rPr>
              <w:t>Polyc</w:t>
            </w:r>
            <w:r>
              <w:rPr>
                <w:bCs/>
                <w:color w:val="000000"/>
                <w:szCs w:val="21"/>
                <w:highlight w:val="none"/>
                <w:u w:val="none"/>
              </w:rPr>
              <w:t>arboxylate Superplasticizer</w:t>
            </w:r>
            <w:r>
              <w:rPr>
                <w:rFonts w:hint="eastAsia"/>
                <w:bCs/>
                <w:color w:val="000000"/>
                <w:szCs w:val="21"/>
                <w:highlight w:val="none"/>
                <w:u w:val="none"/>
                <w:lang w:eastAsia="zh-CN"/>
              </w:rPr>
              <w:t>），</w:t>
            </w:r>
            <w:r>
              <w:rPr>
                <w:bCs/>
                <w:color w:val="000000"/>
                <w:szCs w:val="21"/>
                <w:highlight w:val="none"/>
                <w:u w:val="none"/>
              </w:rPr>
              <w:t>是一种高性能</w:t>
            </w:r>
            <w:r>
              <w:rPr>
                <w:bCs/>
                <w:color w:val="000000"/>
                <w:szCs w:val="21"/>
                <w:highlight w:val="none"/>
                <w:u w:val="none"/>
              </w:rPr>
              <w:fldChar w:fldCharType="begin"/>
            </w:r>
            <w:r>
              <w:rPr>
                <w:bCs/>
                <w:color w:val="000000"/>
                <w:szCs w:val="21"/>
                <w:highlight w:val="none"/>
                <w:u w:val="none"/>
              </w:rPr>
              <w:instrText xml:space="preserve"> HYPERLINK "https://baike.so.com/doc/4894019-5112261.html" \t "_blank" </w:instrText>
            </w:r>
            <w:r>
              <w:rPr>
                <w:bCs/>
                <w:color w:val="000000"/>
                <w:szCs w:val="21"/>
                <w:highlight w:val="none"/>
                <w:u w:val="none"/>
              </w:rPr>
              <w:fldChar w:fldCharType="separate"/>
            </w:r>
            <w:r>
              <w:rPr>
                <w:rStyle w:val="30"/>
                <w:bCs/>
                <w:color w:val="000000"/>
                <w:szCs w:val="21"/>
                <w:highlight w:val="none"/>
                <w:u w:val="none"/>
              </w:rPr>
              <w:t>减水剂</w:t>
            </w:r>
            <w:r>
              <w:rPr>
                <w:bCs/>
                <w:color w:val="000000"/>
                <w:szCs w:val="21"/>
                <w:highlight w:val="none"/>
                <w:u w:val="none"/>
              </w:rPr>
              <w:fldChar w:fldCharType="end"/>
            </w:r>
            <w:r>
              <w:rPr>
                <w:bCs/>
                <w:color w:val="000000"/>
                <w:szCs w:val="21"/>
                <w:highlight w:val="none"/>
                <w:u w:val="none"/>
              </w:rPr>
              <w:t>，由聚乙烯醇单甲醚和甲基丙烯酸先酯化再和甲基丙烯酸缩合而成的大分子链化合物，是水泥混凝土运用中的一种水泥</w:t>
            </w:r>
            <w:r>
              <w:rPr>
                <w:bCs/>
                <w:color w:val="000000"/>
                <w:szCs w:val="21"/>
                <w:highlight w:val="none"/>
                <w:u w:val="none"/>
              </w:rPr>
              <w:fldChar w:fldCharType="begin"/>
            </w:r>
            <w:r>
              <w:rPr>
                <w:bCs/>
                <w:color w:val="000000"/>
                <w:szCs w:val="21"/>
                <w:highlight w:val="none"/>
                <w:u w:val="none"/>
              </w:rPr>
              <w:instrText xml:space="preserve"> HYPERLINK "https://baike.so.com/doc/4331955-4536663.html" \t "_blank" </w:instrText>
            </w:r>
            <w:r>
              <w:rPr>
                <w:bCs/>
                <w:color w:val="000000"/>
                <w:szCs w:val="21"/>
                <w:highlight w:val="none"/>
                <w:u w:val="none"/>
              </w:rPr>
              <w:fldChar w:fldCharType="separate"/>
            </w:r>
            <w:r>
              <w:rPr>
                <w:rStyle w:val="30"/>
                <w:bCs/>
                <w:color w:val="000000"/>
                <w:szCs w:val="21"/>
                <w:highlight w:val="none"/>
                <w:u w:val="none"/>
              </w:rPr>
              <w:t>分散剂</w:t>
            </w:r>
            <w:r>
              <w:rPr>
                <w:bCs/>
                <w:color w:val="000000"/>
                <w:szCs w:val="21"/>
                <w:highlight w:val="none"/>
                <w:u w:val="none"/>
              </w:rPr>
              <w:fldChar w:fldCharType="end"/>
            </w:r>
            <w:r>
              <w:rPr>
                <w:bCs/>
                <w:color w:val="000000"/>
                <w:szCs w:val="21"/>
                <w:highlight w:val="none"/>
                <w:u w:val="none"/>
              </w:rPr>
              <w:t>。广泛应用于公路、桥梁、大坝、隧道、高层建筑等工程。</w:t>
            </w:r>
          </w:p>
          <w:p w14:paraId="644696CD">
            <w:pPr>
              <w:adjustRightInd w:val="0"/>
              <w:spacing w:line="360" w:lineRule="auto"/>
              <w:ind w:firstLine="482" w:firstLineChars="200"/>
              <w:rPr>
                <w:rFonts w:hint="eastAsia"/>
                <w:b/>
                <w:bCs/>
                <w:sz w:val="24"/>
                <w:szCs w:val="24"/>
                <w:highlight w:val="none"/>
              </w:rPr>
            </w:pPr>
            <w:r>
              <w:rPr>
                <w:rFonts w:hint="eastAsia"/>
                <w:b/>
                <w:bCs/>
                <w:sz w:val="24"/>
                <w:szCs w:val="24"/>
                <w:highlight w:val="none"/>
                <w:lang w:val="en-US" w:eastAsia="zh-CN"/>
              </w:rPr>
              <w:t>7</w:t>
            </w:r>
            <w:r>
              <w:rPr>
                <w:rFonts w:hint="eastAsia"/>
                <w:b/>
                <w:bCs/>
                <w:sz w:val="24"/>
                <w:szCs w:val="24"/>
                <w:highlight w:val="none"/>
              </w:rPr>
              <w:t>、物料平衡</w:t>
            </w:r>
          </w:p>
          <w:p w14:paraId="26CBFC0F">
            <w:pPr>
              <w:adjustRightInd w:val="0"/>
              <w:spacing w:line="360" w:lineRule="auto"/>
              <w:ind w:firstLine="480" w:firstLineChars="200"/>
              <w:rPr>
                <w:rFonts w:hint="eastAsia"/>
                <w:color w:val="000000" w:themeColor="text1"/>
                <w:sz w:val="24"/>
                <w:szCs w:val="24"/>
                <w:highlight w:val="none"/>
                <w:u w:val="none"/>
                <w14:textFill>
                  <w14:solidFill>
                    <w14:schemeClr w14:val="tx1"/>
                  </w14:solidFill>
                </w14:textFill>
              </w:rPr>
            </w:pPr>
            <w:r>
              <w:rPr>
                <w:rFonts w:hint="eastAsia"/>
                <w:color w:val="000000" w:themeColor="text1"/>
                <w:sz w:val="24"/>
                <w:szCs w:val="24"/>
                <w:highlight w:val="none"/>
                <w:u w:val="none"/>
                <w14:textFill>
                  <w14:solidFill>
                    <w14:schemeClr w14:val="tx1"/>
                  </w14:solidFill>
                </w14:textFill>
              </w:rPr>
              <w:t>根据混凝土生产工艺，使用的原料主要是</w:t>
            </w:r>
            <w:r>
              <w:rPr>
                <w:rFonts w:hint="eastAsia"/>
                <w:color w:val="000000" w:themeColor="text1"/>
                <w:sz w:val="24"/>
                <w:szCs w:val="24"/>
                <w:highlight w:val="none"/>
                <w:u w:val="none"/>
                <w:lang w:eastAsia="zh-CN"/>
                <w14:textFill>
                  <w14:solidFill>
                    <w14:schemeClr w14:val="tx1"/>
                  </w14:solidFill>
                </w14:textFill>
              </w:rPr>
              <w:t>砂子、</w:t>
            </w:r>
            <w:r>
              <w:rPr>
                <w:rFonts w:hint="eastAsia"/>
                <w:color w:val="000000" w:themeColor="text1"/>
                <w:sz w:val="24"/>
                <w:szCs w:val="24"/>
                <w:highlight w:val="none"/>
                <w:u w:val="none"/>
                <w:lang w:val="en-US" w:eastAsia="zh-CN"/>
                <w14:textFill>
                  <w14:solidFill>
                    <w14:schemeClr w14:val="tx1"/>
                  </w14:solidFill>
                </w14:textFill>
              </w:rPr>
              <w:t>碎石</w:t>
            </w:r>
            <w:r>
              <w:rPr>
                <w:rFonts w:hint="eastAsia"/>
                <w:color w:val="000000" w:themeColor="text1"/>
                <w:sz w:val="24"/>
                <w:szCs w:val="24"/>
                <w:highlight w:val="none"/>
                <w:u w:val="none"/>
                <w:lang w:eastAsia="zh-CN"/>
                <w14:textFill>
                  <w14:solidFill>
                    <w14:schemeClr w14:val="tx1"/>
                  </w14:solidFill>
                </w14:textFill>
              </w:rPr>
              <w:t>、</w:t>
            </w:r>
            <w:r>
              <w:rPr>
                <w:rFonts w:hint="eastAsia"/>
                <w:color w:val="000000" w:themeColor="text1"/>
                <w:sz w:val="24"/>
                <w:szCs w:val="24"/>
                <w:highlight w:val="none"/>
                <w:u w:val="none"/>
                <w14:textFill>
                  <w14:solidFill>
                    <w14:schemeClr w14:val="tx1"/>
                  </w14:solidFill>
                </w14:textFill>
              </w:rPr>
              <w:t>水泥、粉煤灰和水，本项目物料平衡详见下表，物料平衡详见下图。</w:t>
            </w:r>
          </w:p>
          <w:p w14:paraId="3314DCBE">
            <w:pPr>
              <w:pStyle w:val="60"/>
              <w:rPr>
                <w:rFonts w:eastAsia="宋体"/>
                <w:bCs/>
                <w:i w:val="0"/>
                <w:iCs w:val="0"/>
                <w:sz w:val="21"/>
                <w:szCs w:val="21"/>
                <w:highlight w:val="none"/>
                <w:u w:val="none" w:color="auto"/>
              </w:rPr>
            </w:pPr>
            <w:r>
              <w:rPr>
                <w:rFonts w:eastAsia="宋体"/>
                <w:bCs/>
                <w:i w:val="0"/>
                <w:iCs w:val="0"/>
                <w:sz w:val="24"/>
                <w:szCs w:val="24"/>
                <w:highlight w:val="none"/>
                <w:u w:val="none" w:color="auto"/>
              </w:rPr>
              <w:t>表</w:t>
            </w:r>
            <w:r>
              <w:rPr>
                <w:rFonts w:hint="eastAsia" w:eastAsia="宋体"/>
                <w:bCs/>
                <w:i w:val="0"/>
                <w:iCs w:val="0"/>
                <w:sz w:val="24"/>
                <w:szCs w:val="24"/>
                <w:highlight w:val="none"/>
                <w:u w:val="none" w:color="auto"/>
                <w:lang w:val="en-US" w:eastAsia="zh-CN"/>
              </w:rPr>
              <w:t>2-6</w:t>
            </w:r>
            <w:r>
              <w:rPr>
                <w:rFonts w:eastAsia="宋体"/>
                <w:bCs/>
                <w:i w:val="0"/>
                <w:iCs w:val="0"/>
                <w:sz w:val="24"/>
                <w:szCs w:val="24"/>
                <w:highlight w:val="none"/>
                <w:u w:val="none" w:color="auto"/>
              </w:rPr>
              <w:t xml:space="preserve">  </w:t>
            </w:r>
            <w:r>
              <w:rPr>
                <w:rFonts w:hint="eastAsia" w:eastAsia="宋体"/>
                <w:bCs/>
                <w:i w:val="0"/>
                <w:iCs w:val="0"/>
                <w:sz w:val="24"/>
                <w:szCs w:val="24"/>
                <w:highlight w:val="none"/>
                <w:u w:val="none" w:color="auto"/>
              </w:rPr>
              <w:t>本</w:t>
            </w:r>
            <w:r>
              <w:rPr>
                <w:rFonts w:eastAsia="宋体"/>
                <w:bCs/>
                <w:i w:val="0"/>
                <w:iCs w:val="0"/>
                <w:sz w:val="24"/>
                <w:szCs w:val="24"/>
                <w:highlight w:val="none"/>
                <w:u w:val="none" w:color="auto"/>
              </w:rPr>
              <w:t>项目物料平衡表</w:t>
            </w:r>
          </w:p>
          <w:tbl>
            <w:tblPr>
              <w:tblStyle w:val="25"/>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274"/>
              <w:gridCol w:w="1536"/>
              <w:gridCol w:w="1283"/>
              <w:gridCol w:w="1295"/>
              <w:gridCol w:w="1521"/>
              <w:gridCol w:w="1371"/>
              <w:gridCol w:w="28"/>
            </w:tblGrid>
            <w:tr w14:paraId="65B4520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691" w:type="pct"/>
                  <w:gridSpan w:val="2"/>
                  <w:noWrap w:val="0"/>
                  <w:vAlign w:val="center"/>
                </w:tcPr>
                <w:p w14:paraId="24F007D3">
                  <w:pPr>
                    <w:widowControl/>
                    <w:jc w:val="center"/>
                    <w:textAlignment w:val="center"/>
                    <w:rPr>
                      <w:i w:val="0"/>
                      <w:iCs w:val="0"/>
                      <w:color w:val="auto"/>
                      <w:szCs w:val="21"/>
                      <w:highlight w:val="none"/>
                      <w:u w:val="none" w:color="auto"/>
                    </w:rPr>
                  </w:pPr>
                  <w:r>
                    <w:rPr>
                      <w:i w:val="0"/>
                      <w:iCs w:val="0"/>
                      <w:color w:val="auto"/>
                      <w:kern w:val="0"/>
                      <w:szCs w:val="21"/>
                      <w:highlight w:val="none"/>
                      <w:u w:val="none" w:color="auto"/>
                      <w:lang w:bidi="ar"/>
                    </w:rPr>
                    <w:t>进料量</w:t>
                  </w:r>
                </w:p>
              </w:tc>
              <w:tc>
                <w:tcPr>
                  <w:tcW w:w="3308" w:type="pct"/>
                  <w:gridSpan w:val="5"/>
                  <w:noWrap w:val="0"/>
                  <w:vAlign w:val="center"/>
                </w:tcPr>
                <w:p w14:paraId="63C5F5F3">
                  <w:pPr>
                    <w:widowControl/>
                    <w:jc w:val="center"/>
                    <w:textAlignment w:val="center"/>
                    <w:rPr>
                      <w:i w:val="0"/>
                      <w:iCs w:val="0"/>
                      <w:color w:val="auto"/>
                      <w:kern w:val="0"/>
                      <w:szCs w:val="21"/>
                      <w:highlight w:val="none"/>
                      <w:u w:val="none" w:color="auto"/>
                      <w:lang w:bidi="ar"/>
                    </w:rPr>
                  </w:pPr>
                  <w:r>
                    <w:rPr>
                      <w:i w:val="0"/>
                      <w:iCs w:val="0"/>
                      <w:color w:val="auto"/>
                      <w:kern w:val="0"/>
                      <w:szCs w:val="21"/>
                      <w:highlight w:val="none"/>
                      <w:u w:val="none" w:color="auto"/>
                      <w:lang w:bidi="ar"/>
                    </w:rPr>
                    <w:t>出料量</w:t>
                  </w:r>
                </w:p>
              </w:tc>
            </w:tr>
            <w:tr w14:paraId="16D195A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691" w:type="pct"/>
                  <w:gridSpan w:val="2"/>
                  <w:noWrap w:val="0"/>
                  <w:vAlign w:val="center"/>
                </w:tcPr>
                <w:p w14:paraId="7413A97B">
                  <w:pPr>
                    <w:widowControl/>
                    <w:jc w:val="center"/>
                    <w:textAlignment w:val="center"/>
                    <w:rPr>
                      <w:i w:val="0"/>
                      <w:iCs w:val="0"/>
                      <w:color w:val="auto"/>
                      <w:szCs w:val="21"/>
                      <w:highlight w:val="none"/>
                      <w:u w:val="none" w:color="auto"/>
                    </w:rPr>
                  </w:pPr>
                  <w:r>
                    <w:rPr>
                      <w:i w:val="0"/>
                      <w:iCs w:val="0"/>
                      <w:color w:val="auto"/>
                      <w:kern w:val="0"/>
                      <w:szCs w:val="21"/>
                      <w:highlight w:val="none"/>
                      <w:u w:val="none" w:color="auto"/>
                      <w:lang w:bidi="ar"/>
                    </w:rPr>
                    <w:t>原辅材料</w:t>
                  </w:r>
                </w:p>
              </w:tc>
              <w:tc>
                <w:tcPr>
                  <w:tcW w:w="1551" w:type="pct"/>
                  <w:gridSpan w:val="2"/>
                  <w:noWrap w:val="0"/>
                  <w:vAlign w:val="center"/>
                </w:tcPr>
                <w:p w14:paraId="4473C815">
                  <w:pPr>
                    <w:widowControl/>
                    <w:jc w:val="center"/>
                    <w:textAlignment w:val="center"/>
                    <w:rPr>
                      <w:i w:val="0"/>
                      <w:iCs w:val="0"/>
                      <w:color w:val="auto"/>
                      <w:kern w:val="0"/>
                      <w:szCs w:val="21"/>
                      <w:highlight w:val="none"/>
                      <w:u w:val="none" w:color="auto"/>
                      <w:lang w:bidi="ar"/>
                    </w:rPr>
                  </w:pPr>
                  <w:r>
                    <w:rPr>
                      <w:i w:val="0"/>
                      <w:iCs w:val="0"/>
                      <w:color w:val="auto"/>
                      <w:kern w:val="0"/>
                      <w:szCs w:val="21"/>
                      <w:highlight w:val="none"/>
                      <w:u w:val="none" w:color="auto"/>
                      <w:lang w:bidi="ar"/>
                    </w:rPr>
                    <w:t>产品</w:t>
                  </w:r>
                </w:p>
              </w:tc>
              <w:tc>
                <w:tcPr>
                  <w:tcW w:w="1757" w:type="pct"/>
                  <w:gridSpan w:val="3"/>
                  <w:noWrap w:val="0"/>
                  <w:vAlign w:val="center"/>
                </w:tcPr>
                <w:p w14:paraId="0093CC13">
                  <w:pPr>
                    <w:widowControl/>
                    <w:jc w:val="center"/>
                    <w:textAlignment w:val="center"/>
                    <w:rPr>
                      <w:rFonts w:hint="eastAsia" w:eastAsia="宋体"/>
                      <w:i w:val="0"/>
                      <w:iCs w:val="0"/>
                      <w:color w:val="auto"/>
                      <w:szCs w:val="21"/>
                      <w:highlight w:val="none"/>
                      <w:u w:val="single" w:color="auto"/>
                      <w:lang w:eastAsia="zh-CN"/>
                    </w:rPr>
                  </w:pPr>
                  <w:r>
                    <w:rPr>
                      <w:rFonts w:hint="eastAsia"/>
                      <w:i w:val="0"/>
                      <w:iCs w:val="0"/>
                      <w:color w:val="auto"/>
                      <w:kern w:val="0"/>
                      <w:szCs w:val="21"/>
                      <w:highlight w:val="none"/>
                      <w:u w:val="single" w:color="auto"/>
                      <w:lang w:eastAsia="zh-CN" w:bidi="ar"/>
                    </w:rPr>
                    <w:t>损失或回用物料</w:t>
                  </w:r>
                </w:p>
              </w:tc>
            </w:tr>
            <w:tr w14:paraId="061F7B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767" w:type="pct"/>
                  <w:vMerge w:val="restart"/>
                  <w:noWrap w:val="0"/>
                  <w:vAlign w:val="center"/>
                </w:tcPr>
                <w:p w14:paraId="49DD0E6D">
                  <w:pPr>
                    <w:widowControl/>
                    <w:jc w:val="center"/>
                    <w:textAlignment w:val="center"/>
                    <w:rPr>
                      <w:i w:val="0"/>
                      <w:iCs w:val="0"/>
                      <w:color w:val="auto"/>
                      <w:szCs w:val="21"/>
                      <w:highlight w:val="none"/>
                      <w:u w:val="none" w:color="auto"/>
                    </w:rPr>
                  </w:pPr>
                  <w:r>
                    <w:rPr>
                      <w:i w:val="0"/>
                      <w:iCs w:val="0"/>
                      <w:color w:val="auto"/>
                      <w:kern w:val="0"/>
                      <w:szCs w:val="21"/>
                      <w:highlight w:val="none"/>
                      <w:u w:val="none" w:color="auto"/>
                      <w:lang w:bidi="ar"/>
                    </w:rPr>
                    <w:t>名称</w:t>
                  </w:r>
                </w:p>
              </w:tc>
              <w:tc>
                <w:tcPr>
                  <w:tcW w:w="923" w:type="pct"/>
                  <w:noWrap w:val="0"/>
                  <w:vAlign w:val="center"/>
                </w:tcPr>
                <w:p w14:paraId="1D231A4B">
                  <w:pPr>
                    <w:widowControl/>
                    <w:jc w:val="center"/>
                    <w:textAlignment w:val="center"/>
                    <w:rPr>
                      <w:i w:val="0"/>
                      <w:iCs w:val="0"/>
                      <w:color w:val="auto"/>
                      <w:szCs w:val="21"/>
                      <w:highlight w:val="none"/>
                      <w:u w:val="none" w:color="auto"/>
                    </w:rPr>
                  </w:pPr>
                  <w:r>
                    <w:rPr>
                      <w:i w:val="0"/>
                      <w:iCs w:val="0"/>
                      <w:color w:val="auto"/>
                      <w:kern w:val="0"/>
                      <w:szCs w:val="21"/>
                      <w:highlight w:val="none"/>
                      <w:u w:val="none" w:color="auto"/>
                      <w:lang w:bidi="ar"/>
                    </w:rPr>
                    <w:t>数量</w:t>
                  </w:r>
                </w:p>
              </w:tc>
              <w:tc>
                <w:tcPr>
                  <w:tcW w:w="772" w:type="pct"/>
                  <w:vMerge w:val="restart"/>
                  <w:noWrap w:val="0"/>
                  <w:vAlign w:val="center"/>
                </w:tcPr>
                <w:p w14:paraId="32AB4C7B">
                  <w:pPr>
                    <w:widowControl/>
                    <w:jc w:val="center"/>
                    <w:textAlignment w:val="center"/>
                    <w:rPr>
                      <w:i w:val="0"/>
                      <w:iCs w:val="0"/>
                      <w:color w:val="auto"/>
                      <w:szCs w:val="21"/>
                      <w:highlight w:val="none"/>
                      <w:u w:val="none" w:color="auto"/>
                    </w:rPr>
                  </w:pPr>
                  <w:r>
                    <w:rPr>
                      <w:i w:val="0"/>
                      <w:iCs w:val="0"/>
                      <w:color w:val="auto"/>
                      <w:kern w:val="0"/>
                      <w:szCs w:val="21"/>
                      <w:highlight w:val="none"/>
                      <w:u w:val="none" w:color="auto"/>
                      <w:lang w:bidi="ar"/>
                    </w:rPr>
                    <w:t>名称</w:t>
                  </w:r>
                </w:p>
              </w:tc>
              <w:tc>
                <w:tcPr>
                  <w:tcW w:w="779" w:type="pct"/>
                  <w:noWrap w:val="0"/>
                  <w:vAlign w:val="center"/>
                </w:tcPr>
                <w:p w14:paraId="73FB317C">
                  <w:pPr>
                    <w:widowControl/>
                    <w:jc w:val="center"/>
                    <w:textAlignment w:val="center"/>
                    <w:rPr>
                      <w:i w:val="0"/>
                      <w:iCs w:val="0"/>
                      <w:color w:val="auto"/>
                      <w:kern w:val="0"/>
                      <w:szCs w:val="21"/>
                      <w:highlight w:val="none"/>
                      <w:u w:val="none" w:color="auto"/>
                      <w:lang w:bidi="ar"/>
                    </w:rPr>
                  </w:pPr>
                  <w:r>
                    <w:rPr>
                      <w:i w:val="0"/>
                      <w:iCs w:val="0"/>
                      <w:color w:val="auto"/>
                      <w:kern w:val="0"/>
                      <w:szCs w:val="21"/>
                      <w:highlight w:val="none"/>
                      <w:u w:val="none" w:color="auto"/>
                      <w:lang w:bidi="ar"/>
                    </w:rPr>
                    <w:t>数量</w:t>
                  </w:r>
                </w:p>
              </w:tc>
              <w:tc>
                <w:tcPr>
                  <w:tcW w:w="915" w:type="pct"/>
                  <w:vMerge w:val="restart"/>
                  <w:noWrap w:val="0"/>
                  <w:vAlign w:val="center"/>
                </w:tcPr>
                <w:p w14:paraId="7324EDA5">
                  <w:pPr>
                    <w:widowControl/>
                    <w:adjustRightInd w:val="0"/>
                    <w:ind w:left="-105" w:leftChars="-50" w:right="-105" w:rightChars="-50"/>
                    <w:jc w:val="center"/>
                    <w:textAlignment w:val="center"/>
                    <w:rPr>
                      <w:i w:val="0"/>
                      <w:iCs w:val="0"/>
                      <w:color w:val="auto"/>
                      <w:szCs w:val="21"/>
                      <w:highlight w:val="none"/>
                      <w:u w:val="single" w:color="auto"/>
                    </w:rPr>
                  </w:pPr>
                  <w:r>
                    <w:rPr>
                      <w:i w:val="0"/>
                      <w:iCs w:val="0"/>
                      <w:color w:val="auto"/>
                      <w:kern w:val="0"/>
                      <w:szCs w:val="21"/>
                      <w:highlight w:val="none"/>
                      <w:u w:val="single" w:color="auto"/>
                      <w:lang w:bidi="ar"/>
                    </w:rPr>
                    <w:t>类别</w:t>
                  </w:r>
                </w:p>
              </w:tc>
              <w:tc>
                <w:tcPr>
                  <w:tcW w:w="842" w:type="pct"/>
                  <w:gridSpan w:val="2"/>
                  <w:noWrap w:val="0"/>
                  <w:vAlign w:val="center"/>
                </w:tcPr>
                <w:p w14:paraId="7A5F7668">
                  <w:pPr>
                    <w:widowControl/>
                    <w:adjustRightInd w:val="0"/>
                    <w:ind w:left="-105" w:leftChars="-50" w:right="-105" w:rightChars="-50"/>
                    <w:jc w:val="center"/>
                    <w:textAlignment w:val="center"/>
                    <w:rPr>
                      <w:i w:val="0"/>
                      <w:iCs w:val="0"/>
                      <w:color w:val="auto"/>
                      <w:szCs w:val="21"/>
                      <w:highlight w:val="none"/>
                      <w:u w:val="single" w:color="auto"/>
                    </w:rPr>
                  </w:pPr>
                  <w:r>
                    <w:rPr>
                      <w:i w:val="0"/>
                      <w:iCs w:val="0"/>
                      <w:color w:val="auto"/>
                      <w:kern w:val="0"/>
                      <w:szCs w:val="21"/>
                      <w:highlight w:val="none"/>
                      <w:u w:val="single" w:color="auto"/>
                      <w:lang w:bidi="ar"/>
                    </w:rPr>
                    <w:t>数量</w:t>
                  </w:r>
                </w:p>
              </w:tc>
            </w:tr>
            <w:tr w14:paraId="3DA76C7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767" w:type="pct"/>
                  <w:vMerge w:val="continue"/>
                  <w:noWrap w:val="0"/>
                  <w:vAlign w:val="center"/>
                </w:tcPr>
                <w:p w14:paraId="295549C1">
                  <w:pPr>
                    <w:jc w:val="center"/>
                    <w:rPr>
                      <w:i w:val="0"/>
                      <w:iCs w:val="0"/>
                      <w:color w:val="auto"/>
                      <w:szCs w:val="21"/>
                      <w:highlight w:val="none"/>
                      <w:u w:val="none" w:color="auto"/>
                    </w:rPr>
                  </w:pPr>
                </w:p>
              </w:tc>
              <w:tc>
                <w:tcPr>
                  <w:tcW w:w="923" w:type="pct"/>
                  <w:noWrap w:val="0"/>
                  <w:vAlign w:val="center"/>
                </w:tcPr>
                <w:p w14:paraId="4C45AB9B">
                  <w:pPr>
                    <w:widowControl/>
                    <w:jc w:val="center"/>
                    <w:textAlignment w:val="center"/>
                    <w:rPr>
                      <w:i w:val="0"/>
                      <w:iCs w:val="0"/>
                      <w:color w:val="auto"/>
                      <w:szCs w:val="21"/>
                      <w:highlight w:val="none"/>
                      <w:u w:val="none" w:color="auto"/>
                    </w:rPr>
                  </w:pPr>
                  <w:r>
                    <w:rPr>
                      <w:i w:val="0"/>
                      <w:iCs w:val="0"/>
                      <w:color w:val="auto"/>
                      <w:kern w:val="0"/>
                      <w:szCs w:val="21"/>
                      <w:highlight w:val="none"/>
                      <w:u w:val="none" w:color="auto"/>
                      <w:lang w:bidi="ar"/>
                    </w:rPr>
                    <w:t>t</w:t>
                  </w:r>
                </w:p>
              </w:tc>
              <w:tc>
                <w:tcPr>
                  <w:tcW w:w="772" w:type="pct"/>
                  <w:vMerge w:val="continue"/>
                  <w:noWrap w:val="0"/>
                  <w:vAlign w:val="center"/>
                </w:tcPr>
                <w:p w14:paraId="5676BB63">
                  <w:pPr>
                    <w:jc w:val="center"/>
                    <w:rPr>
                      <w:i w:val="0"/>
                      <w:iCs w:val="0"/>
                      <w:color w:val="auto"/>
                      <w:szCs w:val="21"/>
                      <w:highlight w:val="none"/>
                      <w:u w:val="none" w:color="auto"/>
                    </w:rPr>
                  </w:pPr>
                </w:p>
              </w:tc>
              <w:tc>
                <w:tcPr>
                  <w:tcW w:w="779" w:type="pct"/>
                  <w:noWrap w:val="0"/>
                  <w:vAlign w:val="center"/>
                </w:tcPr>
                <w:p w14:paraId="015C5B8E">
                  <w:pPr>
                    <w:widowControl/>
                    <w:jc w:val="center"/>
                    <w:textAlignment w:val="center"/>
                    <w:rPr>
                      <w:i w:val="0"/>
                      <w:iCs w:val="0"/>
                      <w:color w:val="auto"/>
                      <w:szCs w:val="21"/>
                      <w:highlight w:val="none"/>
                      <w:u w:val="none" w:color="auto"/>
                    </w:rPr>
                  </w:pPr>
                  <w:r>
                    <w:rPr>
                      <w:i w:val="0"/>
                      <w:iCs w:val="0"/>
                      <w:color w:val="auto"/>
                      <w:kern w:val="0"/>
                      <w:szCs w:val="21"/>
                      <w:highlight w:val="none"/>
                      <w:u w:val="none" w:color="auto"/>
                      <w:lang w:bidi="ar"/>
                    </w:rPr>
                    <w:t>t</w:t>
                  </w:r>
                </w:p>
              </w:tc>
              <w:tc>
                <w:tcPr>
                  <w:tcW w:w="915" w:type="pct"/>
                  <w:vMerge w:val="continue"/>
                  <w:noWrap w:val="0"/>
                  <w:vAlign w:val="center"/>
                </w:tcPr>
                <w:p w14:paraId="1F6BCF0E">
                  <w:pPr>
                    <w:adjustRightInd w:val="0"/>
                    <w:ind w:left="-105" w:leftChars="-50" w:right="-105" w:rightChars="-50"/>
                    <w:jc w:val="center"/>
                    <w:rPr>
                      <w:i w:val="0"/>
                      <w:iCs w:val="0"/>
                      <w:color w:val="auto"/>
                      <w:szCs w:val="21"/>
                      <w:highlight w:val="none"/>
                      <w:u w:val="single" w:color="auto"/>
                    </w:rPr>
                  </w:pPr>
                </w:p>
              </w:tc>
              <w:tc>
                <w:tcPr>
                  <w:tcW w:w="842" w:type="pct"/>
                  <w:gridSpan w:val="2"/>
                  <w:noWrap w:val="0"/>
                  <w:vAlign w:val="center"/>
                </w:tcPr>
                <w:p w14:paraId="15038923">
                  <w:pPr>
                    <w:widowControl/>
                    <w:adjustRightInd w:val="0"/>
                    <w:ind w:left="-105" w:leftChars="-50" w:right="-105" w:rightChars="-50"/>
                    <w:jc w:val="center"/>
                    <w:textAlignment w:val="center"/>
                    <w:rPr>
                      <w:i w:val="0"/>
                      <w:iCs w:val="0"/>
                      <w:color w:val="auto"/>
                      <w:szCs w:val="21"/>
                      <w:highlight w:val="none"/>
                      <w:u w:val="single" w:color="auto"/>
                    </w:rPr>
                  </w:pPr>
                  <w:r>
                    <w:rPr>
                      <w:i w:val="0"/>
                      <w:iCs w:val="0"/>
                      <w:color w:val="auto"/>
                      <w:kern w:val="0"/>
                      <w:szCs w:val="21"/>
                      <w:highlight w:val="none"/>
                      <w:u w:val="single" w:color="auto"/>
                      <w:lang w:bidi="ar"/>
                    </w:rPr>
                    <w:t>t</w:t>
                  </w:r>
                </w:p>
              </w:tc>
            </w:tr>
            <w:tr w14:paraId="01902C3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6" w:type="pct"/>
                <w:trHeight w:val="170" w:hRule="atLeast"/>
              </w:trPr>
              <w:tc>
                <w:tcPr>
                  <w:tcW w:w="767" w:type="pct"/>
                  <w:noWrap w:val="0"/>
                  <w:vAlign w:val="center"/>
                </w:tcPr>
                <w:p w14:paraId="3F532EF9">
                  <w:pPr>
                    <w:widowControl/>
                    <w:jc w:val="center"/>
                    <w:textAlignment w:val="center"/>
                    <w:rPr>
                      <w:i w:val="0"/>
                      <w:iCs w:val="0"/>
                      <w:color w:val="auto"/>
                      <w:szCs w:val="21"/>
                      <w:highlight w:val="none"/>
                      <w:u w:val="none" w:color="auto"/>
                    </w:rPr>
                  </w:pPr>
                  <w:r>
                    <w:rPr>
                      <w:i w:val="0"/>
                      <w:iCs w:val="0"/>
                      <w:color w:val="auto"/>
                      <w:kern w:val="0"/>
                      <w:szCs w:val="21"/>
                      <w:highlight w:val="none"/>
                      <w:u w:val="none" w:color="auto"/>
                      <w:lang w:bidi="ar"/>
                    </w:rPr>
                    <w:t>水泥</w:t>
                  </w:r>
                </w:p>
              </w:tc>
              <w:tc>
                <w:tcPr>
                  <w:tcW w:w="923" w:type="pct"/>
                  <w:noWrap w:val="0"/>
                  <w:vAlign w:val="center"/>
                </w:tcPr>
                <w:p w14:paraId="1C638C0C">
                  <w:pPr>
                    <w:widowControl/>
                    <w:jc w:val="center"/>
                    <w:textAlignment w:val="center"/>
                    <w:rPr>
                      <w:rFonts w:hint="default" w:eastAsia="宋体"/>
                      <w:i w:val="0"/>
                      <w:iCs w:val="0"/>
                      <w:color w:val="auto"/>
                      <w:szCs w:val="21"/>
                      <w:highlight w:val="none"/>
                      <w:u w:val="none" w:color="auto"/>
                      <w:lang w:val="en-US" w:eastAsia="zh-CN"/>
                    </w:rPr>
                  </w:pPr>
                  <w:r>
                    <w:rPr>
                      <w:rFonts w:hint="eastAsia" w:ascii="Times New Roman" w:hAnsi="Times New Roman" w:eastAsia="宋体" w:cs="Times New Roman"/>
                      <w:i w:val="0"/>
                      <w:iCs w:val="0"/>
                      <w:color w:val="auto"/>
                      <w:sz w:val="21"/>
                      <w:szCs w:val="21"/>
                      <w:highlight w:val="none"/>
                      <w:u w:val="none"/>
                      <w:lang w:val="en-US" w:eastAsia="zh-CN"/>
                    </w:rPr>
                    <w:t>150000</w:t>
                  </w:r>
                </w:p>
              </w:tc>
              <w:tc>
                <w:tcPr>
                  <w:tcW w:w="772" w:type="pct"/>
                  <w:noWrap w:val="0"/>
                  <w:vAlign w:val="center"/>
                </w:tcPr>
                <w:p w14:paraId="5C98A636">
                  <w:pPr>
                    <w:widowControl/>
                    <w:jc w:val="center"/>
                    <w:textAlignment w:val="center"/>
                    <w:rPr>
                      <w:i w:val="0"/>
                      <w:iCs w:val="0"/>
                      <w:color w:val="auto"/>
                      <w:szCs w:val="21"/>
                      <w:highlight w:val="none"/>
                      <w:u w:val="none" w:color="auto"/>
                    </w:rPr>
                  </w:pPr>
                  <w:r>
                    <w:rPr>
                      <w:i w:val="0"/>
                      <w:iCs w:val="0"/>
                      <w:color w:val="auto"/>
                      <w:kern w:val="0"/>
                      <w:szCs w:val="21"/>
                      <w:highlight w:val="none"/>
                      <w:u w:val="none" w:color="auto"/>
                      <w:lang w:bidi="ar"/>
                    </w:rPr>
                    <w:t>混凝土</w:t>
                  </w:r>
                </w:p>
              </w:tc>
              <w:tc>
                <w:tcPr>
                  <w:tcW w:w="779" w:type="pct"/>
                  <w:noWrap w:val="0"/>
                  <w:vAlign w:val="center"/>
                </w:tcPr>
                <w:p w14:paraId="144C553C">
                  <w:pPr>
                    <w:widowControl/>
                    <w:jc w:val="center"/>
                    <w:textAlignment w:val="center"/>
                    <w:rPr>
                      <w:rFonts w:hint="default" w:eastAsia="宋体"/>
                      <w:i w:val="0"/>
                      <w:iCs w:val="0"/>
                      <w:color w:val="auto"/>
                      <w:szCs w:val="21"/>
                      <w:highlight w:val="none"/>
                      <w:u w:val="none" w:color="auto"/>
                      <w:lang w:val="en-US" w:eastAsia="zh-CN"/>
                    </w:rPr>
                  </w:pPr>
                  <w:r>
                    <w:rPr>
                      <w:rFonts w:hint="eastAsia"/>
                      <w:i w:val="0"/>
                      <w:iCs w:val="0"/>
                      <w:color w:val="auto"/>
                      <w:szCs w:val="21"/>
                      <w:highlight w:val="none"/>
                      <w:u w:val="none" w:color="auto"/>
                      <w:lang w:val="en-US" w:eastAsia="zh-CN"/>
                    </w:rPr>
                    <w:t>360000</w:t>
                  </w:r>
                </w:p>
              </w:tc>
              <w:tc>
                <w:tcPr>
                  <w:tcW w:w="915" w:type="pct"/>
                  <w:shd w:val="clear" w:color="auto" w:fill="auto"/>
                  <w:noWrap w:val="0"/>
                  <w:vAlign w:val="center"/>
                </w:tcPr>
                <w:p w14:paraId="47FA89D3">
                  <w:pPr>
                    <w:widowControl/>
                    <w:adjustRightInd w:val="0"/>
                    <w:ind w:left="-105" w:leftChars="-50" w:right="-105" w:rightChars="-50"/>
                    <w:jc w:val="center"/>
                    <w:textAlignment w:val="center"/>
                    <w:rPr>
                      <w:rFonts w:hint="eastAsia" w:ascii="Times New Roman" w:hAnsi="Times New Roman" w:eastAsia="宋体" w:cs="Times New Roman"/>
                      <w:i w:val="0"/>
                      <w:iCs w:val="0"/>
                      <w:color w:val="auto"/>
                      <w:kern w:val="2"/>
                      <w:sz w:val="21"/>
                      <w:szCs w:val="21"/>
                      <w:highlight w:val="none"/>
                      <w:u w:val="single" w:color="auto"/>
                      <w:lang w:val="en-US" w:eastAsia="zh-CN" w:bidi="ar-SA"/>
                    </w:rPr>
                  </w:pPr>
                  <w:r>
                    <w:rPr>
                      <w:i w:val="0"/>
                      <w:iCs w:val="0"/>
                      <w:color w:val="auto"/>
                      <w:kern w:val="0"/>
                      <w:szCs w:val="21"/>
                      <w:highlight w:val="none"/>
                      <w:u w:val="single" w:color="auto"/>
                      <w:lang w:bidi="ar"/>
                    </w:rPr>
                    <w:t>收集粉尘</w:t>
                  </w:r>
                  <w:r>
                    <w:rPr>
                      <w:rFonts w:hint="eastAsia"/>
                      <w:i w:val="0"/>
                      <w:iCs w:val="0"/>
                      <w:color w:val="auto"/>
                      <w:kern w:val="0"/>
                      <w:szCs w:val="21"/>
                      <w:highlight w:val="none"/>
                      <w:u w:val="single" w:color="auto"/>
                      <w:lang w:eastAsia="zh-CN" w:bidi="ar"/>
                    </w:rPr>
                    <w:t>（</w:t>
                  </w:r>
                  <w:r>
                    <w:rPr>
                      <w:rFonts w:hint="eastAsia"/>
                      <w:i w:val="0"/>
                      <w:iCs w:val="0"/>
                      <w:color w:val="auto"/>
                      <w:kern w:val="0"/>
                      <w:szCs w:val="21"/>
                      <w:highlight w:val="none"/>
                      <w:u w:val="single" w:color="auto"/>
                      <w:lang w:val="en-US" w:eastAsia="zh-CN" w:bidi="ar"/>
                    </w:rPr>
                    <w:t>回用物料</w:t>
                  </w:r>
                  <w:r>
                    <w:rPr>
                      <w:rFonts w:hint="eastAsia"/>
                      <w:i w:val="0"/>
                      <w:iCs w:val="0"/>
                      <w:color w:val="auto"/>
                      <w:kern w:val="0"/>
                      <w:szCs w:val="21"/>
                      <w:highlight w:val="none"/>
                      <w:u w:val="single" w:color="auto"/>
                      <w:lang w:eastAsia="zh-CN" w:bidi="ar"/>
                    </w:rPr>
                    <w:t>）</w:t>
                  </w:r>
                </w:p>
              </w:tc>
              <w:tc>
                <w:tcPr>
                  <w:tcW w:w="1322" w:type="dxa"/>
                  <w:shd w:val="clear" w:color="auto" w:fill="auto"/>
                  <w:noWrap w:val="0"/>
                  <w:vAlign w:val="center"/>
                </w:tcPr>
                <w:p w14:paraId="6E95063F">
                  <w:pPr>
                    <w:autoSpaceDE w:val="0"/>
                    <w:autoSpaceDN w:val="0"/>
                    <w:adjustRightInd w:val="0"/>
                    <w:jc w:val="center"/>
                    <w:rPr>
                      <w:rFonts w:hint="default" w:ascii="Times New Roman" w:hAnsi="Times New Roman" w:eastAsia="宋体" w:cs="Times New Roman"/>
                      <w:i w:val="0"/>
                      <w:iCs w:val="0"/>
                      <w:color w:val="auto"/>
                      <w:sz w:val="21"/>
                      <w:szCs w:val="21"/>
                      <w:highlight w:val="none"/>
                      <w:u w:val="single" w:color="auto"/>
                      <w:lang w:val="en-US" w:eastAsia="zh-CN"/>
                    </w:rPr>
                  </w:pPr>
                  <w:r>
                    <w:rPr>
                      <w:rFonts w:hint="eastAsia" w:cs="Times New Roman"/>
                      <w:i w:val="0"/>
                      <w:iCs w:val="0"/>
                      <w:color w:val="auto"/>
                      <w:sz w:val="21"/>
                      <w:szCs w:val="21"/>
                      <w:highlight w:val="none"/>
                      <w:u w:val="single" w:color="auto"/>
                      <w:lang w:val="en-US" w:eastAsia="zh-CN"/>
                    </w:rPr>
                    <w:t>89.73</w:t>
                  </w:r>
                </w:p>
              </w:tc>
            </w:tr>
            <w:tr w14:paraId="0457E49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6" w:type="pct"/>
                <w:trHeight w:val="170" w:hRule="atLeast"/>
              </w:trPr>
              <w:tc>
                <w:tcPr>
                  <w:tcW w:w="767" w:type="pct"/>
                  <w:noWrap w:val="0"/>
                  <w:vAlign w:val="center"/>
                </w:tcPr>
                <w:p w14:paraId="5D719E1F">
                  <w:pPr>
                    <w:widowControl/>
                    <w:jc w:val="center"/>
                    <w:textAlignment w:val="center"/>
                    <w:rPr>
                      <w:i w:val="0"/>
                      <w:iCs w:val="0"/>
                      <w:color w:val="auto"/>
                      <w:szCs w:val="21"/>
                      <w:highlight w:val="none"/>
                      <w:u w:val="none" w:color="auto"/>
                    </w:rPr>
                  </w:pPr>
                  <w:r>
                    <w:rPr>
                      <w:i w:val="0"/>
                      <w:iCs w:val="0"/>
                      <w:color w:val="auto"/>
                      <w:kern w:val="0"/>
                      <w:szCs w:val="21"/>
                      <w:highlight w:val="none"/>
                      <w:u w:val="none" w:color="auto"/>
                      <w:lang w:bidi="ar"/>
                    </w:rPr>
                    <w:t>粉煤灰</w:t>
                  </w:r>
                </w:p>
              </w:tc>
              <w:tc>
                <w:tcPr>
                  <w:tcW w:w="923" w:type="pct"/>
                  <w:noWrap w:val="0"/>
                  <w:vAlign w:val="center"/>
                </w:tcPr>
                <w:p w14:paraId="42B22167">
                  <w:pPr>
                    <w:widowControl/>
                    <w:jc w:val="center"/>
                    <w:textAlignment w:val="center"/>
                    <w:rPr>
                      <w:rFonts w:hint="default" w:eastAsia="宋体"/>
                      <w:i w:val="0"/>
                      <w:iCs w:val="0"/>
                      <w:color w:val="auto"/>
                      <w:szCs w:val="21"/>
                      <w:highlight w:val="none"/>
                      <w:u w:val="none" w:color="auto"/>
                      <w:lang w:val="en-US" w:eastAsia="zh-CN"/>
                    </w:rPr>
                  </w:pPr>
                  <w:r>
                    <w:rPr>
                      <w:rFonts w:hint="eastAsia" w:ascii="Times New Roman" w:hAnsi="Times New Roman" w:eastAsia="宋体" w:cs="Times New Roman"/>
                      <w:i w:val="0"/>
                      <w:iCs w:val="0"/>
                      <w:color w:val="auto"/>
                      <w:sz w:val="21"/>
                      <w:szCs w:val="21"/>
                      <w:highlight w:val="none"/>
                      <w:u w:val="none"/>
                      <w:lang w:val="en-US" w:eastAsia="zh-CN"/>
                    </w:rPr>
                    <w:t>7000</w:t>
                  </w:r>
                </w:p>
              </w:tc>
              <w:tc>
                <w:tcPr>
                  <w:tcW w:w="772" w:type="pct"/>
                  <w:shd w:val="clear" w:color="auto" w:fill="auto"/>
                  <w:noWrap w:val="0"/>
                  <w:vAlign w:val="center"/>
                </w:tcPr>
                <w:p w14:paraId="612BA04D">
                  <w:pPr>
                    <w:jc w:val="center"/>
                    <w:rPr>
                      <w:rFonts w:hint="eastAsia" w:ascii="Times New Roman" w:hAnsi="Times New Roman" w:eastAsia="宋体" w:cs="Times New Roman"/>
                      <w:i w:val="0"/>
                      <w:iCs w:val="0"/>
                      <w:color w:val="auto"/>
                      <w:kern w:val="2"/>
                      <w:sz w:val="21"/>
                      <w:szCs w:val="21"/>
                      <w:highlight w:val="none"/>
                      <w:u w:val="none" w:color="auto"/>
                      <w:lang w:val="en-US" w:eastAsia="zh-CN" w:bidi="ar-SA"/>
                    </w:rPr>
                  </w:pPr>
                  <w:r>
                    <w:rPr>
                      <w:i w:val="0"/>
                      <w:iCs w:val="0"/>
                      <w:color w:val="auto"/>
                      <w:szCs w:val="21"/>
                      <w:highlight w:val="none"/>
                      <w:u w:val="none" w:color="auto"/>
                    </w:rPr>
                    <w:t>/</w:t>
                  </w:r>
                </w:p>
              </w:tc>
              <w:tc>
                <w:tcPr>
                  <w:tcW w:w="779" w:type="pct"/>
                  <w:shd w:val="clear" w:color="auto" w:fill="auto"/>
                  <w:noWrap w:val="0"/>
                  <w:vAlign w:val="center"/>
                </w:tcPr>
                <w:p w14:paraId="41590518">
                  <w:pPr>
                    <w:jc w:val="center"/>
                    <w:rPr>
                      <w:rFonts w:hint="default" w:ascii="Times New Roman" w:hAnsi="Times New Roman" w:eastAsia="宋体" w:cs="Times New Roman"/>
                      <w:i w:val="0"/>
                      <w:iCs w:val="0"/>
                      <w:color w:val="auto"/>
                      <w:kern w:val="2"/>
                      <w:sz w:val="21"/>
                      <w:szCs w:val="21"/>
                      <w:highlight w:val="none"/>
                      <w:u w:val="none" w:color="auto"/>
                      <w:lang w:val="en-US" w:eastAsia="zh-CN" w:bidi="ar-SA"/>
                    </w:rPr>
                  </w:pPr>
                  <w:r>
                    <w:rPr>
                      <w:i w:val="0"/>
                      <w:iCs w:val="0"/>
                      <w:color w:val="auto"/>
                      <w:szCs w:val="21"/>
                      <w:highlight w:val="none"/>
                      <w:u w:val="none" w:color="auto"/>
                    </w:rPr>
                    <w:t>/</w:t>
                  </w:r>
                </w:p>
              </w:tc>
              <w:tc>
                <w:tcPr>
                  <w:tcW w:w="915" w:type="pct"/>
                  <w:shd w:val="clear" w:color="auto" w:fill="auto"/>
                  <w:noWrap w:val="0"/>
                  <w:vAlign w:val="center"/>
                </w:tcPr>
                <w:p w14:paraId="1994FF90">
                  <w:pPr>
                    <w:widowControl/>
                    <w:adjustRightInd w:val="0"/>
                    <w:ind w:left="-105" w:leftChars="-50" w:right="-105" w:rightChars="-50"/>
                    <w:jc w:val="center"/>
                    <w:textAlignment w:val="center"/>
                    <w:rPr>
                      <w:rFonts w:hint="eastAsia" w:ascii="Times New Roman" w:hAnsi="Times New Roman" w:eastAsia="宋体" w:cs="Times New Roman"/>
                      <w:i w:val="0"/>
                      <w:iCs w:val="0"/>
                      <w:color w:val="auto"/>
                      <w:kern w:val="0"/>
                      <w:sz w:val="21"/>
                      <w:szCs w:val="21"/>
                      <w:highlight w:val="none"/>
                      <w:u w:val="single" w:color="auto"/>
                      <w:lang w:val="en-US" w:eastAsia="zh-CN" w:bidi="ar"/>
                    </w:rPr>
                  </w:pPr>
                  <w:r>
                    <w:rPr>
                      <w:rFonts w:hint="eastAsia" w:cs="Times New Roman"/>
                      <w:i w:val="0"/>
                      <w:iCs w:val="0"/>
                      <w:color w:val="auto"/>
                      <w:kern w:val="0"/>
                      <w:szCs w:val="21"/>
                      <w:highlight w:val="none"/>
                      <w:u w:val="single" w:color="auto"/>
                      <w:lang w:val="en-US" w:eastAsia="zh-CN" w:bidi="ar"/>
                    </w:rPr>
                    <w:t>沉淀池沉淀物</w:t>
                  </w:r>
                </w:p>
              </w:tc>
              <w:tc>
                <w:tcPr>
                  <w:tcW w:w="1322" w:type="dxa"/>
                  <w:shd w:val="clear" w:color="auto" w:fill="auto"/>
                  <w:noWrap w:val="0"/>
                  <w:vAlign w:val="center"/>
                </w:tcPr>
                <w:p w14:paraId="3B30FD91">
                  <w:pPr>
                    <w:autoSpaceDE w:val="0"/>
                    <w:autoSpaceDN w:val="0"/>
                    <w:adjustRightInd w:val="0"/>
                    <w:jc w:val="center"/>
                    <w:rPr>
                      <w:rFonts w:hint="default" w:ascii="Times New Roman" w:hAnsi="Times New Roman" w:eastAsia="宋体" w:cs="Times New Roman"/>
                      <w:i w:val="0"/>
                      <w:iCs w:val="0"/>
                      <w:color w:val="auto"/>
                      <w:sz w:val="21"/>
                      <w:szCs w:val="21"/>
                      <w:highlight w:val="none"/>
                      <w:u w:val="single" w:color="auto"/>
                      <w:lang w:val="en-US" w:eastAsia="zh-CN"/>
                    </w:rPr>
                  </w:pPr>
                  <w:r>
                    <w:rPr>
                      <w:rFonts w:hint="eastAsia" w:cs="Times New Roman"/>
                      <w:i w:val="0"/>
                      <w:iCs w:val="0"/>
                      <w:color w:val="auto"/>
                      <w:sz w:val="21"/>
                      <w:szCs w:val="21"/>
                      <w:highlight w:val="none"/>
                      <w:u w:val="single" w:color="auto"/>
                      <w:lang w:val="en-US" w:eastAsia="zh-CN"/>
                    </w:rPr>
                    <w:t>1</w:t>
                  </w:r>
                  <w:r>
                    <w:rPr>
                      <w:rFonts w:hint="eastAsia" w:ascii="Times New Roman" w:hAnsi="Times New Roman" w:cs="Times New Roman"/>
                      <w:i w:val="0"/>
                      <w:iCs w:val="0"/>
                      <w:color w:val="auto"/>
                      <w:sz w:val="21"/>
                      <w:szCs w:val="21"/>
                      <w:highlight w:val="none"/>
                      <w:u w:val="single" w:color="auto"/>
                      <w:lang w:val="en-US" w:eastAsia="zh-CN"/>
                    </w:rPr>
                    <w:t>0</w:t>
                  </w:r>
                </w:p>
              </w:tc>
            </w:tr>
            <w:tr w14:paraId="6F7DC60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6" w:type="pct"/>
                <w:trHeight w:val="170" w:hRule="atLeast"/>
              </w:trPr>
              <w:tc>
                <w:tcPr>
                  <w:tcW w:w="1229" w:type="dxa"/>
                  <w:noWrap w:val="0"/>
                  <w:vAlign w:val="center"/>
                </w:tcPr>
                <w:p w14:paraId="1DFD6E1D">
                  <w:pPr>
                    <w:widowControl/>
                    <w:jc w:val="center"/>
                    <w:textAlignment w:val="center"/>
                    <w:rPr>
                      <w:rFonts w:hint="eastAsia" w:eastAsia="宋体"/>
                      <w:i w:val="0"/>
                      <w:iCs w:val="0"/>
                      <w:color w:val="auto"/>
                      <w:kern w:val="0"/>
                      <w:szCs w:val="21"/>
                      <w:highlight w:val="none"/>
                      <w:u w:val="none" w:color="auto"/>
                      <w:lang w:eastAsia="zh-CN" w:bidi="ar"/>
                    </w:rPr>
                  </w:pPr>
                  <w:r>
                    <w:rPr>
                      <w:rFonts w:hint="eastAsia"/>
                      <w:i w:val="0"/>
                      <w:iCs w:val="0"/>
                      <w:color w:val="auto"/>
                      <w:kern w:val="0"/>
                      <w:szCs w:val="21"/>
                      <w:highlight w:val="none"/>
                      <w:u w:val="none" w:color="auto"/>
                      <w:lang w:eastAsia="zh-CN" w:bidi="ar"/>
                    </w:rPr>
                    <w:t>砂子</w:t>
                  </w:r>
                </w:p>
              </w:tc>
              <w:tc>
                <w:tcPr>
                  <w:tcW w:w="1480" w:type="dxa"/>
                  <w:noWrap w:val="0"/>
                  <w:vAlign w:val="center"/>
                </w:tcPr>
                <w:p w14:paraId="233B0CE6">
                  <w:pPr>
                    <w:autoSpaceDE w:val="0"/>
                    <w:autoSpaceDN w:val="0"/>
                    <w:adjustRightInd w:val="0"/>
                    <w:jc w:val="center"/>
                    <w:rPr>
                      <w:rFonts w:hint="default"/>
                      <w:i w:val="0"/>
                      <w:iCs w:val="0"/>
                      <w:color w:val="auto"/>
                      <w:szCs w:val="21"/>
                      <w:highlight w:val="none"/>
                      <w:u w:val="none" w:color="auto"/>
                      <w:lang w:val="en-US" w:eastAsia="zh-CN"/>
                    </w:rPr>
                  </w:pPr>
                  <w:r>
                    <w:rPr>
                      <w:rFonts w:hint="eastAsia" w:ascii="Times New Roman" w:hAnsi="Times New Roman" w:eastAsia="宋体" w:cs="Times New Roman"/>
                      <w:i w:val="0"/>
                      <w:iCs w:val="0"/>
                      <w:color w:val="auto"/>
                      <w:sz w:val="21"/>
                      <w:szCs w:val="21"/>
                      <w:highlight w:val="none"/>
                      <w:u w:val="none"/>
                      <w:lang w:val="en-US" w:eastAsia="zh-CN"/>
                    </w:rPr>
                    <w:t>84070.311</w:t>
                  </w:r>
                </w:p>
              </w:tc>
              <w:tc>
                <w:tcPr>
                  <w:tcW w:w="772" w:type="pct"/>
                  <w:shd w:val="clear" w:color="auto" w:fill="auto"/>
                  <w:noWrap w:val="0"/>
                  <w:vAlign w:val="center"/>
                </w:tcPr>
                <w:p w14:paraId="51080623">
                  <w:pPr>
                    <w:jc w:val="center"/>
                    <w:rPr>
                      <w:rFonts w:hint="eastAsia" w:ascii="Times New Roman" w:hAnsi="Times New Roman" w:eastAsia="宋体" w:cs="Times New Roman"/>
                      <w:i w:val="0"/>
                      <w:iCs w:val="0"/>
                      <w:color w:val="auto"/>
                      <w:kern w:val="2"/>
                      <w:sz w:val="21"/>
                      <w:szCs w:val="21"/>
                      <w:highlight w:val="none"/>
                      <w:u w:val="none" w:color="auto"/>
                      <w:lang w:val="en-US" w:eastAsia="zh-CN" w:bidi="ar-SA"/>
                    </w:rPr>
                  </w:pPr>
                  <w:r>
                    <w:rPr>
                      <w:i w:val="0"/>
                      <w:iCs w:val="0"/>
                      <w:color w:val="auto"/>
                      <w:szCs w:val="21"/>
                      <w:highlight w:val="none"/>
                      <w:u w:val="none" w:color="auto"/>
                    </w:rPr>
                    <w:t>/</w:t>
                  </w:r>
                </w:p>
              </w:tc>
              <w:tc>
                <w:tcPr>
                  <w:tcW w:w="779" w:type="pct"/>
                  <w:shd w:val="clear" w:color="auto" w:fill="auto"/>
                  <w:noWrap w:val="0"/>
                  <w:vAlign w:val="center"/>
                </w:tcPr>
                <w:p w14:paraId="3FC2ADA7">
                  <w:pPr>
                    <w:jc w:val="center"/>
                    <w:rPr>
                      <w:rFonts w:hint="eastAsia" w:ascii="Times New Roman" w:hAnsi="Times New Roman" w:eastAsia="宋体" w:cs="Times New Roman"/>
                      <w:i w:val="0"/>
                      <w:iCs w:val="0"/>
                      <w:color w:val="auto"/>
                      <w:kern w:val="2"/>
                      <w:sz w:val="21"/>
                      <w:szCs w:val="21"/>
                      <w:highlight w:val="none"/>
                      <w:u w:val="none" w:color="auto"/>
                      <w:lang w:val="en-US" w:eastAsia="zh-CN" w:bidi="ar-SA"/>
                    </w:rPr>
                  </w:pPr>
                  <w:r>
                    <w:rPr>
                      <w:i w:val="0"/>
                      <w:iCs w:val="0"/>
                      <w:color w:val="auto"/>
                      <w:szCs w:val="21"/>
                      <w:highlight w:val="none"/>
                      <w:u w:val="none" w:color="auto"/>
                    </w:rPr>
                    <w:t>/</w:t>
                  </w:r>
                </w:p>
              </w:tc>
              <w:tc>
                <w:tcPr>
                  <w:tcW w:w="915" w:type="pct"/>
                  <w:shd w:val="clear" w:color="auto" w:fill="auto"/>
                  <w:noWrap w:val="0"/>
                  <w:vAlign w:val="center"/>
                </w:tcPr>
                <w:p w14:paraId="2C208ECF">
                  <w:pPr>
                    <w:widowControl/>
                    <w:adjustRightInd w:val="0"/>
                    <w:ind w:left="-105" w:leftChars="-50" w:right="-105" w:rightChars="-50"/>
                    <w:jc w:val="center"/>
                    <w:textAlignment w:val="center"/>
                    <w:rPr>
                      <w:rFonts w:hint="eastAsia" w:ascii="Times New Roman" w:hAnsi="Times New Roman" w:eastAsia="宋体" w:cs="Times New Roman"/>
                      <w:i w:val="0"/>
                      <w:iCs w:val="0"/>
                      <w:color w:val="auto"/>
                      <w:kern w:val="2"/>
                      <w:sz w:val="21"/>
                      <w:szCs w:val="21"/>
                      <w:highlight w:val="none"/>
                      <w:u w:val="single" w:color="auto"/>
                      <w:lang w:val="en-US" w:eastAsia="zh-CN" w:bidi="ar-SA"/>
                    </w:rPr>
                  </w:pPr>
                  <w:r>
                    <w:rPr>
                      <w:rFonts w:hint="eastAsia"/>
                      <w:i w:val="0"/>
                      <w:iCs w:val="0"/>
                      <w:color w:val="auto"/>
                      <w:kern w:val="0"/>
                      <w:szCs w:val="21"/>
                      <w:highlight w:val="none"/>
                      <w:u w:val="single" w:color="auto"/>
                      <w:lang w:val="en-US" w:eastAsia="zh-CN" w:bidi="ar"/>
                    </w:rPr>
                    <w:t>无</w:t>
                  </w:r>
                  <w:r>
                    <w:rPr>
                      <w:i w:val="0"/>
                      <w:iCs w:val="0"/>
                      <w:color w:val="auto"/>
                      <w:kern w:val="0"/>
                      <w:szCs w:val="21"/>
                      <w:highlight w:val="none"/>
                      <w:u w:val="single" w:color="auto"/>
                      <w:lang w:bidi="ar"/>
                    </w:rPr>
                    <w:t>组织粉尘</w:t>
                  </w:r>
                </w:p>
              </w:tc>
              <w:tc>
                <w:tcPr>
                  <w:tcW w:w="1322" w:type="dxa"/>
                  <w:shd w:val="clear" w:color="auto" w:fill="auto"/>
                  <w:noWrap w:val="0"/>
                  <w:vAlign w:val="center"/>
                </w:tcPr>
                <w:p w14:paraId="1FE56CB9">
                  <w:pPr>
                    <w:autoSpaceDE w:val="0"/>
                    <w:autoSpaceDN w:val="0"/>
                    <w:adjustRightInd w:val="0"/>
                    <w:jc w:val="center"/>
                    <w:rPr>
                      <w:rFonts w:hint="default" w:ascii="Times New Roman" w:hAnsi="Times New Roman" w:eastAsia="宋体" w:cs="Times New Roman"/>
                      <w:i w:val="0"/>
                      <w:iCs w:val="0"/>
                      <w:color w:val="auto"/>
                      <w:sz w:val="21"/>
                      <w:szCs w:val="21"/>
                      <w:highlight w:val="none"/>
                      <w:u w:val="single" w:color="auto"/>
                      <w:lang w:val="en-US" w:eastAsia="zh-CN"/>
                    </w:rPr>
                  </w:pPr>
                  <w:r>
                    <w:rPr>
                      <w:rFonts w:hint="eastAsia" w:cs="Times New Roman"/>
                      <w:i w:val="0"/>
                      <w:iCs w:val="0"/>
                      <w:color w:val="auto"/>
                      <w:sz w:val="21"/>
                      <w:szCs w:val="21"/>
                      <w:highlight w:val="none"/>
                      <w:u w:val="single" w:color="auto"/>
                      <w:lang w:val="en-US" w:eastAsia="zh-CN"/>
                    </w:rPr>
                    <w:t>16.916</w:t>
                  </w:r>
                </w:p>
              </w:tc>
            </w:tr>
            <w:tr w14:paraId="2CECA3E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6" w:type="pct"/>
                <w:trHeight w:val="170" w:hRule="atLeast"/>
              </w:trPr>
              <w:tc>
                <w:tcPr>
                  <w:tcW w:w="1229" w:type="dxa"/>
                  <w:noWrap w:val="0"/>
                  <w:vAlign w:val="center"/>
                </w:tcPr>
                <w:p w14:paraId="2687F202">
                  <w:pPr>
                    <w:widowControl/>
                    <w:jc w:val="center"/>
                    <w:textAlignment w:val="center"/>
                    <w:rPr>
                      <w:rFonts w:hint="eastAsia"/>
                      <w:i w:val="0"/>
                      <w:iCs w:val="0"/>
                      <w:color w:val="auto"/>
                      <w:kern w:val="0"/>
                      <w:szCs w:val="21"/>
                      <w:highlight w:val="none"/>
                      <w:u w:val="none" w:color="auto"/>
                      <w:lang w:eastAsia="zh-CN" w:bidi="ar"/>
                    </w:rPr>
                  </w:pPr>
                  <w:r>
                    <w:rPr>
                      <w:i w:val="0"/>
                      <w:iCs w:val="0"/>
                      <w:color w:val="auto"/>
                      <w:kern w:val="0"/>
                      <w:szCs w:val="21"/>
                      <w:highlight w:val="none"/>
                      <w:u w:val="none" w:color="auto"/>
                      <w:lang w:bidi="ar"/>
                    </w:rPr>
                    <w:t>碎石</w:t>
                  </w:r>
                </w:p>
              </w:tc>
              <w:tc>
                <w:tcPr>
                  <w:tcW w:w="1480" w:type="dxa"/>
                  <w:noWrap w:val="0"/>
                  <w:vAlign w:val="center"/>
                </w:tcPr>
                <w:p w14:paraId="17E6AF33">
                  <w:pPr>
                    <w:autoSpaceDE w:val="0"/>
                    <w:autoSpaceDN w:val="0"/>
                    <w:adjustRightInd w:val="0"/>
                    <w:jc w:val="center"/>
                    <w:rPr>
                      <w:rFonts w:hint="default"/>
                      <w:i w:val="0"/>
                      <w:iCs w:val="0"/>
                      <w:color w:val="auto"/>
                      <w:szCs w:val="21"/>
                      <w:highlight w:val="none"/>
                      <w:u w:val="none" w:color="auto"/>
                      <w:lang w:val="en-US" w:eastAsia="zh-CN"/>
                    </w:rPr>
                  </w:pPr>
                  <w:r>
                    <w:rPr>
                      <w:rFonts w:hint="eastAsia" w:ascii="Times New Roman" w:hAnsi="Times New Roman" w:eastAsia="宋体" w:cs="Times New Roman"/>
                      <w:i w:val="0"/>
                      <w:iCs w:val="0"/>
                      <w:color w:val="auto"/>
                      <w:sz w:val="21"/>
                      <w:szCs w:val="21"/>
                      <w:highlight w:val="none"/>
                      <w:u w:val="none"/>
                      <w:lang w:val="en-US" w:eastAsia="zh-CN"/>
                    </w:rPr>
                    <w:t>96050</w:t>
                  </w:r>
                </w:p>
              </w:tc>
              <w:tc>
                <w:tcPr>
                  <w:tcW w:w="772" w:type="pct"/>
                  <w:shd w:val="clear" w:color="auto" w:fill="auto"/>
                  <w:noWrap w:val="0"/>
                  <w:vAlign w:val="center"/>
                </w:tcPr>
                <w:p w14:paraId="04C68135">
                  <w:pPr>
                    <w:jc w:val="center"/>
                    <w:rPr>
                      <w:rFonts w:hint="eastAsia" w:ascii="Times New Roman" w:hAnsi="Times New Roman" w:eastAsia="宋体" w:cs="Times New Roman"/>
                      <w:i w:val="0"/>
                      <w:iCs w:val="0"/>
                      <w:color w:val="auto"/>
                      <w:kern w:val="2"/>
                      <w:sz w:val="21"/>
                      <w:szCs w:val="21"/>
                      <w:highlight w:val="none"/>
                      <w:u w:val="none" w:color="auto"/>
                      <w:lang w:val="en-US" w:eastAsia="zh-CN" w:bidi="ar-SA"/>
                    </w:rPr>
                  </w:pPr>
                  <w:r>
                    <w:rPr>
                      <w:i w:val="0"/>
                      <w:iCs w:val="0"/>
                      <w:color w:val="auto"/>
                      <w:szCs w:val="21"/>
                      <w:highlight w:val="none"/>
                      <w:u w:val="none" w:color="auto"/>
                    </w:rPr>
                    <w:t>/</w:t>
                  </w:r>
                </w:p>
              </w:tc>
              <w:tc>
                <w:tcPr>
                  <w:tcW w:w="779" w:type="pct"/>
                  <w:shd w:val="clear" w:color="auto" w:fill="auto"/>
                  <w:noWrap w:val="0"/>
                  <w:vAlign w:val="center"/>
                </w:tcPr>
                <w:p w14:paraId="1070819B">
                  <w:pPr>
                    <w:jc w:val="center"/>
                    <w:rPr>
                      <w:rFonts w:hint="eastAsia" w:ascii="Times New Roman" w:hAnsi="Times New Roman" w:eastAsia="宋体" w:cs="Times New Roman"/>
                      <w:i w:val="0"/>
                      <w:iCs w:val="0"/>
                      <w:color w:val="auto"/>
                      <w:kern w:val="2"/>
                      <w:sz w:val="21"/>
                      <w:szCs w:val="21"/>
                      <w:highlight w:val="none"/>
                      <w:u w:val="none" w:color="auto"/>
                      <w:lang w:val="en-US" w:eastAsia="zh-CN" w:bidi="ar-SA"/>
                    </w:rPr>
                  </w:pPr>
                  <w:r>
                    <w:rPr>
                      <w:i w:val="0"/>
                      <w:iCs w:val="0"/>
                      <w:color w:val="auto"/>
                      <w:szCs w:val="21"/>
                      <w:highlight w:val="none"/>
                      <w:u w:val="none" w:color="auto"/>
                    </w:rPr>
                    <w:t>/</w:t>
                  </w:r>
                </w:p>
              </w:tc>
              <w:tc>
                <w:tcPr>
                  <w:tcW w:w="915" w:type="pct"/>
                  <w:shd w:val="clear" w:color="auto" w:fill="auto"/>
                  <w:noWrap w:val="0"/>
                  <w:vAlign w:val="center"/>
                </w:tcPr>
                <w:p w14:paraId="40146437">
                  <w:pPr>
                    <w:jc w:val="center"/>
                    <w:rPr>
                      <w:rFonts w:hint="eastAsia" w:ascii="Times New Roman" w:hAnsi="Times New Roman" w:eastAsia="宋体" w:cs="Times New Roman"/>
                      <w:i w:val="0"/>
                      <w:iCs w:val="0"/>
                      <w:color w:val="auto"/>
                      <w:kern w:val="2"/>
                      <w:sz w:val="21"/>
                      <w:szCs w:val="21"/>
                      <w:highlight w:val="none"/>
                      <w:u w:val="single" w:color="auto"/>
                      <w:lang w:val="en-US" w:eastAsia="zh-CN" w:bidi="ar-SA"/>
                    </w:rPr>
                  </w:pPr>
                  <w:r>
                    <w:rPr>
                      <w:rFonts w:hint="eastAsia"/>
                      <w:i w:val="0"/>
                      <w:iCs w:val="0"/>
                      <w:color w:val="auto"/>
                      <w:szCs w:val="21"/>
                      <w:highlight w:val="none"/>
                      <w:u w:val="single" w:color="auto"/>
                      <w:lang w:eastAsia="zh-CN"/>
                    </w:rPr>
                    <w:t>化验室废试样</w:t>
                  </w:r>
                </w:p>
              </w:tc>
              <w:tc>
                <w:tcPr>
                  <w:tcW w:w="1322" w:type="dxa"/>
                  <w:shd w:val="clear" w:color="auto" w:fill="auto"/>
                  <w:noWrap w:val="0"/>
                  <w:vAlign w:val="center"/>
                </w:tcPr>
                <w:p w14:paraId="7D54479B">
                  <w:pPr>
                    <w:autoSpaceDE w:val="0"/>
                    <w:autoSpaceDN w:val="0"/>
                    <w:adjustRightInd w:val="0"/>
                    <w:jc w:val="center"/>
                    <w:rPr>
                      <w:rFonts w:hint="default" w:ascii="Times New Roman" w:hAnsi="Times New Roman" w:eastAsia="宋体" w:cs="Times New Roman"/>
                      <w:i w:val="0"/>
                      <w:iCs w:val="0"/>
                      <w:color w:val="auto"/>
                      <w:sz w:val="21"/>
                      <w:szCs w:val="21"/>
                      <w:highlight w:val="none"/>
                      <w:u w:val="single" w:color="auto"/>
                      <w:lang w:val="en-US" w:eastAsia="zh-CN"/>
                    </w:rPr>
                  </w:pPr>
                  <w:r>
                    <w:rPr>
                      <w:rFonts w:hint="eastAsia" w:cs="Times New Roman"/>
                      <w:i w:val="0"/>
                      <w:iCs w:val="0"/>
                      <w:color w:val="auto"/>
                      <w:sz w:val="21"/>
                      <w:szCs w:val="21"/>
                      <w:highlight w:val="none"/>
                      <w:u w:val="single" w:color="auto"/>
                      <w:lang w:val="en-US" w:eastAsia="zh-CN"/>
                    </w:rPr>
                    <w:t>3.399</w:t>
                  </w:r>
                </w:p>
              </w:tc>
            </w:tr>
            <w:tr w14:paraId="567EAE4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6" w:type="pct"/>
                <w:trHeight w:val="170" w:hRule="atLeast"/>
              </w:trPr>
              <w:tc>
                <w:tcPr>
                  <w:tcW w:w="1229" w:type="dxa"/>
                  <w:noWrap w:val="0"/>
                  <w:vAlign w:val="center"/>
                </w:tcPr>
                <w:p w14:paraId="5FD3968A">
                  <w:pPr>
                    <w:widowControl/>
                    <w:jc w:val="center"/>
                    <w:textAlignment w:val="center"/>
                    <w:rPr>
                      <w:i w:val="0"/>
                      <w:iCs w:val="0"/>
                      <w:color w:val="auto"/>
                      <w:szCs w:val="21"/>
                      <w:highlight w:val="none"/>
                      <w:u w:val="none" w:color="auto"/>
                    </w:rPr>
                  </w:pPr>
                  <w:r>
                    <w:rPr>
                      <w:i w:val="0"/>
                      <w:iCs w:val="0"/>
                      <w:color w:val="auto"/>
                      <w:kern w:val="0"/>
                      <w:szCs w:val="21"/>
                      <w:highlight w:val="none"/>
                      <w:u w:val="none" w:color="auto"/>
                      <w:lang w:bidi="ar"/>
                    </w:rPr>
                    <w:t>外加剂</w:t>
                  </w:r>
                </w:p>
              </w:tc>
              <w:tc>
                <w:tcPr>
                  <w:tcW w:w="1480" w:type="dxa"/>
                  <w:noWrap w:val="0"/>
                  <w:vAlign w:val="center"/>
                </w:tcPr>
                <w:p w14:paraId="1DF93D40">
                  <w:pPr>
                    <w:widowControl/>
                    <w:jc w:val="center"/>
                    <w:textAlignment w:val="center"/>
                    <w:rPr>
                      <w:rFonts w:hint="default" w:eastAsia="宋体"/>
                      <w:i w:val="0"/>
                      <w:iCs w:val="0"/>
                      <w:color w:val="auto"/>
                      <w:szCs w:val="21"/>
                      <w:highlight w:val="none"/>
                      <w:u w:val="none" w:color="auto"/>
                      <w:lang w:val="en-US" w:eastAsia="zh-CN"/>
                    </w:rPr>
                  </w:pPr>
                  <w:r>
                    <w:rPr>
                      <w:rFonts w:hint="eastAsia"/>
                      <w:i w:val="0"/>
                      <w:iCs w:val="0"/>
                      <w:color w:val="auto"/>
                      <w:szCs w:val="21"/>
                      <w:highlight w:val="none"/>
                      <w:u w:val="none" w:color="auto"/>
                      <w:lang w:val="en-US" w:eastAsia="zh-CN"/>
                    </w:rPr>
                    <w:t>500</w:t>
                  </w:r>
                </w:p>
              </w:tc>
              <w:tc>
                <w:tcPr>
                  <w:tcW w:w="772" w:type="pct"/>
                  <w:noWrap w:val="0"/>
                  <w:vAlign w:val="center"/>
                </w:tcPr>
                <w:p w14:paraId="73BCFF47">
                  <w:pPr>
                    <w:jc w:val="center"/>
                    <w:rPr>
                      <w:i w:val="0"/>
                      <w:iCs w:val="0"/>
                      <w:color w:val="auto"/>
                      <w:szCs w:val="21"/>
                      <w:highlight w:val="none"/>
                      <w:u w:val="none" w:color="auto"/>
                    </w:rPr>
                  </w:pPr>
                  <w:r>
                    <w:rPr>
                      <w:i w:val="0"/>
                      <w:iCs w:val="0"/>
                      <w:color w:val="auto"/>
                      <w:szCs w:val="21"/>
                      <w:highlight w:val="none"/>
                      <w:u w:val="none" w:color="auto"/>
                    </w:rPr>
                    <w:t>/</w:t>
                  </w:r>
                </w:p>
              </w:tc>
              <w:tc>
                <w:tcPr>
                  <w:tcW w:w="779" w:type="pct"/>
                  <w:noWrap w:val="0"/>
                  <w:vAlign w:val="center"/>
                </w:tcPr>
                <w:p w14:paraId="0DCCDE79">
                  <w:pPr>
                    <w:jc w:val="center"/>
                    <w:rPr>
                      <w:i w:val="0"/>
                      <w:iCs w:val="0"/>
                      <w:color w:val="auto"/>
                      <w:szCs w:val="21"/>
                      <w:highlight w:val="none"/>
                      <w:u w:val="none" w:color="auto"/>
                    </w:rPr>
                  </w:pPr>
                  <w:r>
                    <w:rPr>
                      <w:i w:val="0"/>
                      <w:iCs w:val="0"/>
                      <w:color w:val="auto"/>
                      <w:szCs w:val="21"/>
                      <w:highlight w:val="none"/>
                      <w:u w:val="none" w:color="auto"/>
                    </w:rPr>
                    <w:t>/</w:t>
                  </w:r>
                </w:p>
              </w:tc>
              <w:tc>
                <w:tcPr>
                  <w:tcW w:w="915" w:type="pct"/>
                  <w:shd w:val="clear" w:color="auto" w:fill="auto"/>
                  <w:noWrap w:val="0"/>
                  <w:vAlign w:val="center"/>
                </w:tcPr>
                <w:p w14:paraId="1C740BCA">
                  <w:pPr>
                    <w:jc w:val="center"/>
                    <w:rPr>
                      <w:rFonts w:hint="eastAsia" w:ascii="Times New Roman" w:hAnsi="Times New Roman" w:eastAsia="宋体" w:cs="Times New Roman"/>
                      <w:i w:val="0"/>
                      <w:iCs w:val="0"/>
                      <w:color w:val="auto"/>
                      <w:kern w:val="2"/>
                      <w:sz w:val="21"/>
                      <w:szCs w:val="21"/>
                      <w:highlight w:val="none"/>
                      <w:u w:val="single" w:color="auto"/>
                      <w:lang w:val="en-US" w:eastAsia="zh-CN" w:bidi="ar-SA"/>
                    </w:rPr>
                  </w:pPr>
                  <w:r>
                    <w:rPr>
                      <w:rFonts w:hint="eastAsia"/>
                      <w:i w:val="0"/>
                      <w:iCs w:val="0"/>
                      <w:color w:val="auto"/>
                      <w:szCs w:val="21"/>
                      <w:highlight w:val="none"/>
                      <w:u w:val="single" w:color="auto"/>
                      <w:lang w:eastAsia="zh-CN"/>
                    </w:rPr>
                    <w:t>有组织粉尘</w:t>
                  </w:r>
                </w:p>
              </w:tc>
              <w:tc>
                <w:tcPr>
                  <w:tcW w:w="825" w:type="pct"/>
                  <w:shd w:val="clear" w:color="auto" w:fill="auto"/>
                  <w:noWrap w:val="0"/>
                  <w:vAlign w:val="center"/>
                </w:tcPr>
                <w:p w14:paraId="42E4DAFF">
                  <w:pPr>
                    <w:jc w:val="center"/>
                    <w:rPr>
                      <w:rFonts w:hint="default" w:ascii="Times New Roman" w:hAnsi="Times New Roman" w:eastAsia="宋体" w:cs="Times New Roman"/>
                      <w:i w:val="0"/>
                      <w:iCs w:val="0"/>
                      <w:color w:val="auto"/>
                      <w:kern w:val="2"/>
                      <w:sz w:val="21"/>
                      <w:szCs w:val="21"/>
                      <w:highlight w:val="none"/>
                      <w:u w:val="single" w:color="auto"/>
                      <w:lang w:val="en-US" w:eastAsia="zh-CN" w:bidi="ar-SA"/>
                    </w:rPr>
                  </w:pPr>
                  <w:r>
                    <w:rPr>
                      <w:rFonts w:hint="eastAsia"/>
                      <w:i w:val="0"/>
                      <w:iCs w:val="0"/>
                      <w:color w:val="auto"/>
                      <w:szCs w:val="21"/>
                      <w:highlight w:val="none"/>
                      <w:u w:val="single" w:color="auto"/>
                      <w:lang w:val="en-US" w:eastAsia="zh-CN"/>
                    </w:rPr>
                    <w:t>0.266</w:t>
                  </w:r>
                </w:p>
              </w:tc>
            </w:tr>
            <w:tr w14:paraId="1D550E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6" w:type="pct"/>
                <w:trHeight w:val="170" w:hRule="atLeast"/>
              </w:trPr>
              <w:tc>
                <w:tcPr>
                  <w:tcW w:w="1229" w:type="dxa"/>
                  <w:noWrap w:val="0"/>
                  <w:vAlign w:val="center"/>
                </w:tcPr>
                <w:p w14:paraId="4AAE13DD">
                  <w:pPr>
                    <w:widowControl/>
                    <w:jc w:val="center"/>
                    <w:textAlignment w:val="center"/>
                    <w:rPr>
                      <w:i w:val="0"/>
                      <w:iCs w:val="0"/>
                      <w:color w:val="auto"/>
                      <w:szCs w:val="21"/>
                      <w:highlight w:val="none"/>
                      <w:u w:val="none" w:color="auto"/>
                    </w:rPr>
                  </w:pPr>
                  <w:r>
                    <w:rPr>
                      <w:i w:val="0"/>
                      <w:iCs w:val="0"/>
                      <w:color w:val="auto"/>
                      <w:kern w:val="0"/>
                      <w:szCs w:val="21"/>
                      <w:highlight w:val="none"/>
                      <w:u w:val="none" w:color="auto"/>
                      <w:lang w:bidi="ar"/>
                    </w:rPr>
                    <w:t>水</w:t>
                  </w:r>
                </w:p>
              </w:tc>
              <w:tc>
                <w:tcPr>
                  <w:tcW w:w="1480" w:type="dxa"/>
                  <w:noWrap w:val="0"/>
                  <w:vAlign w:val="center"/>
                </w:tcPr>
                <w:p w14:paraId="2B49BCFB">
                  <w:pPr>
                    <w:widowControl/>
                    <w:jc w:val="center"/>
                    <w:textAlignment w:val="center"/>
                    <w:rPr>
                      <w:rFonts w:hint="default" w:eastAsia="宋体"/>
                      <w:i w:val="0"/>
                      <w:iCs w:val="0"/>
                      <w:color w:val="auto"/>
                      <w:szCs w:val="21"/>
                      <w:highlight w:val="none"/>
                      <w:u w:val="none" w:color="auto"/>
                      <w:lang w:val="en-US" w:eastAsia="zh-CN"/>
                    </w:rPr>
                  </w:pPr>
                  <w:r>
                    <w:rPr>
                      <w:rFonts w:hint="eastAsia"/>
                      <w:i w:val="0"/>
                      <w:iCs w:val="0"/>
                      <w:color w:val="auto"/>
                      <w:szCs w:val="21"/>
                      <w:highlight w:val="none"/>
                      <w:u w:val="none" w:color="auto"/>
                      <w:lang w:val="en-US" w:eastAsia="zh-CN"/>
                    </w:rPr>
                    <w:t>22500</w:t>
                  </w:r>
                </w:p>
              </w:tc>
              <w:tc>
                <w:tcPr>
                  <w:tcW w:w="772" w:type="pct"/>
                  <w:noWrap w:val="0"/>
                  <w:vAlign w:val="center"/>
                </w:tcPr>
                <w:p w14:paraId="1BEAF77F">
                  <w:pPr>
                    <w:jc w:val="center"/>
                    <w:rPr>
                      <w:i w:val="0"/>
                      <w:iCs w:val="0"/>
                      <w:color w:val="auto"/>
                      <w:szCs w:val="21"/>
                      <w:highlight w:val="none"/>
                      <w:u w:val="none" w:color="auto"/>
                    </w:rPr>
                  </w:pPr>
                  <w:r>
                    <w:rPr>
                      <w:i w:val="0"/>
                      <w:iCs w:val="0"/>
                      <w:color w:val="auto"/>
                      <w:szCs w:val="21"/>
                      <w:highlight w:val="none"/>
                      <w:u w:val="none" w:color="auto"/>
                    </w:rPr>
                    <w:t>/</w:t>
                  </w:r>
                </w:p>
              </w:tc>
              <w:tc>
                <w:tcPr>
                  <w:tcW w:w="779" w:type="pct"/>
                  <w:noWrap w:val="0"/>
                  <w:vAlign w:val="center"/>
                </w:tcPr>
                <w:p w14:paraId="473B4A3B">
                  <w:pPr>
                    <w:jc w:val="center"/>
                    <w:rPr>
                      <w:i w:val="0"/>
                      <w:iCs w:val="0"/>
                      <w:color w:val="auto"/>
                      <w:szCs w:val="21"/>
                      <w:highlight w:val="none"/>
                      <w:u w:val="none" w:color="auto"/>
                    </w:rPr>
                  </w:pPr>
                  <w:r>
                    <w:rPr>
                      <w:i w:val="0"/>
                      <w:iCs w:val="0"/>
                      <w:color w:val="auto"/>
                      <w:szCs w:val="21"/>
                      <w:highlight w:val="none"/>
                      <w:u w:val="none" w:color="auto"/>
                    </w:rPr>
                    <w:t>/</w:t>
                  </w:r>
                </w:p>
              </w:tc>
              <w:tc>
                <w:tcPr>
                  <w:tcW w:w="915" w:type="pct"/>
                  <w:noWrap/>
                  <w:vAlign w:val="center"/>
                </w:tcPr>
                <w:p w14:paraId="37860BA5">
                  <w:pPr>
                    <w:jc w:val="center"/>
                    <w:rPr>
                      <w:i w:val="0"/>
                      <w:iCs w:val="0"/>
                      <w:color w:val="auto"/>
                      <w:szCs w:val="21"/>
                      <w:highlight w:val="none"/>
                      <w:u w:val="single" w:color="auto"/>
                    </w:rPr>
                  </w:pPr>
                  <w:r>
                    <w:rPr>
                      <w:i w:val="0"/>
                      <w:iCs w:val="0"/>
                      <w:color w:val="auto"/>
                      <w:szCs w:val="21"/>
                      <w:highlight w:val="none"/>
                      <w:u w:val="single" w:color="auto"/>
                    </w:rPr>
                    <w:t>/</w:t>
                  </w:r>
                </w:p>
              </w:tc>
              <w:tc>
                <w:tcPr>
                  <w:tcW w:w="825" w:type="pct"/>
                  <w:noWrap/>
                  <w:vAlign w:val="center"/>
                </w:tcPr>
                <w:p w14:paraId="7EF30B8D">
                  <w:pPr>
                    <w:jc w:val="center"/>
                    <w:rPr>
                      <w:i w:val="0"/>
                      <w:iCs w:val="0"/>
                      <w:color w:val="auto"/>
                      <w:szCs w:val="21"/>
                      <w:highlight w:val="none"/>
                      <w:u w:val="single" w:color="auto"/>
                    </w:rPr>
                  </w:pPr>
                  <w:r>
                    <w:rPr>
                      <w:i w:val="0"/>
                      <w:iCs w:val="0"/>
                      <w:color w:val="auto"/>
                      <w:szCs w:val="21"/>
                      <w:highlight w:val="none"/>
                      <w:u w:val="single" w:color="auto"/>
                    </w:rPr>
                    <w:t>/</w:t>
                  </w:r>
                </w:p>
              </w:tc>
            </w:tr>
            <w:tr w14:paraId="5669C07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6" w:type="pct"/>
                <w:trHeight w:val="170" w:hRule="atLeast"/>
              </w:trPr>
              <w:tc>
                <w:tcPr>
                  <w:tcW w:w="767" w:type="pct"/>
                  <w:noWrap w:val="0"/>
                  <w:vAlign w:val="center"/>
                </w:tcPr>
                <w:p w14:paraId="2F9F2CA2">
                  <w:pPr>
                    <w:widowControl/>
                    <w:jc w:val="center"/>
                    <w:textAlignment w:val="center"/>
                    <w:rPr>
                      <w:rFonts w:hint="eastAsia" w:eastAsia="宋体"/>
                      <w:i w:val="0"/>
                      <w:iCs w:val="0"/>
                      <w:color w:val="auto"/>
                      <w:szCs w:val="21"/>
                      <w:highlight w:val="none"/>
                      <w:u w:val="none" w:color="auto"/>
                      <w:lang w:val="en-US" w:eastAsia="zh-CN"/>
                    </w:rPr>
                  </w:pPr>
                  <w:r>
                    <w:rPr>
                      <w:rFonts w:hint="eastAsia"/>
                      <w:i w:val="0"/>
                      <w:iCs w:val="0"/>
                      <w:color w:val="auto"/>
                      <w:kern w:val="0"/>
                      <w:szCs w:val="21"/>
                      <w:highlight w:val="none"/>
                      <w:u w:val="none" w:color="auto"/>
                      <w:lang w:val="en-US" w:eastAsia="zh-CN" w:bidi="ar"/>
                    </w:rPr>
                    <w:t>/</w:t>
                  </w:r>
                </w:p>
              </w:tc>
              <w:tc>
                <w:tcPr>
                  <w:tcW w:w="923" w:type="pct"/>
                  <w:noWrap w:val="0"/>
                  <w:vAlign w:val="center"/>
                </w:tcPr>
                <w:p w14:paraId="242F63AD">
                  <w:pPr>
                    <w:widowControl/>
                    <w:jc w:val="center"/>
                    <w:textAlignment w:val="center"/>
                    <w:rPr>
                      <w:rFonts w:hint="default" w:eastAsia="宋体"/>
                      <w:i w:val="0"/>
                      <w:iCs w:val="0"/>
                      <w:color w:val="auto"/>
                      <w:szCs w:val="21"/>
                      <w:highlight w:val="none"/>
                      <w:u w:val="none" w:color="auto"/>
                      <w:lang w:val="en-US" w:eastAsia="zh-CN"/>
                    </w:rPr>
                  </w:pPr>
                  <w:r>
                    <w:rPr>
                      <w:rFonts w:hint="eastAsia"/>
                      <w:i w:val="0"/>
                      <w:iCs w:val="0"/>
                      <w:color w:val="auto"/>
                      <w:szCs w:val="21"/>
                      <w:highlight w:val="none"/>
                      <w:u w:val="none" w:color="auto"/>
                      <w:lang w:val="en-US" w:eastAsia="zh-CN"/>
                    </w:rPr>
                    <w:t>/</w:t>
                  </w:r>
                </w:p>
              </w:tc>
              <w:tc>
                <w:tcPr>
                  <w:tcW w:w="772" w:type="pct"/>
                  <w:noWrap w:val="0"/>
                  <w:vAlign w:val="center"/>
                </w:tcPr>
                <w:p w14:paraId="3F931C55">
                  <w:pPr>
                    <w:jc w:val="center"/>
                    <w:rPr>
                      <w:i w:val="0"/>
                      <w:iCs w:val="0"/>
                      <w:color w:val="auto"/>
                      <w:szCs w:val="21"/>
                      <w:highlight w:val="none"/>
                      <w:u w:val="none" w:color="auto"/>
                    </w:rPr>
                  </w:pPr>
                  <w:r>
                    <w:rPr>
                      <w:i w:val="0"/>
                      <w:iCs w:val="0"/>
                      <w:color w:val="auto"/>
                      <w:szCs w:val="21"/>
                      <w:highlight w:val="none"/>
                      <w:u w:val="none" w:color="auto"/>
                    </w:rPr>
                    <w:t>/</w:t>
                  </w:r>
                </w:p>
              </w:tc>
              <w:tc>
                <w:tcPr>
                  <w:tcW w:w="779" w:type="pct"/>
                  <w:noWrap w:val="0"/>
                  <w:vAlign w:val="center"/>
                </w:tcPr>
                <w:p w14:paraId="51169503">
                  <w:pPr>
                    <w:jc w:val="center"/>
                    <w:rPr>
                      <w:i w:val="0"/>
                      <w:iCs w:val="0"/>
                      <w:color w:val="auto"/>
                      <w:szCs w:val="21"/>
                      <w:highlight w:val="none"/>
                      <w:u w:val="none" w:color="auto"/>
                    </w:rPr>
                  </w:pPr>
                  <w:r>
                    <w:rPr>
                      <w:i w:val="0"/>
                      <w:iCs w:val="0"/>
                      <w:color w:val="auto"/>
                      <w:szCs w:val="21"/>
                      <w:highlight w:val="none"/>
                      <w:u w:val="none" w:color="auto"/>
                    </w:rPr>
                    <w:t>/</w:t>
                  </w:r>
                </w:p>
              </w:tc>
              <w:tc>
                <w:tcPr>
                  <w:tcW w:w="915" w:type="pct"/>
                  <w:noWrap w:val="0"/>
                  <w:vAlign w:val="center"/>
                </w:tcPr>
                <w:p w14:paraId="02AE5411">
                  <w:pPr>
                    <w:jc w:val="center"/>
                    <w:rPr>
                      <w:i w:val="0"/>
                      <w:iCs w:val="0"/>
                      <w:color w:val="auto"/>
                      <w:szCs w:val="21"/>
                      <w:highlight w:val="none"/>
                      <w:u w:val="single" w:color="auto"/>
                    </w:rPr>
                  </w:pPr>
                  <w:r>
                    <w:rPr>
                      <w:i w:val="0"/>
                      <w:iCs w:val="0"/>
                      <w:color w:val="auto"/>
                      <w:szCs w:val="21"/>
                      <w:highlight w:val="none"/>
                      <w:u w:val="single" w:color="auto"/>
                    </w:rPr>
                    <w:t>/</w:t>
                  </w:r>
                </w:p>
              </w:tc>
              <w:tc>
                <w:tcPr>
                  <w:tcW w:w="825" w:type="pct"/>
                  <w:noWrap w:val="0"/>
                  <w:vAlign w:val="center"/>
                </w:tcPr>
                <w:p w14:paraId="218B63A9">
                  <w:pPr>
                    <w:jc w:val="center"/>
                    <w:rPr>
                      <w:i w:val="0"/>
                      <w:iCs w:val="0"/>
                      <w:color w:val="auto"/>
                      <w:szCs w:val="21"/>
                      <w:highlight w:val="none"/>
                      <w:u w:val="single" w:color="auto"/>
                    </w:rPr>
                  </w:pPr>
                  <w:r>
                    <w:rPr>
                      <w:i w:val="0"/>
                      <w:iCs w:val="0"/>
                      <w:color w:val="auto"/>
                      <w:szCs w:val="21"/>
                      <w:highlight w:val="none"/>
                      <w:u w:val="single" w:color="auto"/>
                    </w:rPr>
                    <w:t>/</w:t>
                  </w:r>
                </w:p>
              </w:tc>
            </w:tr>
            <w:tr w14:paraId="5ACDA83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767" w:type="pct"/>
                  <w:noWrap w:val="0"/>
                  <w:vAlign w:val="center"/>
                </w:tcPr>
                <w:p w14:paraId="6448129D">
                  <w:pPr>
                    <w:widowControl/>
                    <w:jc w:val="center"/>
                    <w:textAlignment w:val="center"/>
                    <w:rPr>
                      <w:i w:val="0"/>
                      <w:iCs w:val="0"/>
                      <w:color w:val="auto"/>
                      <w:szCs w:val="21"/>
                      <w:highlight w:val="none"/>
                      <w:u w:val="none" w:color="auto"/>
                    </w:rPr>
                  </w:pPr>
                  <w:r>
                    <w:rPr>
                      <w:i w:val="0"/>
                      <w:iCs w:val="0"/>
                      <w:color w:val="auto"/>
                      <w:kern w:val="0"/>
                      <w:szCs w:val="21"/>
                      <w:highlight w:val="none"/>
                      <w:u w:val="none" w:color="auto"/>
                      <w:lang w:bidi="ar"/>
                    </w:rPr>
                    <w:t>小计</w:t>
                  </w:r>
                </w:p>
              </w:tc>
              <w:tc>
                <w:tcPr>
                  <w:tcW w:w="923" w:type="pct"/>
                  <w:noWrap w:val="0"/>
                  <w:vAlign w:val="center"/>
                </w:tcPr>
                <w:p w14:paraId="344FC2AD">
                  <w:pPr>
                    <w:widowControl/>
                    <w:jc w:val="center"/>
                    <w:textAlignment w:val="center"/>
                    <w:rPr>
                      <w:rFonts w:hint="default" w:eastAsia="宋体"/>
                      <w:i w:val="0"/>
                      <w:iCs w:val="0"/>
                      <w:color w:val="auto"/>
                      <w:szCs w:val="21"/>
                      <w:highlight w:val="none"/>
                      <w:u w:val="none" w:color="auto"/>
                      <w:lang w:val="en-US" w:eastAsia="zh-CN"/>
                    </w:rPr>
                  </w:pPr>
                  <w:r>
                    <w:rPr>
                      <w:rFonts w:hint="eastAsia"/>
                      <w:i w:val="0"/>
                      <w:iCs w:val="0"/>
                      <w:color w:val="auto"/>
                      <w:szCs w:val="21"/>
                      <w:highlight w:val="none"/>
                      <w:u w:val="none" w:color="auto"/>
                      <w:lang w:val="en-US" w:eastAsia="zh-CN"/>
                    </w:rPr>
                    <w:t>360120.311</w:t>
                  </w:r>
                </w:p>
              </w:tc>
              <w:tc>
                <w:tcPr>
                  <w:tcW w:w="772" w:type="pct"/>
                  <w:noWrap w:val="0"/>
                  <w:vAlign w:val="center"/>
                </w:tcPr>
                <w:p w14:paraId="472126A2">
                  <w:pPr>
                    <w:widowControl/>
                    <w:jc w:val="center"/>
                    <w:textAlignment w:val="center"/>
                    <w:rPr>
                      <w:i w:val="0"/>
                      <w:iCs w:val="0"/>
                      <w:color w:val="auto"/>
                      <w:szCs w:val="21"/>
                      <w:highlight w:val="none"/>
                      <w:u w:val="none" w:color="auto"/>
                    </w:rPr>
                  </w:pPr>
                  <w:r>
                    <w:rPr>
                      <w:i w:val="0"/>
                      <w:iCs w:val="0"/>
                      <w:color w:val="auto"/>
                      <w:kern w:val="0"/>
                      <w:szCs w:val="21"/>
                      <w:highlight w:val="none"/>
                      <w:u w:val="none" w:color="auto"/>
                      <w:lang w:bidi="ar"/>
                    </w:rPr>
                    <w:t>小计</w:t>
                  </w:r>
                </w:p>
              </w:tc>
              <w:tc>
                <w:tcPr>
                  <w:tcW w:w="779" w:type="pct"/>
                  <w:noWrap w:val="0"/>
                  <w:vAlign w:val="center"/>
                </w:tcPr>
                <w:p w14:paraId="6C002531">
                  <w:pPr>
                    <w:widowControl/>
                    <w:jc w:val="center"/>
                    <w:textAlignment w:val="center"/>
                    <w:rPr>
                      <w:rFonts w:hint="default" w:eastAsia="宋体"/>
                      <w:i w:val="0"/>
                      <w:iCs w:val="0"/>
                      <w:color w:val="auto"/>
                      <w:szCs w:val="21"/>
                      <w:highlight w:val="none"/>
                      <w:u w:val="none" w:color="auto"/>
                      <w:lang w:val="en-US" w:eastAsia="zh-CN"/>
                    </w:rPr>
                  </w:pPr>
                  <w:r>
                    <w:rPr>
                      <w:rFonts w:hint="eastAsia"/>
                      <w:i w:val="0"/>
                      <w:iCs w:val="0"/>
                      <w:color w:val="auto"/>
                      <w:szCs w:val="21"/>
                      <w:highlight w:val="none"/>
                      <w:u w:val="none" w:color="auto"/>
                      <w:lang w:val="en-US" w:eastAsia="zh-CN"/>
                    </w:rPr>
                    <w:t>360000</w:t>
                  </w:r>
                </w:p>
              </w:tc>
              <w:tc>
                <w:tcPr>
                  <w:tcW w:w="915" w:type="pct"/>
                  <w:noWrap w:val="0"/>
                  <w:vAlign w:val="center"/>
                </w:tcPr>
                <w:p w14:paraId="3511959B">
                  <w:pPr>
                    <w:widowControl/>
                    <w:jc w:val="center"/>
                    <w:textAlignment w:val="center"/>
                    <w:rPr>
                      <w:i w:val="0"/>
                      <w:iCs w:val="0"/>
                      <w:color w:val="auto"/>
                      <w:szCs w:val="21"/>
                      <w:highlight w:val="none"/>
                      <w:u w:val="single" w:color="auto"/>
                    </w:rPr>
                  </w:pPr>
                  <w:r>
                    <w:rPr>
                      <w:i w:val="0"/>
                      <w:iCs w:val="0"/>
                      <w:color w:val="auto"/>
                      <w:kern w:val="0"/>
                      <w:szCs w:val="21"/>
                      <w:highlight w:val="none"/>
                      <w:u w:val="single" w:color="auto"/>
                      <w:lang w:bidi="ar"/>
                    </w:rPr>
                    <w:t>小计</w:t>
                  </w:r>
                </w:p>
              </w:tc>
              <w:tc>
                <w:tcPr>
                  <w:tcW w:w="842" w:type="pct"/>
                  <w:gridSpan w:val="2"/>
                  <w:noWrap w:val="0"/>
                  <w:vAlign w:val="center"/>
                </w:tcPr>
                <w:p w14:paraId="2E99A23D">
                  <w:pPr>
                    <w:widowControl/>
                    <w:jc w:val="center"/>
                    <w:textAlignment w:val="center"/>
                    <w:rPr>
                      <w:rFonts w:hint="default" w:eastAsia="宋体"/>
                      <w:i w:val="0"/>
                      <w:iCs w:val="0"/>
                      <w:color w:val="auto"/>
                      <w:szCs w:val="21"/>
                      <w:highlight w:val="none"/>
                      <w:u w:val="single" w:color="auto"/>
                      <w:lang w:val="en-US" w:eastAsia="zh-CN"/>
                    </w:rPr>
                  </w:pPr>
                  <w:r>
                    <w:rPr>
                      <w:rFonts w:hint="eastAsia"/>
                      <w:i w:val="0"/>
                      <w:iCs w:val="0"/>
                      <w:color w:val="auto"/>
                      <w:szCs w:val="21"/>
                      <w:highlight w:val="none"/>
                      <w:u w:val="single" w:color="auto"/>
                      <w:lang w:val="en-US" w:eastAsia="zh-CN"/>
                    </w:rPr>
                    <w:t>120.311</w:t>
                  </w:r>
                </w:p>
              </w:tc>
            </w:tr>
            <w:tr w14:paraId="7EC8205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691" w:type="pct"/>
                  <w:gridSpan w:val="2"/>
                  <w:noWrap w:val="0"/>
                  <w:vAlign w:val="center"/>
                </w:tcPr>
                <w:p w14:paraId="628DCDB8">
                  <w:pPr>
                    <w:widowControl/>
                    <w:jc w:val="center"/>
                    <w:textAlignment w:val="center"/>
                    <w:rPr>
                      <w:rFonts w:hint="default"/>
                      <w:i w:val="0"/>
                      <w:iCs w:val="0"/>
                      <w:color w:val="auto"/>
                      <w:szCs w:val="21"/>
                      <w:highlight w:val="none"/>
                      <w:u w:val="none" w:color="auto"/>
                      <w:lang w:val="en-US"/>
                    </w:rPr>
                  </w:pPr>
                  <w:r>
                    <w:rPr>
                      <w:rFonts w:hint="eastAsia"/>
                      <w:i w:val="0"/>
                      <w:iCs w:val="0"/>
                      <w:color w:val="auto"/>
                      <w:szCs w:val="21"/>
                      <w:highlight w:val="none"/>
                      <w:u w:val="none" w:color="auto"/>
                      <w:lang w:val="en-US" w:eastAsia="zh-CN"/>
                    </w:rPr>
                    <w:t>360120.311</w:t>
                  </w:r>
                </w:p>
              </w:tc>
              <w:tc>
                <w:tcPr>
                  <w:tcW w:w="3308" w:type="pct"/>
                  <w:gridSpan w:val="5"/>
                  <w:noWrap w:val="0"/>
                  <w:vAlign w:val="center"/>
                </w:tcPr>
                <w:p w14:paraId="52B54A3F">
                  <w:pPr>
                    <w:widowControl/>
                    <w:jc w:val="center"/>
                    <w:textAlignment w:val="center"/>
                    <w:rPr>
                      <w:rFonts w:hint="default"/>
                      <w:i w:val="0"/>
                      <w:iCs w:val="0"/>
                      <w:color w:val="auto"/>
                      <w:kern w:val="0"/>
                      <w:szCs w:val="21"/>
                      <w:highlight w:val="none"/>
                      <w:u w:val="none" w:color="auto"/>
                      <w:lang w:val="en-US" w:eastAsia="zh-CN" w:bidi="ar"/>
                    </w:rPr>
                  </w:pPr>
                  <w:r>
                    <w:rPr>
                      <w:rFonts w:hint="eastAsia"/>
                      <w:i w:val="0"/>
                      <w:iCs w:val="0"/>
                      <w:color w:val="auto"/>
                      <w:szCs w:val="21"/>
                      <w:highlight w:val="none"/>
                      <w:u w:val="none" w:color="auto"/>
                      <w:lang w:val="en-US" w:eastAsia="zh-CN"/>
                    </w:rPr>
                    <w:t>360120.311</w:t>
                  </w:r>
                </w:p>
              </w:tc>
            </w:tr>
          </w:tbl>
          <w:p w14:paraId="4135C387">
            <w:pPr>
              <w:pStyle w:val="2"/>
              <w:jc w:val="center"/>
              <w:rPr>
                <w:rFonts w:hint="eastAsia" w:eastAsia="宋体"/>
                <w:highlight w:val="none"/>
                <w:u w:val="none" w:color="auto"/>
                <w:lang w:eastAsia="zh-CN"/>
              </w:rPr>
            </w:pPr>
          </w:p>
          <w:p w14:paraId="4C5AD013">
            <w:pPr>
              <w:adjustRightInd w:val="0"/>
              <w:spacing w:line="360" w:lineRule="auto"/>
              <w:ind w:firstLine="482" w:firstLineChars="200"/>
              <w:jc w:val="left"/>
              <w:rPr>
                <w:b/>
                <w:bCs/>
                <w:sz w:val="24"/>
                <w:szCs w:val="24"/>
                <w:highlight w:val="none"/>
              </w:rPr>
            </w:pPr>
            <w:r>
              <w:rPr>
                <w:rFonts w:hint="eastAsia"/>
                <w:b/>
                <w:bCs/>
                <w:color w:val="000000"/>
                <w:sz w:val="24"/>
                <w:szCs w:val="24"/>
                <w:highlight w:val="none"/>
                <w:lang w:val="en-US" w:eastAsia="zh-CN"/>
              </w:rPr>
              <w:t>8</w:t>
            </w:r>
            <w:r>
              <w:rPr>
                <w:b/>
                <w:bCs/>
                <w:color w:val="000000"/>
                <w:sz w:val="24"/>
                <w:szCs w:val="24"/>
                <w:highlight w:val="none"/>
              </w:rPr>
              <w:t>、厂区平面布置</w:t>
            </w:r>
          </w:p>
          <w:p w14:paraId="4343CE54">
            <w:pPr>
              <w:pStyle w:val="58"/>
              <w:adjustRightInd w:val="0"/>
              <w:ind w:firstLine="420"/>
              <w:rPr>
                <w:sz w:val="24"/>
                <w:szCs w:val="24"/>
                <w:highlight w:val="none"/>
              </w:rPr>
            </w:pPr>
            <w:r>
              <w:rPr>
                <w:rFonts w:hint="eastAsia"/>
                <w:sz w:val="24"/>
                <w:szCs w:val="24"/>
                <w:highlight w:val="none"/>
              </w:rPr>
              <w:t>厂区生产区范围呈</w:t>
            </w:r>
            <w:r>
              <w:rPr>
                <w:rFonts w:hint="eastAsia"/>
                <w:sz w:val="24"/>
                <w:szCs w:val="24"/>
                <w:highlight w:val="none"/>
                <w:lang w:val="en-US" w:eastAsia="zh-CN"/>
              </w:rPr>
              <w:t>横向分布</w:t>
            </w:r>
            <w:r>
              <w:rPr>
                <w:rFonts w:hint="eastAsia"/>
                <w:sz w:val="24"/>
                <w:szCs w:val="24"/>
                <w:highlight w:val="none"/>
              </w:rPr>
              <w:t>，</w:t>
            </w:r>
            <w:r>
              <w:rPr>
                <w:rFonts w:hint="eastAsia"/>
                <w:sz w:val="24"/>
                <w:szCs w:val="24"/>
                <w:highlight w:val="none"/>
                <w:lang w:eastAsia="zh-CN"/>
              </w:rPr>
              <w:t>从东北到西南为搅拌站作业区、堆料区、办公</w:t>
            </w:r>
            <w:r>
              <w:rPr>
                <w:rFonts w:hint="eastAsia"/>
                <w:sz w:val="24"/>
                <w:szCs w:val="24"/>
                <w:highlight w:val="none"/>
                <w:lang w:val="en-US" w:eastAsia="zh-CN"/>
              </w:rPr>
              <w:t>生活区位于生产区东北侧</w:t>
            </w:r>
            <w:r>
              <w:rPr>
                <w:rFonts w:hint="eastAsia"/>
                <w:sz w:val="24"/>
                <w:szCs w:val="24"/>
                <w:highlight w:val="none"/>
                <w:lang w:eastAsia="zh-CN"/>
              </w:rPr>
              <w:t>。厂区</w:t>
            </w:r>
            <w:r>
              <w:rPr>
                <w:rFonts w:hint="eastAsia"/>
                <w:sz w:val="24"/>
                <w:szCs w:val="24"/>
                <w:highlight w:val="none"/>
              </w:rPr>
              <w:t>配备较为完善的供电、通讯等基础设施，厂区平面布置详见附图</w:t>
            </w:r>
            <w:r>
              <w:rPr>
                <w:rFonts w:hint="eastAsia"/>
                <w:sz w:val="24"/>
                <w:szCs w:val="24"/>
                <w:highlight w:val="none"/>
                <w:lang w:val="en-US" w:eastAsia="zh-CN"/>
              </w:rPr>
              <w:t>3</w:t>
            </w:r>
            <w:r>
              <w:rPr>
                <w:sz w:val="24"/>
                <w:szCs w:val="24"/>
                <w:highlight w:val="none"/>
              </w:rPr>
              <w:t>。</w:t>
            </w:r>
          </w:p>
          <w:p w14:paraId="6770333F">
            <w:pPr>
              <w:adjustRightInd w:val="0"/>
              <w:spacing w:line="360" w:lineRule="auto"/>
              <w:ind w:firstLine="482" w:firstLineChars="200"/>
              <w:jc w:val="left"/>
              <w:rPr>
                <w:b/>
                <w:bCs/>
                <w:sz w:val="24"/>
                <w:szCs w:val="24"/>
                <w:highlight w:val="none"/>
              </w:rPr>
            </w:pPr>
            <w:r>
              <w:rPr>
                <w:rFonts w:hint="eastAsia"/>
                <w:b/>
                <w:bCs/>
                <w:sz w:val="24"/>
                <w:szCs w:val="24"/>
                <w:highlight w:val="none"/>
                <w:lang w:val="en-US" w:eastAsia="zh-CN"/>
              </w:rPr>
              <w:t>9</w:t>
            </w:r>
            <w:r>
              <w:rPr>
                <w:b/>
                <w:bCs/>
                <w:sz w:val="24"/>
                <w:szCs w:val="24"/>
                <w:highlight w:val="none"/>
              </w:rPr>
              <w:t>、劳动定员及工作制度</w:t>
            </w:r>
          </w:p>
          <w:p w14:paraId="20EDA5F7">
            <w:pPr>
              <w:adjustRightInd w:val="0"/>
              <w:spacing w:line="360" w:lineRule="auto"/>
              <w:ind w:firstLine="480" w:firstLineChars="200"/>
              <w:jc w:val="left"/>
              <w:rPr>
                <w:sz w:val="24"/>
                <w:szCs w:val="24"/>
                <w:highlight w:val="none"/>
                <w:u w:val="none"/>
              </w:rPr>
            </w:pPr>
            <w:r>
              <w:rPr>
                <w:rFonts w:hint="eastAsia"/>
                <w:sz w:val="24"/>
                <w:szCs w:val="24"/>
                <w:highlight w:val="none"/>
                <w:u w:val="none"/>
              </w:rPr>
              <w:t>项目劳动定员30人，年生产天数240天，冬季停产；实行单班制，每班作业10h。项目不设置职工食堂，员工统一订餐。</w:t>
            </w:r>
          </w:p>
          <w:p w14:paraId="6F6DB28C">
            <w:pPr>
              <w:adjustRightInd w:val="0"/>
              <w:snapToGrid w:val="0"/>
              <w:spacing w:line="360" w:lineRule="auto"/>
              <w:ind w:firstLine="482" w:firstLineChars="200"/>
              <w:rPr>
                <w:b/>
                <w:bCs/>
                <w:color w:val="auto"/>
                <w:sz w:val="24"/>
                <w:highlight w:val="none"/>
                <w:u w:val="single"/>
              </w:rPr>
            </w:pPr>
            <w:r>
              <w:rPr>
                <w:rFonts w:hint="eastAsia"/>
                <w:b/>
                <w:bCs/>
                <w:color w:val="auto"/>
                <w:sz w:val="24"/>
                <w:highlight w:val="none"/>
                <w:u w:val="single"/>
                <w:lang w:val="en-US" w:eastAsia="zh-CN"/>
              </w:rPr>
              <w:t>10</w:t>
            </w:r>
            <w:r>
              <w:rPr>
                <w:b/>
                <w:bCs/>
                <w:color w:val="auto"/>
                <w:sz w:val="24"/>
                <w:highlight w:val="none"/>
                <w:u w:val="single"/>
              </w:rPr>
              <w:t>、土石方量</w:t>
            </w:r>
          </w:p>
          <w:p w14:paraId="146155DF">
            <w:pPr>
              <w:adjustRightInd w:val="0"/>
              <w:snapToGrid w:val="0"/>
              <w:spacing w:line="360" w:lineRule="auto"/>
              <w:ind w:firstLine="480" w:firstLineChars="200"/>
              <w:rPr>
                <w:color w:val="auto"/>
                <w:sz w:val="24"/>
                <w:highlight w:val="none"/>
                <w:u w:val="single"/>
              </w:rPr>
            </w:pPr>
            <w:r>
              <w:rPr>
                <w:color w:val="auto"/>
                <w:sz w:val="24"/>
                <w:highlight w:val="none"/>
                <w:u w:val="single"/>
              </w:rPr>
              <w:t>本项目土方填挖量不大，</w:t>
            </w:r>
            <w:r>
              <w:rPr>
                <w:rFonts w:hint="eastAsia"/>
                <w:color w:val="auto"/>
                <w:sz w:val="24"/>
                <w:highlight w:val="none"/>
                <w:u w:val="single"/>
                <w:lang w:eastAsia="zh-CN"/>
              </w:rPr>
              <w:t>主要为沉淀池和初期雨水收集池开挖产生的土方，根据其池体设计尺寸，</w:t>
            </w:r>
            <w:r>
              <w:rPr>
                <w:color w:val="auto"/>
                <w:sz w:val="24"/>
                <w:highlight w:val="none"/>
                <w:u w:val="single"/>
              </w:rPr>
              <w:t>施工过程中挖方量为</w:t>
            </w:r>
            <w:r>
              <w:rPr>
                <w:rFonts w:hint="eastAsia"/>
                <w:color w:val="auto"/>
                <w:sz w:val="24"/>
                <w:highlight w:val="none"/>
                <w:u w:val="single"/>
                <w:lang w:val="en-US" w:eastAsia="zh-CN"/>
              </w:rPr>
              <w:t>160</w:t>
            </w:r>
            <w:r>
              <w:rPr>
                <w:color w:val="auto"/>
                <w:sz w:val="24"/>
                <w:highlight w:val="none"/>
                <w:u w:val="single"/>
              </w:rPr>
              <w:t>m</w:t>
            </w:r>
            <w:r>
              <w:rPr>
                <w:color w:val="auto"/>
                <w:sz w:val="24"/>
                <w:highlight w:val="none"/>
                <w:u w:val="single"/>
                <w:vertAlign w:val="superscript"/>
              </w:rPr>
              <w:t>3</w:t>
            </w:r>
            <w:r>
              <w:rPr>
                <w:color w:val="auto"/>
                <w:sz w:val="24"/>
                <w:highlight w:val="none"/>
                <w:u w:val="single"/>
              </w:rPr>
              <w:t>，</w:t>
            </w:r>
            <w:r>
              <w:rPr>
                <w:rFonts w:hint="eastAsia"/>
                <w:color w:val="auto"/>
                <w:sz w:val="24"/>
                <w:highlight w:val="none"/>
                <w:u w:val="single"/>
                <w:lang w:eastAsia="zh-CN"/>
              </w:rPr>
              <w:t>临时用地厂区不平，挖方量全部用于厂区地面平整，</w:t>
            </w:r>
            <w:r>
              <w:rPr>
                <w:color w:val="auto"/>
                <w:sz w:val="24"/>
                <w:highlight w:val="none"/>
                <w:u w:val="single"/>
              </w:rPr>
              <w:t>填方量为</w:t>
            </w:r>
            <w:r>
              <w:rPr>
                <w:rFonts w:hint="eastAsia"/>
                <w:color w:val="auto"/>
                <w:sz w:val="24"/>
                <w:highlight w:val="none"/>
                <w:u w:val="single"/>
                <w:lang w:val="en-US" w:eastAsia="zh-CN"/>
              </w:rPr>
              <w:t>160</w:t>
            </w:r>
            <w:r>
              <w:rPr>
                <w:color w:val="auto"/>
                <w:sz w:val="24"/>
                <w:highlight w:val="none"/>
                <w:u w:val="single"/>
              </w:rPr>
              <w:t>m</w:t>
            </w:r>
            <w:r>
              <w:rPr>
                <w:color w:val="auto"/>
                <w:sz w:val="24"/>
                <w:highlight w:val="none"/>
                <w:u w:val="single"/>
                <w:vertAlign w:val="superscript"/>
              </w:rPr>
              <w:t>3</w:t>
            </w:r>
            <w:r>
              <w:rPr>
                <w:color w:val="auto"/>
                <w:sz w:val="24"/>
                <w:highlight w:val="none"/>
                <w:u w:val="single"/>
              </w:rPr>
              <w:t>，</w:t>
            </w:r>
            <w:r>
              <w:rPr>
                <w:rFonts w:hint="eastAsia"/>
                <w:color w:val="auto"/>
                <w:sz w:val="24"/>
                <w:highlight w:val="none"/>
                <w:u w:val="single"/>
                <w:lang w:eastAsia="zh-CN"/>
              </w:rPr>
              <w:t>无</w:t>
            </w:r>
            <w:r>
              <w:rPr>
                <w:color w:val="auto"/>
                <w:sz w:val="24"/>
                <w:highlight w:val="none"/>
                <w:u w:val="single"/>
              </w:rPr>
              <w:t>弃方。土石方工程量平衡详见</w:t>
            </w:r>
            <w:r>
              <w:rPr>
                <w:rFonts w:hint="eastAsia"/>
                <w:color w:val="auto"/>
                <w:sz w:val="24"/>
                <w:highlight w:val="none"/>
                <w:u w:val="single"/>
                <w:lang w:eastAsia="zh-CN"/>
              </w:rPr>
              <w:t>下表</w:t>
            </w:r>
            <w:r>
              <w:rPr>
                <w:color w:val="auto"/>
                <w:sz w:val="24"/>
                <w:highlight w:val="none"/>
                <w:u w:val="single"/>
              </w:rPr>
              <w:t>。</w:t>
            </w:r>
          </w:p>
          <w:p w14:paraId="50718542">
            <w:pPr>
              <w:keepNext w:val="0"/>
              <w:keepLines w:val="0"/>
              <w:pageBreakBefore w:val="0"/>
              <w:widowControl w:val="0"/>
              <w:kinsoku/>
              <w:wordWrap/>
              <w:overflowPunct/>
              <w:topLinePunct w:val="0"/>
              <w:autoSpaceDE/>
              <w:autoSpaceDN/>
              <w:bidi w:val="0"/>
              <w:adjustRightInd w:val="0"/>
              <w:snapToGrid w:val="0"/>
              <w:jc w:val="center"/>
              <w:textAlignment w:val="auto"/>
              <w:rPr>
                <w:b/>
                <w:bCs/>
                <w:color w:val="auto"/>
                <w:sz w:val="24"/>
                <w:highlight w:val="none"/>
                <w:u w:val="single"/>
              </w:rPr>
            </w:pPr>
            <w:r>
              <w:rPr>
                <w:b/>
                <w:bCs/>
                <w:color w:val="auto"/>
                <w:sz w:val="24"/>
                <w:highlight w:val="none"/>
                <w:u w:val="single"/>
              </w:rPr>
              <w:t>表</w:t>
            </w:r>
            <w:r>
              <w:rPr>
                <w:rFonts w:hint="eastAsia"/>
                <w:b/>
                <w:bCs/>
                <w:color w:val="auto"/>
                <w:sz w:val="24"/>
                <w:highlight w:val="none"/>
                <w:u w:val="single"/>
                <w:lang w:val="en-US" w:eastAsia="zh-CN"/>
              </w:rPr>
              <w:t>2-7</w:t>
            </w:r>
            <w:r>
              <w:rPr>
                <w:b/>
                <w:bCs/>
                <w:color w:val="auto"/>
                <w:sz w:val="24"/>
                <w:highlight w:val="none"/>
                <w:u w:val="single"/>
              </w:rPr>
              <w:t xml:space="preserve">  土石方工程量</w:t>
            </w:r>
          </w:p>
          <w:tbl>
            <w:tblPr>
              <w:tblStyle w:val="25"/>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813"/>
              <w:gridCol w:w="1922"/>
              <w:gridCol w:w="2026"/>
              <w:gridCol w:w="2547"/>
            </w:tblGrid>
            <w:tr w14:paraId="660469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1091" w:type="pct"/>
                  <w:noWrap/>
                  <w:vAlign w:val="center"/>
                </w:tcPr>
                <w:p w14:paraId="459E30B4">
                  <w:pPr>
                    <w:jc w:val="center"/>
                    <w:rPr>
                      <w:color w:val="auto"/>
                      <w:szCs w:val="21"/>
                      <w:highlight w:val="none"/>
                      <w:u w:val="single"/>
                    </w:rPr>
                  </w:pPr>
                  <w:r>
                    <w:rPr>
                      <w:color w:val="auto"/>
                      <w:szCs w:val="21"/>
                      <w:highlight w:val="none"/>
                      <w:u w:val="single"/>
                    </w:rPr>
                    <w:t>挖方</w:t>
                  </w:r>
                </w:p>
              </w:tc>
              <w:tc>
                <w:tcPr>
                  <w:tcW w:w="1156" w:type="pct"/>
                  <w:noWrap/>
                  <w:vAlign w:val="center"/>
                </w:tcPr>
                <w:p w14:paraId="5FA85B3F">
                  <w:pPr>
                    <w:jc w:val="center"/>
                    <w:rPr>
                      <w:color w:val="auto"/>
                      <w:szCs w:val="21"/>
                      <w:highlight w:val="none"/>
                      <w:u w:val="single"/>
                    </w:rPr>
                  </w:pPr>
                  <w:r>
                    <w:rPr>
                      <w:color w:val="auto"/>
                      <w:szCs w:val="21"/>
                      <w:highlight w:val="none"/>
                      <w:u w:val="single"/>
                    </w:rPr>
                    <w:t>填方</w:t>
                  </w:r>
                </w:p>
              </w:tc>
              <w:tc>
                <w:tcPr>
                  <w:tcW w:w="1219" w:type="pct"/>
                  <w:noWrap/>
                  <w:vAlign w:val="center"/>
                </w:tcPr>
                <w:p w14:paraId="021B486B">
                  <w:pPr>
                    <w:jc w:val="center"/>
                    <w:rPr>
                      <w:color w:val="auto"/>
                      <w:szCs w:val="21"/>
                      <w:highlight w:val="none"/>
                      <w:u w:val="single"/>
                    </w:rPr>
                  </w:pPr>
                  <w:r>
                    <w:rPr>
                      <w:color w:val="auto"/>
                      <w:szCs w:val="21"/>
                      <w:highlight w:val="none"/>
                      <w:u w:val="single"/>
                    </w:rPr>
                    <w:t>弃方</w:t>
                  </w:r>
                </w:p>
              </w:tc>
              <w:tc>
                <w:tcPr>
                  <w:tcW w:w="1532" w:type="pct"/>
                  <w:noWrap/>
                  <w:vAlign w:val="center"/>
                </w:tcPr>
                <w:p w14:paraId="5C97D53B">
                  <w:pPr>
                    <w:jc w:val="center"/>
                    <w:rPr>
                      <w:color w:val="auto"/>
                      <w:szCs w:val="21"/>
                      <w:highlight w:val="none"/>
                      <w:u w:val="single"/>
                    </w:rPr>
                  </w:pPr>
                  <w:r>
                    <w:rPr>
                      <w:color w:val="auto"/>
                      <w:szCs w:val="21"/>
                      <w:highlight w:val="none"/>
                      <w:u w:val="single"/>
                    </w:rPr>
                    <w:t>备注</w:t>
                  </w:r>
                </w:p>
              </w:tc>
            </w:tr>
            <w:tr w14:paraId="7D3524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1091" w:type="pct"/>
                  <w:noWrap/>
                  <w:vAlign w:val="center"/>
                </w:tcPr>
                <w:p w14:paraId="0D4278EE">
                  <w:pPr>
                    <w:jc w:val="center"/>
                    <w:rPr>
                      <w:color w:val="auto"/>
                      <w:szCs w:val="21"/>
                      <w:highlight w:val="none"/>
                      <w:u w:val="single"/>
                    </w:rPr>
                  </w:pPr>
                  <w:r>
                    <w:rPr>
                      <w:rFonts w:hint="eastAsia"/>
                      <w:color w:val="auto"/>
                      <w:szCs w:val="21"/>
                      <w:highlight w:val="none"/>
                      <w:u w:val="single"/>
                      <w:lang w:val="en-US" w:eastAsia="zh-CN"/>
                    </w:rPr>
                    <w:t>160</w:t>
                  </w:r>
                  <w:r>
                    <w:rPr>
                      <w:color w:val="auto"/>
                      <w:szCs w:val="21"/>
                      <w:highlight w:val="none"/>
                      <w:u w:val="single"/>
                    </w:rPr>
                    <w:t>m</w:t>
                  </w:r>
                  <w:r>
                    <w:rPr>
                      <w:color w:val="auto"/>
                      <w:szCs w:val="21"/>
                      <w:highlight w:val="none"/>
                      <w:u w:val="single"/>
                      <w:vertAlign w:val="superscript"/>
                    </w:rPr>
                    <w:t>3</w:t>
                  </w:r>
                </w:p>
              </w:tc>
              <w:tc>
                <w:tcPr>
                  <w:tcW w:w="1156" w:type="pct"/>
                  <w:noWrap/>
                  <w:vAlign w:val="center"/>
                </w:tcPr>
                <w:p w14:paraId="31801AF5">
                  <w:pPr>
                    <w:jc w:val="center"/>
                    <w:rPr>
                      <w:color w:val="auto"/>
                      <w:szCs w:val="21"/>
                      <w:highlight w:val="none"/>
                      <w:u w:val="single"/>
                    </w:rPr>
                  </w:pPr>
                  <w:r>
                    <w:rPr>
                      <w:rFonts w:hint="eastAsia"/>
                      <w:color w:val="auto"/>
                      <w:szCs w:val="21"/>
                      <w:highlight w:val="none"/>
                      <w:u w:val="single"/>
                      <w:lang w:val="en-US" w:eastAsia="zh-CN"/>
                    </w:rPr>
                    <w:t>160</w:t>
                  </w:r>
                  <w:r>
                    <w:rPr>
                      <w:color w:val="auto"/>
                      <w:szCs w:val="21"/>
                      <w:highlight w:val="none"/>
                      <w:u w:val="single"/>
                    </w:rPr>
                    <w:t>m</w:t>
                  </w:r>
                  <w:r>
                    <w:rPr>
                      <w:color w:val="auto"/>
                      <w:szCs w:val="21"/>
                      <w:highlight w:val="none"/>
                      <w:u w:val="single"/>
                      <w:vertAlign w:val="superscript"/>
                    </w:rPr>
                    <w:t>3</w:t>
                  </w:r>
                </w:p>
              </w:tc>
              <w:tc>
                <w:tcPr>
                  <w:tcW w:w="1219" w:type="pct"/>
                  <w:noWrap/>
                  <w:vAlign w:val="center"/>
                </w:tcPr>
                <w:p w14:paraId="7BE5682A">
                  <w:pPr>
                    <w:jc w:val="center"/>
                    <w:rPr>
                      <w:color w:val="auto"/>
                      <w:szCs w:val="21"/>
                      <w:highlight w:val="none"/>
                      <w:u w:val="single"/>
                    </w:rPr>
                  </w:pPr>
                  <w:r>
                    <w:rPr>
                      <w:rFonts w:hint="eastAsia"/>
                      <w:color w:val="auto"/>
                      <w:szCs w:val="21"/>
                      <w:highlight w:val="none"/>
                      <w:u w:val="single"/>
                      <w:lang w:val="en-US" w:eastAsia="zh-CN"/>
                    </w:rPr>
                    <w:t>0</w:t>
                  </w:r>
                </w:p>
              </w:tc>
              <w:tc>
                <w:tcPr>
                  <w:tcW w:w="1532" w:type="pct"/>
                  <w:noWrap/>
                  <w:vAlign w:val="center"/>
                </w:tcPr>
                <w:p w14:paraId="78A6A3FA">
                  <w:pPr>
                    <w:adjustRightInd w:val="0"/>
                    <w:snapToGrid w:val="0"/>
                    <w:jc w:val="center"/>
                    <w:rPr>
                      <w:color w:val="auto"/>
                      <w:szCs w:val="21"/>
                      <w:highlight w:val="none"/>
                      <w:u w:val="single"/>
                    </w:rPr>
                  </w:pPr>
                  <w:r>
                    <w:rPr>
                      <w:rFonts w:hint="eastAsia"/>
                      <w:color w:val="auto"/>
                      <w:szCs w:val="21"/>
                      <w:highlight w:val="none"/>
                      <w:u w:val="single"/>
                      <w:lang w:eastAsia="zh-CN"/>
                    </w:rPr>
                    <w:t>填方</w:t>
                  </w:r>
                  <w:r>
                    <w:rPr>
                      <w:color w:val="auto"/>
                      <w:szCs w:val="21"/>
                      <w:highlight w:val="none"/>
                      <w:u w:val="single"/>
                    </w:rPr>
                    <w:t>用于厂区地面平整</w:t>
                  </w:r>
                </w:p>
              </w:tc>
            </w:tr>
          </w:tbl>
          <w:p w14:paraId="6288C29F">
            <w:pPr>
              <w:pStyle w:val="11"/>
              <w:keepNext w:val="0"/>
              <w:keepLines w:val="0"/>
              <w:pageBreakBefore w:val="0"/>
              <w:widowControl/>
              <w:kinsoku/>
              <w:wordWrap/>
              <w:overflowPunct/>
              <w:topLinePunct w:val="0"/>
              <w:autoSpaceDE/>
              <w:autoSpaceDN/>
              <w:bidi w:val="0"/>
              <w:adjustRightInd w:val="0"/>
              <w:snapToGrid/>
              <w:spacing w:before="0" w:beforeAutospacing="0" w:after="0" w:afterAutospacing="0" w:line="360" w:lineRule="auto"/>
              <w:ind w:firstLine="480" w:firstLineChars="200"/>
              <w:textAlignment w:val="auto"/>
              <w:rPr>
                <w:rFonts w:hint="eastAsia" w:ascii="Times New Roman" w:hAnsi="Times New Roman"/>
                <w:b w:val="0"/>
                <w:bCs w:val="0"/>
                <w:color w:val="auto"/>
                <w:sz w:val="24"/>
                <w:szCs w:val="24"/>
                <w:highlight w:val="none"/>
                <w:lang w:val="en-US" w:eastAsia="zh-CN"/>
              </w:rPr>
            </w:pPr>
          </w:p>
          <w:p w14:paraId="118209D1">
            <w:pPr>
              <w:pStyle w:val="11"/>
              <w:keepNext w:val="0"/>
              <w:keepLines w:val="0"/>
              <w:pageBreakBefore w:val="0"/>
              <w:widowControl/>
              <w:kinsoku/>
              <w:wordWrap/>
              <w:overflowPunct/>
              <w:topLinePunct w:val="0"/>
              <w:autoSpaceDE/>
              <w:autoSpaceDN/>
              <w:bidi w:val="0"/>
              <w:adjustRightInd w:val="0"/>
              <w:snapToGrid/>
              <w:spacing w:before="0" w:beforeAutospacing="0" w:after="0" w:afterAutospacing="0" w:line="360" w:lineRule="auto"/>
              <w:ind w:firstLine="482" w:firstLineChars="200"/>
              <w:textAlignment w:val="auto"/>
              <w:rPr>
                <w:rFonts w:ascii="Times New Roman" w:hAnsi="Times New Roman"/>
                <w:b/>
                <w:bCs/>
                <w:color w:val="auto"/>
                <w:sz w:val="24"/>
                <w:szCs w:val="24"/>
                <w:highlight w:val="none"/>
              </w:rPr>
            </w:pPr>
            <w:r>
              <w:rPr>
                <w:rFonts w:hint="eastAsia" w:ascii="Times New Roman" w:hAnsi="Times New Roman"/>
                <w:b/>
                <w:bCs/>
                <w:color w:val="auto"/>
                <w:sz w:val="24"/>
                <w:szCs w:val="24"/>
                <w:highlight w:val="none"/>
                <w:lang w:val="en-US" w:eastAsia="zh-CN"/>
              </w:rPr>
              <w:t>11</w:t>
            </w:r>
            <w:r>
              <w:rPr>
                <w:rFonts w:ascii="Times New Roman" w:hAnsi="Times New Roman"/>
                <w:b/>
                <w:bCs/>
                <w:color w:val="auto"/>
                <w:sz w:val="24"/>
                <w:szCs w:val="24"/>
                <w:highlight w:val="none"/>
              </w:rPr>
              <w:t>、公用工程</w:t>
            </w:r>
          </w:p>
          <w:p w14:paraId="30B6E19C">
            <w:pPr>
              <w:keepNext w:val="0"/>
              <w:keepLines w:val="0"/>
              <w:widowControl/>
              <w:suppressLineNumbers w:val="0"/>
              <w:spacing w:line="360" w:lineRule="auto"/>
              <w:ind w:firstLine="480" w:firstLineChars="200"/>
              <w:jc w:val="both"/>
              <w:rPr>
                <w:rFonts w:hint="eastAsia" w:eastAsia="宋体"/>
                <w:color w:val="auto"/>
                <w:sz w:val="24"/>
                <w:szCs w:val="24"/>
                <w:highlight w:val="none"/>
                <w:u w:val="none" w:color="auto"/>
                <w:lang w:eastAsia="zh-CN"/>
              </w:rPr>
            </w:pPr>
            <w:r>
              <w:rPr>
                <w:color w:val="auto"/>
                <w:sz w:val="24"/>
                <w:szCs w:val="24"/>
                <w:highlight w:val="none"/>
                <w:u w:val="none" w:color="auto"/>
              </w:rPr>
              <w:t>本项目</w:t>
            </w:r>
            <w:r>
              <w:rPr>
                <w:rFonts w:hint="eastAsia"/>
                <w:color w:val="auto"/>
                <w:sz w:val="24"/>
                <w:szCs w:val="24"/>
                <w:highlight w:val="none"/>
                <w:u w:val="none" w:color="auto"/>
                <w:lang w:val="en-US" w:eastAsia="zh-CN"/>
              </w:rPr>
              <w:t>用水为职工</w:t>
            </w:r>
            <w:r>
              <w:rPr>
                <w:color w:val="auto"/>
                <w:sz w:val="24"/>
                <w:szCs w:val="24"/>
                <w:highlight w:val="none"/>
                <w:u w:val="none" w:color="auto"/>
              </w:rPr>
              <w:t>生活用水</w:t>
            </w:r>
            <w:r>
              <w:rPr>
                <w:rFonts w:hint="eastAsia"/>
                <w:color w:val="auto"/>
                <w:sz w:val="24"/>
                <w:szCs w:val="24"/>
                <w:highlight w:val="none"/>
                <w:u w:val="none" w:color="auto"/>
                <w:lang w:val="en-US" w:eastAsia="zh-CN"/>
              </w:rPr>
              <w:t>及生产用水，生产用水包括混凝土搅拌用水、罐车清洗用水、设备清洗用水、降尘用水。生活用水、生产用水取自地下井水，</w:t>
            </w:r>
            <w:r>
              <w:rPr>
                <w:color w:val="auto"/>
                <w:sz w:val="24"/>
                <w:szCs w:val="24"/>
                <w:highlight w:val="none"/>
                <w:u w:val="none" w:color="auto"/>
              </w:rPr>
              <w:t>能够满足本项目用水需求。</w:t>
            </w:r>
            <w:r>
              <w:rPr>
                <w:rFonts w:hint="eastAsia"/>
                <w:color w:val="auto"/>
                <w:sz w:val="24"/>
                <w:szCs w:val="24"/>
                <w:highlight w:val="none"/>
                <w:u w:val="none" w:color="auto"/>
                <w:lang w:eastAsia="zh-CN"/>
              </w:rPr>
              <w:t>项目取水许可证正在办理中。</w:t>
            </w:r>
          </w:p>
          <w:p w14:paraId="0E354BDF">
            <w:pPr>
              <w:pStyle w:val="59"/>
              <w:ind w:firstLine="420"/>
              <w:rPr>
                <w:rFonts w:ascii="Times New Roman" w:hAnsi="Times New Roman"/>
                <w:iCs/>
                <w:color w:val="000000" w:themeColor="text1"/>
                <w:sz w:val="24"/>
                <w:szCs w:val="24"/>
                <w:highlight w:val="none"/>
                <w:u w:val="none" w:color="auto"/>
                <w14:textFill>
                  <w14:solidFill>
                    <w14:schemeClr w14:val="tx1"/>
                  </w14:solidFill>
                </w14:textFill>
              </w:rPr>
            </w:pPr>
            <w:r>
              <w:rPr>
                <w:rFonts w:ascii="Times New Roman" w:hAnsi="Times New Roman"/>
                <w:iCs/>
                <w:color w:val="000000" w:themeColor="text1"/>
                <w:sz w:val="24"/>
                <w:szCs w:val="24"/>
                <w:highlight w:val="none"/>
                <w:u w:val="none" w:color="auto"/>
                <w14:textFill>
                  <w14:solidFill>
                    <w14:schemeClr w14:val="tx1"/>
                  </w14:solidFill>
                </w14:textFill>
              </w:rPr>
              <w:t>①生活用水</w:t>
            </w:r>
          </w:p>
          <w:p w14:paraId="2C514C70">
            <w:pPr>
              <w:pStyle w:val="59"/>
              <w:ind w:firstLine="420"/>
              <w:rPr>
                <w:rFonts w:hint="eastAsia" w:ascii="Times New Roman" w:hAnsi="Times New Roman" w:eastAsia="宋体" w:cs="Times New Roman"/>
                <w:iCs/>
                <w:color w:val="000000" w:themeColor="text1"/>
                <w:sz w:val="24"/>
                <w:szCs w:val="24"/>
                <w:highlight w:val="none"/>
                <w:u w:val="none" w:color="auto"/>
                <w:lang w:eastAsia="zh-CN"/>
                <w14:textFill>
                  <w14:solidFill>
                    <w14:schemeClr w14:val="tx1"/>
                  </w14:solidFill>
                </w14:textFill>
              </w:rPr>
            </w:pPr>
            <w:r>
              <w:rPr>
                <w:rFonts w:ascii="Times New Roman" w:hAnsi="Times New Roman"/>
                <w:iCs/>
                <w:color w:val="000000" w:themeColor="text1"/>
                <w:sz w:val="24"/>
                <w:szCs w:val="24"/>
                <w:highlight w:val="none"/>
                <w:u w:val="none" w:color="auto"/>
                <w14:textFill>
                  <w14:solidFill>
                    <w14:schemeClr w14:val="tx1"/>
                  </w14:solidFill>
                </w14:textFill>
              </w:rPr>
              <w:t>项目职工</w:t>
            </w:r>
            <w:r>
              <w:rPr>
                <w:rFonts w:hint="eastAsia" w:ascii="Times New Roman" w:hAnsi="Times New Roman"/>
                <w:iCs/>
                <w:color w:val="000000" w:themeColor="text1"/>
                <w:sz w:val="24"/>
                <w:szCs w:val="24"/>
                <w:highlight w:val="none"/>
                <w:u w:val="none" w:color="auto"/>
                <w:lang w:val="en-US" w:eastAsia="zh-CN"/>
                <w14:textFill>
                  <w14:solidFill>
                    <w14:schemeClr w14:val="tx1"/>
                  </w14:solidFill>
                </w14:textFill>
              </w:rPr>
              <w:t>30</w:t>
            </w:r>
            <w:r>
              <w:rPr>
                <w:rFonts w:ascii="Times New Roman" w:hAnsi="Times New Roman"/>
                <w:iCs/>
                <w:color w:val="000000" w:themeColor="text1"/>
                <w:sz w:val="24"/>
                <w:szCs w:val="24"/>
                <w:highlight w:val="none"/>
                <w:u w:val="none" w:color="auto"/>
                <w14:textFill>
                  <w14:solidFill>
                    <w14:schemeClr w14:val="tx1"/>
                  </w14:solidFill>
                </w14:textFill>
              </w:rPr>
              <w:t>人，年生产</w:t>
            </w:r>
            <w:r>
              <w:rPr>
                <w:rFonts w:hint="eastAsia" w:ascii="Times New Roman" w:hAnsi="Times New Roman"/>
                <w:iCs/>
                <w:color w:val="000000" w:themeColor="text1"/>
                <w:sz w:val="24"/>
                <w:szCs w:val="24"/>
                <w:highlight w:val="none"/>
                <w:u w:val="none" w:color="auto"/>
                <w:lang w:val="en-US" w:eastAsia="zh-CN"/>
                <w14:textFill>
                  <w14:solidFill>
                    <w14:schemeClr w14:val="tx1"/>
                  </w14:solidFill>
                </w14:textFill>
              </w:rPr>
              <w:t>240</w:t>
            </w:r>
            <w:r>
              <w:rPr>
                <w:rFonts w:ascii="Times New Roman" w:hAnsi="Times New Roman"/>
                <w:iCs/>
                <w:color w:val="000000" w:themeColor="text1"/>
                <w:sz w:val="24"/>
                <w:szCs w:val="24"/>
                <w:highlight w:val="none"/>
                <w:u w:val="none" w:color="auto"/>
                <w14:textFill>
                  <w14:solidFill>
                    <w14:schemeClr w14:val="tx1"/>
                  </w14:solidFill>
                </w14:textFill>
              </w:rPr>
              <w:t>天，</w:t>
            </w:r>
            <w:r>
              <w:rPr>
                <w:rFonts w:hint="eastAsia" w:ascii="Times New Roman" w:hAnsi="Times New Roman"/>
                <w:iCs/>
                <w:color w:val="000000" w:themeColor="text1"/>
                <w:sz w:val="24"/>
                <w:szCs w:val="24"/>
                <w:highlight w:val="none"/>
                <w:u w:val="none" w:color="auto"/>
                <w:lang w:eastAsia="zh-CN"/>
                <w14:textFill>
                  <w14:solidFill>
                    <w14:schemeClr w14:val="tx1"/>
                  </w14:solidFill>
                </w14:textFill>
              </w:rPr>
              <w:t>参照</w:t>
            </w:r>
            <w:r>
              <w:rPr>
                <w:rFonts w:ascii="Times New Roman" w:hAnsi="Times New Roman"/>
                <w:color w:val="000000" w:themeColor="text1"/>
                <w:kern w:val="0"/>
                <w:sz w:val="24"/>
                <w:highlight w:val="none"/>
                <w:u w:val="none" w:color="auto"/>
                <w14:textFill>
                  <w14:solidFill>
                    <w14:schemeClr w14:val="tx1"/>
                  </w14:solidFill>
                </w14:textFill>
              </w:rPr>
              <w:t>《建筑给排水设计手册》，</w:t>
            </w:r>
            <w:r>
              <w:rPr>
                <w:rFonts w:ascii="宋体" w:hAnsi="宋体" w:eastAsia="宋体" w:cs="宋体"/>
                <w:sz w:val="24"/>
                <w:szCs w:val="24"/>
                <w:highlight w:val="none"/>
              </w:rPr>
              <w:t>职工生活用水定额取</w:t>
            </w:r>
            <w:r>
              <w:rPr>
                <w:rFonts w:ascii="Times New Roman" w:hAnsi="Times New Roman"/>
                <w:color w:val="000000" w:themeColor="text1"/>
                <w:kern w:val="0"/>
                <w:sz w:val="24"/>
                <w:highlight w:val="none"/>
                <w:u w:val="none" w:color="auto"/>
                <w14:textFill>
                  <w14:solidFill>
                    <w14:schemeClr w14:val="tx1"/>
                  </w14:solidFill>
                </w14:textFill>
              </w:rPr>
              <w:t>30L/人·d，</w:t>
            </w:r>
            <w:r>
              <w:rPr>
                <w:rFonts w:hint="eastAsia" w:ascii="Times New Roman" w:hAnsi="Times New Roman"/>
                <w:iCs/>
                <w:color w:val="000000" w:themeColor="text1"/>
                <w:sz w:val="24"/>
                <w:szCs w:val="24"/>
                <w:highlight w:val="none"/>
                <w:u w:val="none" w:color="auto"/>
                <w:lang w:eastAsia="zh-CN"/>
                <w14:textFill>
                  <w14:solidFill>
                    <w14:schemeClr w14:val="tx1"/>
                  </w14:solidFill>
                </w14:textFill>
              </w:rPr>
              <w:t>核算得</w:t>
            </w:r>
            <w:r>
              <w:rPr>
                <w:rFonts w:ascii="Times New Roman" w:hAnsi="Times New Roman"/>
                <w:iCs/>
                <w:color w:val="000000" w:themeColor="text1"/>
                <w:sz w:val="24"/>
                <w:szCs w:val="24"/>
                <w:highlight w:val="none"/>
                <w:u w:val="none" w:color="auto"/>
                <w14:textFill>
                  <w14:solidFill>
                    <w14:schemeClr w14:val="tx1"/>
                  </w14:solidFill>
                </w14:textFill>
              </w:rPr>
              <w:t>生活用水量为</w:t>
            </w:r>
            <w:r>
              <w:rPr>
                <w:rFonts w:hint="eastAsia" w:ascii="Times New Roman" w:hAnsi="Times New Roman"/>
                <w:iCs/>
                <w:color w:val="000000" w:themeColor="text1"/>
                <w:sz w:val="24"/>
                <w:szCs w:val="24"/>
                <w:highlight w:val="none"/>
                <w:u w:val="none" w:color="auto"/>
                <w:lang w:val="en-US" w:eastAsia="zh-CN"/>
                <w14:textFill>
                  <w14:solidFill>
                    <w14:schemeClr w14:val="tx1"/>
                  </w14:solidFill>
                </w14:textFill>
              </w:rPr>
              <w:t>0.9</w:t>
            </w:r>
            <w:r>
              <w:rPr>
                <w:rFonts w:ascii="Times New Roman" w:hAnsi="Times New Roman"/>
                <w:iCs/>
                <w:color w:val="000000" w:themeColor="text1"/>
                <w:sz w:val="24"/>
                <w:szCs w:val="24"/>
                <w:highlight w:val="none"/>
                <w:u w:val="none" w:color="auto"/>
                <w14:textFill>
                  <w14:solidFill>
                    <w14:schemeClr w14:val="tx1"/>
                  </w14:solidFill>
                </w14:textFill>
              </w:rPr>
              <w:t>m</w:t>
            </w:r>
            <w:r>
              <w:rPr>
                <w:rFonts w:ascii="Times New Roman" w:hAnsi="Times New Roman"/>
                <w:iCs/>
                <w:color w:val="000000" w:themeColor="text1"/>
                <w:sz w:val="24"/>
                <w:szCs w:val="24"/>
                <w:highlight w:val="none"/>
                <w:u w:val="none" w:color="auto"/>
                <w:vertAlign w:val="superscript"/>
                <w14:textFill>
                  <w14:solidFill>
                    <w14:schemeClr w14:val="tx1"/>
                  </w14:solidFill>
                </w14:textFill>
              </w:rPr>
              <w:t>3</w:t>
            </w:r>
            <w:r>
              <w:rPr>
                <w:rFonts w:ascii="Times New Roman" w:hAnsi="Times New Roman"/>
                <w:iCs/>
                <w:color w:val="000000" w:themeColor="text1"/>
                <w:sz w:val="24"/>
                <w:szCs w:val="24"/>
                <w:highlight w:val="none"/>
                <w:u w:val="none" w:color="auto"/>
                <w14:textFill>
                  <w14:solidFill>
                    <w14:schemeClr w14:val="tx1"/>
                  </w14:solidFill>
                </w14:textFill>
              </w:rPr>
              <w:t>/d</w:t>
            </w:r>
            <w:r>
              <w:rPr>
                <w:rFonts w:hint="eastAsia" w:ascii="Times New Roman" w:hAnsi="Times New Roman"/>
                <w:iCs/>
                <w:color w:val="000000" w:themeColor="text1"/>
                <w:sz w:val="24"/>
                <w:szCs w:val="24"/>
                <w:highlight w:val="none"/>
                <w:u w:val="none" w:color="auto"/>
                <w:lang w:eastAsia="zh-CN"/>
                <w14:textFill>
                  <w14:solidFill>
                    <w14:schemeClr w14:val="tx1"/>
                  </w14:solidFill>
                </w14:textFill>
              </w:rPr>
              <w:t>（</w:t>
            </w:r>
            <w:r>
              <w:rPr>
                <w:rFonts w:hint="eastAsia" w:ascii="Times New Roman" w:hAnsi="Times New Roman"/>
                <w:iCs/>
                <w:color w:val="000000" w:themeColor="text1"/>
                <w:sz w:val="24"/>
                <w:szCs w:val="24"/>
                <w:highlight w:val="none"/>
                <w:u w:val="none" w:color="auto"/>
                <w:lang w:val="en-US" w:eastAsia="zh-CN"/>
                <w14:textFill>
                  <w14:solidFill>
                    <w14:schemeClr w14:val="tx1"/>
                  </w14:solidFill>
                </w14:textFill>
              </w:rPr>
              <w:t>216</w:t>
            </w:r>
            <w:r>
              <w:rPr>
                <w:rFonts w:ascii="Times New Roman" w:hAnsi="Times New Roman"/>
                <w:iCs/>
                <w:color w:val="000000" w:themeColor="text1"/>
                <w:sz w:val="24"/>
                <w:szCs w:val="24"/>
                <w:highlight w:val="none"/>
                <w:u w:val="none" w:color="auto"/>
                <w14:textFill>
                  <w14:solidFill>
                    <w14:schemeClr w14:val="tx1"/>
                  </w14:solidFill>
                </w14:textFill>
              </w:rPr>
              <w:t>m</w:t>
            </w:r>
            <w:r>
              <w:rPr>
                <w:rFonts w:ascii="Times New Roman" w:hAnsi="Times New Roman"/>
                <w:iCs/>
                <w:color w:val="000000" w:themeColor="text1"/>
                <w:sz w:val="24"/>
                <w:szCs w:val="24"/>
                <w:highlight w:val="none"/>
                <w:u w:val="none" w:color="auto"/>
                <w:vertAlign w:val="superscript"/>
                <w14:textFill>
                  <w14:solidFill>
                    <w14:schemeClr w14:val="tx1"/>
                  </w14:solidFill>
                </w14:textFill>
              </w:rPr>
              <w:t>3</w:t>
            </w:r>
            <w:r>
              <w:rPr>
                <w:rFonts w:hint="eastAsia" w:ascii="Times New Roman" w:hAnsi="Times New Roman"/>
                <w:iCs/>
                <w:color w:val="000000" w:themeColor="text1"/>
                <w:sz w:val="24"/>
                <w:szCs w:val="24"/>
                <w:highlight w:val="none"/>
                <w:u w:val="none" w:color="auto"/>
                <w:lang w:eastAsia="zh-CN"/>
                <w14:textFill>
                  <w14:solidFill>
                    <w14:schemeClr w14:val="tx1"/>
                  </w14:solidFill>
                </w14:textFill>
              </w:rPr>
              <w:t>/a）。</w:t>
            </w:r>
            <w:r>
              <w:rPr>
                <w:rFonts w:hint="eastAsia" w:ascii="Times New Roman" w:hAnsi="Times New Roman" w:eastAsia="宋体" w:cs="Times New Roman"/>
                <w:color w:val="000000" w:themeColor="text1"/>
                <w:kern w:val="0"/>
                <w:sz w:val="24"/>
                <w:highlight w:val="none"/>
                <w:u w:val="none" w:color="auto"/>
                <w:lang w:val="en-US" w:eastAsia="zh-CN"/>
                <w14:textFill>
                  <w14:solidFill>
                    <w14:schemeClr w14:val="tx1"/>
                  </w14:solidFill>
                </w14:textFill>
              </w:rPr>
              <w:t>职工生活污水产生</w:t>
            </w:r>
            <w:r>
              <w:rPr>
                <w:rFonts w:hint="eastAsia" w:ascii="Times New Roman" w:hAnsi="Times New Roman" w:eastAsia="宋体" w:cs="Times New Roman"/>
                <w:iCs/>
                <w:color w:val="000000" w:themeColor="text1"/>
                <w:sz w:val="24"/>
                <w:szCs w:val="24"/>
                <w:highlight w:val="none"/>
                <w:u w:val="none" w:color="auto"/>
                <w:lang w:val="en-US" w:eastAsia="zh-CN"/>
                <w14:textFill>
                  <w14:solidFill>
                    <w14:schemeClr w14:val="tx1"/>
                  </w14:solidFill>
                </w14:textFill>
              </w:rPr>
              <w:t>量按用水量的80%计，则生活污水产生量为0.</w:t>
            </w:r>
            <w:r>
              <w:rPr>
                <w:rFonts w:hint="eastAsia" w:ascii="Times New Roman" w:hAnsi="Times New Roman" w:cs="Times New Roman"/>
                <w:iCs/>
                <w:color w:val="000000" w:themeColor="text1"/>
                <w:sz w:val="24"/>
                <w:szCs w:val="24"/>
                <w:highlight w:val="none"/>
                <w:u w:val="none" w:color="auto"/>
                <w:lang w:val="en-US" w:eastAsia="zh-CN"/>
                <w14:textFill>
                  <w14:solidFill>
                    <w14:schemeClr w14:val="tx1"/>
                  </w14:solidFill>
                </w14:textFill>
              </w:rPr>
              <w:t>72</w:t>
            </w:r>
            <w:r>
              <w:rPr>
                <w:rFonts w:hint="eastAsia" w:ascii="Times New Roman" w:hAnsi="Times New Roman" w:eastAsia="宋体" w:cs="Times New Roman"/>
                <w:iCs/>
                <w:color w:val="000000" w:themeColor="text1"/>
                <w:sz w:val="24"/>
                <w:szCs w:val="24"/>
                <w:highlight w:val="none"/>
                <w:u w:val="none" w:color="auto"/>
                <w:lang w:val="en-US" w:eastAsia="zh-CN"/>
                <w14:textFill>
                  <w14:solidFill>
                    <w14:schemeClr w14:val="tx1"/>
                  </w14:solidFill>
                </w14:textFill>
              </w:rPr>
              <w:t>m</w:t>
            </w:r>
            <w:r>
              <w:rPr>
                <w:rFonts w:hint="eastAsia" w:ascii="Times New Roman" w:hAnsi="Times New Roman" w:eastAsia="宋体" w:cs="Times New Roman"/>
                <w:iCs/>
                <w:color w:val="000000" w:themeColor="text1"/>
                <w:sz w:val="24"/>
                <w:szCs w:val="24"/>
                <w:highlight w:val="none"/>
                <w:u w:val="none" w:color="auto"/>
                <w:vertAlign w:val="superscript"/>
                <w:lang w:val="en-US" w:eastAsia="zh-CN"/>
                <w14:textFill>
                  <w14:solidFill>
                    <w14:schemeClr w14:val="tx1"/>
                  </w14:solidFill>
                </w14:textFill>
              </w:rPr>
              <w:t>3</w:t>
            </w:r>
            <w:r>
              <w:rPr>
                <w:rFonts w:hint="eastAsia" w:ascii="Times New Roman" w:hAnsi="Times New Roman" w:eastAsia="宋体" w:cs="Times New Roman"/>
                <w:iCs/>
                <w:color w:val="000000" w:themeColor="text1"/>
                <w:sz w:val="24"/>
                <w:szCs w:val="24"/>
                <w:highlight w:val="none"/>
                <w:u w:val="none" w:color="auto"/>
                <w:lang w:val="en-US" w:eastAsia="zh-CN"/>
                <w14:textFill>
                  <w14:solidFill>
                    <w14:schemeClr w14:val="tx1"/>
                  </w14:solidFill>
                </w14:textFill>
              </w:rPr>
              <w:t>/d（</w:t>
            </w:r>
            <w:r>
              <w:rPr>
                <w:rFonts w:hint="eastAsia" w:ascii="Times New Roman" w:hAnsi="Times New Roman" w:cs="Times New Roman"/>
                <w:iCs/>
                <w:color w:val="000000" w:themeColor="text1"/>
                <w:sz w:val="24"/>
                <w:szCs w:val="24"/>
                <w:highlight w:val="none"/>
                <w:u w:val="none" w:color="auto"/>
                <w:lang w:val="en-US" w:eastAsia="zh-CN"/>
                <w14:textFill>
                  <w14:solidFill>
                    <w14:schemeClr w14:val="tx1"/>
                  </w14:solidFill>
                </w14:textFill>
              </w:rPr>
              <w:t>172.8</w:t>
            </w:r>
            <w:r>
              <w:rPr>
                <w:rFonts w:hint="eastAsia" w:ascii="Times New Roman" w:hAnsi="Times New Roman" w:eastAsia="宋体" w:cs="Times New Roman"/>
                <w:iCs/>
                <w:color w:val="000000" w:themeColor="text1"/>
                <w:sz w:val="24"/>
                <w:szCs w:val="24"/>
                <w:highlight w:val="none"/>
                <w:u w:val="none" w:color="auto"/>
                <w:lang w:val="en-US" w:eastAsia="zh-CN"/>
                <w14:textFill>
                  <w14:solidFill>
                    <w14:schemeClr w14:val="tx1"/>
                  </w14:solidFill>
                </w14:textFill>
              </w:rPr>
              <w:t>m</w:t>
            </w:r>
            <w:r>
              <w:rPr>
                <w:rFonts w:hint="eastAsia" w:ascii="Times New Roman" w:hAnsi="Times New Roman" w:eastAsia="宋体" w:cs="Times New Roman"/>
                <w:iCs/>
                <w:color w:val="000000" w:themeColor="text1"/>
                <w:sz w:val="24"/>
                <w:szCs w:val="24"/>
                <w:highlight w:val="none"/>
                <w:u w:val="none" w:color="auto"/>
                <w:vertAlign w:val="superscript"/>
                <w:lang w:val="en-US" w:eastAsia="zh-CN"/>
                <w14:textFill>
                  <w14:solidFill>
                    <w14:schemeClr w14:val="tx1"/>
                  </w14:solidFill>
                </w14:textFill>
              </w:rPr>
              <w:t>3</w:t>
            </w:r>
            <w:r>
              <w:rPr>
                <w:rFonts w:hint="eastAsia" w:ascii="Times New Roman" w:hAnsi="Times New Roman" w:eastAsia="宋体" w:cs="Times New Roman"/>
                <w:iCs/>
                <w:color w:val="000000" w:themeColor="text1"/>
                <w:sz w:val="24"/>
                <w:szCs w:val="24"/>
                <w:highlight w:val="none"/>
                <w:u w:val="none" w:color="auto"/>
                <w:lang w:val="en-US" w:eastAsia="zh-CN"/>
                <w14:textFill>
                  <w14:solidFill>
                    <w14:schemeClr w14:val="tx1"/>
                  </w14:solidFill>
                </w14:textFill>
              </w:rPr>
              <w:t>/a），排入</w:t>
            </w:r>
            <w:r>
              <w:rPr>
                <w:rFonts w:hint="eastAsia" w:ascii="Times New Roman" w:hAnsi="Times New Roman" w:cs="Times New Roman"/>
                <w:iCs/>
                <w:color w:val="000000" w:themeColor="text1"/>
                <w:sz w:val="24"/>
                <w:szCs w:val="24"/>
                <w:highlight w:val="none"/>
                <w:u w:val="none" w:color="auto"/>
                <w:lang w:val="en-US" w:eastAsia="zh-CN"/>
                <w14:textFill>
                  <w14:solidFill>
                    <w14:schemeClr w14:val="tx1"/>
                  </w14:solidFill>
                </w14:textFill>
              </w:rPr>
              <w:t>防渗旱厕，</w:t>
            </w:r>
            <w:r>
              <w:rPr>
                <w:rFonts w:hint="eastAsia" w:ascii="Times New Roman" w:hAnsi="Times New Roman" w:eastAsia="宋体" w:cs="Times New Roman"/>
                <w:iCs/>
                <w:color w:val="000000" w:themeColor="text1"/>
                <w:sz w:val="24"/>
                <w:szCs w:val="24"/>
                <w:highlight w:val="none"/>
                <w:u w:val="none" w:color="auto"/>
                <w:lang w:val="en-US" w:eastAsia="zh-CN"/>
                <w14:textFill>
                  <w14:solidFill>
                    <w14:schemeClr w14:val="tx1"/>
                  </w14:solidFill>
                </w14:textFill>
              </w:rPr>
              <w:t>定期清掏</w:t>
            </w:r>
            <w:r>
              <w:rPr>
                <w:rFonts w:hint="eastAsia" w:ascii="Times New Roman" w:hAnsi="Times New Roman" w:cs="Times New Roman"/>
                <w:iCs/>
                <w:color w:val="000000" w:themeColor="text1"/>
                <w:sz w:val="24"/>
                <w:szCs w:val="24"/>
                <w:highlight w:val="none"/>
                <w:u w:val="none" w:color="auto"/>
                <w:lang w:val="en-US" w:eastAsia="zh-CN"/>
                <w14:textFill>
                  <w14:solidFill>
                    <w14:schemeClr w14:val="tx1"/>
                  </w14:solidFill>
                </w14:textFill>
              </w:rPr>
              <w:t>作</w:t>
            </w:r>
            <w:r>
              <w:rPr>
                <w:rFonts w:hint="eastAsia" w:ascii="Times New Roman" w:hAnsi="Times New Roman" w:eastAsia="宋体" w:cs="Times New Roman"/>
                <w:iCs/>
                <w:color w:val="000000" w:themeColor="text1"/>
                <w:sz w:val="24"/>
                <w:szCs w:val="24"/>
                <w:highlight w:val="none"/>
                <w:u w:val="none" w:color="auto"/>
                <w:lang w:val="en-US" w:eastAsia="zh-CN"/>
                <w14:textFill>
                  <w14:solidFill>
                    <w14:schemeClr w14:val="tx1"/>
                  </w14:solidFill>
                </w14:textFill>
              </w:rPr>
              <w:t>农肥。</w:t>
            </w:r>
          </w:p>
          <w:p w14:paraId="523BECE7">
            <w:pPr>
              <w:pStyle w:val="59"/>
              <w:ind w:firstLine="420"/>
              <w:rPr>
                <w:rFonts w:ascii="Times New Roman" w:hAnsi="Times New Roman" w:eastAsia="宋体" w:cs="Times New Roman"/>
                <w:iCs/>
                <w:color w:val="000000" w:themeColor="text1"/>
                <w:sz w:val="24"/>
                <w:szCs w:val="24"/>
                <w:highlight w:val="none"/>
                <w:u w:val="none" w:color="auto"/>
                <w14:textFill>
                  <w14:solidFill>
                    <w14:schemeClr w14:val="tx1"/>
                  </w14:solidFill>
                </w14:textFill>
              </w:rPr>
            </w:pPr>
            <w:r>
              <w:rPr>
                <w:rFonts w:hint="eastAsia" w:ascii="Times New Roman" w:hAnsi="Times New Roman" w:eastAsia="宋体" w:cs="Times New Roman"/>
                <w:iCs/>
                <w:color w:val="000000" w:themeColor="text1"/>
                <w:sz w:val="24"/>
                <w:szCs w:val="24"/>
                <w:highlight w:val="none"/>
                <w:u w:val="none" w:color="auto"/>
                <w14:textFill>
                  <w14:solidFill>
                    <w14:schemeClr w14:val="tx1"/>
                  </w14:solidFill>
                </w14:textFill>
              </w:rPr>
              <w:t>②</w:t>
            </w:r>
            <w:r>
              <w:rPr>
                <w:rFonts w:ascii="Times New Roman" w:hAnsi="Times New Roman" w:eastAsia="宋体" w:cs="Times New Roman"/>
                <w:iCs/>
                <w:color w:val="000000" w:themeColor="text1"/>
                <w:sz w:val="24"/>
                <w:szCs w:val="24"/>
                <w:highlight w:val="none"/>
                <w:u w:val="none" w:color="auto"/>
                <w14:textFill>
                  <w14:solidFill>
                    <w14:schemeClr w14:val="tx1"/>
                  </w14:solidFill>
                </w14:textFill>
              </w:rPr>
              <w:t>混凝土搅拌用水</w:t>
            </w:r>
          </w:p>
          <w:p w14:paraId="47001916">
            <w:pPr>
              <w:pStyle w:val="59"/>
              <w:ind w:firstLine="420"/>
              <w:rPr>
                <w:rFonts w:ascii="Times New Roman" w:hAnsi="Times New Roman" w:eastAsia="宋体" w:cs="Times New Roman"/>
                <w:iCs/>
                <w:color w:val="auto"/>
                <w:sz w:val="24"/>
                <w:szCs w:val="24"/>
                <w:highlight w:val="none"/>
                <w:u w:val="none" w:color="auto"/>
              </w:rPr>
            </w:pPr>
            <w:r>
              <w:rPr>
                <w:rFonts w:ascii="Times New Roman" w:hAnsi="Times New Roman" w:eastAsia="宋体" w:cs="Times New Roman"/>
                <w:iCs/>
                <w:color w:val="auto"/>
                <w:sz w:val="24"/>
                <w:szCs w:val="24"/>
                <w:highlight w:val="none"/>
                <w:u w:val="none" w:color="auto"/>
              </w:rPr>
              <w:t>根据</w:t>
            </w:r>
            <w:r>
              <w:rPr>
                <w:rFonts w:hint="eastAsia" w:ascii="Times New Roman" w:hAnsi="Times New Roman" w:cs="Times New Roman"/>
                <w:iCs/>
                <w:color w:val="auto"/>
                <w:sz w:val="24"/>
                <w:szCs w:val="24"/>
                <w:highlight w:val="none"/>
                <w:u w:val="none" w:color="auto"/>
                <w:lang w:eastAsia="zh-CN"/>
              </w:rPr>
              <w:t>《</w:t>
            </w:r>
            <w:r>
              <w:rPr>
                <w:rFonts w:hint="eastAsia" w:ascii="Times New Roman" w:hAnsi="Times New Roman" w:cs="Times New Roman"/>
                <w:iCs/>
                <w:color w:val="auto"/>
                <w:sz w:val="24"/>
                <w:szCs w:val="24"/>
                <w:highlight w:val="none"/>
                <w:u w:val="none" w:color="auto"/>
                <w:lang w:val="en-US" w:eastAsia="zh-CN"/>
              </w:rPr>
              <w:t>工业用水定额：预拌混凝土及水泥制品</w:t>
            </w:r>
            <w:r>
              <w:rPr>
                <w:rFonts w:hint="eastAsia" w:ascii="Times New Roman" w:hAnsi="Times New Roman" w:cs="Times New Roman"/>
                <w:iCs/>
                <w:color w:val="auto"/>
                <w:sz w:val="24"/>
                <w:szCs w:val="24"/>
                <w:highlight w:val="none"/>
                <w:u w:val="none" w:color="auto"/>
                <w:lang w:eastAsia="zh-CN"/>
              </w:rPr>
              <w:t>》（</w:t>
            </w:r>
            <w:r>
              <w:rPr>
                <w:rFonts w:hint="eastAsia" w:ascii="Times New Roman" w:hAnsi="Times New Roman" w:cs="Times New Roman"/>
                <w:iCs/>
                <w:color w:val="auto"/>
                <w:sz w:val="24"/>
                <w:szCs w:val="24"/>
                <w:highlight w:val="none"/>
                <w:u w:val="none" w:color="auto"/>
                <w:lang w:val="en-US" w:eastAsia="zh-CN"/>
              </w:rPr>
              <w:t>水节约[2020]290号（4）</w:t>
            </w:r>
            <w:r>
              <w:rPr>
                <w:rFonts w:hint="eastAsia" w:ascii="Times New Roman" w:hAnsi="Times New Roman" w:cs="Times New Roman"/>
                <w:iCs/>
                <w:color w:val="auto"/>
                <w:sz w:val="24"/>
                <w:szCs w:val="24"/>
                <w:highlight w:val="none"/>
                <w:u w:val="none" w:color="auto"/>
                <w:lang w:eastAsia="zh-CN"/>
              </w:rPr>
              <w:t>）</w:t>
            </w:r>
            <w:r>
              <w:rPr>
                <w:rFonts w:ascii="Times New Roman" w:hAnsi="Times New Roman" w:eastAsia="宋体" w:cs="Times New Roman"/>
                <w:iCs/>
                <w:color w:val="auto"/>
                <w:sz w:val="24"/>
                <w:szCs w:val="24"/>
                <w:highlight w:val="none"/>
                <w:u w:val="none" w:color="auto"/>
              </w:rPr>
              <w:t>，</w:t>
            </w:r>
            <w:r>
              <w:rPr>
                <w:rFonts w:hint="eastAsia" w:ascii="Times New Roman" w:hAnsi="Times New Roman" w:cs="Times New Roman"/>
                <w:iCs/>
                <w:color w:val="auto"/>
                <w:sz w:val="24"/>
                <w:szCs w:val="24"/>
                <w:highlight w:val="none"/>
                <w:u w:val="none" w:color="auto"/>
                <w:lang w:val="en-US" w:eastAsia="zh-CN"/>
              </w:rPr>
              <w:t>预拌混凝土用水定额为0.15m</w:t>
            </w:r>
            <w:r>
              <w:rPr>
                <w:rFonts w:hint="eastAsia" w:ascii="Times New Roman" w:hAnsi="Times New Roman" w:cs="Times New Roman"/>
                <w:iCs/>
                <w:color w:val="auto"/>
                <w:sz w:val="24"/>
                <w:szCs w:val="24"/>
                <w:highlight w:val="none"/>
                <w:u w:val="none" w:color="auto"/>
                <w:vertAlign w:val="superscript"/>
                <w:lang w:val="en-US" w:eastAsia="zh-CN"/>
              </w:rPr>
              <w:t>3</w:t>
            </w:r>
            <w:r>
              <w:rPr>
                <w:rFonts w:hint="eastAsia" w:ascii="Times New Roman" w:hAnsi="Times New Roman" w:cs="Times New Roman"/>
                <w:iCs/>
                <w:color w:val="auto"/>
                <w:sz w:val="24"/>
                <w:szCs w:val="24"/>
                <w:highlight w:val="none"/>
                <w:u w:val="none" w:color="auto"/>
                <w:lang w:val="en-US" w:eastAsia="zh-CN"/>
              </w:rPr>
              <w:t>/m</w:t>
            </w:r>
            <w:r>
              <w:rPr>
                <w:rFonts w:hint="eastAsia" w:ascii="Times New Roman" w:hAnsi="Times New Roman" w:cs="Times New Roman"/>
                <w:iCs/>
                <w:color w:val="auto"/>
                <w:sz w:val="24"/>
                <w:szCs w:val="24"/>
                <w:highlight w:val="none"/>
                <w:u w:val="none" w:color="auto"/>
                <w:vertAlign w:val="superscript"/>
                <w:lang w:val="en-US" w:eastAsia="zh-CN"/>
              </w:rPr>
              <w:t>3</w:t>
            </w:r>
            <w:r>
              <w:rPr>
                <w:rFonts w:hint="eastAsia" w:ascii="Times New Roman" w:hAnsi="Times New Roman" w:cs="Times New Roman"/>
                <w:iCs/>
                <w:color w:val="auto"/>
                <w:sz w:val="24"/>
                <w:szCs w:val="24"/>
                <w:highlight w:val="none"/>
                <w:u w:val="none" w:color="auto"/>
                <w:lang w:val="en-US" w:eastAsia="zh-CN"/>
              </w:rPr>
              <w:t>，本项目商品</w:t>
            </w:r>
            <w:r>
              <w:rPr>
                <w:rFonts w:hint="eastAsia"/>
                <w:i w:val="0"/>
                <w:iCs w:val="0"/>
                <w:color w:val="auto"/>
                <w:sz w:val="24"/>
                <w:szCs w:val="24"/>
                <w:highlight w:val="none"/>
                <w:u w:val="none" w:color="auto"/>
              </w:rPr>
              <w:t>混凝土产量为</w:t>
            </w:r>
            <w:r>
              <w:rPr>
                <w:rFonts w:hint="eastAsia" w:ascii="Times New Roman" w:hAnsi="Times New Roman" w:cs="Times New Roman"/>
                <w:iCs/>
                <w:color w:val="auto"/>
                <w:sz w:val="24"/>
                <w:szCs w:val="24"/>
                <w:highlight w:val="none"/>
                <w:u w:val="none" w:color="auto"/>
                <w:lang w:val="en-US" w:eastAsia="zh-CN"/>
              </w:rPr>
              <w:t>15万</w:t>
            </w:r>
            <w:r>
              <w:rPr>
                <w:rFonts w:hint="eastAsia" w:ascii="Times New Roman" w:hAnsi="Times New Roman" w:eastAsia="宋体" w:cs="Times New Roman"/>
                <w:iCs/>
                <w:color w:val="auto"/>
                <w:sz w:val="24"/>
                <w:szCs w:val="24"/>
                <w:highlight w:val="none"/>
                <w:u w:val="none" w:color="auto"/>
                <w:lang w:val="en-US" w:eastAsia="zh-CN"/>
              </w:rPr>
              <w:t>m</w:t>
            </w:r>
            <w:r>
              <w:rPr>
                <w:rFonts w:hint="eastAsia" w:ascii="Times New Roman" w:hAnsi="Times New Roman" w:eastAsia="宋体" w:cs="Times New Roman"/>
                <w:iCs/>
                <w:color w:val="auto"/>
                <w:sz w:val="24"/>
                <w:szCs w:val="24"/>
                <w:highlight w:val="none"/>
                <w:u w:val="none" w:color="auto"/>
                <w:vertAlign w:val="superscript"/>
                <w:lang w:val="en-US" w:eastAsia="zh-CN"/>
              </w:rPr>
              <w:t>3</w:t>
            </w:r>
            <w:r>
              <w:rPr>
                <w:rFonts w:hint="eastAsia" w:ascii="Times New Roman" w:hAnsi="Times New Roman" w:eastAsia="宋体" w:cs="Times New Roman"/>
                <w:iCs/>
                <w:color w:val="auto"/>
                <w:sz w:val="24"/>
                <w:szCs w:val="24"/>
                <w:highlight w:val="none"/>
                <w:u w:val="none" w:color="auto"/>
                <w:lang w:val="en-US" w:eastAsia="zh-CN"/>
              </w:rPr>
              <w:t>/a，则</w:t>
            </w:r>
            <w:r>
              <w:rPr>
                <w:rFonts w:ascii="Times New Roman" w:hAnsi="Times New Roman" w:eastAsia="宋体" w:cs="Times New Roman"/>
                <w:iCs/>
                <w:color w:val="auto"/>
                <w:sz w:val="24"/>
                <w:szCs w:val="24"/>
                <w:highlight w:val="none"/>
                <w:u w:val="none" w:color="auto"/>
              </w:rPr>
              <w:t>混凝土搅拌</w:t>
            </w:r>
            <w:r>
              <w:rPr>
                <w:rFonts w:hint="eastAsia" w:ascii="Times New Roman" w:hAnsi="Times New Roman" w:eastAsia="宋体" w:cs="Times New Roman"/>
                <w:iCs/>
                <w:color w:val="auto"/>
                <w:sz w:val="24"/>
                <w:szCs w:val="24"/>
                <w:highlight w:val="none"/>
                <w:u w:val="none" w:color="auto"/>
                <w:lang w:val="en-US" w:eastAsia="zh-CN"/>
              </w:rPr>
              <w:t>生产过程中</w:t>
            </w:r>
            <w:r>
              <w:rPr>
                <w:rFonts w:hint="eastAsia" w:ascii="Times New Roman" w:hAnsi="Times New Roman" w:cs="Times New Roman"/>
                <w:iCs/>
                <w:color w:val="auto"/>
                <w:sz w:val="24"/>
                <w:szCs w:val="24"/>
                <w:highlight w:val="none"/>
                <w:u w:val="none" w:color="auto"/>
                <w:lang w:val="en-US" w:eastAsia="zh-CN"/>
              </w:rPr>
              <w:t>用</w:t>
            </w:r>
            <w:r>
              <w:rPr>
                <w:rFonts w:ascii="Times New Roman" w:hAnsi="Times New Roman" w:eastAsia="宋体" w:cs="Times New Roman"/>
                <w:iCs/>
                <w:color w:val="auto"/>
                <w:sz w:val="24"/>
                <w:szCs w:val="24"/>
                <w:highlight w:val="none"/>
                <w:u w:val="none" w:color="auto"/>
              </w:rPr>
              <w:t>水量为</w:t>
            </w:r>
            <w:r>
              <w:rPr>
                <w:rFonts w:hint="eastAsia" w:ascii="Times New Roman" w:hAnsi="Times New Roman" w:cs="Times New Roman"/>
                <w:iCs/>
                <w:color w:val="auto"/>
                <w:sz w:val="24"/>
                <w:szCs w:val="24"/>
                <w:highlight w:val="none"/>
                <w:u w:val="none" w:color="auto"/>
                <w:lang w:val="en-US" w:eastAsia="zh-CN"/>
              </w:rPr>
              <w:t>22500</w:t>
            </w:r>
            <w:r>
              <w:rPr>
                <w:rFonts w:ascii="Times New Roman" w:hAnsi="Times New Roman" w:eastAsia="宋体" w:cs="Times New Roman"/>
                <w:iCs/>
                <w:color w:val="auto"/>
                <w:sz w:val="24"/>
                <w:szCs w:val="24"/>
                <w:highlight w:val="none"/>
                <w:u w:val="none" w:color="auto"/>
              </w:rPr>
              <w:t>m</w:t>
            </w:r>
            <w:r>
              <w:rPr>
                <w:rFonts w:ascii="Times New Roman" w:hAnsi="Times New Roman" w:eastAsia="宋体" w:cs="Times New Roman"/>
                <w:iCs/>
                <w:color w:val="auto"/>
                <w:sz w:val="24"/>
                <w:szCs w:val="24"/>
                <w:highlight w:val="none"/>
                <w:u w:val="none" w:color="auto"/>
                <w:vertAlign w:val="superscript"/>
              </w:rPr>
              <w:t>3</w:t>
            </w:r>
            <w:r>
              <w:rPr>
                <w:rFonts w:ascii="Times New Roman" w:hAnsi="Times New Roman" w:eastAsia="宋体" w:cs="Times New Roman"/>
                <w:iCs/>
                <w:color w:val="auto"/>
                <w:sz w:val="24"/>
                <w:szCs w:val="24"/>
                <w:highlight w:val="none"/>
                <w:u w:val="none" w:color="auto"/>
              </w:rPr>
              <w:t>/a</w:t>
            </w:r>
            <w:r>
              <w:rPr>
                <w:rFonts w:hint="eastAsia" w:ascii="Times New Roman" w:hAnsi="Times New Roman" w:cs="Times New Roman"/>
                <w:iCs/>
                <w:color w:val="auto"/>
                <w:sz w:val="24"/>
                <w:szCs w:val="24"/>
                <w:highlight w:val="none"/>
                <w:u w:val="none" w:color="auto"/>
                <w:lang w:eastAsia="zh-CN"/>
              </w:rPr>
              <w:t>，其中</w:t>
            </w:r>
            <w:r>
              <w:rPr>
                <w:rFonts w:hint="eastAsia" w:ascii="Times New Roman" w:hAnsi="Times New Roman" w:cs="Times New Roman"/>
                <w:iCs/>
                <w:color w:val="auto"/>
                <w:sz w:val="24"/>
                <w:szCs w:val="24"/>
                <w:highlight w:val="none"/>
                <w:u w:val="none" w:color="auto"/>
                <w:lang w:val="en-US" w:eastAsia="zh-CN"/>
              </w:rPr>
              <w:t>19812</w:t>
            </w:r>
            <w:r>
              <w:rPr>
                <w:rFonts w:ascii="Times New Roman" w:hAnsi="Times New Roman" w:eastAsia="宋体" w:cs="Times New Roman"/>
                <w:iCs/>
                <w:color w:val="auto"/>
                <w:sz w:val="24"/>
                <w:szCs w:val="24"/>
                <w:highlight w:val="none"/>
                <w:u w:val="none" w:color="auto"/>
              </w:rPr>
              <w:t>m</w:t>
            </w:r>
            <w:r>
              <w:rPr>
                <w:rFonts w:ascii="Times New Roman" w:hAnsi="Times New Roman" w:eastAsia="宋体" w:cs="Times New Roman"/>
                <w:iCs/>
                <w:color w:val="auto"/>
                <w:sz w:val="24"/>
                <w:szCs w:val="24"/>
                <w:highlight w:val="none"/>
                <w:u w:val="none" w:color="auto"/>
                <w:vertAlign w:val="superscript"/>
              </w:rPr>
              <w:t>3</w:t>
            </w:r>
            <w:r>
              <w:rPr>
                <w:rFonts w:ascii="Times New Roman" w:hAnsi="Times New Roman" w:eastAsia="宋体" w:cs="Times New Roman"/>
                <w:iCs/>
                <w:color w:val="auto"/>
                <w:sz w:val="24"/>
                <w:szCs w:val="24"/>
                <w:highlight w:val="none"/>
                <w:u w:val="none" w:color="auto"/>
              </w:rPr>
              <w:t>/a</w:t>
            </w:r>
            <w:r>
              <w:rPr>
                <w:rFonts w:hint="eastAsia" w:ascii="Times New Roman" w:hAnsi="Times New Roman" w:cs="Times New Roman"/>
                <w:iCs/>
                <w:color w:val="auto"/>
                <w:sz w:val="24"/>
                <w:szCs w:val="24"/>
                <w:highlight w:val="none"/>
                <w:u w:val="none" w:color="auto"/>
                <w:lang w:eastAsia="zh-CN"/>
              </w:rPr>
              <w:t>为新鲜水，</w:t>
            </w:r>
            <w:r>
              <w:rPr>
                <w:rFonts w:hint="eastAsia" w:ascii="Times New Roman" w:hAnsi="Times New Roman" w:cs="Times New Roman"/>
                <w:iCs/>
                <w:color w:val="auto"/>
                <w:sz w:val="24"/>
                <w:szCs w:val="24"/>
                <w:highlight w:val="none"/>
                <w:u w:val="none" w:color="auto"/>
                <w:lang w:val="en-US" w:eastAsia="zh-CN"/>
              </w:rPr>
              <w:t>1684.8</w:t>
            </w:r>
            <w:r>
              <w:rPr>
                <w:rFonts w:ascii="Times New Roman" w:hAnsi="Times New Roman" w:eastAsia="宋体" w:cs="Times New Roman"/>
                <w:iCs/>
                <w:color w:val="auto"/>
                <w:sz w:val="24"/>
                <w:szCs w:val="24"/>
                <w:highlight w:val="none"/>
                <w:u w:val="none" w:color="auto"/>
              </w:rPr>
              <w:t>m</w:t>
            </w:r>
            <w:r>
              <w:rPr>
                <w:rFonts w:ascii="Times New Roman" w:hAnsi="Times New Roman" w:eastAsia="宋体" w:cs="Times New Roman"/>
                <w:iCs/>
                <w:color w:val="auto"/>
                <w:sz w:val="24"/>
                <w:szCs w:val="24"/>
                <w:highlight w:val="none"/>
                <w:u w:val="none" w:color="auto"/>
                <w:vertAlign w:val="superscript"/>
              </w:rPr>
              <w:t>3</w:t>
            </w:r>
            <w:r>
              <w:rPr>
                <w:rFonts w:ascii="Times New Roman" w:hAnsi="Times New Roman" w:eastAsia="宋体" w:cs="Times New Roman"/>
                <w:iCs/>
                <w:color w:val="auto"/>
                <w:sz w:val="24"/>
                <w:szCs w:val="24"/>
                <w:highlight w:val="none"/>
                <w:u w:val="none" w:color="auto"/>
              </w:rPr>
              <w:t>/a</w:t>
            </w:r>
            <w:r>
              <w:rPr>
                <w:rFonts w:hint="eastAsia" w:ascii="Times New Roman" w:hAnsi="Times New Roman" w:cs="Times New Roman"/>
                <w:iCs/>
                <w:color w:val="auto"/>
                <w:sz w:val="24"/>
                <w:szCs w:val="24"/>
                <w:highlight w:val="none"/>
                <w:u w:val="none" w:color="auto"/>
                <w:lang w:eastAsia="zh-CN"/>
              </w:rPr>
              <w:t>为罐车清洗废水及设备清洗废水，</w:t>
            </w:r>
            <w:r>
              <w:rPr>
                <w:rFonts w:hint="eastAsia" w:ascii="Times New Roman" w:hAnsi="Times New Roman" w:cs="Times New Roman"/>
                <w:iCs/>
                <w:color w:val="auto"/>
                <w:sz w:val="24"/>
                <w:szCs w:val="24"/>
                <w:highlight w:val="none"/>
                <w:u w:val="none" w:color="auto"/>
                <w:lang w:val="en-US" w:eastAsia="zh-CN"/>
              </w:rPr>
              <w:t>1003.2</w:t>
            </w:r>
            <w:r>
              <w:rPr>
                <w:rFonts w:ascii="Times New Roman" w:hAnsi="Times New Roman" w:eastAsia="宋体" w:cs="Times New Roman"/>
                <w:iCs/>
                <w:color w:val="auto"/>
                <w:sz w:val="24"/>
                <w:szCs w:val="24"/>
                <w:highlight w:val="none"/>
                <w:u w:val="none" w:color="auto"/>
              </w:rPr>
              <w:t>m</w:t>
            </w:r>
            <w:r>
              <w:rPr>
                <w:rFonts w:ascii="Times New Roman" w:hAnsi="Times New Roman" w:eastAsia="宋体" w:cs="Times New Roman"/>
                <w:iCs/>
                <w:color w:val="auto"/>
                <w:sz w:val="24"/>
                <w:szCs w:val="24"/>
                <w:highlight w:val="none"/>
                <w:u w:val="none" w:color="auto"/>
                <w:vertAlign w:val="superscript"/>
              </w:rPr>
              <w:t>3</w:t>
            </w:r>
            <w:r>
              <w:rPr>
                <w:rFonts w:ascii="Times New Roman" w:hAnsi="Times New Roman" w:eastAsia="宋体" w:cs="Times New Roman"/>
                <w:iCs/>
                <w:color w:val="auto"/>
                <w:sz w:val="24"/>
                <w:szCs w:val="24"/>
                <w:highlight w:val="none"/>
                <w:u w:val="none" w:color="auto"/>
              </w:rPr>
              <w:t>/a</w:t>
            </w:r>
            <w:r>
              <w:rPr>
                <w:rFonts w:hint="eastAsia" w:ascii="Times New Roman" w:hAnsi="Times New Roman" w:cs="Times New Roman"/>
                <w:iCs/>
                <w:color w:val="auto"/>
                <w:sz w:val="24"/>
                <w:szCs w:val="24"/>
                <w:highlight w:val="none"/>
                <w:u w:val="none" w:color="auto"/>
                <w:lang w:eastAsia="zh-CN"/>
              </w:rPr>
              <w:t>来自初期雨水</w:t>
            </w:r>
            <w:r>
              <w:rPr>
                <w:rFonts w:ascii="Times New Roman" w:hAnsi="Times New Roman" w:eastAsia="宋体" w:cs="Times New Roman"/>
                <w:iCs/>
                <w:color w:val="auto"/>
                <w:sz w:val="24"/>
                <w:szCs w:val="24"/>
                <w:highlight w:val="none"/>
                <w:u w:val="none" w:color="auto"/>
              </w:rPr>
              <w:t>。</w:t>
            </w:r>
          </w:p>
          <w:p w14:paraId="570239E1">
            <w:pPr>
              <w:pStyle w:val="59"/>
              <w:ind w:firstLine="420"/>
              <w:rPr>
                <w:rFonts w:hint="eastAsia" w:ascii="Times New Roman" w:hAnsi="Times New Roman" w:eastAsia="宋体" w:cs="Times New Roman"/>
                <w:iCs/>
                <w:color w:val="auto"/>
                <w:sz w:val="24"/>
                <w:szCs w:val="24"/>
                <w:highlight w:val="none"/>
                <w:u w:val="single" w:color="auto"/>
              </w:rPr>
            </w:pPr>
            <w:r>
              <w:rPr>
                <w:rFonts w:hint="eastAsia" w:ascii="Times New Roman" w:hAnsi="Times New Roman" w:eastAsia="宋体" w:cs="Times New Roman"/>
                <w:iCs/>
                <w:color w:val="auto"/>
                <w:sz w:val="24"/>
                <w:szCs w:val="24"/>
                <w:highlight w:val="none"/>
                <w:u w:val="single" w:color="auto"/>
              </w:rPr>
              <w:t>③</w:t>
            </w:r>
            <w:r>
              <w:rPr>
                <w:rFonts w:hint="eastAsia" w:ascii="Times New Roman" w:hAnsi="Times New Roman" w:eastAsia="宋体" w:cs="Times New Roman"/>
                <w:iCs/>
                <w:color w:val="auto"/>
                <w:sz w:val="24"/>
                <w:szCs w:val="24"/>
                <w:highlight w:val="none"/>
                <w:u w:val="single" w:color="auto"/>
                <w:lang w:val="en-US" w:eastAsia="zh-CN"/>
              </w:rPr>
              <w:t>罐车</w:t>
            </w:r>
            <w:r>
              <w:rPr>
                <w:rFonts w:hint="eastAsia" w:ascii="Times New Roman" w:hAnsi="Times New Roman" w:eastAsia="宋体" w:cs="Times New Roman"/>
                <w:iCs/>
                <w:color w:val="auto"/>
                <w:sz w:val="24"/>
                <w:szCs w:val="24"/>
                <w:highlight w:val="none"/>
                <w:u w:val="single" w:color="auto"/>
              </w:rPr>
              <w:t>清洗</w:t>
            </w:r>
            <w:r>
              <w:rPr>
                <w:rFonts w:hint="eastAsia" w:ascii="Times New Roman" w:hAnsi="Times New Roman" w:cs="Times New Roman"/>
                <w:iCs/>
                <w:color w:val="auto"/>
                <w:sz w:val="24"/>
                <w:szCs w:val="24"/>
                <w:highlight w:val="none"/>
                <w:u w:val="single" w:color="auto"/>
                <w:lang w:val="en-US" w:eastAsia="zh-CN"/>
              </w:rPr>
              <w:t>用</w:t>
            </w:r>
            <w:r>
              <w:rPr>
                <w:rFonts w:hint="eastAsia" w:ascii="Times New Roman" w:hAnsi="Times New Roman" w:eastAsia="宋体" w:cs="Times New Roman"/>
                <w:iCs/>
                <w:color w:val="auto"/>
                <w:sz w:val="24"/>
                <w:szCs w:val="24"/>
                <w:highlight w:val="none"/>
                <w:u w:val="single" w:color="auto"/>
              </w:rPr>
              <w:t>水</w:t>
            </w:r>
          </w:p>
          <w:p w14:paraId="1F2485B3">
            <w:pPr>
              <w:pStyle w:val="59"/>
              <w:ind w:firstLine="420"/>
              <w:rPr>
                <w:rFonts w:hint="eastAsia" w:ascii="Times New Roman" w:hAnsi="Times New Roman" w:eastAsia="宋体" w:cs="Times New Roman"/>
                <w:iCs/>
                <w:color w:val="auto"/>
                <w:sz w:val="24"/>
                <w:szCs w:val="24"/>
                <w:highlight w:val="cyan"/>
                <w:u w:val="single" w:color="auto"/>
              </w:rPr>
            </w:pPr>
            <w:r>
              <w:rPr>
                <w:rFonts w:hint="default" w:ascii="Times New Roman" w:hAnsi="Times New Roman" w:eastAsia="宋体" w:cs="Times New Roman"/>
                <w:iCs/>
                <w:color w:val="auto"/>
                <w:sz w:val="24"/>
                <w:szCs w:val="24"/>
                <w:highlight w:val="none"/>
                <w:u w:val="single" w:color="auto"/>
                <w:lang w:val="en-US" w:eastAsia="zh-CN"/>
              </w:rPr>
              <w:t>项目</w:t>
            </w:r>
            <w:r>
              <w:rPr>
                <w:rFonts w:hint="eastAsia" w:ascii="Times New Roman" w:hAnsi="Times New Roman" w:eastAsia="宋体" w:cs="Times New Roman"/>
                <w:iCs/>
                <w:color w:val="auto"/>
                <w:sz w:val="24"/>
                <w:szCs w:val="24"/>
                <w:highlight w:val="none"/>
                <w:u w:val="single" w:color="auto"/>
                <w:lang w:val="en-US" w:eastAsia="zh-CN"/>
              </w:rPr>
              <w:t>混凝土</w:t>
            </w:r>
            <w:r>
              <w:rPr>
                <w:rFonts w:hint="default" w:ascii="Times New Roman" w:hAnsi="Times New Roman" w:eastAsia="宋体" w:cs="Times New Roman"/>
                <w:iCs/>
                <w:color w:val="auto"/>
                <w:sz w:val="24"/>
                <w:szCs w:val="24"/>
                <w:highlight w:val="none"/>
                <w:u w:val="single" w:color="auto"/>
                <w:lang w:val="en-US" w:eastAsia="zh-CN"/>
              </w:rPr>
              <w:t>生产规模</w:t>
            </w:r>
            <w:r>
              <w:rPr>
                <w:rFonts w:hint="eastAsia" w:ascii="Times New Roman" w:hAnsi="Times New Roman" w:cs="Times New Roman"/>
                <w:iCs/>
                <w:color w:val="auto"/>
                <w:sz w:val="24"/>
                <w:szCs w:val="24"/>
                <w:highlight w:val="none"/>
                <w:u w:val="single" w:color="auto"/>
                <w:lang w:val="en-US" w:eastAsia="zh-CN"/>
              </w:rPr>
              <w:t>15</w:t>
            </w:r>
            <w:r>
              <w:rPr>
                <w:rFonts w:hint="default" w:ascii="Times New Roman" w:hAnsi="Times New Roman" w:eastAsia="宋体" w:cs="Times New Roman"/>
                <w:iCs/>
                <w:color w:val="auto"/>
                <w:sz w:val="24"/>
                <w:szCs w:val="24"/>
                <w:highlight w:val="none"/>
                <w:u w:val="single" w:color="auto"/>
                <w:lang w:val="en-US" w:eastAsia="zh-CN"/>
              </w:rPr>
              <w:t>万</w:t>
            </w:r>
            <w:r>
              <w:rPr>
                <w:rFonts w:hint="eastAsia" w:ascii="Times New Roman" w:hAnsi="Times New Roman" w:cs="Times New Roman"/>
                <w:iCs/>
                <w:color w:val="auto"/>
                <w:sz w:val="24"/>
                <w:szCs w:val="24"/>
                <w:highlight w:val="none"/>
                <w:u w:val="single" w:color="auto"/>
                <w:lang w:val="en-US" w:eastAsia="zh-CN"/>
              </w:rPr>
              <w:t>m</w:t>
            </w:r>
            <w:r>
              <w:rPr>
                <w:rFonts w:hint="eastAsia" w:ascii="Times New Roman" w:hAnsi="Times New Roman" w:cs="Times New Roman"/>
                <w:iCs/>
                <w:color w:val="auto"/>
                <w:sz w:val="24"/>
                <w:szCs w:val="24"/>
                <w:highlight w:val="none"/>
                <w:u w:val="single" w:color="auto"/>
                <w:vertAlign w:val="superscript"/>
                <w:lang w:val="en-US" w:eastAsia="zh-CN"/>
              </w:rPr>
              <w:t>3</w:t>
            </w:r>
            <w:r>
              <w:rPr>
                <w:rFonts w:hint="default" w:ascii="Times New Roman" w:hAnsi="Times New Roman" w:eastAsia="宋体" w:cs="Times New Roman"/>
                <w:iCs/>
                <w:color w:val="auto"/>
                <w:sz w:val="24"/>
                <w:szCs w:val="24"/>
                <w:highlight w:val="none"/>
                <w:u w:val="single" w:color="auto"/>
                <w:lang w:val="en-US" w:eastAsia="zh-CN"/>
              </w:rPr>
              <w:t>/a，运输量平均每天</w:t>
            </w:r>
            <w:r>
              <w:rPr>
                <w:rFonts w:hint="eastAsia" w:ascii="Times New Roman" w:hAnsi="Times New Roman" w:cs="Times New Roman"/>
                <w:iCs/>
                <w:color w:val="auto"/>
                <w:sz w:val="24"/>
                <w:szCs w:val="24"/>
                <w:highlight w:val="none"/>
                <w:u w:val="single" w:color="auto"/>
                <w:lang w:val="en-US" w:eastAsia="zh-CN"/>
              </w:rPr>
              <w:t>625m</w:t>
            </w:r>
            <w:r>
              <w:rPr>
                <w:rFonts w:hint="eastAsia" w:ascii="Times New Roman" w:hAnsi="Times New Roman" w:cs="Times New Roman"/>
                <w:iCs/>
                <w:color w:val="auto"/>
                <w:sz w:val="24"/>
                <w:szCs w:val="24"/>
                <w:highlight w:val="none"/>
                <w:u w:val="single" w:color="auto"/>
                <w:vertAlign w:val="superscript"/>
                <w:lang w:val="en-US" w:eastAsia="zh-CN"/>
              </w:rPr>
              <w:t>3</w:t>
            </w:r>
            <w:r>
              <w:rPr>
                <w:rFonts w:hint="default" w:ascii="Times New Roman" w:hAnsi="Times New Roman" w:eastAsia="宋体" w:cs="Times New Roman"/>
                <w:iCs/>
                <w:color w:val="auto"/>
                <w:sz w:val="24"/>
                <w:szCs w:val="24"/>
                <w:highlight w:val="none"/>
                <w:u w:val="single" w:color="auto"/>
                <w:lang w:val="en-US" w:eastAsia="zh-CN"/>
              </w:rPr>
              <w:t>/d，</w:t>
            </w:r>
            <w:r>
              <w:rPr>
                <w:rFonts w:hint="eastAsia" w:ascii="Times New Roman" w:hAnsi="Times New Roman" w:cs="Times New Roman"/>
                <w:iCs/>
                <w:color w:val="auto"/>
                <w:sz w:val="24"/>
                <w:szCs w:val="24"/>
                <w:highlight w:val="none"/>
                <w:u w:val="single" w:color="auto"/>
                <w:lang w:val="en-US" w:eastAsia="zh-CN"/>
              </w:rPr>
              <w:t>单车一次</w:t>
            </w:r>
            <w:r>
              <w:rPr>
                <w:rFonts w:hint="default" w:ascii="Times New Roman" w:hAnsi="Times New Roman" w:eastAsia="宋体" w:cs="Times New Roman"/>
                <w:iCs/>
                <w:color w:val="auto"/>
                <w:sz w:val="24"/>
                <w:szCs w:val="24"/>
                <w:highlight w:val="none"/>
                <w:u w:val="single" w:color="auto"/>
                <w:lang w:val="en-US" w:eastAsia="zh-CN"/>
              </w:rPr>
              <w:t>运输量为</w:t>
            </w:r>
            <w:r>
              <w:rPr>
                <w:rFonts w:hint="eastAsia" w:ascii="Times New Roman" w:hAnsi="Times New Roman" w:cs="Times New Roman"/>
                <w:iCs/>
                <w:color w:val="auto"/>
                <w:sz w:val="24"/>
                <w:szCs w:val="24"/>
                <w:highlight w:val="none"/>
                <w:u w:val="single" w:color="auto"/>
                <w:lang w:val="en-US" w:eastAsia="zh-CN"/>
              </w:rPr>
              <w:t>10、12m</w:t>
            </w:r>
            <w:r>
              <w:rPr>
                <w:rFonts w:hint="eastAsia" w:ascii="Times New Roman" w:hAnsi="Times New Roman" w:cs="Times New Roman"/>
                <w:iCs/>
                <w:color w:val="auto"/>
                <w:sz w:val="24"/>
                <w:szCs w:val="24"/>
                <w:highlight w:val="none"/>
                <w:u w:val="single" w:color="auto"/>
                <w:vertAlign w:val="superscript"/>
                <w:lang w:val="en-US" w:eastAsia="zh-CN"/>
              </w:rPr>
              <w:t>3</w:t>
            </w:r>
            <w:r>
              <w:rPr>
                <w:rFonts w:hint="default" w:ascii="Times New Roman" w:hAnsi="Times New Roman" w:eastAsia="宋体" w:cs="Times New Roman"/>
                <w:iCs/>
                <w:color w:val="auto"/>
                <w:sz w:val="24"/>
                <w:szCs w:val="24"/>
                <w:highlight w:val="none"/>
                <w:u w:val="single" w:color="auto"/>
                <w:lang w:val="en-US" w:eastAsia="zh-CN"/>
              </w:rPr>
              <w:t>，每天大约</w:t>
            </w:r>
            <w:r>
              <w:rPr>
                <w:rFonts w:hint="eastAsia" w:ascii="Times New Roman" w:hAnsi="Times New Roman" w:cs="Times New Roman"/>
                <w:iCs/>
                <w:color w:val="auto"/>
                <w:sz w:val="24"/>
                <w:szCs w:val="24"/>
                <w:highlight w:val="none"/>
                <w:u w:val="single" w:color="auto"/>
                <w:lang w:val="en-US" w:eastAsia="zh-CN"/>
              </w:rPr>
              <w:t>需</w:t>
            </w:r>
            <w:r>
              <w:rPr>
                <w:rFonts w:hint="default" w:ascii="Times New Roman" w:hAnsi="Times New Roman" w:eastAsia="宋体" w:cs="Times New Roman"/>
                <w:iCs/>
                <w:color w:val="auto"/>
                <w:sz w:val="24"/>
                <w:szCs w:val="24"/>
                <w:highlight w:val="none"/>
                <w:u w:val="single" w:color="auto"/>
                <w:lang w:val="en-US" w:eastAsia="zh-CN"/>
              </w:rPr>
              <w:t>运输</w:t>
            </w:r>
            <w:r>
              <w:rPr>
                <w:rFonts w:hint="eastAsia" w:ascii="Times New Roman" w:hAnsi="Times New Roman" w:cs="Times New Roman"/>
                <w:iCs/>
                <w:color w:val="auto"/>
                <w:sz w:val="24"/>
                <w:szCs w:val="24"/>
                <w:highlight w:val="none"/>
                <w:u w:val="single" w:color="auto"/>
                <w:lang w:val="en-US" w:eastAsia="zh-CN"/>
              </w:rPr>
              <w:t>29</w:t>
            </w:r>
            <w:r>
              <w:rPr>
                <w:rFonts w:hint="default" w:ascii="Times New Roman" w:hAnsi="Times New Roman" w:eastAsia="宋体" w:cs="Times New Roman"/>
                <w:iCs/>
                <w:color w:val="auto"/>
                <w:sz w:val="24"/>
                <w:szCs w:val="24"/>
                <w:highlight w:val="none"/>
                <w:u w:val="single" w:color="auto"/>
                <w:lang w:val="en-US" w:eastAsia="zh-CN"/>
              </w:rPr>
              <w:t>次，每次均需对运输车辆进行冲洗，车辆冲洗水量大约</w:t>
            </w:r>
            <w:r>
              <w:rPr>
                <w:rFonts w:hint="eastAsia" w:ascii="Times New Roman" w:hAnsi="Times New Roman" w:cs="Times New Roman"/>
                <w:iCs/>
                <w:color w:val="auto"/>
                <w:sz w:val="24"/>
                <w:szCs w:val="24"/>
                <w:highlight w:val="none"/>
                <w:u w:val="single" w:color="auto"/>
                <w:lang w:val="en-US" w:eastAsia="zh-CN"/>
              </w:rPr>
              <w:t>0.2</w:t>
            </w:r>
            <w:r>
              <w:rPr>
                <w:rFonts w:hint="default" w:ascii="Times New Roman" w:hAnsi="Times New Roman" w:eastAsia="宋体" w:cs="Times New Roman"/>
                <w:iCs/>
                <w:color w:val="auto"/>
                <w:sz w:val="24"/>
                <w:szCs w:val="24"/>
                <w:highlight w:val="none"/>
                <w:u w:val="single" w:color="auto"/>
                <w:lang w:val="en-US" w:eastAsia="zh-CN"/>
              </w:rPr>
              <w:t>m</w:t>
            </w:r>
            <w:r>
              <w:rPr>
                <w:rFonts w:hint="default" w:ascii="Times New Roman" w:hAnsi="Times New Roman" w:eastAsia="宋体" w:cs="Times New Roman"/>
                <w:iCs/>
                <w:color w:val="auto"/>
                <w:sz w:val="24"/>
                <w:szCs w:val="24"/>
                <w:highlight w:val="none"/>
                <w:u w:val="single" w:color="auto"/>
                <w:vertAlign w:val="superscript"/>
                <w:lang w:val="en-US" w:eastAsia="zh-CN"/>
              </w:rPr>
              <w:t>3</w:t>
            </w:r>
            <w:r>
              <w:rPr>
                <w:rFonts w:hint="default" w:ascii="Times New Roman" w:hAnsi="Times New Roman" w:eastAsia="宋体" w:cs="Times New Roman"/>
                <w:iCs/>
                <w:color w:val="auto"/>
                <w:sz w:val="24"/>
                <w:szCs w:val="24"/>
                <w:highlight w:val="none"/>
                <w:u w:val="single" w:color="auto"/>
                <w:lang w:val="en-US" w:eastAsia="zh-CN"/>
              </w:rPr>
              <w:t>/</w:t>
            </w:r>
            <w:r>
              <w:rPr>
                <w:rFonts w:hint="eastAsia" w:ascii="Times New Roman" w:hAnsi="Times New Roman" w:cs="Times New Roman"/>
                <w:iCs/>
                <w:color w:val="auto"/>
                <w:sz w:val="24"/>
                <w:szCs w:val="24"/>
                <w:highlight w:val="none"/>
                <w:u w:val="single" w:color="auto"/>
                <w:lang w:val="en-US" w:eastAsia="zh-CN"/>
              </w:rPr>
              <w:t>辆·</w:t>
            </w:r>
            <w:r>
              <w:rPr>
                <w:rFonts w:hint="default" w:ascii="Times New Roman" w:hAnsi="Times New Roman" w:eastAsia="宋体" w:cs="Times New Roman"/>
                <w:iCs/>
                <w:color w:val="auto"/>
                <w:sz w:val="24"/>
                <w:szCs w:val="24"/>
                <w:highlight w:val="none"/>
                <w:u w:val="single" w:color="auto"/>
                <w:lang w:val="en-US" w:eastAsia="zh-CN"/>
              </w:rPr>
              <w:t>次，则项目</w:t>
            </w:r>
            <w:r>
              <w:rPr>
                <w:rFonts w:hint="eastAsia" w:ascii="Times New Roman" w:hAnsi="Times New Roman" w:eastAsia="宋体" w:cs="Times New Roman"/>
                <w:iCs/>
                <w:color w:val="auto"/>
                <w:sz w:val="24"/>
                <w:szCs w:val="24"/>
                <w:highlight w:val="none"/>
                <w:u w:val="single" w:color="auto"/>
                <w:lang w:val="en-US" w:eastAsia="zh-CN"/>
              </w:rPr>
              <w:t>罐车</w:t>
            </w:r>
            <w:r>
              <w:rPr>
                <w:rFonts w:hint="default" w:ascii="Times New Roman" w:hAnsi="Times New Roman" w:eastAsia="宋体" w:cs="Times New Roman"/>
                <w:iCs/>
                <w:color w:val="auto"/>
                <w:sz w:val="24"/>
                <w:szCs w:val="24"/>
                <w:highlight w:val="none"/>
                <w:u w:val="single" w:color="auto"/>
                <w:lang w:val="en-US" w:eastAsia="zh-CN"/>
              </w:rPr>
              <w:t>清洗</w:t>
            </w:r>
            <w:r>
              <w:rPr>
                <w:rFonts w:hint="eastAsia" w:ascii="Times New Roman" w:hAnsi="Times New Roman" w:cs="Times New Roman"/>
                <w:iCs/>
                <w:color w:val="auto"/>
                <w:sz w:val="24"/>
                <w:szCs w:val="24"/>
                <w:highlight w:val="none"/>
                <w:u w:val="single" w:color="auto"/>
                <w:lang w:val="en-US" w:eastAsia="zh-CN"/>
              </w:rPr>
              <w:t>用</w:t>
            </w:r>
            <w:r>
              <w:rPr>
                <w:rFonts w:hint="default" w:ascii="Times New Roman" w:hAnsi="Times New Roman" w:eastAsia="宋体" w:cs="Times New Roman"/>
                <w:iCs/>
                <w:color w:val="auto"/>
                <w:sz w:val="24"/>
                <w:szCs w:val="24"/>
                <w:highlight w:val="none"/>
                <w:u w:val="single" w:color="auto"/>
                <w:lang w:val="en-US" w:eastAsia="zh-CN"/>
              </w:rPr>
              <w:t>水约</w:t>
            </w:r>
            <w:r>
              <w:rPr>
                <w:rFonts w:hint="eastAsia" w:ascii="Times New Roman" w:hAnsi="Times New Roman" w:cs="Times New Roman"/>
                <w:iCs/>
                <w:color w:val="auto"/>
                <w:sz w:val="24"/>
                <w:szCs w:val="24"/>
                <w:highlight w:val="none"/>
                <w:u w:val="single" w:color="auto"/>
                <w:lang w:val="en-US" w:eastAsia="zh-CN"/>
              </w:rPr>
              <w:t>5.8</w:t>
            </w:r>
            <w:r>
              <w:rPr>
                <w:rFonts w:hint="default" w:ascii="Times New Roman" w:hAnsi="Times New Roman" w:eastAsia="宋体" w:cs="Times New Roman"/>
                <w:iCs/>
                <w:color w:val="auto"/>
                <w:sz w:val="24"/>
                <w:szCs w:val="24"/>
                <w:highlight w:val="none"/>
                <w:u w:val="single" w:color="auto"/>
                <w:lang w:val="en-US" w:eastAsia="zh-CN"/>
              </w:rPr>
              <w:t>m</w:t>
            </w:r>
            <w:r>
              <w:rPr>
                <w:rFonts w:hint="eastAsia" w:ascii="Times New Roman" w:hAnsi="Times New Roman" w:eastAsia="宋体" w:cs="Times New Roman"/>
                <w:iCs/>
                <w:color w:val="auto"/>
                <w:sz w:val="24"/>
                <w:szCs w:val="24"/>
                <w:highlight w:val="none"/>
                <w:u w:val="single" w:color="auto"/>
                <w:vertAlign w:val="superscript"/>
                <w:lang w:val="en-US" w:eastAsia="zh-CN"/>
              </w:rPr>
              <w:t>3</w:t>
            </w:r>
            <w:r>
              <w:rPr>
                <w:rFonts w:hint="default" w:ascii="Times New Roman" w:hAnsi="Times New Roman" w:eastAsia="宋体" w:cs="Times New Roman"/>
                <w:iCs/>
                <w:color w:val="auto"/>
                <w:sz w:val="24"/>
                <w:szCs w:val="24"/>
                <w:highlight w:val="none"/>
                <w:u w:val="single" w:color="auto"/>
                <w:lang w:val="en-US" w:eastAsia="zh-CN"/>
              </w:rPr>
              <w:t>/d（</w:t>
            </w:r>
            <w:r>
              <w:rPr>
                <w:rFonts w:hint="eastAsia" w:ascii="Times New Roman" w:hAnsi="Times New Roman" w:cs="Times New Roman"/>
                <w:iCs/>
                <w:color w:val="auto"/>
                <w:sz w:val="24"/>
                <w:szCs w:val="24"/>
                <w:highlight w:val="none"/>
                <w:u w:val="single" w:color="auto"/>
                <w:lang w:val="en-US" w:eastAsia="zh-CN"/>
              </w:rPr>
              <w:t>1392</w:t>
            </w:r>
            <w:r>
              <w:rPr>
                <w:rFonts w:hint="default" w:ascii="Times New Roman" w:hAnsi="Times New Roman" w:eastAsia="宋体" w:cs="Times New Roman"/>
                <w:iCs/>
                <w:color w:val="auto"/>
                <w:sz w:val="24"/>
                <w:szCs w:val="24"/>
                <w:highlight w:val="none"/>
                <w:u w:val="single" w:color="auto"/>
                <w:lang w:val="en-US" w:eastAsia="zh-CN"/>
              </w:rPr>
              <w:t>m</w:t>
            </w:r>
            <w:r>
              <w:rPr>
                <w:rFonts w:hint="eastAsia" w:ascii="Times New Roman" w:hAnsi="Times New Roman" w:eastAsia="宋体" w:cs="Times New Roman"/>
                <w:iCs/>
                <w:color w:val="auto"/>
                <w:sz w:val="24"/>
                <w:szCs w:val="24"/>
                <w:highlight w:val="none"/>
                <w:u w:val="single" w:color="auto"/>
                <w:vertAlign w:val="superscript"/>
                <w:lang w:val="en-US" w:eastAsia="zh-CN"/>
              </w:rPr>
              <w:t>3</w:t>
            </w:r>
            <w:r>
              <w:rPr>
                <w:rFonts w:hint="default" w:ascii="Times New Roman" w:hAnsi="Times New Roman" w:eastAsia="宋体" w:cs="Times New Roman"/>
                <w:iCs/>
                <w:color w:val="auto"/>
                <w:sz w:val="24"/>
                <w:szCs w:val="24"/>
                <w:highlight w:val="none"/>
                <w:u w:val="single" w:color="auto"/>
                <w:lang w:val="en-US" w:eastAsia="zh-CN"/>
              </w:rPr>
              <w:t>/a）。废水产生量按用水量的90%计，</w:t>
            </w:r>
            <w:r>
              <w:rPr>
                <w:rFonts w:hint="eastAsia" w:ascii="Times New Roman" w:hAnsi="Times New Roman" w:eastAsia="宋体" w:cs="Times New Roman"/>
                <w:iCs/>
                <w:color w:val="auto"/>
                <w:sz w:val="24"/>
                <w:szCs w:val="24"/>
                <w:highlight w:val="none"/>
                <w:u w:val="single" w:color="auto"/>
                <w:lang w:val="en-US" w:eastAsia="zh-CN"/>
              </w:rPr>
              <w:t>罐车</w:t>
            </w:r>
            <w:r>
              <w:rPr>
                <w:rFonts w:hint="default" w:ascii="Times New Roman" w:hAnsi="Times New Roman" w:eastAsia="宋体" w:cs="Times New Roman"/>
                <w:iCs/>
                <w:color w:val="auto"/>
                <w:sz w:val="24"/>
                <w:szCs w:val="24"/>
                <w:highlight w:val="none"/>
                <w:u w:val="single" w:color="auto"/>
                <w:lang w:val="en-US" w:eastAsia="zh-CN"/>
              </w:rPr>
              <w:t>清洗</w:t>
            </w:r>
            <w:r>
              <w:rPr>
                <w:rFonts w:hint="eastAsia" w:ascii="Times New Roman" w:hAnsi="Times New Roman" w:eastAsia="宋体" w:cs="Times New Roman"/>
                <w:iCs/>
                <w:color w:val="auto"/>
                <w:sz w:val="24"/>
                <w:szCs w:val="24"/>
                <w:highlight w:val="none"/>
                <w:u w:val="single" w:color="auto"/>
                <w:lang w:val="en-US" w:eastAsia="zh-CN"/>
              </w:rPr>
              <w:t>废</w:t>
            </w:r>
            <w:r>
              <w:rPr>
                <w:rFonts w:hint="default" w:ascii="Times New Roman" w:hAnsi="Times New Roman" w:eastAsia="宋体" w:cs="Times New Roman"/>
                <w:iCs/>
                <w:color w:val="auto"/>
                <w:sz w:val="24"/>
                <w:szCs w:val="24"/>
                <w:highlight w:val="none"/>
                <w:u w:val="single" w:color="auto"/>
                <w:lang w:val="en-US" w:eastAsia="zh-CN"/>
              </w:rPr>
              <w:t>水</w:t>
            </w:r>
            <w:r>
              <w:rPr>
                <w:rFonts w:hint="eastAsia" w:ascii="Times New Roman" w:hAnsi="Times New Roman" w:eastAsia="宋体" w:cs="Times New Roman"/>
                <w:iCs/>
                <w:color w:val="auto"/>
                <w:sz w:val="24"/>
                <w:szCs w:val="24"/>
                <w:highlight w:val="none"/>
                <w:u w:val="single" w:color="auto"/>
                <w:lang w:val="en-US" w:eastAsia="zh-CN"/>
              </w:rPr>
              <w:t>产生量</w:t>
            </w:r>
            <w:r>
              <w:rPr>
                <w:rFonts w:hint="default" w:ascii="Times New Roman" w:hAnsi="Times New Roman" w:eastAsia="宋体" w:cs="Times New Roman"/>
                <w:iCs/>
                <w:color w:val="auto"/>
                <w:sz w:val="24"/>
                <w:szCs w:val="24"/>
                <w:highlight w:val="none"/>
                <w:u w:val="single" w:color="auto"/>
                <w:lang w:val="en-US" w:eastAsia="zh-CN"/>
              </w:rPr>
              <w:t>约</w:t>
            </w:r>
            <w:r>
              <w:rPr>
                <w:rFonts w:hint="eastAsia" w:ascii="Times New Roman" w:hAnsi="Times New Roman" w:eastAsia="宋体" w:cs="Times New Roman"/>
                <w:iCs/>
                <w:color w:val="auto"/>
                <w:sz w:val="24"/>
                <w:szCs w:val="24"/>
                <w:highlight w:val="none"/>
                <w:u w:val="single" w:color="auto"/>
                <w:lang w:val="en-US" w:eastAsia="zh-CN"/>
              </w:rPr>
              <w:t>为</w:t>
            </w:r>
            <w:r>
              <w:rPr>
                <w:rFonts w:hint="eastAsia" w:ascii="Times New Roman" w:hAnsi="Times New Roman" w:cs="Times New Roman"/>
                <w:iCs/>
                <w:color w:val="auto"/>
                <w:sz w:val="24"/>
                <w:szCs w:val="24"/>
                <w:highlight w:val="none"/>
                <w:u w:val="single" w:color="auto"/>
                <w:lang w:val="en-US" w:eastAsia="zh-CN"/>
              </w:rPr>
              <w:t>5.22</w:t>
            </w:r>
            <w:r>
              <w:rPr>
                <w:rFonts w:hint="default" w:ascii="Times New Roman" w:hAnsi="Times New Roman" w:eastAsia="宋体" w:cs="Times New Roman"/>
                <w:iCs/>
                <w:color w:val="auto"/>
                <w:sz w:val="24"/>
                <w:szCs w:val="24"/>
                <w:highlight w:val="none"/>
                <w:u w:val="single" w:color="auto"/>
                <w:lang w:val="en-US" w:eastAsia="zh-CN"/>
              </w:rPr>
              <w:t>m</w:t>
            </w:r>
            <w:r>
              <w:rPr>
                <w:rFonts w:hint="eastAsia" w:ascii="Times New Roman" w:hAnsi="Times New Roman" w:eastAsia="宋体" w:cs="Times New Roman"/>
                <w:iCs/>
                <w:color w:val="auto"/>
                <w:sz w:val="24"/>
                <w:szCs w:val="24"/>
                <w:highlight w:val="none"/>
                <w:u w:val="single" w:color="auto"/>
                <w:vertAlign w:val="superscript"/>
                <w:lang w:val="en-US" w:eastAsia="zh-CN"/>
              </w:rPr>
              <w:t>3</w:t>
            </w:r>
            <w:r>
              <w:rPr>
                <w:rFonts w:hint="default" w:ascii="Times New Roman" w:hAnsi="Times New Roman" w:eastAsia="宋体" w:cs="Times New Roman"/>
                <w:iCs/>
                <w:color w:val="auto"/>
                <w:sz w:val="24"/>
                <w:szCs w:val="24"/>
                <w:highlight w:val="none"/>
                <w:u w:val="single" w:color="auto"/>
                <w:lang w:val="en-US" w:eastAsia="zh-CN"/>
              </w:rPr>
              <w:t>/d（</w:t>
            </w:r>
            <w:r>
              <w:rPr>
                <w:rFonts w:hint="eastAsia" w:ascii="Times New Roman" w:hAnsi="Times New Roman" w:cs="Times New Roman"/>
                <w:iCs/>
                <w:color w:val="auto"/>
                <w:sz w:val="24"/>
                <w:szCs w:val="24"/>
                <w:highlight w:val="none"/>
                <w:u w:val="single" w:color="auto"/>
                <w:lang w:val="en-US" w:eastAsia="zh-CN"/>
              </w:rPr>
              <w:t>1252.8</w:t>
            </w:r>
            <w:r>
              <w:rPr>
                <w:rFonts w:hint="default" w:ascii="Times New Roman" w:hAnsi="Times New Roman" w:eastAsia="宋体" w:cs="Times New Roman"/>
                <w:iCs/>
                <w:color w:val="auto"/>
                <w:sz w:val="24"/>
                <w:szCs w:val="24"/>
                <w:highlight w:val="none"/>
                <w:u w:val="single" w:color="auto"/>
                <w:lang w:val="en-US" w:eastAsia="zh-CN"/>
              </w:rPr>
              <w:t>m</w:t>
            </w:r>
            <w:r>
              <w:rPr>
                <w:rFonts w:hint="eastAsia" w:ascii="Times New Roman" w:hAnsi="Times New Roman" w:eastAsia="宋体" w:cs="Times New Roman"/>
                <w:iCs/>
                <w:color w:val="auto"/>
                <w:sz w:val="24"/>
                <w:szCs w:val="24"/>
                <w:highlight w:val="none"/>
                <w:u w:val="single" w:color="auto"/>
                <w:vertAlign w:val="superscript"/>
                <w:lang w:val="en-US" w:eastAsia="zh-CN"/>
              </w:rPr>
              <w:t>3</w:t>
            </w:r>
            <w:r>
              <w:rPr>
                <w:rFonts w:hint="default" w:ascii="Times New Roman" w:hAnsi="Times New Roman" w:eastAsia="宋体" w:cs="Times New Roman"/>
                <w:iCs/>
                <w:color w:val="auto"/>
                <w:sz w:val="24"/>
                <w:szCs w:val="24"/>
                <w:highlight w:val="none"/>
                <w:u w:val="single" w:color="auto"/>
                <w:lang w:val="en-US" w:eastAsia="zh-CN"/>
              </w:rPr>
              <w:t>/a）。</w:t>
            </w:r>
            <w:r>
              <w:rPr>
                <w:rFonts w:hint="eastAsia" w:ascii="Times New Roman" w:hAnsi="Times New Roman" w:eastAsia="宋体" w:cs="Times New Roman"/>
                <w:iCs/>
                <w:color w:val="auto"/>
                <w:sz w:val="24"/>
                <w:szCs w:val="24"/>
                <w:highlight w:val="none"/>
                <w:u w:val="single" w:color="auto"/>
                <w:lang w:val="en-US" w:eastAsia="zh-CN"/>
              </w:rPr>
              <w:t>罐车清洗</w:t>
            </w:r>
            <w:r>
              <w:rPr>
                <w:rFonts w:hint="default" w:ascii="Times New Roman" w:hAnsi="Times New Roman" w:eastAsia="宋体" w:cs="Times New Roman"/>
                <w:iCs/>
                <w:color w:val="auto"/>
                <w:sz w:val="24"/>
                <w:szCs w:val="24"/>
                <w:highlight w:val="none"/>
                <w:u w:val="single" w:color="auto"/>
                <w:lang w:val="en-US" w:eastAsia="zh-CN"/>
              </w:rPr>
              <w:t>废</w:t>
            </w:r>
            <w:r>
              <w:rPr>
                <w:rFonts w:hint="eastAsia" w:ascii="Times New Roman" w:hAnsi="Times New Roman" w:cs="Times New Roman"/>
                <w:iCs/>
                <w:color w:val="auto"/>
                <w:sz w:val="24"/>
                <w:szCs w:val="24"/>
                <w:highlight w:val="none"/>
                <w:u w:val="single" w:color="auto"/>
                <w:lang w:val="en-US" w:eastAsia="zh-CN"/>
              </w:rPr>
              <w:t>水</w:t>
            </w:r>
            <w:r>
              <w:rPr>
                <w:rFonts w:hint="eastAsia" w:ascii="Times New Roman" w:hAnsi="Times New Roman" w:eastAsia="宋体" w:cs="Times New Roman"/>
                <w:iCs/>
                <w:color w:val="auto"/>
                <w:sz w:val="24"/>
                <w:szCs w:val="24"/>
                <w:highlight w:val="none"/>
                <w:u w:val="single" w:color="auto"/>
                <w:lang w:val="en-US" w:eastAsia="zh-CN"/>
              </w:rPr>
              <w:t>经</w:t>
            </w:r>
            <w:r>
              <w:rPr>
                <w:rFonts w:hint="eastAsia" w:ascii="Times New Roman" w:hAnsi="Times New Roman" w:cs="Times New Roman"/>
                <w:iCs/>
                <w:color w:val="auto"/>
                <w:sz w:val="24"/>
                <w:szCs w:val="24"/>
                <w:highlight w:val="none"/>
                <w:u w:val="single" w:color="auto"/>
                <w:lang w:val="en-US" w:eastAsia="zh-CN"/>
              </w:rPr>
              <w:t>三级</w:t>
            </w:r>
            <w:r>
              <w:rPr>
                <w:rFonts w:hint="eastAsia" w:ascii="Times New Roman" w:hAnsi="Times New Roman" w:eastAsia="宋体" w:cs="Times New Roman"/>
                <w:iCs/>
                <w:color w:val="auto"/>
                <w:sz w:val="24"/>
                <w:szCs w:val="24"/>
                <w:highlight w:val="none"/>
                <w:u w:val="single" w:color="auto"/>
                <w:lang w:val="en-US" w:eastAsia="zh-CN"/>
              </w:rPr>
              <w:t>沉淀池</w:t>
            </w:r>
            <w:r>
              <w:rPr>
                <w:rFonts w:hint="eastAsia" w:ascii="Times New Roman" w:hAnsi="Times New Roman" w:cs="Times New Roman"/>
                <w:iCs/>
                <w:color w:val="auto"/>
                <w:sz w:val="24"/>
                <w:szCs w:val="24"/>
                <w:highlight w:val="none"/>
                <w:u w:val="single" w:color="auto"/>
                <w:lang w:val="en-US" w:eastAsia="zh-CN"/>
              </w:rPr>
              <w:t>沉淀</w:t>
            </w:r>
            <w:r>
              <w:rPr>
                <w:rFonts w:hint="eastAsia" w:ascii="Times New Roman" w:hAnsi="Times New Roman" w:eastAsia="宋体" w:cs="Times New Roman"/>
                <w:iCs/>
                <w:color w:val="auto"/>
                <w:sz w:val="24"/>
                <w:szCs w:val="24"/>
                <w:highlight w:val="none"/>
                <w:u w:val="single" w:color="auto"/>
                <w:lang w:val="en-US" w:eastAsia="zh-CN"/>
              </w:rPr>
              <w:t>处理后</w:t>
            </w:r>
            <w:r>
              <w:rPr>
                <w:rFonts w:hint="default" w:ascii="Times New Roman" w:hAnsi="Times New Roman" w:eastAsia="宋体" w:cs="Times New Roman"/>
                <w:iCs/>
                <w:color w:val="auto"/>
                <w:sz w:val="24"/>
                <w:szCs w:val="24"/>
                <w:highlight w:val="none"/>
                <w:u w:val="single" w:color="auto"/>
                <w:lang w:val="en-US" w:eastAsia="zh-CN"/>
              </w:rPr>
              <w:t>回用于生产，不外排。</w:t>
            </w:r>
          </w:p>
          <w:p w14:paraId="0E026B3B">
            <w:pPr>
              <w:pStyle w:val="59"/>
              <w:ind w:firstLine="420"/>
              <w:rPr>
                <w:rFonts w:hint="eastAsia" w:ascii="Times New Roman" w:hAnsi="Times New Roman" w:eastAsia="宋体" w:cs="Times New Roman"/>
                <w:iCs/>
                <w:color w:val="auto"/>
                <w:sz w:val="24"/>
                <w:szCs w:val="24"/>
                <w:highlight w:val="none"/>
                <w:u w:val="none" w:color="auto"/>
                <w:lang w:eastAsia="zh-CN"/>
              </w:rPr>
            </w:pPr>
            <w:r>
              <w:rPr>
                <w:rFonts w:hint="eastAsia" w:ascii="Times New Roman" w:hAnsi="Times New Roman" w:eastAsia="宋体" w:cs="Times New Roman"/>
                <w:iCs/>
                <w:color w:val="auto"/>
                <w:sz w:val="24"/>
                <w:szCs w:val="24"/>
                <w:highlight w:val="none"/>
                <w:u w:val="none" w:color="auto"/>
              </w:rPr>
              <w:t>④设备</w:t>
            </w:r>
            <w:r>
              <w:rPr>
                <w:rFonts w:hint="eastAsia" w:ascii="Times New Roman" w:hAnsi="Times New Roman" w:cs="Times New Roman"/>
                <w:iCs/>
                <w:color w:val="auto"/>
                <w:sz w:val="24"/>
                <w:szCs w:val="24"/>
                <w:highlight w:val="none"/>
                <w:u w:val="none" w:color="auto"/>
                <w:lang w:val="en-US" w:eastAsia="zh-CN"/>
              </w:rPr>
              <w:t>清</w:t>
            </w:r>
            <w:r>
              <w:rPr>
                <w:rFonts w:hint="eastAsia" w:ascii="Times New Roman" w:hAnsi="Times New Roman" w:eastAsia="宋体" w:cs="Times New Roman"/>
                <w:iCs/>
                <w:color w:val="auto"/>
                <w:sz w:val="24"/>
                <w:szCs w:val="24"/>
                <w:highlight w:val="none"/>
                <w:u w:val="none" w:color="auto"/>
              </w:rPr>
              <w:t>洗</w:t>
            </w:r>
            <w:r>
              <w:rPr>
                <w:rFonts w:hint="eastAsia" w:ascii="Times New Roman" w:hAnsi="Times New Roman" w:cs="Times New Roman"/>
                <w:iCs/>
                <w:color w:val="auto"/>
                <w:sz w:val="24"/>
                <w:szCs w:val="24"/>
                <w:highlight w:val="none"/>
                <w:u w:val="none" w:color="auto"/>
                <w:lang w:val="en-US" w:eastAsia="zh-CN"/>
              </w:rPr>
              <w:t>用</w:t>
            </w:r>
            <w:r>
              <w:rPr>
                <w:rFonts w:hint="eastAsia" w:ascii="Times New Roman" w:hAnsi="Times New Roman" w:eastAsia="宋体" w:cs="Times New Roman"/>
                <w:iCs/>
                <w:color w:val="auto"/>
                <w:sz w:val="24"/>
                <w:szCs w:val="24"/>
                <w:highlight w:val="none"/>
                <w:u w:val="none" w:color="auto"/>
              </w:rPr>
              <w:t>水</w:t>
            </w:r>
          </w:p>
          <w:p w14:paraId="550FC7A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u w:val="none" w:color="auto"/>
                <w:lang w:val="en-US" w:eastAsia="zh-CN" w:bidi="ar"/>
              </w:rPr>
            </w:pPr>
            <w:r>
              <w:rPr>
                <w:rFonts w:hint="default" w:ascii="Times New Roman" w:hAnsi="Times New Roman" w:eastAsia="宋体" w:cs="Times New Roman"/>
                <w:iCs/>
                <w:color w:val="auto"/>
                <w:sz w:val="24"/>
                <w:szCs w:val="24"/>
                <w:highlight w:val="none"/>
                <w:u w:val="none" w:color="auto"/>
                <w:lang w:val="en-US" w:eastAsia="zh-CN"/>
              </w:rPr>
              <w:t>搅拌站设备定期清洗，</w:t>
            </w:r>
            <w:r>
              <w:rPr>
                <w:rFonts w:hint="eastAsia" w:ascii="Times New Roman" w:hAnsi="Times New Roman" w:cs="Times New Roman"/>
                <w:iCs/>
                <w:color w:val="auto"/>
                <w:sz w:val="24"/>
                <w:szCs w:val="24"/>
                <w:highlight w:val="none"/>
                <w:u w:val="none" w:color="auto"/>
                <w:lang w:val="en-US" w:eastAsia="zh-CN"/>
              </w:rPr>
              <w:t>平均</w:t>
            </w:r>
            <w:r>
              <w:rPr>
                <w:rFonts w:hint="default" w:ascii="Times New Roman" w:hAnsi="Times New Roman" w:eastAsia="宋体" w:cs="Times New Roman"/>
                <w:iCs/>
                <w:color w:val="auto"/>
                <w:sz w:val="24"/>
                <w:szCs w:val="24"/>
                <w:highlight w:val="none"/>
                <w:u w:val="none" w:color="auto"/>
                <w:lang w:val="en-US" w:eastAsia="zh-CN"/>
              </w:rPr>
              <w:t>每天清洗</w:t>
            </w:r>
            <w:r>
              <w:rPr>
                <w:rFonts w:hint="eastAsia" w:ascii="Times New Roman" w:hAnsi="Times New Roman" w:cs="Times New Roman"/>
                <w:iCs/>
                <w:color w:val="auto"/>
                <w:sz w:val="24"/>
                <w:szCs w:val="24"/>
                <w:highlight w:val="none"/>
                <w:u w:val="none" w:color="auto"/>
                <w:lang w:val="en-US" w:eastAsia="zh-CN"/>
              </w:rPr>
              <w:t>1</w:t>
            </w:r>
            <w:r>
              <w:rPr>
                <w:rFonts w:hint="default" w:ascii="Times New Roman" w:hAnsi="Times New Roman" w:eastAsia="宋体" w:cs="Times New Roman"/>
                <w:iCs/>
                <w:color w:val="auto"/>
                <w:sz w:val="24"/>
                <w:szCs w:val="24"/>
                <w:highlight w:val="none"/>
                <w:u w:val="none" w:color="auto"/>
                <w:lang w:val="en-US" w:eastAsia="zh-CN"/>
              </w:rPr>
              <w:t>次，每次</w:t>
            </w:r>
            <w:r>
              <w:rPr>
                <w:rFonts w:hint="eastAsia" w:ascii="Times New Roman" w:hAnsi="Times New Roman" w:cs="Times New Roman"/>
                <w:iCs/>
                <w:color w:val="auto"/>
                <w:sz w:val="24"/>
                <w:szCs w:val="24"/>
                <w:highlight w:val="none"/>
                <w:u w:val="none" w:color="auto"/>
                <w:lang w:val="en-US" w:eastAsia="zh-CN"/>
              </w:rPr>
              <w:t>每台搅拌机</w:t>
            </w:r>
            <w:r>
              <w:rPr>
                <w:rFonts w:hint="default" w:ascii="Times New Roman" w:hAnsi="Times New Roman" w:eastAsia="宋体" w:cs="Times New Roman"/>
                <w:iCs/>
                <w:color w:val="auto"/>
                <w:sz w:val="24"/>
                <w:szCs w:val="24"/>
                <w:highlight w:val="none"/>
                <w:u w:val="none" w:color="auto"/>
                <w:lang w:val="en-US" w:eastAsia="zh-CN"/>
              </w:rPr>
              <w:t>用水量</w:t>
            </w:r>
            <w:r>
              <w:rPr>
                <w:rFonts w:hint="eastAsia" w:ascii="Times New Roman" w:hAnsi="Times New Roman" w:cs="Times New Roman"/>
                <w:iCs/>
                <w:color w:val="auto"/>
                <w:sz w:val="24"/>
                <w:szCs w:val="24"/>
                <w:highlight w:val="none"/>
                <w:u w:val="none" w:color="auto"/>
                <w:lang w:val="en-US" w:eastAsia="zh-CN"/>
              </w:rPr>
              <w:t>按1</w:t>
            </w:r>
            <w:r>
              <w:rPr>
                <w:rFonts w:hint="default" w:ascii="Times New Roman" w:hAnsi="Times New Roman" w:eastAsia="宋体" w:cs="Times New Roman"/>
                <w:iCs/>
                <w:color w:val="auto"/>
                <w:sz w:val="24"/>
                <w:szCs w:val="24"/>
                <w:highlight w:val="none"/>
                <w:u w:val="none" w:color="auto"/>
                <w:lang w:val="en-US" w:eastAsia="zh-CN"/>
              </w:rPr>
              <w:t>m</w:t>
            </w:r>
            <w:r>
              <w:rPr>
                <w:rFonts w:hint="default" w:ascii="Times New Roman" w:hAnsi="Times New Roman" w:eastAsia="宋体" w:cs="Times New Roman"/>
                <w:iCs/>
                <w:color w:val="auto"/>
                <w:sz w:val="24"/>
                <w:szCs w:val="24"/>
                <w:highlight w:val="none"/>
                <w:u w:val="none" w:color="auto"/>
                <w:vertAlign w:val="superscript"/>
                <w:lang w:val="en-US" w:eastAsia="zh-CN"/>
              </w:rPr>
              <w:t>3</w:t>
            </w:r>
            <w:r>
              <w:rPr>
                <w:rFonts w:hint="default" w:ascii="Times New Roman" w:hAnsi="Times New Roman" w:eastAsia="宋体" w:cs="Times New Roman"/>
                <w:iCs/>
                <w:color w:val="auto"/>
                <w:sz w:val="24"/>
                <w:szCs w:val="24"/>
                <w:highlight w:val="none"/>
                <w:u w:val="none" w:color="auto"/>
                <w:lang w:val="en-US" w:eastAsia="zh-CN"/>
              </w:rPr>
              <w:t>计算，</w:t>
            </w:r>
            <w:r>
              <w:rPr>
                <w:rFonts w:hint="eastAsia" w:ascii="Times New Roman" w:hAnsi="Times New Roman" w:cs="Times New Roman"/>
                <w:iCs/>
                <w:color w:val="auto"/>
                <w:sz w:val="24"/>
                <w:szCs w:val="24"/>
                <w:highlight w:val="none"/>
                <w:u w:val="none" w:color="auto"/>
                <w:lang w:val="en-US" w:eastAsia="zh-CN"/>
              </w:rPr>
              <w:t>项目共2台搅拌机，</w:t>
            </w:r>
            <w:r>
              <w:rPr>
                <w:rFonts w:hint="default" w:ascii="Times New Roman" w:hAnsi="Times New Roman" w:eastAsia="宋体" w:cs="Times New Roman"/>
                <w:iCs/>
                <w:color w:val="auto"/>
                <w:sz w:val="24"/>
                <w:szCs w:val="24"/>
                <w:highlight w:val="none"/>
                <w:u w:val="none" w:color="auto"/>
                <w:lang w:val="en-US" w:eastAsia="zh-CN"/>
              </w:rPr>
              <w:t>则项目设备清洗</w:t>
            </w:r>
            <w:r>
              <w:rPr>
                <w:rFonts w:hint="eastAsia" w:ascii="Times New Roman" w:hAnsi="Times New Roman" w:cs="Times New Roman"/>
                <w:iCs/>
                <w:color w:val="auto"/>
                <w:sz w:val="24"/>
                <w:szCs w:val="24"/>
                <w:highlight w:val="none"/>
                <w:u w:val="none" w:color="auto"/>
                <w:lang w:val="en-US" w:eastAsia="zh-CN"/>
              </w:rPr>
              <w:t>用</w:t>
            </w:r>
            <w:r>
              <w:rPr>
                <w:rFonts w:hint="default" w:ascii="Times New Roman" w:hAnsi="Times New Roman" w:eastAsia="宋体" w:cs="Times New Roman"/>
                <w:iCs/>
                <w:color w:val="auto"/>
                <w:sz w:val="24"/>
                <w:szCs w:val="24"/>
                <w:highlight w:val="none"/>
                <w:u w:val="none" w:color="auto"/>
                <w:lang w:val="en-US" w:eastAsia="zh-CN"/>
              </w:rPr>
              <w:t>水约</w:t>
            </w:r>
            <w:r>
              <w:rPr>
                <w:rFonts w:hint="eastAsia" w:ascii="Times New Roman" w:hAnsi="Times New Roman" w:cs="Times New Roman"/>
                <w:iCs/>
                <w:color w:val="auto"/>
                <w:sz w:val="24"/>
                <w:szCs w:val="24"/>
                <w:highlight w:val="none"/>
                <w:u w:val="none" w:color="auto"/>
                <w:lang w:val="en-US" w:eastAsia="zh-CN"/>
              </w:rPr>
              <w:t>2</w:t>
            </w:r>
            <w:r>
              <w:rPr>
                <w:rFonts w:hint="default" w:ascii="Times New Roman" w:hAnsi="Times New Roman" w:eastAsia="宋体" w:cs="Times New Roman"/>
                <w:iCs/>
                <w:color w:val="auto"/>
                <w:sz w:val="24"/>
                <w:szCs w:val="24"/>
                <w:highlight w:val="none"/>
                <w:u w:val="none" w:color="auto"/>
                <w:lang w:val="en-US" w:eastAsia="zh-CN"/>
              </w:rPr>
              <w:t>m</w:t>
            </w:r>
            <w:r>
              <w:rPr>
                <w:rFonts w:hint="default" w:ascii="Times New Roman" w:hAnsi="Times New Roman" w:eastAsia="宋体" w:cs="Times New Roman"/>
                <w:iCs/>
                <w:color w:val="auto"/>
                <w:sz w:val="24"/>
                <w:szCs w:val="24"/>
                <w:highlight w:val="none"/>
                <w:u w:val="none" w:color="auto"/>
                <w:vertAlign w:val="superscript"/>
                <w:lang w:val="en-US" w:eastAsia="zh-CN"/>
              </w:rPr>
              <w:t>3</w:t>
            </w:r>
            <w:r>
              <w:rPr>
                <w:rFonts w:hint="default" w:ascii="Times New Roman" w:hAnsi="Times New Roman" w:eastAsia="宋体" w:cs="Times New Roman"/>
                <w:iCs/>
                <w:color w:val="auto"/>
                <w:sz w:val="24"/>
                <w:szCs w:val="24"/>
                <w:highlight w:val="none"/>
                <w:u w:val="none" w:color="auto"/>
                <w:lang w:val="en-US" w:eastAsia="zh-CN"/>
              </w:rPr>
              <w:t>/d（</w:t>
            </w:r>
            <w:r>
              <w:rPr>
                <w:rFonts w:hint="eastAsia" w:ascii="Times New Roman" w:hAnsi="Times New Roman" w:cs="Times New Roman"/>
                <w:iCs/>
                <w:color w:val="auto"/>
                <w:sz w:val="24"/>
                <w:szCs w:val="24"/>
                <w:highlight w:val="none"/>
                <w:u w:val="none" w:color="auto"/>
                <w:lang w:val="en-US" w:eastAsia="zh-CN"/>
              </w:rPr>
              <w:t>480</w:t>
            </w:r>
            <w:r>
              <w:rPr>
                <w:rFonts w:hint="default" w:ascii="Times New Roman" w:hAnsi="Times New Roman" w:eastAsia="宋体" w:cs="Times New Roman"/>
                <w:iCs/>
                <w:color w:val="auto"/>
                <w:sz w:val="24"/>
                <w:szCs w:val="24"/>
                <w:highlight w:val="none"/>
                <w:u w:val="none" w:color="auto"/>
                <w:lang w:val="en-US" w:eastAsia="zh-CN"/>
              </w:rPr>
              <w:t>m</w:t>
            </w:r>
            <w:r>
              <w:rPr>
                <w:rFonts w:hint="eastAsia" w:ascii="Times New Roman" w:hAnsi="Times New Roman" w:eastAsia="宋体" w:cs="Times New Roman"/>
                <w:iCs/>
                <w:color w:val="auto"/>
                <w:sz w:val="24"/>
                <w:szCs w:val="24"/>
                <w:highlight w:val="none"/>
                <w:u w:val="none" w:color="auto"/>
                <w:vertAlign w:val="superscript"/>
                <w:lang w:val="en-US" w:eastAsia="zh-CN"/>
              </w:rPr>
              <w:t>3</w:t>
            </w:r>
            <w:r>
              <w:rPr>
                <w:rFonts w:hint="default" w:ascii="Times New Roman" w:hAnsi="Times New Roman" w:eastAsia="宋体" w:cs="Times New Roman"/>
                <w:iCs/>
                <w:color w:val="auto"/>
                <w:sz w:val="24"/>
                <w:szCs w:val="24"/>
                <w:highlight w:val="none"/>
                <w:u w:val="none" w:color="auto"/>
                <w:lang w:val="en-US" w:eastAsia="zh-CN"/>
              </w:rPr>
              <w:t>/a）。废水产生量按用水量的90%计，设备清洗</w:t>
            </w:r>
            <w:r>
              <w:rPr>
                <w:rFonts w:hint="eastAsia" w:ascii="Times New Roman" w:hAnsi="Times New Roman" w:cs="Times New Roman"/>
                <w:iCs/>
                <w:color w:val="auto"/>
                <w:sz w:val="24"/>
                <w:szCs w:val="24"/>
                <w:highlight w:val="none"/>
                <w:u w:val="none" w:color="auto"/>
                <w:lang w:val="en-US" w:eastAsia="zh-CN"/>
              </w:rPr>
              <w:t>废</w:t>
            </w:r>
            <w:r>
              <w:rPr>
                <w:rFonts w:hint="default" w:ascii="Times New Roman" w:hAnsi="Times New Roman" w:eastAsia="宋体" w:cs="Times New Roman"/>
                <w:iCs/>
                <w:color w:val="auto"/>
                <w:sz w:val="24"/>
                <w:szCs w:val="24"/>
                <w:highlight w:val="none"/>
                <w:u w:val="none" w:color="auto"/>
                <w:lang w:val="en-US" w:eastAsia="zh-CN"/>
              </w:rPr>
              <w:t>水约</w:t>
            </w:r>
            <w:r>
              <w:rPr>
                <w:rFonts w:hint="eastAsia" w:ascii="Times New Roman" w:hAnsi="Times New Roman" w:cs="Times New Roman"/>
                <w:iCs/>
                <w:color w:val="auto"/>
                <w:sz w:val="24"/>
                <w:szCs w:val="24"/>
                <w:highlight w:val="none"/>
                <w:u w:val="none" w:color="auto"/>
                <w:lang w:val="en-US" w:eastAsia="zh-CN"/>
              </w:rPr>
              <w:t>1.8</w:t>
            </w:r>
            <w:r>
              <w:rPr>
                <w:rFonts w:hint="default" w:ascii="Times New Roman" w:hAnsi="Times New Roman" w:eastAsia="宋体" w:cs="Times New Roman"/>
                <w:iCs/>
                <w:color w:val="auto"/>
                <w:sz w:val="24"/>
                <w:szCs w:val="24"/>
                <w:highlight w:val="none"/>
                <w:u w:val="none" w:color="auto"/>
                <w:lang w:val="en-US" w:eastAsia="zh-CN"/>
              </w:rPr>
              <w:t>m</w:t>
            </w:r>
            <w:r>
              <w:rPr>
                <w:rFonts w:hint="default" w:ascii="Times New Roman" w:hAnsi="Times New Roman" w:eastAsia="宋体" w:cs="Times New Roman"/>
                <w:iCs/>
                <w:color w:val="auto"/>
                <w:sz w:val="24"/>
                <w:szCs w:val="24"/>
                <w:highlight w:val="none"/>
                <w:u w:val="none" w:color="auto"/>
                <w:vertAlign w:val="superscript"/>
                <w:lang w:val="en-US" w:eastAsia="zh-CN"/>
              </w:rPr>
              <w:t>3</w:t>
            </w:r>
            <w:r>
              <w:rPr>
                <w:rFonts w:hint="default" w:ascii="Times New Roman" w:hAnsi="Times New Roman" w:eastAsia="宋体" w:cs="Times New Roman"/>
                <w:iCs/>
                <w:color w:val="auto"/>
                <w:sz w:val="24"/>
                <w:szCs w:val="24"/>
                <w:highlight w:val="none"/>
                <w:u w:val="none" w:color="auto"/>
                <w:lang w:val="en-US" w:eastAsia="zh-CN"/>
              </w:rPr>
              <w:t>/d（</w:t>
            </w:r>
            <w:r>
              <w:rPr>
                <w:rFonts w:hint="eastAsia" w:ascii="Times New Roman" w:hAnsi="Times New Roman" w:cs="Times New Roman"/>
                <w:iCs/>
                <w:color w:val="auto"/>
                <w:sz w:val="24"/>
                <w:szCs w:val="24"/>
                <w:highlight w:val="none"/>
                <w:u w:val="none" w:color="auto"/>
                <w:lang w:val="en-US" w:eastAsia="zh-CN"/>
              </w:rPr>
              <w:t>432</w:t>
            </w:r>
            <w:r>
              <w:rPr>
                <w:rFonts w:hint="default" w:ascii="Times New Roman" w:hAnsi="Times New Roman" w:eastAsia="宋体" w:cs="Times New Roman"/>
                <w:iCs/>
                <w:color w:val="auto"/>
                <w:sz w:val="24"/>
                <w:szCs w:val="24"/>
                <w:highlight w:val="none"/>
                <w:u w:val="none" w:color="auto"/>
                <w:lang w:val="en-US" w:eastAsia="zh-CN"/>
              </w:rPr>
              <w:t>m</w:t>
            </w:r>
            <w:r>
              <w:rPr>
                <w:rFonts w:hint="eastAsia" w:ascii="Times New Roman" w:hAnsi="Times New Roman" w:eastAsia="宋体" w:cs="Times New Roman"/>
                <w:iCs/>
                <w:color w:val="auto"/>
                <w:sz w:val="24"/>
                <w:szCs w:val="24"/>
                <w:highlight w:val="none"/>
                <w:u w:val="none" w:color="auto"/>
                <w:vertAlign w:val="superscript"/>
                <w:lang w:val="en-US" w:eastAsia="zh-CN"/>
              </w:rPr>
              <w:t>3</w:t>
            </w:r>
            <w:r>
              <w:rPr>
                <w:rFonts w:hint="default" w:ascii="Times New Roman" w:hAnsi="Times New Roman" w:eastAsia="宋体" w:cs="Times New Roman"/>
                <w:iCs/>
                <w:color w:val="auto"/>
                <w:sz w:val="24"/>
                <w:szCs w:val="24"/>
                <w:highlight w:val="none"/>
                <w:u w:val="none" w:color="auto"/>
                <w:lang w:val="en-US" w:eastAsia="zh-CN"/>
              </w:rPr>
              <w:t>/a）。设备清洗废水</w:t>
            </w:r>
            <w:r>
              <w:rPr>
                <w:rFonts w:hint="eastAsia" w:ascii="Times New Roman" w:hAnsi="Times New Roman" w:eastAsia="宋体" w:cs="Times New Roman"/>
                <w:iCs/>
                <w:color w:val="auto"/>
                <w:sz w:val="24"/>
                <w:szCs w:val="24"/>
                <w:highlight w:val="none"/>
                <w:u w:val="none" w:color="auto"/>
                <w:lang w:val="en-US" w:eastAsia="zh-CN"/>
              </w:rPr>
              <w:t>经</w:t>
            </w:r>
            <w:r>
              <w:rPr>
                <w:rFonts w:hint="eastAsia" w:ascii="Times New Roman" w:hAnsi="Times New Roman" w:cs="Times New Roman"/>
                <w:iCs/>
                <w:color w:val="auto"/>
                <w:sz w:val="24"/>
                <w:szCs w:val="24"/>
                <w:highlight w:val="none"/>
                <w:u w:val="none" w:color="auto"/>
                <w:lang w:val="en-US" w:eastAsia="zh-CN"/>
              </w:rPr>
              <w:t>三级</w:t>
            </w:r>
            <w:r>
              <w:rPr>
                <w:rFonts w:hint="eastAsia" w:ascii="Times New Roman" w:hAnsi="Times New Roman" w:eastAsia="宋体" w:cs="Times New Roman"/>
                <w:iCs/>
                <w:color w:val="auto"/>
                <w:sz w:val="24"/>
                <w:szCs w:val="24"/>
                <w:highlight w:val="none"/>
                <w:u w:val="none" w:color="auto"/>
                <w:lang w:val="en-US" w:eastAsia="zh-CN"/>
              </w:rPr>
              <w:t>沉淀池</w:t>
            </w:r>
            <w:r>
              <w:rPr>
                <w:rFonts w:hint="eastAsia" w:ascii="Times New Roman" w:hAnsi="Times New Roman" w:cs="Times New Roman"/>
                <w:iCs/>
                <w:color w:val="auto"/>
                <w:sz w:val="24"/>
                <w:szCs w:val="24"/>
                <w:highlight w:val="none"/>
                <w:u w:val="none" w:color="auto"/>
                <w:lang w:val="en-US" w:eastAsia="zh-CN"/>
              </w:rPr>
              <w:t>沉淀</w:t>
            </w:r>
            <w:r>
              <w:rPr>
                <w:rFonts w:hint="default" w:ascii="Times New Roman" w:hAnsi="Times New Roman" w:eastAsia="宋体" w:cs="Times New Roman"/>
                <w:iCs/>
                <w:color w:val="auto"/>
                <w:sz w:val="24"/>
                <w:szCs w:val="24"/>
                <w:highlight w:val="none"/>
                <w:u w:val="none" w:color="auto"/>
                <w:lang w:val="en-US" w:eastAsia="zh-CN"/>
              </w:rPr>
              <w:t>处理后</w:t>
            </w:r>
            <w:r>
              <w:rPr>
                <w:rFonts w:hint="eastAsia" w:ascii="Times New Roman" w:hAnsi="Times New Roman" w:eastAsia="宋体" w:cs="Times New Roman"/>
                <w:iCs/>
                <w:color w:val="auto"/>
                <w:sz w:val="24"/>
                <w:szCs w:val="24"/>
                <w:highlight w:val="none"/>
                <w:u w:val="none" w:color="auto"/>
                <w:lang w:val="en-US" w:eastAsia="zh-CN"/>
              </w:rPr>
              <w:t>回</w:t>
            </w:r>
            <w:r>
              <w:rPr>
                <w:rFonts w:hint="default" w:ascii="Times New Roman" w:hAnsi="Times New Roman" w:eastAsia="宋体" w:cs="Times New Roman"/>
                <w:iCs/>
                <w:color w:val="auto"/>
                <w:sz w:val="24"/>
                <w:szCs w:val="24"/>
                <w:highlight w:val="none"/>
                <w:u w:val="none" w:color="auto"/>
                <w:lang w:val="en-US" w:eastAsia="zh-CN"/>
              </w:rPr>
              <w:t>用于生产，不外排。</w:t>
            </w:r>
          </w:p>
          <w:p w14:paraId="779F2FA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kern w:val="0"/>
                <w:sz w:val="24"/>
                <w:szCs w:val="24"/>
                <w:highlight w:val="none"/>
                <w:u w:val="none" w:color="auto"/>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u w:val="none" w:color="auto"/>
                <w:lang w:val="en-US" w:eastAsia="zh-CN" w:bidi="ar"/>
                <w14:textFill>
                  <w14:solidFill>
                    <w14:schemeClr w14:val="tx1"/>
                  </w14:solidFill>
                </w14:textFill>
              </w:rPr>
              <w:t>⑤</w:t>
            </w:r>
            <w:r>
              <w:rPr>
                <w:rFonts w:hint="eastAsia" w:ascii="宋体" w:hAnsi="宋体" w:cs="宋体"/>
                <w:color w:val="000000" w:themeColor="text1"/>
                <w:kern w:val="0"/>
                <w:sz w:val="24"/>
                <w:szCs w:val="24"/>
                <w:highlight w:val="none"/>
                <w:u w:val="none" w:color="auto"/>
                <w:lang w:val="en-US" w:eastAsia="zh-CN" w:bidi="ar"/>
                <w14:textFill>
                  <w14:solidFill>
                    <w14:schemeClr w14:val="tx1"/>
                  </w14:solidFill>
                </w14:textFill>
              </w:rPr>
              <w:t>堆场</w:t>
            </w:r>
            <w:r>
              <w:rPr>
                <w:rFonts w:hint="eastAsia" w:ascii="宋体" w:hAnsi="宋体" w:eastAsia="宋体" w:cs="宋体"/>
                <w:color w:val="000000" w:themeColor="text1"/>
                <w:kern w:val="0"/>
                <w:sz w:val="24"/>
                <w:szCs w:val="24"/>
                <w:highlight w:val="none"/>
                <w:u w:val="none" w:color="auto"/>
                <w:lang w:val="en-US" w:eastAsia="zh-CN" w:bidi="ar"/>
                <w14:textFill>
                  <w14:solidFill>
                    <w14:schemeClr w14:val="tx1"/>
                  </w14:solidFill>
                </w14:textFill>
              </w:rPr>
              <w:t>降尘用水</w:t>
            </w:r>
          </w:p>
          <w:p w14:paraId="40F537AF">
            <w:pPr>
              <w:pStyle w:val="59"/>
              <w:rPr>
                <w:rFonts w:hint="default"/>
                <w:color w:val="000000" w:themeColor="text1"/>
                <w:highlight w:val="none"/>
                <w:u w:val="none" w:color="auto"/>
                <w:lang w:val="en-US" w:eastAsia="zh-CN"/>
                <w14:textFill>
                  <w14:solidFill>
                    <w14:schemeClr w14:val="tx1"/>
                  </w14:solidFill>
                </w14:textFill>
              </w:rPr>
            </w:pPr>
            <w:r>
              <w:rPr>
                <w:rFonts w:hint="eastAsia" w:ascii="Times New Roman" w:hAnsi="Times New Roman"/>
                <w:iCs/>
                <w:color w:val="000000" w:themeColor="text1"/>
                <w:sz w:val="24"/>
                <w:highlight w:val="none"/>
                <w:u w:val="none" w:color="auto"/>
                <w:lang w:eastAsia="zh-CN"/>
                <w14:textFill>
                  <w14:solidFill>
                    <w14:schemeClr w14:val="tx1"/>
                  </w14:solidFill>
                </w14:textFill>
              </w:rPr>
              <w:t>料棚</w:t>
            </w:r>
            <w:r>
              <w:rPr>
                <w:rFonts w:ascii="Times New Roman" w:hAnsi="Times New Roman"/>
                <w:iCs/>
                <w:color w:val="000000" w:themeColor="text1"/>
                <w:sz w:val="24"/>
                <w:highlight w:val="none"/>
                <w:u w:val="none" w:color="auto"/>
                <w14:textFill>
                  <w14:solidFill>
                    <w14:schemeClr w14:val="tx1"/>
                  </w14:solidFill>
                </w14:textFill>
              </w:rPr>
              <w:t>进行</w:t>
            </w:r>
            <w:r>
              <w:rPr>
                <w:rFonts w:hint="eastAsia" w:ascii="Times New Roman" w:hAnsi="Times New Roman"/>
                <w:iCs/>
                <w:color w:val="000000" w:themeColor="text1"/>
                <w:sz w:val="24"/>
                <w:highlight w:val="none"/>
                <w:u w:val="none" w:color="auto"/>
                <w:lang w:val="en-US" w:eastAsia="zh-CN"/>
                <w14:textFill>
                  <w14:solidFill>
                    <w14:schemeClr w14:val="tx1"/>
                  </w14:solidFill>
                </w14:textFill>
              </w:rPr>
              <w:t>洒水</w:t>
            </w:r>
            <w:r>
              <w:rPr>
                <w:rFonts w:ascii="Times New Roman" w:hAnsi="Times New Roman"/>
                <w:iCs/>
                <w:color w:val="000000" w:themeColor="text1"/>
                <w:sz w:val="24"/>
                <w:highlight w:val="none"/>
                <w:u w:val="none" w:color="auto"/>
                <w14:textFill>
                  <w14:solidFill>
                    <w14:schemeClr w14:val="tx1"/>
                  </w14:solidFill>
                </w14:textFill>
              </w:rPr>
              <w:t>降尘，</w:t>
            </w:r>
            <w:r>
              <w:rPr>
                <w:rFonts w:hint="eastAsia" w:ascii="Times New Roman" w:hAnsi="Times New Roman"/>
                <w:iCs/>
                <w:color w:val="000000" w:themeColor="text1"/>
                <w:sz w:val="24"/>
                <w:highlight w:val="none"/>
                <w:u w:val="none" w:color="auto"/>
                <w14:textFill>
                  <w14:solidFill>
                    <w14:schemeClr w14:val="tx1"/>
                  </w14:solidFill>
                </w14:textFill>
              </w:rPr>
              <w:t>对堆场表面进行湿润作用，</w:t>
            </w:r>
            <w:r>
              <w:rPr>
                <w:rFonts w:ascii="Times New Roman" w:hAnsi="Times New Roman"/>
                <w:iCs/>
                <w:color w:val="000000" w:themeColor="text1"/>
                <w:sz w:val="24"/>
                <w:highlight w:val="none"/>
                <w:u w:val="none" w:color="auto"/>
                <w14:textFill>
                  <w14:solidFill>
                    <w14:schemeClr w14:val="tx1"/>
                  </w14:solidFill>
                </w14:textFill>
              </w:rPr>
              <w:t>不形成径流，完全损耗，不产生废水，用水量约</w:t>
            </w:r>
            <w:r>
              <w:rPr>
                <w:rFonts w:hint="eastAsia" w:ascii="Times New Roman" w:hAnsi="Times New Roman"/>
                <w:iCs/>
                <w:color w:val="000000" w:themeColor="text1"/>
                <w:sz w:val="24"/>
                <w:highlight w:val="none"/>
                <w:u w:val="none" w:color="auto"/>
                <w:lang w:val="en-US" w:eastAsia="zh-CN"/>
                <w14:textFill>
                  <w14:solidFill>
                    <w14:schemeClr w14:val="tx1"/>
                  </w14:solidFill>
                </w14:textFill>
              </w:rPr>
              <w:t>5</w:t>
            </w:r>
            <w:r>
              <w:rPr>
                <w:rFonts w:ascii="Times New Roman" w:hAnsi="Times New Roman"/>
                <w:iCs/>
                <w:color w:val="000000" w:themeColor="text1"/>
                <w:sz w:val="24"/>
                <w:highlight w:val="none"/>
                <w:u w:val="none" w:color="auto"/>
                <w14:textFill>
                  <w14:solidFill>
                    <w14:schemeClr w14:val="tx1"/>
                  </w14:solidFill>
                </w14:textFill>
              </w:rPr>
              <w:t>m</w:t>
            </w:r>
            <w:r>
              <w:rPr>
                <w:rFonts w:ascii="Times New Roman" w:hAnsi="Times New Roman"/>
                <w:iCs/>
                <w:color w:val="000000" w:themeColor="text1"/>
                <w:sz w:val="24"/>
                <w:highlight w:val="none"/>
                <w:u w:val="none" w:color="auto"/>
                <w:vertAlign w:val="superscript"/>
                <w14:textFill>
                  <w14:solidFill>
                    <w14:schemeClr w14:val="tx1"/>
                  </w14:solidFill>
                </w14:textFill>
              </w:rPr>
              <w:t>3</w:t>
            </w:r>
            <w:r>
              <w:rPr>
                <w:rFonts w:ascii="Times New Roman" w:hAnsi="Times New Roman"/>
                <w:iCs/>
                <w:color w:val="000000" w:themeColor="text1"/>
                <w:sz w:val="24"/>
                <w:highlight w:val="none"/>
                <w:u w:val="none" w:color="auto"/>
                <w14:textFill>
                  <w14:solidFill>
                    <w14:schemeClr w14:val="tx1"/>
                  </w14:solidFill>
                </w14:textFill>
              </w:rPr>
              <w:t>/d，则年降尘用水</w:t>
            </w:r>
            <w:r>
              <w:rPr>
                <w:rFonts w:hint="eastAsia" w:ascii="Times New Roman" w:hAnsi="Times New Roman"/>
                <w:iCs/>
                <w:color w:val="000000" w:themeColor="text1"/>
                <w:sz w:val="24"/>
                <w:highlight w:val="none"/>
                <w:u w:val="none" w:color="auto"/>
                <w:lang w:val="en-US" w:eastAsia="zh-CN"/>
                <w14:textFill>
                  <w14:solidFill>
                    <w14:schemeClr w14:val="tx1"/>
                  </w14:solidFill>
                </w14:textFill>
              </w:rPr>
              <w:t>1200</w:t>
            </w:r>
            <w:r>
              <w:rPr>
                <w:rFonts w:ascii="Times New Roman" w:hAnsi="Times New Roman"/>
                <w:iCs/>
                <w:color w:val="000000" w:themeColor="text1"/>
                <w:sz w:val="24"/>
                <w:highlight w:val="none"/>
                <w:u w:val="none" w:color="auto"/>
                <w14:textFill>
                  <w14:solidFill>
                    <w14:schemeClr w14:val="tx1"/>
                  </w14:solidFill>
                </w14:textFill>
              </w:rPr>
              <w:t>m</w:t>
            </w:r>
            <w:r>
              <w:rPr>
                <w:rFonts w:ascii="Times New Roman" w:hAnsi="Times New Roman"/>
                <w:iCs/>
                <w:color w:val="000000" w:themeColor="text1"/>
                <w:sz w:val="24"/>
                <w:highlight w:val="none"/>
                <w:u w:val="none" w:color="auto"/>
                <w:vertAlign w:val="superscript"/>
                <w14:textFill>
                  <w14:solidFill>
                    <w14:schemeClr w14:val="tx1"/>
                  </w14:solidFill>
                </w14:textFill>
              </w:rPr>
              <w:t>3</w:t>
            </w:r>
            <w:r>
              <w:rPr>
                <w:rFonts w:ascii="Times New Roman" w:hAnsi="Times New Roman"/>
                <w:iCs/>
                <w:color w:val="000000" w:themeColor="text1"/>
                <w:sz w:val="24"/>
                <w:highlight w:val="none"/>
                <w:u w:val="none" w:color="auto"/>
                <w14:textFill>
                  <w14:solidFill>
                    <w14:schemeClr w14:val="tx1"/>
                  </w14:solidFill>
                </w14:textFill>
              </w:rPr>
              <w:t>/a。</w:t>
            </w:r>
          </w:p>
          <w:p w14:paraId="0B95520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cs="Times New Roman"/>
                <w:bCs/>
                <w:iCs/>
                <w:color w:val="000000" w:themeColor="text1"/>
                <w:sz w:val="24"/>
                <w:szCs w:val="24"/>
                <w:highlight w:val="none"/>
                <w:u w:val="none" w:color="auto"/>
                <w:lang w:val="en-US" w:eastAsia="zh-CN"/>
                <w14:textFill>
                  <w14:solidFill>
                    <w14:schemeClr w14:val="tx1"/>
                  </w14:solidFill>
                </w14:textFill>
              </w:rPr>
            </w:pPr>
            <w:r>
              <w:rPr>
                <w:rFonts w:hint="eastAsia" w:cs="Times New Roman"/>
                <w:bCs/>
                <w:iCs/>
                <w:color w:val="000000" w:themeColor="text1"/>
                <w:sz w:val="24"/>
                <w:szCs w:val="24"/>
                <w:highlight w:val="none"/>
                <w:u w:val="none" w:color="auto"/>
                <w:lang w:val="en-US" w:eastAsia="zh-CN"/>
                <w14:textFill>
                  <w14:solidFill>
                    <w14:schemeClr w14:val="tx1"/>
                  </w14:solidFill>
                </w14:textFill>
              </w:rPr>
              <w:t>⑥装卸降尘用水</w:t>
            </w:r>
          </w:p>
          <w:p w14:paraId="390DCA2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kern w:val="0"/>
                <w:sz w:val="24"/>
                <w:szCs w:val="24"/>
                <w:highlight w:val="none"/>
                <w:u w:val="none" w:color="auto"/>
                <w:lang w:val="en-US" w:eastAsia="zh-CN" w:bidi="ar"/>
                <w14:textFill>
                  <w14:solidFill>
                    <w14:schemeClr w14:val="tx1"/>
                  </w14:solidFill>
                </w14:textFill>
              </w:rPr>
            </w:pPr>
            <w:r>
              <w:rPr>
                <w:rFonts w:hint="eastAsia" w:cs="Times New Roman"/>
                <w:bCs/>
                <w:iCs/>
                <w:color w:val="000000" w:themeColor="text1"/>
                <w:sz w:val="24"/>
                <w:szCs w:val="24"/>
                <w:highlight w:val="none"/>
                <w:u w:val="none" w:color="auto"/>
                <w:lang w:val="en-US" w:eastAsia="zh-CN"/>
                <w14:textFill>
                  <w14:solidFill>
                    <w14:schemeClr w14:val="tx1"/>
                  </w14:solidFill>
                </w14:textFill>
              </w:rPr>
              <w:t>本项目装卸过程采取洒水降尘方式，用水量为5m</w:t>
            </w:r>
            <w:r>
              <w:rPr>
                <w:rFonts w:hint="eastAsia" w:cs="Times New Roman"/>
                <w:bCs/>
                <w:iCs/>
                <w:color w:val="000000" w:themeColor="text1"/>
                <w:sz w:val="24"/>
                <w:szCs w:val="24"/>
                <w:highlight w:val="none"/>
                <w:u w:val="none" w:color="auto"/>
                <w:vertAlign w:val="superscript"/>
                <w:lang w:val="en-US" w:eastAsia="zh-CN"/>
                <w14:textFill>
                  <w14:solidFill>
                    <w14:schemeClr w14:val="tx1"/>
                  </w14:solidFill>
                </w14:textFill>
              </w:rPr>
              <w:t>3</w:t>
            </w:r>
            <w:r>
              <w:rPr>
                <w:rFonts w:hint="eastAsia" w:cs="Times New Roman"/>
                <w:bCs/>
                <w:iCs/>
                <w:color w:val="000000" w:themeColor="text1"/>
                <w:sz w:val="24"/>
                <w:szCs w:val="24"/>
                <w:highlight w:val="none"/>
                <w:u w:val="none" w:color="auto"/>
                <w:lang w:val="en-US" w:eastAsia="zh-CN"/>
                <w14:textFill>
                  <w14:solidFill>
                    <w14:schemeClr w14:val="tx1"/>
                  </w14:solidFill>
                </w14:textFill>
              </w:rPr>
              <w:t>/d（1200m</w:t>
            </w:r>
            <w:r>
              <w:rPr>
                <w:rFonts w:hint="eastAsia" w:cs="Times New Roman"/>
                <w:bCs/>
                <w:iCs/>
                <w:color w:val="000000" w:themeColor="text1"/>
                <w:sz w:val="24"/>
                <w:szCs w:val="24"/>
                <w:highlight w:val="none"/>
                <w:u w:val="none" w:color="auto"/>
                <w:vertAlign w:val="superscript"/>
                <w:lang w:val="en-US" w:eastAsia="zh-CN"/>
                <w14:textFill>
                  <w14:solidFill>
                    <w14:schemeClr w14:val="tx1"/>
                  </w14:solidFill>
                </w14:textFill>
              </w:rPr>
              <w:t>3</w:t>
            </w:r>
            <w:r>
              <w:rPr>
                <w:rFonts w:hint="eastAsia" w:cs="Times New Roman"/>
                <w:bCs/>
                <w:iCs/>
                <w:color w:val="000000" w:themeColor="text1"/>
                <w:sz w:val="24"/>
                <w:szCs w:val="24"/>
                <w:highlight w:val="none"/>
                <w:u w:val="none" w:color="auto"/>
                <w:lang w:val="en-US" w:eastAsia="zh-CN"/>
                <w14:textFill>
                  <w14:solidFill>
                    <w14:schemeClr w14:val="tx1"/>
                  </w14:solidFill>
                </w14:textFill>
              </w:rPr>
              <w:t>/a）。</w:t>
            </w:r>
          </w:p>
          <w:p w14:paraId="1884BE4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000000" w:themeColor="text1"/>
                <w:kern w:val="0"/>
                <w:sz w:val="24"/>
                <w:szCs w:val="24"/>
                <w:highlight w:val="none"/>
                <w:u w:val="none" w:color="auto"/>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u w:val="none" w:color="auto"/>
                <w:lang w:val="en-US" w:eastAsia="zh-CN" w:bidi="ar"/>
                <w14:textFill>
                  <w14:solidFill>
                    <w14:schemeClr w14:val="tx1"/>
                  </w14:solidFill>
                </w14:textFill>
              </w:rPr>
              <w:t>⑦场地降尘用水</w:t>
            </w:r>
          </w:p>
          <w:p w14:paraId="0308619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iCs/>
                <w:color w:val="000000" w:themeColor="text1"/>
                <w:sz w:val="24"/>
                <w:szCs w:val="24"/>
                <w:highlight w:val="none"/>
                <w:u w:val="none" w:color="auto"/>
                <w14:textFill>
                  <w14:solidFill>
                    <w14:schemeClr w14:val="tx1"/>
                  </w14:solidFill>
                </w14:textFill>
              </w:rPr>
            </w:pPr>
            <w:r>
              <w:rPr>
                <w:rFonts w:hint="default" w:ascii="Times New Roman" w:hAnsi="Times New Roman" w:eastAsia="宋体" w:cs="Times New Roman"/>
                <w:bCs/>
                <w:iCs/>
                <w:color w:val="000000" w:themeColor="text1"/>
                <w:sz w:val="24"/>
                <w:szCs w:val="24"/>
                <w:highlight w:val="none"/>
                <w:u w:val="none" w:color="auto"/>
                <w14:textFill>
                  <w14:solidFill>
                    <w14:schemeClr w14:val="tx1"/>
                  </w14:solidFill>
                </w14:textFill>
              </w:rPr>
              <w:t>本项目</w:t>
            </w:r>
            <w:r>
              <w:rPr>
                <w:rFonts w:hint="eastAsia" w:cs="Times New Roman"/>
                <w:bCs/>
                <w:iCs/>
                <w:color w:val="000000" w:themeColor="text1"/>
                <w:sz w:val="24"/>
                <w:szCs w:val="24"/>
                <w:highlight w:val="none"/>
                <w:u w:val="none" w:color="auto"/>
                <w:lang w:val="en-US" w:eastAsia="zh-CN"/>
                <w14:textFill>
                  <w14:solidFill>
                    <w14:schemeClr w14:val="tx1"/>
                  </w14:solidFill>
                </w14:textFill>
              </w:rPr>
              <w:t>对厂区内</w:t>
            </w:r>
            <w:r>
              <w:rPr>
                <w:rFonts w:hint="eastAsia" w:ascii="Times New Roman" w:hAnsi="Times New Roman" w:eastAsia="宋体" w:cs="Times New Roman"/>
                <w:bCs/>
                <w:iCs/>
                <w:color w:val="000000" w:themeColor="text1"/>
                <w:sz w:val="24"/>
                <w:szCs w:val="24"/>
                <w:highlight w:val="none"/>
                <w:u w:val="none" w:color="auto"/>
                <w:lang w:val="en-US" w:eastAsia="zh-CN"/>
                <w14:textFill>
                  <w14:solidFill>
                    <w14:schemeClr w14:val="tx1"/>
                  </w14:solidFill>
                </w14:textFill>
              </w:rPr>
              <w:t>场地</w:t>
            </w:r>
            <w:r>
              <w:rPr>
                <w:rFonts w:hint="eastAsia" w:cs="Times New Roman"/>
                <w:bCs/>
                <w:iCs/>
                <w:color w:val="000000" w:themeColor="text1"/>
                <w:sz w:val="24"/>
                <w:szCs w:val="24"/>
                <w:highlight w:val="none"/>
                <w:u w:val="none" w:color="auto"/>
                <w:lang w:val="en-US" w:eastAsia="zh-CN"/>
                <w14:textFill>
                  <w14:solidFill>
                    <w14:schemeClr w14:val="tx1"/>
                  </w14:solidFill>
                </w14:textFill>
              </w:rPr>
              <w:t>洒水</w:t>
            </w:r>
            <w:r>
              <w:rPr>
                <w:rFonts w:hint="eastAsia" w:ascii="Times New Roman" w:hAnsi="Times New Roman" w:eastAsia="宋体" w:cs="Times New Roman"/>
                <w:bCs/>
                <w:iCs/>
                <w:color w:val="000000" w:themeColor="text1"/>
                <w:sz w:val="24"/>
                <w:szCs w:val="24"/>
                <w:highlight w:val="none"/>
                <w:u w:val="none" w:color="auto"/>
                <w:lang w:val="en-US" w:eastAsia="zh-CN"/>
                <w14:textFill>
                  <w14:solidFill>
                    <w14:schemeClr w14:val="tx1"/>
                  </w14:solidFill>
                </w14:textFill>
              </w:rPr>
              <w:t>降尘</w:t>
            </w:r>
            <w:r>
              <w:rPr>
                <w:rFonts w:hint="eastAsia" w:cs="Times New Roman"/>
                <w:bCs/>
                <w:iCs/>
                <w:color w:val="000000" w:themeColor="text1"/>
                <w:sz w:val="24"/>
                <w:szCs w:val="24"/>
                <w:highlight w:val="none"/>
                <w:u w:val="none" w:color="auto"/>
                <w:lang w:val="en-US" w:eastAsia="zh-CN"/>
                <w14:textFill>
                  <w14:solidFill>
                    <w14:schemeClr w14:val="tx1"/>
                  </w14:solidFill>
                </w14:textFill>
              </w:rPr>
              <w:t>，</w:t>
            </w:r>
            <w:r>
              <w:rPr>
                <w:rFonts w:hint="default" w:ascii="Times New Roman" w:hAnsi="Times New Roman" w:eastAsia="宋体" w:cs="Times New Roman"/>
                <w:bCs/>
                <w:iCs/>
                <w:color w:val="000000" w:themeColor="text1"/>
                <w:sz w:val="24"/>
                <w:szCs w:val="24"/>
                <w:highlight w:val="none"/>
                <w:u w:val="none" w:color="auto"/>
                <w14:textFill>
                  <w14:solidFill>
                    <w14:schemeClr w14:val="tx1"/>
                  </w14:solidFill>
                </w14:textFill>
              </w:rPr>
              <w:t>日均用水量为</w:t>
            </w:r>
            <w:r>
              <w:rPr>
                <w:rFonts w:hint="eastAsia" w:cs="Times New Roman"/>
                <w:bCs/>
                <w:iCs/>
                <w:color w:val="000000" w:themeColor="text1"/>
                <w:sz w:val="24"/>
                <w:szCs w:val="24"/>
                <w:highlight w:val="none"/>
                <w:u w:val="none" w:color="auto"/>
                <w:lang w:val="en-US" w:eastAsia="zh-CN"/>
                <w14:textFill>
                  <w14:solidFill>
                    <w14:schemeClr w14:val="tx1"/>
                  </w14:solidFill>
                </w14:textFill>
              </w:rPr>
              <w:t>2.5</w:t>
            </w:r>
            <w:r>
              <w:rPr>
                <w:rFonts w:ascii="Times New Roman" w:hAnsi="Times New Roman"/>
                <w:iCs/>
                <w:color w:val="000000" w:themeColor="text1"/>
                <w:sz w:val="24"/>
                <w:highlight w:val="none"/>
                <w:u w:val="none" w:color="auto"/>
                <w14:textFill>
                  <w14:solidFill>
                    <w14:schemeClr w14:val="tx1"/>
                  </w14:solidFill>
                </w14:textFill>
              </w:rPr>
              <w:t>m</w:t>
            </w:r>
            <w:r>
              <w:rPr>
                <w:rFonts w:ascii="Times New Roman" w:hAnsi="Times New Roman"/>
                <w:iCs/>
                <w:color w:val="000000" w:themeColor="text1"/>
                <w:sz w:val="24"/>
                <w:highlight w:val="none"/>
                <w:u w:val="none" w:color="auto"/>
                <w:vertAlign w:val="superscript"/>
                <w14:textFill>
                  <w14:solidFill>
                    <w14:schemeClr w14:val="tx1"/>
                  </w14:solidFill>
                </w14:textFill>
              </w:rPr>
              <w:t>3</w:t>
            </w:r>
            <w:r>
              <w:rPr>
                <w:rFonts w:hint="eastAsia" w:cs="Times New Roman"/>
                <w:iCs/>
                <w:color w:val="000000" w:themeColor="text1"/>
                <w:sz w:val="24"/>
                <w:szCs w:val="24"/>
                <w:highlight w:val="none"/>
                <w:u w:val="none" w:color="auto"/>
                <w:lang w:val="en-US" w:eastAsia="zh-CN"/>
                <w14:textFill>
                  <w14:solidFill>
                    <w14:schemeClr w14:val="tx1"/>
                  </w14:solidFill>
                </w14:textFill>
              </w:rPr>
              <w:t>/</w:t>
            </w:r>
            <w:r>
              <w:rPr>
                <w:rFonts w:hint="default" w:ascii="Times New Roman" w:hAnsi="Times New Roman" w:eastAsia="宋体" w:cs="Times New Roman"/>
                <w:iCs/>
                <w:color w:val="000000" w:themeColor="text1"/>
                <w:sz w:val="24"/>
                <w:szCs w:val="24"/>
                <w:highlight w:val="none"/>
                <w:u w:val="none" w:color="auto"/>
                <w14:textFill>
                  <w14:solidFill>
                    <w14:schemeClr w14:val="tx1"/>
                  </w14:solidFill>
                </w14:textFill>
              </w:rPr>
              <w:t>d，用水总量为</w:t>
            </w:r>
            <w:r>
              <w:rPr>
                <w:rFonts w:hint="eastAsia" w:cs="Times New Roman"/>
                <w:iCs/>
                <w:color w:val="000000" w:themeColor="text1"/>
                <w:sz w:val="24"/>
                <w:szCs w:val="24"/>
                <w:highlight w:val="none"/>
                <w:u w:val="none" w:color="auto"/>
                <w:lang w:val="en-US" w:eastAsia="zh-CN"/>
                <w14:textFill>
                  <w14:solidFill>
                    <w14:schemeClr w14:val="tx1"/>
                  </w14:solidFill>
                </w14:textFill>
              </w:rPr>
              <w:t>600</w:t>
            </w:r>
            <w:r>
              <w:rPr>
                <w:rFonts w:ascii="Times New Roman" w:hAnsi="Times New Roman"/>
                <w:iCs/>
                <w:color w:val="000000" w:themeColor="text1"/>
                <w:sz w:val="24"/>
                <w:highlight w:val="none"/>
                <w:u w:val="none" w:color="auto"/>
                <w14:textFill>
                  <w14:solidFill>
                    <w14:schemeClr w14:val="tx1"/>
                  </w14:solidFill>
                </w14:textFill>
              </w:rPr>
              <w:t>m</w:t>
            </w:r>
            <w:r>
              <w:rPr>
                <w:rFonts w:ascii="Times New Roman" w:hAnsi="Times New Roman"/>
                <w:iCs/>
                <w:color w:val="000000" w:themeColor="text1"/>
                <w:sz w:val="24"/>
                <w:highlight w:val="none"/>
                <w:u w:val="none" w:color="auto"/>
                <w:vertAlign w:val="superscript"/>
                <w14:textFill>
                  <w14:solidFill>
                    <w14:schemeClr w14:val="tx1"/>
                  </w14:solidFill>
                </w14:textFill>
              </w:rPr>
              <w:t>3</w:t>
            </w:r>
            <w:r>
              <w:rPr>
                <w:rFonts w:hint="default" w:ascii="Times New Roman" w:hAnsi="Times New Roman" w:eastAsia="宋体" w:cs="Times New Roman"/>
                <w:smallCaps w:val="0"/>
                <w:color w:val="000000" w:themeColor="text1"/>
                <w:sz w:val="24"/>
                <w:szCs w:val="24"/>
                <w:highlight w:val="none"/>
                <w:u w:val="none" w:color="auto"/>
                <w14:textFill>
                  <w14:solidFill>
                    <w14:schemeClr w14:val="tx1"/>
                  </w14:solidFill>
                </w14:textFill>
              </w:rPr>
              <w:t>/a</w:t>
            </w:r>
            <w:r>
              <w:rPr>
                <w:rFonts w:hint="default" w:ascii="Times New Roman" w:hAnsi="Times New Roman" w:eastAsia="宋体" w:cs="Times New Roman"/>
                <w:iCs/>
                <w:color w:val="000000" w:themeColor="text1"/>
                <w:sz w:val="24"/>
                <w:szCs w:val="24"/>
                <w:highlight w:val="none"/>
                <w:u w:val="none" w:color="auto"/>
                <w14:textFill>
                  <w14:solidFill>
                    <w14:schemeClr w14:val="tx1"/>
                  </w14:solidFill>
                </w14:textFill>
              </w:rPr>
              <w:t>。</w:t>
            </w:r>
          </w:p>
          <w:p w14:paraId="3431F5C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cs="Times New Roman"/>
                <w:bCs/>
                <w:iCs/>
                <w:color w:val="auto"/>
                <w:sz w:val="24"/>
                <w:szCs w:val="24"/>
                <w:highlight w:val="none"/>
                <w:u w:val="single" w:color="auto"/>
                <w:lang w:val="en-US" w:eastAsia="zh-CN"/>
              </w:rPr>
            </w:pPr>
            <w:r>
              <w:rPr>
                <w:rFonts w:hint="eastAsia" w:ascii="Times New Roman" w:hAnsi="Times New Roman" w:eastAsia="宋体" w:cs="Times New Roman"/>
                <w:bCs/>
                <w:iCs/>
                <w:color w:val="auto"/>
                <w:sz w:val="24"/>
                <w:szCs w:val="24"/>
                <w:highlight w:val="none"/>
                <w:u w:val="single" w:color="auto"/>
                <w:lang w:val="en-US" w:eastAsia="zh-CN"/>
              </w:rPr>
              <w:t>⑧</w:t>
            </w:r>
            <w:r>
              <w:rPr>
                <w:rFonts w:hint="eastAsia" w:cs="Times New Roman"/>
                <w:bCs/>
                <w:iCs/>
                <w:color w:val="auto"/>
                <w:sz w:val="24"/>
                <w:szCs w:val="24"/>
                <w:highlight w:val="none"/>
                <w:u w:val="single" w:color="auto"/>
                <w:lang w:val="en-US" w:eastAsia="zh-CN"/>
              </w:rPr>
              <w:t>初期雨水</w:t>
            </w:r>
          </w:p>
          <w:p w14:paraId="74EBE1E2">
            <w:pPr>
              <w:keepNext w:val="0"/>
              <w:keepLines w:val="0"/>
              <w:widowControl/>
              <w:suppressLineNumbers w:val="0"/>
              <w:spacing w:line="360" w:lineRule="auto"/>
              <w:ind w:firstLine="480" w:firstLineChars="200"/>
              <w:jc w:val="both"/>
              <w:rPr>
                <w:rFonts w:hint="default" w:ascii="Times New Roman" w:hAnsi="Times New Roman" w:eastAsia="宋体" w:cs="Times New Roman"/>
                <w:color w:val="auto"/>
                <w:sz w:val="24"/>
                <w:szCs w:val="24"/>
                <w:highlight w:val="none"/>
                <w:u w:val="single" w:color="auto"/>
              </w:rPr>
            </w:pPr>
            <w:r>
              <w:rPr>
                <w:rFonts w:ascii="宋体" w:hAnsi="宋体" w:eastAsia="宋体" w:cs="宋体"/>
                <w:color w:val="auto"/>
                <w:sz w:val="24"/>
                <w:szCs w:val="24"/>
                <w:highlight w:val="none"/>
                <w:u w:val="single" w:color="auto"/>
              </w:rPr>
              <w:t>本项目</w:t>
            </w:r>
            <w:r>
              <w:rPr>
                <w:rFonts w:hint="eastAsia" w:ascii="宋体" w:hAnsi="宋体" w:cs="宋体"/>
                <w:color w:val="auto"/>
                <w:sz w:val="24"/>
                <w:szCs w:val="24"/>
                <w:highlight w:val="none"/>
                <w:u w:val="single" w:color="auto"/>
                <w:lang w:val="en-US" w:eastAsia="zh-CN"/>
              </w:rPr>
              <w:t>设置</w:t>
            </w:r>
            <w:r>
              <w:rPr>
                <w:rFonts w:ascii="宋体" w:hAnsi="宋体" w:eastAsia="宋体" w:cs="宋体"/>
                <w:color w:val="auto"/>
                <w:sz w:val="24"/>
                <w:szCs w:val="24"/>
                <w:highlight w:val="none"/>
                <w:u w:val="single" w:color="auto"/>
              </w:rPr>
              <w:t>初期雨水经收集池收集</w:t>
            </w:r>
            <w:r>
              <w:rPr>
                <w:rFonts w:hint="eastAsia" w:ascii="宋体" w:hAnsi="宋体" w:cs="宋体"/>
                <w:color w:val="auto"/>
                <w:sz w:val="24"/>
                <w:szCs w:val="24"/>
                <w:highlight w:val="none"/>
                <w:u w:val="single" w:color="auto"/>
                <w:lang w:val="en-US" w:eastAsia="zh-CN"/>
              </w:rPr>
              <w:t>初期雨水，收集的雨水</w:t>
            </w:r>
            <w:r>
              <w:rPr>
                <w:rFonts w:ascii="宋体" w:hAnsi="宋体" w:eastAsia="宋体" w:cs="宋体"/>
                <w:color w:val="auto"/>
                <w:sz w:val="24"/>
                <w:szCs w:val="24"/>
                <w:highlight w:val="none"/>
                <w:u w:val="single" w:color="auto"/>
              </w:rPr>
              <w:t>全部回用于生产，不外排</w:t>
            </w:r>
            <w:r>
              <w:rPr>
                <w:rFonts w:hint="eastAsia" w:ascii="宋体" w:hAnsi="宋体" w:eastAsia="宋体" w:cs="宋体"/>
                <w:color w:val="auto"/>
                <w:kern w:val="0"/>
                <w:sz w:val="24"/>
                <w:szCs w:val="24"/>
                <w:highlight w:val="none"/>
                <w:u w:val="single" w:color="auto"/>
                <w:lang w:val="en-US" w:eastAsia="zh-CN" w:bidi="ar"/>
              </w:rPr>
              <w:t>。本项目为水泥制品制造业，生产区由于输送物料时会泄</w:t>
            </w:r>
            <w:r>
              <w:rPr>
                <w:rFonts w:hint="eastAsia" w:ascii="宋体" w:hAnsi="宋体" w:cs="宋体"/>
                <w:color w:val="auto"/>
                <w:kern w:val="0"/>
                <w:sz w:val="24"/>
                <w:szCs w:val="24"/>
                <w:highlight w:val="none"/>
                <w:u w:val="single" w:color="auto"/>
                <w:lang w:val="en-US" w:eastAsia="zh-CN" w:bidi="ar"/>
              </w:rPr>
              <w:t>漏</w:t>
            </w:r>
            <w:r>
              <w:rPr>
                <w:rFonts w:hint="eastAsia" w:ascii="宋体" w:hAnsi="宋体" w:eastAsia="宋体" w:cs="宋体"/>
                <w:color w:val="auto"/>
                <w:kern w:val="0"/>
                <w:sz w:val="24"/>
                <w:szCs w:val="24"/>
                <w:highlight w:val="none"/>
                <w:u w:val="single" w:color="auto"/>
                <w:lang w:val="en-US" w:eastAsia="zh-CN" w:bidi="ar"/>
              </w:rPr>
              <w:t>碎石料在地面上，因此在下雨天会产生含悬浮物的初期雨污水。根据《给水排水设计手册（第二版）》（第五册），初期雨水量计算公式前</w:t>
            </w:r>
            <w:r>
              <w:rPr>
                <w:rFonts w:hint="default" w:ascii="Times New Roman" w:hAnsi="Times New Roman" w:eastAsia="宋体" w:cs="Times New Roman"/>
                <w:color w:val="auto"/>
                <w:kern w:val="0"/>
                <w:sz w:val="24"/>
                <w:szCs w:val="24"/>
                <w:highlight w:val="none"/>
                <w:u w:val="single" w:color="auto"/>
                <w:lang w:val="en-US" w:eastAsia="zh-CN" w:bidi="ar"/>
              </w:rPr>
              <w:t>15min</w:t>
            </w:r>
            <w:r>
              <w:rPr>
                <w:rFonts w:hint="eastAsia" w:ascii="宋体" w:hAnsi="宋体" w:eastAsia="宋体" w:cs="宋体"/>
                <w:color w:val="auto"/>
                <w:kern w:val="0"/>
                <w:sz w:val="24"/>
                <w:szCs w:val="24"/>
                <w:highlight w:val="none"/>
                <w:u w:val="single" w:color="auto"/>
                <w:lang w:val="en-US" w:eastAsia="zh-CN" w:bidi="ar"/>
              </w:rPr>
              <w:t>初期雨水量，初期雨水排放量计算公式如下：</w:t>
            </w:r>
          </w:p>
          <w:p w14:paraId="31605C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u w:val="single" w:color="auto"/>
              </w:rPr>
            </w:pPr>
            <w:r>
              <w:rPr>
                <w:rFonts w:hint="default" w:ascii="Times New Roman" w:hAnsi="Times New Roman" w:eastAsia="宋体" w:cs="Times New Roman"/>
                <w:color w:val="auto"/>
                <w:sz w:val="24"/>
                <w:szCs w:val="24"/>
                <w:highlight w:val="none"/>
                <w:u w:val="single" w:color="auto"/>
              </w:rPr>
              <w:t>①暴雨强度估算公式如下：</w:t>
            </w:r>
          </w:p>
          <w:p w14:paraId="6F165C04">
            <w:pPr>
              <w:jc w:val="center"/>
              <w:rPr>
                <w:rFonts w:hint="default" w:ascii="Times New Roman" w:hAnsi="Times New Roman" w:eastAsia="宋体" w:cs="Times New Roman"/>
                <w:color w:val="auto"/>
                <w:highlight w:val="none"/>
                <w:u w:val="single" w:color="auto"/>
                <w:lang w:eastAsia="zh-CN"/>
              </w:rPr>
            </w:pPr>
            <w:r>
              <w:rPr>
                <w:rFonts w:hint="default" w:ascii="Times New Roman" w:hAnsi="Times New Roman" w:eastAsia="宋体" w:cs="Times New Roman"/>
                <w:color w:val="auto"/>
                <w:position w:val="-28"/>
                <w:highlight w:val="none"/>
                <w:u w:val="single" w:color="auto"/>
                <w:lang w:eastAsia="zh-CN"/>
              </w:rPr>
              <w:object>
                <v:shape id="_x0000_i1025" o:spt="75" type="#_x0000_t75" style="height:33pt;width:111pt;" o:ole="t" filled="f" o:preferrelative="t" stroked="f" coordsize="21600,21600">
                  <v:path/>
                  <v:fill on="f" focussize="0,0"/>
                  <v:stroke on="f"/>
                  <v:imagedata r:id="rId8" o:title=""/>
                  <o:lock v:ext="edit" aspectratio="t"/>
                  <w10:wrap type="none"/>
                  <w10:anchorlock/>
                </v:shape>
                <o:OLEObject Type="Embed" ProgID="Equation.KSEE3" ShapeID="_x0000_i1025" DrawAspect="Content" ObjectID="_1468075725" r:id="rId7">
                  <o:LockedField>false</o:LockedField>
                </o:OLEObject>
              </w:object>
            </w:r>
          </w:p>
          <w:p w14:paraId="39782F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u w:val="single" w:color="auto"/>
                <w:lang w:eastAsia="zh-CN"/>
              </w:rPr>
            </w:pPr>
            <w:r>
              <w:rPr>
                <w:rFonts w:hint="default" w:ascii="Times New Roman" w:hAnsi="Times New Roman" w:eastAsia="宋体" w:cs="Times New Roman"/>
                <w:color w:val="auto"/>
                <w:sz w:val="24"/>
                <w:szCs w:val="24"/>
                <w:highlight w:val="none"/>
                <w:u w:val="single" w:color="auto"/>
                <w:lang w:eastAsia="zh-CN"/>
              </w:rPr>
              <w:t>式中：q—暴雨强度，单位为L/s·ha，其中ha表示公顷；</w:t>
            </w:r>
          </w:p>
          <w:p w14:paraId="7933FFE8">
            <w:pPr>
              <w:keepNext w:val="0"/>
              <w:keepLines w:val="0"/>
              <w:pageBreakBefore w:val="0"/>
              <w:widowControl w:val="0"/>
              <w:kinsoku/>
              <w:wordWrap/>
              <w:overflowPunct/>
              <w:topLinePunct w:val="0"/>
              <w:autoSpaceDE/>
              <w:autoSpaceDN/>
              <w:bidi w:val="0"/>
              <w:adjustRightInd/>
              <w:snapToGrid/>
              <w:spacing w:line="360" w:lineRule="auto"/>
              <w:ind w:firstLine="1200" w:firstLineChars="500"/>
              <w:textAlignment w:val="auto"/>
              <w:rPr>
                <w:rFonts w:hint="default" w:ascii="Times New Roman" w:hAnsi="Times New Roman" w:eastAsia="宋体" w:cs="Times New Roman"/>
                <w:color w:val="auto"/>
                <w:sz w:val="24"/>
                <w:szCs w:val="24"/>
                <w:highlight w:val="none"/>
                <w:u w:val="single" w:color="auto"/>
                <w:lang w:eastAsia="zh-CN"/>
              </w:rPr>
            </w:pPr>
            <w:r>
              <w:rPr>
                <w:rFonts w:hint="default" w:ascii="Times New Roman" w:hAnsi="Times New Roman" w:eastAsia="宋体" w:cs="Times New Roman"/>
                <w:color w:val="auto"/>
                <w:sz w:val="24"/>
                <w:szCs w:val="24"/>
                <w:highlight w:val="none"/>
                <w:u w:val="single" w:color="auto"/>
                <w:lang w:eastAsia="zh-CN"/>
              </w:rPr>
              <w:t>p—重现期，取1年；</w:t>
            </w:r>
          </w:p>
          <w:p w14:paraId="31F3F4B8">
            <w:pPr>
              <w:keepNext w:val="0"/>
              <w:keepLines w:val="0"/>
              <w:pageBreakBefore w:val="0"/>
              <w:widowControl w:val="0"/>
              <w:kinsoku/>
              <w:wordWrap/>
              <w:overflowPunct/>
              <w:topLinePunct w:val="0"/>
              <w:autoSpaceDE/>
              <w:autoSpaceDN/>
              <w:bidi w:val="0"/>
              <w:adjustRightInd/>
              <w:snapToGrid/>
              <w:spacing w:line="360" w:lineRule="auto"/>
              <w:ind w:firstLine="1200" w:firstLineChars="500"/>
              <w:textAlignment w:val="auto"/>
              <w:rPr>
                <w:rFonts w:hint="default" w:ascii="Times New Roman" w:hAnsi="Times New Roman" w:eastAsia="宋体" w:cs="Times New Roman"/>
                <w:color w:val="auto"/>
                <w:sz w:val="24"/>
                <w:szCs w:val="24"/>
                <w:highlight w:val="none"/>
                <w:u w:val="single" w:color="auto"/>
                <w:lang w:eastAsia="zh-CN"/>
              </w:rPr>
            </w:pPr>
            <w:r>
              <w:rPr>
                <w:rFonts w:hint="default" w:ascii="Times New Roman" w:hAnsi="Times New Roman" w:eastAsia="宋体" w:cs="Times New Roman"/>
                <w:color w:val="auto"/>
                <w:sz w:val="24"/>
                <w:szCs w:val="24"/>
                <w:highlight w:val="none"/>
                <w:u w:val="single" w:color="auto"/>
                <w:lang w:eastAsia="zh-CN"/>
              </w:rPr>
              <w:t>t—地面积水时间与管内流行时间之和，取15。</w:t>
            </w:r>
          </w:p>
          <w:p w14:paraId="3DB5FD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u w:val="single" w:color="auto"/>
                <w:lang w:eastAsia="zh-CN"/>
              </w:rPr>
            </w:pPr>
            <w:r>
              <w:rPr>
                <w:rFonts w:hint="default" w:ascii="Times New Roman" w:hAnsi="Times New Roman" w:eastAsia="宋体" w:cs="Times New Roman"/>
                <w:color w:val="auto"/>
                <w:sz w:val="24"/>
                <w:szCs w:val="24"/>
                <w:highlight w:val="none"/>
                <w:u w:val="single" w:color="auto"/>
                <w:lang w:eastAsia="zh-CN"/>
              </w:rPr>
              <w:t>②初期雨水量按估算公式如下：</w:t>
            </w:r>
          </w:p>
          <w:p w14:paraId="72D4C381">
            <w:pPr>
              <w:spacing w:line="360" w:lineRule="auto"/>
              <w:jc w:val="center"/>
              <w:rPr>
                <w:rFonts w:hint="default" w:ascii="Times New Roman" w:hAnsi="Times New Roman" w:eastAsia="宋体" w:cs="Times New Roman"/>
                <w:color w:val="auto"/>
                <w:highlight w:val="none"/>
                <w:u w:val="single" w:color="auto"/>
                <w:lang w:eastAsia="zh-CN"/>
              </w:rPr>
            </w:pPr>
            <w:r>
              <w:rPr>
                <w:rFonts w:hint="default" w:ascii="Times New Roman" w:hAnsi="Times New Roman" w:eastAsia="宋体" w:cs="Times New Roman"/>
                <w:color w:val="auto"/>
                <w:highlight w:val="none"/>
                <w:u w:val="single" w:color="auto"/>
                <w:lang w:eastAsia="zh-CN"/>
              </w:rPr>
              <w:drawing>
                <wp:inline distT="0" distB="0" distL="114300" distR="114300">
                  <wp:extent cx="733425" cy="180975"/>
                  <wp:effectExtent l="0" t="0" r="0" b="8890"/>
                  <wp:docPr id="5" name="图片 14" descr="13f2f9eadb2de3db64969fd5d15d3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4" descr="13f2f9eadb2de3db64969fd5d15d30c"/>
                          <pic:cNvPicPr>
                            <a:picLocks noChangeAspect="1"/>
                          </pic:cNvPicPr>
                        </pic:nvPicPr>
                        <pic:blipFill>
                          <a:blip r:embed="rId9"/>
                          <a:stretch>
                            <a:fillRect/>
                          </a:stretch>
                        </pic:blipFill>
                        <pic:spPr>
                          <a:xfrm>
                            <a:off x="0" y="0"/>
                            <a:ext cx="733425" cy="180975"/>
                          </a:xfrm>
                          <a:prstGeom prst="rect">
                            <a:avLst/>
                          </a:prstGeom>
                          <a:noFill/>
                          <a:ln>
                            <a:noFill/>
                          </a:ln>
                        </pic:spPr>
                      </pic:pic>
                    </a:graphicData>
                  </a:graphic>
                </wp:inline>
              </w:drawing>
            </w:r>
          </w:p>
          <w:p w14:paraId="13717E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u w:val="single" w:color="auto"/>
                <w:lang w:eastAsia="zh-CN"/>
              </w:rPr>
            </w:pPr>
            <w:r>
              <w:rPr>
                <w:rFonts w:hint="default" w:ascii="Times New Roman" w:hAnsi="Times New Roman" w:eastAsia="宋体" w:cs="Times New Roman"/>
                <w:color w:val="auto"/>
                <w:sz w:val="24"/>
                <w:szCs w:val="24"/>
                <w:highlight w:val="none"/>
                <w:u w:val="single" w:color="auto"/>
                <w:lang w:eastAsia="zh-CN"/>
              </w:rPr>
              <w:t>式中：Q—初期雨水排放量，m</w:t>
            </w:r>
            <w:r>
              <w:rPr>
                <w:rFonts w:hint="default" w:ascii="Times New Roman" w:hAnsi="Times New Roman" w:eastAsia="宋体" w:cs="Times New Roman"/>
                <w:color w:val="auto"/>
                <w:sz w:val="24"/>
                <w:szCs w:val="24"/>
                <w:highlight w:val="none"/>
                <w:u w:val="single" w:color="auto"/>
                <w:vertAlign w:val="superscript"/>
                <w:lang w:eastAsia="zh-CN"/>
              </w:rPr>
              <w:t>3</w:t>
            </w:r>
            <w:r>
              <w:rPr>
                <w:rFonts w:hint="default" w:ascii="Times New Roman" w:hAnsi="Times New Roman" w:eastAsia="宋体" w:cs="Times New Roman"/>
                <w:color w:val="auto"/>
                <w:sz w:val="24"/>
                <w:szCs w:val="24"/>
                <w:highlight w:val="none"/>
                <w:u w:val="single" w:color="auto"/>
                <w:lang w:eastAsia="zh-CN"/>
              </w:rPr>
              <w:t>；</w:t>
            </w:r>
          </w:p>
          <w:p w14:paraId="36E3FBD0">
            <w:pPr>
              <w:keepNext w:val="0"/>
              <w:keepLines w:val="0"/>
              <w:pageBreakBefore w:val="0"/>
              <w:widowControl w:val="0"/>
              <w:kinsoku/>
              <w:wordWrap/>
              <w:overflowPunct/>
              <w:topLinePunct w:val="0"/>
              <w:autoSpaceDE/>
              <w:autoSpaceDN/>
              <w:bidi w:val="0"/>
              <w:adjustRightInd/>
              <w:snapToGrid/>
              <w:spacing w:line="360" w:lineRule="auto"/>
              <w:ind w:firstLine="1200" w:firstLineChars="500"/>
              <w:textAlignment w:val="auto"/>
              <w:rPr>
                <w:rFonts w:hint="default" w:ascii="Times New Roman" w:hAnsi="Times New Roman" w:eastAsia="宋体" w:cs="Times New Roman"/>
                <w:color w:val="auto"/>
                <w:sz w:val="24"/>
                <w:szCs w:val="24"/>
                <w:highlight w:val="none"/>
                <w:u w:val="single" w:color="auto"/>
                <w:lang w:eastAsia="zh-CN"/>
              </w:rPr>
            </w:pPr>
            <w:r>
              <w:rPr>
                <w:rFonts w:hint="default" w:ascii="Times New Roman" w:hAnsi="Times New Roman" w:eastAsia="宋体" w:cs="Times New Roman"/>
                <w:color w:val="auto"/>
                <w:sz w:val="24"/>
                <w:szCs w:val="24"/>
                <w:highlight w:val="none"/>
                <w:u w:val="single" w:color="auto"/>
                <w:lang w:eastAsia="zh-CN"/>
              </w:rPr>
              <w:t>F—汇水面积，ha；</w:t>
            </w:r>
          </w:p>
          <w:p w14:paraId="55FE59FF">
            <w:pPr>
              <w:keepNext w:val="0"/>
              <w:keepLines w:val="0"/>
              <w:pageBreakBefore w:val="0"/>
              <w:widowControl w:val="0"/>
              <w:kinsoku/>
              <w:wordWrap/>
              <w:overflowPunct/>
              <w:topLinePunct w:val="0"/>
              <w:autoSpaceDE/>
              <w:autoSpaceDN/>
              <w:bidi w:val="0"/>
              <w:adjustRightInd/>
              <w:snapToGrid/>
              <w:spacing w:line="360" w:lineRule="auto"/>
              <w:ind w:firstLine="1200" w:firstLineChars="500"/>
              <w:textAlignment w:val="auto"/>
              <w:rPr>
                <w:rFonts w:hint="default" w:ascii="Times New Roman" w:hAnsi="Times New Roman" w:eastAsia="宋体" w:cs="Times New Roman"/>
                <w:color w:val="auto"/>
                <w:sz w:val="24"/>
                <w:szCs w:val="24"/>
                <w:highlight w:val="none"/>
                <w:u w:val="single" w:color="auto"/>
                <w:lang w:eastAsia="zh-CN"/>
              </w:rPr>
            </w:pPr>
            <w:r>
              <w:rPr>
                <w:rFonts w:hint="default" w:ascii="Times New Roman" w:hAnsi="Times New Roman" w:eastAsia="宋体" w:cs="Times New Roman"/>
                <w:color w:val="auto"/>
                <w:sz w:val="24"/>
                <w:szCs w:val="24"/>
                <w:highlight w:val="none"/>
                <w:u w:val="single" w:color="auto"/>
                <w:lang w:eastAsia="zh-CN"/>
              </w:rPr>
              <w:t>Ψ—年径流系数，项目所在区域取0.</w:t>
            </w:r>
            <w:r>
              <w:rPr>
                <w:rFonts w:hint="eastAsia" w:cs="Times New Roman"/>
                <w:color w:val="auto"/>
                <w:sz w:val="24"/>
                <w:szCs w:val="24"/>
                <w:highlight w:val="none"/>
                <w:u w:val="single" w:color="auto"/>
                <w:lang w:val="en-US" w:eastAsia="zh-CN"/>
              </w:rPr>
              <w:t>3（综合径流系数）</w:t>
            </w:r>
            <w:r>
              <w:rPr>
                <w:rFonts w:hint="default" w:ascii="Times New Roman" w:hAnsi="Times New Roman" w:eastAsia="宋体" w:cs="Times New Roman"/>
                <w:color w:val="auto"/>
                <w:sz w:val="24"/>
                <w:szCs w:val="24"/>
                <w:highlight w:val="none"/>
                <w:u w:val="single" w:color="auto"/>
                <w:lang w:eastAsia="zh-CN"/>
              </w:rPr>
              <w:t>；</w:t>
            </w:r>
          </w:p>
          <w:p w14:paraId="3706AF5D">
            <w:pPr>
              <w:keepNext w:val="0"/>
              <w:keepLines w:val="0"/>
              <w:pageBreakBefore w:val="0"/>
              <w:widowControl w:val="0"/>
              <w:kinsoku/>
              <w:wordWrap/>
              <w:overflowPunct/>
              <w:topLinePunct w:val="0"/>
              <w:autoSpaceDE/>
              <w:autoSpaceDN/>
              <w:bidi w:val="0"/>
              <w:adjustRightInd/>
              <w:snapToGrid/>
              <w:spacing w:line="360" w:lineRule="auto"/>
              <w:ind w:firstLine="1200" w:firstLineChars="500"/>
              <w:textAlignment w:val="auto"/>
              <w:rPr>
                <w:rFonts w:hint="default" w:ascii="Times New Roman" w:hAnsi="Times New Roman" w:cs="Times New Roman"/>
                <w:i w:val="0"/>
                <w:iCs w:val="0"/>
                <w:color w:val="auto"/>
                <w:kern w:val="2"/>
                <w:sz w:val="24"/>
                <w:szCs w:val="22"/>
                <w:highlight w:val="none"/>
                <w:u w:val="single" w:color="auto"/>
                <w:lang w:val="en-US" w:eastAsia="zh-CN" w:bidi="ar-SA"/>
              </w:rPr>
            </w:pPr>
            <w:r>
              <w:rPr>
                <w:rFonts w:hint="default" w:ascii="Times New Roman" w:hAnsi="Times New Roman" w:eastAsia="宋体" w:cs="Times New Roman"/>
                <w:color w:val="auto"/>
                <w:sz w:val="24"/>
                <w:szCs w:val="24"/>
                <w:highlight w:val="none"/>
                <w:u w:val="single" w:color="auto"/>
                <w:lang w:eastAsia="zh-CN"/>
              </w:rPr>
              <w:t>T—为收水时间，一般取15min。</w:t>
            </w:r>
          </w:p>
          <w:p w14:paraId="0DE089A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bCs/>
                <w:iCs/>
                <w:color w:val="auto"/>
                <w:sz w:val="24"/>
                <w:szCs w:val="24"/>
                <w:highlight w:val="none"/>
                <w:u w:val="single" w:color="auto"/>
                <w:lang w:val="en-US" w:eastAsia="zh-CN"/>
              </w:rPr>
            </w:pPr>
            <w:r>
              <w:rPr>
                <w:rFonts w:hint="eastAsia" w:ascii="宋体" w:hAnsi="宋体" w:eastAsia="宋体" w:cs="宋体"/>
                <w:color w:val="auto"/>
                <w:kern w:val="0"/>
                <w:sz w:val="24"/>
                <w:szCs w:val="24"/>
                <w:highlight w:val="none"/>
                <w:u w:val="single" w:color="auto"/>
                <w:lang w:val="en-US" w:eastAsia="zh-CN" w:bidi="ar"/>
              </w:rPr>
              <w:t>由以上公式计算出一次暴雨强度</w:t>
            </w:r>
            <w:r>
              <w:rPr>
                <w:rFonts w:hint="default" w:ascii="Times New Roman" w:hAnsi="Times New Roman" w:eastAsia="宋体" w:cs="Times New Roman"/>
                <w:color w:val="auto"/>
                <w:kern w:val="0"/>
                <w:sz w:val="24"/>
                <w:szCs w:val="24"/>
                <w:highlight w:val="none"/>
                <w:u w:val="single" w:color="auto"/>
                <w:lang w:val="en-US" w:eastAsia="zh-CN" w:bidi="ar"/>
              </w:rPr>
              <w:t>q</w:t>
            </w:r>
            <w:r>
              <w:rPr>
                <w:rFonts w:hint="eastAsia" w:ascii="宋体" w:hAnsi="宋体" w:eastAsia="宋体" w:cs="宋体"/>
                <w:color w:val="auto"/>
                <w:kern w:val="0"/>
                <w:sz w:val="24"/>
                <w:szCs w:val="24"/>
                <w:highlight w:val="none"/>
                <w:u w:val="single" w:color="auto"/>
                <w:lang w:val="en-US" w:eastAsia="zh-CN" w:bidi="ar"/>
              </w:rPr>
              <w:t>为</w:t>
            </w:r>
            <w:r>
              <w:rPr>
                <w:rFonts w:hint="eastAsia" w:cs="Times New Roman"/>
                <w:color w:val="auto"/>
                <w:sz w:val="24"/>
                <w:szCs w:val="24"/>
                <w:highlight w:val="none"/>
                <w:u w:val="single" w:color="auto"/>
                <w:lang w:val="en-US" w:eastAsia="zh-CN"/>
              </w:rPr>
              <w:t>199.0</w:t>
            </w:r>
            <w:r>
              <w:rPr>
                <w:rFonts w:hint="default" w:ascii="Times New Roman" w:hAnsi="Times New Roman" w:eastAsia="宋体" w:cs="Times New Roman"/>
                <w:color w:val="auto"/>
                <w:sz w:val="24"/>
                <w:szCs w:val="24"/>
                <w:highlight w:val="none"/>
                <w:u w:val="single" w:color="auto"/>
                <w:lang w:eastAsia="zh-CN"/>
              </w:rPr>
              <w:t>L/s·ha</w:t>
            </w:r>
            <w:r>
              <w:rPr>
                <w:rFonts w:hint="eastAsia" w:ascii="宋体" w:hAnsi="宋体" w:eastAsia="宋体" w:cs="宋体"/>
                <w:color w:val="auto"/>
                <w:kern w:val="0"/>
                <w:sz w:val="24"/>
                <w:szCs w:val="24"/>
                <w:highlight w:val="none"/>
                <w:u w:val="single" w:color="auto"/>
                <w:lang w:val="en-US" w:eastAsia="zh-CN" w:bidi="ar"/>
              </w:rPr>
              <w:t>，降雨历时</w:t>
            </w:r>
            <w:r>
              <w:rPr>
                <w:rFonts w:hint="default" w:ascii="Times New Roman" w:hAnsi="Times New Roman" w:eastAsia="宋体" w:cs="Times New Roman"/>
                <w:color w:val="auto"/>
                <w:kern w:val="0"/>
                <w:sz w:val="24"/>
                <w:szCs w:val="24"/>
                <w:highlight w:val="none"/>
                <w:u w:val="single" w:color="auto"/>
                <w:lang w:val="en-US" w:eastAsia="zh-CN" w:bidi="ar"/>
              </w:rPr>
              <w:t>15</w:t>
            </w:r>
            <w:r>
              <w:rPr>
                <w:rFonts w:hint="eastAsia" w:ascii="宋体" w:hAnsi="宋体" w:eastAsia="宋体" w:cs="宋体"/>
                <w:color w:val="auto"/>
                <w:kern w:val="0"/>
                <w:sz w:val="24"/>
                <w:szCs w:val="24"/>
                <w:highlight w:val="none"/>
                <w:u w:val="single" w:color="auto"/>
                <w:lang w:val="en-US" w:eastAsia="zh-CN" w:bidi="ar"/>
              </w:rPr>
              <w:t>分钟，厂区道路、生产区和原料堆放区降雨量</w:t>
            </w:r>
            <w:r>
              <w:rPr>
                <w:rFonts w:hint="default" w:ascii="Times New Roman" w:hAnsi="Times New Roman" w:eastAsia="宋体" w:cs="Times New Roman"/>
                <w:color w:val="auto"/>
                <w:kern w:val="0"/>
                <w:sz w:val="24"/>
                <w:szCs w:val="24"/>
                <w:highlight w:val="none"/>
                <w:u w:val="single" w:color="auto"/>
                <w:lang w:val="en-US" w:eastAsia="zh-CN" w:bidi="ar"/>
              </w:rPr>
              <w:t>Q</w:t>
            </w:r>
            <w:r>
              <w:rPr>
                <w:rFonts w:hint="eastAsia" w:ascii="宋体" w:hAnsi="宋体" w:eastAsia="宋体" w:cs="宋体"/>
                <w:color w:val="auto"/>
                <w:kern w:val="0"/>
                <w:sz w:val="24"/>
                <w:szCs w:val="24"/>
                <w:highlight w:val="none"/>
                <w:u w:val="single" w:color="auto"/>
                <w:lang w:val="en-US" w:eastAsia="zh-CN" w:bidi="ar"/>
              </w:rPr>
              <w:t>为</w:t>
            </w:r>
            <w:r>
              <w:rPr>
                <w:rFonts w:hint="eastAsia" w:cs="Times New Roman"/>
                <w:color w:val="auto"/>
                <w:kern w:val="0"/>
                <w:sz w:val="24"/>
                <w:szCs w:val="24"/>
                <w:highlight w:val="none"/>
                <w:u w:val="single" w:color="auto"/>
                <w:lang w:val="en-US" w:eastAsia="zh-CN" w:bidi="ar"/>
              </w:rPr>
              <w:t>8.36</w:t>
            </w:r>
            <w:r>
              <w:rPr>
                <w:rFonts w:hint="eastAsia" w:ascii="Times New Roman" w:hAnsi="Times New Roman" w:eastAsia="宋体" w:cs="Times New Roman"/>
                <w:color w:val="auto"/>
                <w:kern w:val="0"/>
                <w:sz w:val="24"/>
                <w:szCs w:val="24"/>
                <w:highlight w:val="none"/>
                <w:u w:val="single" w:color="auto"/>
                <w:lang w:val="en-US" w:eastAsia="zh-CN" w:bidi="ar"/>
              </w:rPr>
              <w:t>m</w:t>
            </w:r>
            <w:r>
              <w:rPr>
                <w:rFonts w:hint="eastAsia" w:ascii="Times New Roman" w:hAnsi="Times New Roman" w:eastAsia="宋体" w:cs="Times New Roman"/>
                <w:color w:val="auto"/>
                <w:kern w:val="0"/>
                <w:sz w:val="24"/>
                <w:szCs w:val="24"/>
                <w:highlight w:val="none"/>
                <w:u w:val="single" w:color="auto"/>
                <w:vertAlign w:val="superscript"/>
                <w:lang w:val="en-US" w:eastAsia="zh-CN" w:bidi="ar"/>
              </w:rPr>
              <w:t>3</w:t>
            </w:r>
            <w:r>
              <w:rPr>
                <w:rFonts w:hint="default" w:ascii="Times New Roman" w:hAnsi="Times New Roman" w:eastAsia="宋体" w:cs="Times New Roman"/>
                <w:color w:val="auto"/>
                <w:kern w:val="0"/>
                <w:sz w:val="24"/>
                <w:szCs w:val="24"/>
                <w:highlight w:val="none"/>
                <w:u w:val="single" w:color="auto"/>
                <w:lang w:val="en-US" w:eastAsia="zh-CN" w:bidi="ar"/>
              </w:rPr>
              <w:t>/</w:t>
            </w:r>
            <w:r>
              <w:rPr>
                <w:rFonts w:hint="eastAsia" w:ascii="宋体" w:hAnsi="宋体" w:eastAsia="宋体" w:cs="宋体"/>
                <w:color w:val="auto"/>
                <w:kern w:val="0"/>
                <w:sz w:val="24"/>
                <w:szCs w:val="24"/>
                <w:highlight w:val="none"/>
                <w:u w:val="single" w:color="auto"/>
                <w:lang w:val="en-US" w:eastAsia="zh-CN" w:bidi="ar"/>
              </w:rPr>
              <w:t>次。根据</w:t>
            </w:r>
            <w:r>
              <w:rPr>
                <w:rFonts w:hint="eastAsia" w:ascii="宋体" w:hAnsi="宋体" w:cs="宋体"/>
                <w:color w:val="auto"/>
                <w:kern w:val="0"/>
                <w:sz w:val="24"/>
                <w:szCs w:val="24"/>
                <w:highlight w:val="none"/>
                <w:u w:val="single" w:color="auto"/>
                <w:lang w:val="en-US" w:eastAsia="zh-CN" w:bidi="ar"/>
              </w:rPr>
              <w:t>当地</w:t>
            </w:r>
            <w:r>
              <w:rPr>
                <w:rFonts w:hint="eastAsia" w:ascii="宋体" w:hAnsi="宋体" w:eastAsia="宋体" w:cs="宋体"/>
                <w:color w:val="auto"/>
                <w:kern w:val="0"/>
                <w:sz w:val="24"/>
                <w:szCs w:val="24"/>
                <w:highlight w:val="none"/>
                <w:u w:val="single" w:color="auto"/>
                <w:lang w:val="en-US" w:eastAsia="zh-CN" w:bidi="ar"/>
              </w:rPr>
              <w:t>气象数据，年降水时间按</w:t>
            </w:r>
            <w:r>
              <w:rPr>
                <w:rFonts w:hint="default" w:ascii="Times New Roman" w:hAnsi="Times New Roman" w:eastAsia="宋体" w:cs="Times New Roman"/>
                <w:color w:val="auto"/>
                <w:kern w:val="0"/>
                <w:sz w:val="24"/>
                <w:szCs w:val="24"/>
                <w:highlight w:val="none"/>
                <w:u w:val="single" w:color="auto"/>
                <w:lang w:val="en-US" w:eastAsia="zh-CN" w:bidi="ar"/>
              </w:rPr>
              <w:t>120</w:t>
            </w:r>
            <w:r>
              <w:rPr>
                <w:rFonts w:hint="eastAsia" w:ascii="宋体" w:hAnsi="宋体" w:eastAsia="宋体" w:cs="宋体"/>
                <w:color w:val="auto"/>
                <w:kern w:val="0"/>
                <w:sz w:val="24"/>
                <w:szCs w:val="24"/>
                <w:highlight w:val="none"/>
                <w:u w:val="single" w:color="auto"/>
                <w:lang w:val="en-US" w:eastAsia="zh-CN" w:bidi="ar"/>
              </w:rPr>
              <w:t>天计算，则初期雨水产生量约为</w:t>
            </w:r>
            <w:r>
              <w:rPr>
                <w:rFonts w:hint="eastAsia" w:cs="Times New Roman"/>
                <w:color w:val="auto"/>
                <w:kern w:val="0"/>
                <w:sz w:val="24"/>
                <w:szCs w:val="24"/>
                <w:highlight w:val="none"/>
                <w:u w:val="single" w:color="auto"/>
                <w:lang w:val="en-US" w:eastAsia="zh-CN" w:bidi="ar"/>
              </w:rPr>
              <w:t>1003.2</w:t>
            </w:r>
            <w:r>
              <w:rPr>
                <w:rFonts w:hint="eastAsia" w:cs="Times New Roman"/>
                <w:bCs/>
                <w:iCs/>
                <w:color w:val="auto"/>
                <w:sz w:val="24"/>
                <w:szCs w:val="24"/>
                <w:highlight w:val="none"/>
                <w:u w:val="single" w:color="auto"/>
                <w:lang w:val="en-US" w:eastAsia="zh-CN"/>
              </w:rPr>
              <w:t>m</w:t>
            </w:r>
            <w:r>
              <w:rPr>
                <w:rFonts w:hint="eastAsia" w:cs="Times New Roman"/>
                <w:bCs/>
                <w:iCs/>
                <w:color w:val="auto"/>
                <w:sz w:val="24"/>
                <w:szCs w:val="24"/>
                <w:highlight w:val="none"/>
                <w:u w:val="single" w:color="auto"/>
                <w:vertAlign w:val="superscript"/>
                <w:lang w:val="en-US" w:eastAsia="zh-CN"/>
              </w:rPr>
              <w:t>3</w:t>
            </w:r>
            <w:r>
              <w:rPr>
                <w:rFonts w:hint="eastAsia" w:cs="Times New Roman"/>
                <w:bCs/>
                <w:iCs/>
                <w:color w:val="auto"/>
                <w:sz w:val="24"/>
                <w:szCs w:val="24"/>
                <w:highlight w:val="none"/>
                <w:u w:val="single" w:color="auto"/>
                <w:lang w:val="en-US" w:eastAsia="zh-CN"/>
              </w:rPr>
              <w:t>/a。</w:t>
            </w:r>
            <w:r>
              <w:rPr>
                <w:rFonts w:hint="eastAsia" w:ascii="宋体" w:hAnsi="宋体" w:eastAsia="宋体" w:cs="宋体"/>
                <w:color w:val="auto"/>
                <w:kern w:val="0"/>
                <w:sz w:val="24"/>
                <w:szCs w:val="24"/>
                <w:highlight w:val="none"/>
                <w:u w:val="single" w:color="auto"/>
                <w:lang w:val="en-US" w:eastAsia="zh-CN" w:bidi="ar"/>
              </w:rPr>
              <w:t>初期雨水经自建雨水沟收集后排入</w:t>
            </w:r>
            <w:r>
              <w:rPr>
                <w:rFonts w:hint="eastAsia" w:ascii="宋体" w:hAnsi="宋体" w:cs="宋体"/>
                <w:color w:val="auto"/>
                <w:kern w:val="0"/>
                <w:sz w:val="24"/>
                <w:szCs w:val="24"/>
                <w:highlight w:val="none"/>
                <w:u w:val="single" w:color="auto"/>
                <w:lang w:val="en-US" w:eastAsia="zh-CN" w:bidi="ar"/>
              </w:rPr>
              <w:t>初期雨水池</w:t>
            </w:r>
            <w:r>
              <w:rPr>
                <w:rFonts w:hint="eastAsia" w:ascii="宋体" w:hAnsi="宋体" w:eastAsia="宋体" w:cs="宋体"/>
                <w:color w:val="auto"/>
                <w:kern w:val="0"/>
                <w:sz w:val="24"/>
                <w:szCs w:val="24"/>
                <w:highlight w:val="none"/>
                <w:u w:val="single" w:color="auto"/>
                <w:lang w:val="en-US" w:eastAsia="zh-CN" w:bidi="ar"/>
              </w:rPr>
              <w:t>（容积</w:t>
            </w:r>
            <w:r>
              <w:rPr>
                <w:rFonts w:hint="eastAsia" w:cs="Times New Roman"/>
                <w:color w:val="auto"/>
                <w:kern w:val="0"/>
                <w:sz w:val="24"/>
                <w:szCs w:val="24"/>
                <w:highlight w:val="none"/>
                <w:u w:val="single" w:color="auto"/>
                <w:lang w:val="en-US" w:eastAsia="zh-CN" w:bidi="ar"/>
              </w:rPr>
              <w:t>40</w:t>
            </w:r>
            <w:r>
              <w:rPr>
                <w:rFonts w:hint="default" w:ascii="Times New Roman" w:hAnsi="Times New Roman" w:eastAsia="宋体" w:cs="Times New Roman"/>
                <w:color w:val="auto"/>
                <w:kern w:val="0"/>
                <w:sz w:val="24"/>
                <w:szCs w:val="24"/>
                <w:highlight w:val="none"/>
                <w:u w:val="single" w:color="auto"/>
                <w:lang w:val="en-US" w:eastAsia="zh-CN" w:bidi="ar"/>
              </w:rPr>
              <w:t>m</w:t>
            </w:r>
            <w:r>
              <w:rPr>
                <w:rFonts w:hint="default" w:ascii="Times New Roman" w:hAnsi="Times New Roman" w:eastAsia="宋体" w:cs="Times New Roman"/>
                <w:color w:val="auto"/>
                <w:kern w:val="0"/>
                <w:sz w:val="24"/>
                <w:szCs w:val="24"/>
                <w:highlight w:val="none"/>
                <w:u w:val="single" w:color="auto"/>
                <w:vertAlign w:val="superscript"/>
                <w:lang w:val="en-US" w:eastAsia="zh-CN" w:bidi="ar"/>
              </w:rPr>
              <w:t>3</w:t>
            </w:r>
            <w:r>
              <w:rPr>
                <w:rFonts w:hint="eastAsia" w:ascii="宋体" w:hAnsi="宋体" w:eastAsia="宋体" w:cs="宋体"/>
                <w:color w:val="auto"/>
                <w:kern w:val="0"/>
                <w:sz w:val="24"/>
                <w:szCs w:val="24"/>
                <w:highlight w:val="none"/>
                <w:u w:val="single" w:color="auto"/>
                <w:lang w:val="en-US" w:eastAsia="zh-CN" w:bidi="ar"/>
              </w:rPr>
              <w:t>），初期雨水</w:t>
            </w:r>
            <w:r>
              <w:rPr>
                <w:rFonts w:hint="eastAsia" w:ascii="宋体" w:hAnsi="宋体" w:cs="宋体"/>
                <w:color w:val="auto"/>
                <w:kern w:val="0"/>
                <w:sz w:val="24"/>
                <w:szCs w:val="24"/>
                <w:highlight w:val="none"/>
                <w:u w:val="single" w:color="auto"/>
                <w:lang w:val="en-US" w:eastAsia="zh-CN" w:bidi="ar"/>
              </w:rPr>
              <w:t>收集</w:t>
            </w:r>
            <w:r>
              <w:rPr>
                <w:rFonts w:hint="eastAsia" w:ascii="宋体" w:hAnsi="宋体" w:eastAsia="宋体" w:cs="宋体"/>
                <w:color w:val="auto"/>
                <w:kern w:val="0"/>
                <w:sz w:val="24"/>
                <w:szCs w:val="24"/>
                <w:highlight w:val="none"/>
                <w:u w:val="single" w:color="auto"/>
                <w:lang w:val="en-US" w:eastAsia="zh-CN" w:bidi="ar"/>
              </w:rPr>
              <w:t>后回用于生产，不外排。</w:t>
            </w:r>
          </w:p>
          <w:p w14:paraId="2C87B2B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bCs/>
                <w:iCs/>
                <w:color w:val="auto"/>
                <w:sz w:val="24"/>
                <w:szCs w:val="24"/>
                <w:highlight w:val="none"/>
                <w:u w:val="none" w:color="auto"/>
                <w:lang w:val="en-US" w:eastAsia="zh-CN"/>
              </w:rPr>
            </w:pPr>
            <w:r>
              <w:rPr>
                <w:rFonts w:hint="eastAsia" w:ascii="Times New Roman" w:hAnsi="Times New Roman" w:eastAsia="宋体" w:cs="Times New Roman"/>
                <w:bCs/>
                <w:iCs/>
                <w:color w:val="auto"/>
                <w:sz w:val="24"/>
                <w:szCs w:val="24"/>
                <w:highlight w:val="none"/>
                <w:u w:val="none" w:color="auto"/>
                <w:lang w:val="en-US" w:eastAsia="zh-CN"/>
              </w:rPr>
              <w:t>本项目水平衡详见图</w:t>
            </w:r>
            <w:r>
              <w:rPr>
                <w:rFonts w:hint="eastAsia" w:cs="Times New Roman"/>
                <w:bCs/>
                <w:iCs/>
                <w:color w:val="auto"/>
                <w:sz w:val="24"/>
                <w:szCs w:val="24"/>
                <w:highlight w:val="none"/>
                <w:u w:val="none" w:color="auto"/>
                <w:lang w:val="en-US" w:eastAsia="zh-CN"/>
              </w:rPr>
              <w:t>2</w:t>
            </w:r>
            <w:r>
              <w:rPr>
                <w:rFonts w:hint="eastAsia" w:ascii="Times New Roman" w:hAnsi="Times New Roman" w:eastAsia="宋体" w:cs="Times New Roman"/>
                <w:bCs/>
                <w:iCs/>
                <w:color w:val="auto"/>
                <w:sz w:val="24"/>
                <w:szCs w:val="24"/>
                <w:highlight w:val="none"/>
                <w:u w:val="none" w:color="auto"/>
                <w:lang w:val="en-US" w:eastAsia="zh-CN"/>
              </w:rPr>
              <w:t>。</w:t>
            </w:r>
          </w:p>
          <w:p w14:paraId="4A84993B">
            <w:pPr>
              <w:pStyle w:val="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color w:val="auto"/>
                <w:sz w:val="24"/>
                <w:szCs w:val="24"/>
                <w:highlight w:val="none"/>
                <w:lang w:val="en-US" w:eastAsia="zh-CN"/>
              </w:rPr>
            </w:pPr>
            <w:r>
              <w:rPr>
                <w:color w:val="auto"/>
              </w:rPr>
              <w:drawing>
                <wp:inline distT="0" distB="0" distL="114300" distR="114300">
                  <wp:extent cx="5086350" cy="5715000"/>
                  <wp:effectExtent l="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0"/>
                          <a:stretch>
                            <a:fillRect/>
                          </a:stretch>
                        </pic:blipFill>
                        <pic:spPr>
                          <a:xfrm>
                            <a:off x="0" y="0"/>
                            <a:ext cx="5086350" cy="5715000"/>
                          </a:xfrm>
                          <a:prstGeom prst="rect">
                            <a:avLst/>
                          </a:prstGeom>
                          <a:noFill/>
                          <a:ln>
                            <a:noFill/>
                          </a:ln>
                        </pic:spPr>
                      </pic:pic>
                    </a:graphicData>
                  </a:graphic>
                </wp:inline>
              </w:drawing>
            </w:r>
          </w:p>
          <w:p w14:paraId="67E41689">
            <w:pPr>
              <w:pStyle w:val="59"/>
              <w:ind w:firstLine="420"/>
              <w:jc w:val="center"/>
              <w:rPr>
                <w:rFonts w:hint="eastAsia"/>
                <w:b/>
                <w:bCs/>
                <w:color w:val="auto"/>
                <w:highlight w:val="none"/>
              </w:rPr>
            </w:pPr>
            <w:r>
              <w:rPr>
                <w:rFonts w:hint="default" w:ascii="Times New Roman" w:hAnsi="Times New Roman" w:cs="Times New Roman"/>
                <w:b/>
                <w:bCs/>
                <w:color w:val="auto"/>
                <w:highlight w:val="none"/>
                <w:u w:val="none"/>
              </w:rPr>
              <w:t>图</w:t>
            </w:r>
            <w:r>
              <w:rPr>
                <w:rFonts w:hint="eastAsia" w:ascii="Times New Roman" w:hAnsi="Times New Roman" w:cs="Times New Roman"/>
                <w:b/>
                <w:bCs/>
                <w:color w:val="auto"/>
                <w:highlight w:val="none"/>
                <w:u w:val="none"/>
                <w:lang w:val="en-US" w:eastAsia="zh-CN"/>
              </w:rPr>
              <w:t>1</w:t>
            </w:r>
            <w:r>
              <w:rPr>
                <w:rFonts w:hint="default" w:ascii="Times New Roman" w:hAnsi="Times New Roman" w:cs="Times New Roman"/>
                <w:b/>
                <w:bCs/>
                <w:color w:val="auto"/>
                <w:highlight w:val="none"/>
                <w:u w:val="none"/>
              </w:rPr>
              <w:t xml:space="preserve">  本项目水平衡图（单位：</w:t>
            </w:r>
            <w:r>
              <w:rPr>
                <w:rFonts w:hint="eastAsia" w:ascii="Times New Roman" w:hAnsi="Times New Roman" w:cs="Times New Roman"/>
                <w:b/>
                <w:bCs/>
                <w:color w:val="auto"/>
                <w:highlight w:val="none"/>
                <w:u w:val="none"/>
                <w:lang w:val="en-US" w:eastAsia="zh-CN"/>
              </w:rPr>
              <w:t>m</w:t>
            </w:r>
            <w:r>
              <w:rPr>
                <w:rFonts w:hint="eastAsia" w:ascii="Times New Roman" w:hAnsi="Times New Roman" w:cs="Times New Roman"/>
                <w:b/>
                <w:bCs/>
                <w:color w:val="auto"/>
                <w:highlight w:val="none"/>
                <w:u w:val="none"/>
                <w:vertAlign w:val="superscript"/>
                <w:lang w:val="en-US" w:eastAsia="zh-CN"/>
              </w:rPr>
              <w:t>3</w:t>
            </w:r>
            <w:r>
              <w:rPr>
                <w:rFonts w:hint="default" w:ascii="Times New Roman" w:hAnsi="Times New Roman" w:cs="Times New Roman"/>
                <w:b/>
                <w:bCs/>
                <w:color w:val="auto"/>
                <w:highlight w:val="none"/>
                <w:u w:val="none"/>
              </w:rPr>
              <w:t>/</w:t>
            </w:r>
            <w:r>
              <w:rPr>
                <w:rFonts w:hint="default" w:ascii="Times New Roman" w:hAnsi="Times New Roman" w:cs="Times New Roman"/>
                <w:b/>
                <w:bCs/>
                <w:color w:val="auto"/>
                <w:highlight w:val="none"/>
                <w:u w:val="none"/>
                <w:lang w:val="en-US" w:eastAsia="zh-CN"/>
              </w:rPr>
              <w:t>a</w:t>
            </w:r>
            <w:r>
              <w:rPr>
                <w:rFonts w:hint="default" w:ascii="Times New Roman" w:hAnsi="Times New Roman" w:cs="Times New Roman"/>
                <w:b/>
                <w:bCs/>
                <w:color w:val="auto"/>
                <w:highlight w:val="none"/>
                <w:u w:val="none"/>
              </w:rPr>
              <w:t>）</w:t>
            </w:r>
          </w:p>
          <w:p w14:paraId="48BC7EAA">
            <w:pPr>
              <w:pStyle w:val="11"/>
              <w:adjustRightInd w:val="0"/>
              <w:spacing w:before="0" w:beforeAutospacing="0" w:after="0" w:afterAutospacing="0" w:line="360" w:lineRule="auto"/>
              <w:ind w:firstLine="482" w:firstLineChars="200"/>
              <w:rPr>
                <w:rFonts w:hint="eastAsia" w:ascii="Times New Roman" w:hAnsi="Times New Roman" w:eastAsia="宋体"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11</w:t>
            </w:r>
            <w:r>
              <w:rPr>
                <w:rFonts w:hint="eastAsia" w:ascii="Times New Roman" w:hAnsi="Times New Roman" w:eastAsia="宋体" w:cs="Times New Roman"/>
                <w:b/>
                <w:bCs/>
                <w:color w:val="auto"/>
                <w:sz w:val="24"/>
                <w:szCs w:val="24"/>
                <w:highlight w:val="none"/>
              </w:rPr>
              <w:t>、</w:t>
            </w:r>
            <w:r>
              <w:rPr>
                <w:rFonts w:ascii="Times New Roman" w:hAnsi="Times New Roman" w:eastAsia="宋体" w:cs="Times New Roman"/>
                <w:b/>
                <w:bCs/>
                <w:color w:val="auto"/>
                <w:sz w:val="24"/>
                <w:szCs w:val="24"/>
                <w:highlight w:val="none"/>
              </w:rPr>
              <w:t>供电</w:t>
            </w:r>
            <w:r>
              <w:rPr>
                <w:rFonts w:hint="eastAsia" w:ascii="Times New Roman" w:hAnsi="Times New Roman" w:eastAsia="宋体" w:cs="Times New Roman"/>
                <w:b/>
                <w:bCs/>
                <w:color w:val="auto"/>
                <w:sz w:val="24"/>
                <w:szCs w:val="24"/>
                <w:highlight w:val="none"/>
              </w:rPr>
              <w:t>工程</w:t>
            </w:r>
          </w:p>
          <w:p w14:paraId="48E6887D">
            <w:pPr>
              <w:adjustRightInd w:val="0"/>
              <w:spacing w:line="360" w:lineRule="auto"/>
              <w:ind w:firstLine="480" w:firstLineChars="200"/>
              <w:jc w:val="left"/>
              <w:rPr>
                <w:color w:val="auto"/>
                <w:sz w:val="24"/>
                <w:szCs w:val="24"/>
                <w:highlight w:val="none"/>
              </w:rPr>
            </w:pPr>
            <w:r>
              <w:rPr>
                <w:color w:val="auto"/>
                <w:sz w:val="24"/>
                <w:szCs w:val="24"/>
                <w:highlight w:val="none"/>
              </w:rPr>
              <w:t>本项目电源</w:t>
            </w:r>
            <w:r>
              <w:rPr>
                <w:rFonts w:hint="eastAsia"/>
                <w:color w:val="auto"/>
                <w:sz w:val="24"/>
                <w:szCs w:val="24"/>
                <w:highlight w:val="none"/>
                <w:lang w:eastAsia="zh-CN"/>
              </w:rPr>
              <w:t>由当地</w:t>
            </w:r>
            <w:r>
              <w:rPr>
                <w:rFonts w:hint="eastAsia"/>
                <w:color w:val="auto"/>
                <w:sz w:val="24"/>
                <w:szCs w:val="24"/>
                <w:highlight w:val="none"/>
              </w:rPr>
              <w:t>供电局</w:t>
            </w:r>
            <w:r>
              <w:rPr>
                <w:color w:val="auto"/>
                <w:sz w:val="24"/>
                <w:szCs w:val="24"/>
                <w:highlight w:val="none"/>
              </w:rPr>
              <w:t>统一供给，能够满足本项目用电需求。</w:t>
            </w:r>
          </w:p>
          <w:p w14:paraId="18C61CFC">
            <w:pPr>
              <w:pStyle w:val="11"/>
              <w:adjustRightInd w:val="0"/>
              <w:spacing w:before="0" w:beforeAutospacing="0" w:after="0" w:afterAutospacing="0" w:line="360" w:lineRule="auto"/>
              <w:ind w:firstLine="482" w:firstLineChars="200"/>
              <w:rPr>
                <w:rFonts w:hint="eastAsia" w:ascii="Times New Roman" w:hAnsi="Times New Roman" w:eastAsia="宋体" w:cs="Times New Roman"/>
                <w:b/>
                <w:bCs/>
                <w:color w:val="auto"/>
                <w:sz w:val="24"/>
                <w:szCs w:val="24"/>
                <w:highlight w:val="none"/>
              </w:rPr>
            </w:pPr>
            <w:r>
              <w:rPr>
                <w:rFonts w:hint="eastAsia" w:ascii="Times New Roman" w:hAnsi="Times New Roman" w:eastAsia="宋体" w:cs="Times New Roman"/>
                <w:b/>
                <w:bCs/>
                <w:color w:val="auto"/>
                <w:sz w:val="24"/>
                <w:szCs w:val="24"/>
                <w:highlight w:val="none"/>
                <w:lang w:val="en-US" w:eastAsia="zh-CN"/>
              </w:rPr>
              <w:t>1</w:t>
            </w:r>
            <w:r>
              <w:rPr>
                <w:rFonts w:hint="eastAsia" w:ascii="Times New Roman" w:hAnsi="Times New Roman" w:cs="Times New Roman"/>
                <w:b/>
                <w:bCs/>
                <w:color w:val="auto"/>
                <w:sz w:val="24"/>
                <w:szCs w:val="24"/>
                <w:highlight w:val="none"/>
                <w:lang w:val="en-US" w:eastAsia="zh-CN"/>
              </w:rPr>
              <w:t>2</w:t>
            </w:r>
            <w:r>
              <w:rPr>
                <w:rFonts w:hint="eastAsia" w:ascii="Times New Roman" w:hAnsi="Times New Roman" w:eastAsia="宋体" w:cs="Times New Roman"/>
                <w:b/>
                <w:bCs/>
                <w:color w:val="auto"/>
                <w:sz w:val="24"/>
                <w:szCs w:val="24"/>
                <w:highlight w:val="none"/>
              </w:rPr>
              <w:t>、</w:t>
            </w:r>
            <w:r>
              <w:rPr>
                <w:rFonts w:ascii="Times New Roman" w:hAnsi="Times New Roman" w:eastAsia="宋体" w:cs="Times New Roman"/>
                <w:b/>
                <w:bCs/>
                <w:color w:val="auto"/>
                <w:sz w:val="24"/>
                <w:szCs w:val="24"/>
                <w:highlight w:val="none"/>
              </w:rPr>
              <w:t>供热</w:t>
            </w:r>
            <w:r>
              <w:rPr>
                <w:rFonts w:hint="eastAsia" w:ascii="Times New Roman" w:hAnsi="Times New Roman" w:eastAsia="宋体" w:cs="Times New Roman"/>
                <w:b/>
                <w:bCs/>
                <w:color w:val="auto"/>
                <w:sz w:val="24"/>
                <w:szCs w:val="24"/>
                <w:highlight w:val="none"/>
              </w:rPr>
              <w:t>工程</w:t>
            </w:r>
          </w:p>
          <w:p w14:paraId="2C2DAE8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sz w:val="24"/>
                <w:szCs w:val="24"/>
                <w:highlight w:val="none"/>
              </w:rPr>
            </w:pPr>
            <w:r>
              <w:rPr>
                <w:rFonts w:hint="eastAsia"/>
                <w:color w:val="auto"/>
                <w:sz w:val="24"/>
                <w:szCs w:val="24"/>
                <w:highlight w:val="none"/>
              </w:rPr>
              <w:t>本项目生产不用热，</w:t>
            </w:r>
            <w:r>
              <w:rPr>
                <w:rFonts w:hint="eastAsia" w:cs="Times New Roman"/>
                <w:color w:val="auto"/>
                <w:sz w:val="24"/>
                <w:szCs w:val="24"/>
                <w:highlight w:val="none"/>
                <w:lang w:eastAsia="zh-CN"/>
              </w:rPr>
              <w:t>冬季不生产</w:t>
            </w:r>
            <w:r>
              <w:rPr>
                <w:rFonts w:hint="eastAsia" w:ascii="Times New Roman" w:hAnsi="Times New Roman" w:eastAsia="宋体" w:cs="Times New Roman"/>
                <w:color w:val="auto"/>
                <w:sz w:val="24"/>
                <w:szCs w:val="24"/>
                <w:highlight w:val="none"/>
              </w:rPr>
              <w:t>。</w:t>
            </w:r>
          </w:p>
          <w:p w14:paraId="734A6D39">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auto"/>
              <w:rPr>
                <w:rFonts w:hint="eastAsia" w:ascii="Times New Roman" w:hAnsi="Times New Roman" w:eastAsia="宋体" w:cs="Times New Roman"/>
                <w:b/>
                <w:bCs/>
                <w:color w:val="auto"/>
                <w:sz w:val="24"/>
                <w:szCs w:val="24"/>
                <w:highlight w:val="none"/>
              </w:rPr>
            </w:pPr>
            <w:r>
              <w:rPr>
                <w:rFonts w:hint="eastAsia" w:cs="Times New Roman"/>
                <w:b/>
                <w:bCs/>
                <w:color w:val="auto"/>
                <w:sz w:val="24"/>
                <w:szCs w:val="24"/>
                <w:highlight w:val="none"/>
                <w:lang w:val="en-US" w:eastAsia="zh-CN"/>
              </w:rPr>
              <w:t>13、</w:t>
            </w:r>
            <w:r>
              <w:rPr>
                <w:rFonts w:hint="default" w:ascii="Times New Roman" w:hAnsi="Times New Roman" w:eastAsia="宋体" w:cs="Times New Roman"/>
                <w:b/>
                <w:bCs/>
                <w:color w:val="auto"/>
                <w:kern w:val="2"/>
                <w:sz w:val="24"/>
                <w:szCs w:val="24"/>
                <w:highlight w:val="none"/>
                <w:u w:val="none" w:color="auto"/>
              </w:rPr>
              <w:t>项目实施进度</w:t>
            </w:r>
          </w:p>
          <w:p w14:paraId="6B82B6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highlight w:val="cyan"/>
                <w:lang w:val="en-US" w:eastAsia="zh-CN"/>
              </w:rPr>
            </w:pPr>
            <w:r>
              <w:rPr>
                <w:rFonts w:hint="default" w:ascii="Times New Roman" w:hAnsi="Times New Roman" w:eastAsia="宋体" w:cs="Times New Roman"/>
                <w:b w:val="0"/>
                <w:bCs w:val="0"/>
                <w:color w:val="auto"/>
                <w:kern w:val="2"/>
                <w:sz w:val="24"/>
                <w:szCs w:val="24"/>
                <w:highlight w:val="none"/>
                <w:u w:val="none" w:color="auto"/>
              </w:rPr>
              <w:t>本项目拟动工时间为202</w:t>
            </w:r>
            <w:r>
              <w:rPr>
                <w:rFonts w:hint="eastAsia" w:cs="Times New Roman"/>
                <w:b w:val="0"/>
                <w:bCs w:val="0"/>
                <w:color w:val="auto"/>
                <w:kern w:val="2"/>
                <w:sz w:val="24"/>
                <w:szCs w:val="24"/>
                <w:highlight w:val="none"/>
                <w:u w:val="none" w:color="auto"/>
                <w:lang w:val="en-US" w:eastAsia="zh-CN"/>
              </w:rPr>
              <w:t>6</w:t>
            </w:r>
            <w:r>
              <w:rPr>
                <w:rFonts w:hint="default" w:ascii="Times New Roman" w:hAnsi="Times New Roman" w:eastAsia="宋体" w:cs="Times New Roman"/>
                <w:b w:val="0"/>
                <w:bCs w:val="0"/>
                <w:color w:val="auto"/>
                <w:kern w:val="2"/>
                <w:sz w:val="24"/>
                <w:szCs w:val="24"/>
                <w:highlight w:val="none"/>
                <w:u w:val="none" w:color="auto"/>
              </w:rPr>
              <w:t>年</w:t>
            </w:r>
            <w:r>
              <w:rPr>
                <w:rFonts w:hint="eastAsia" w:cs="Times New Roman"/>
                <w:b w:val="0"/>
                <w:bCs w:val="0"/>
                <w:color w:val="auto"/>
                <w:kern w:val="2"/>
                <w:sz w:val="24"/>
                <w:szCs w:val="24"/>
                <w:highlight w:val="none"/>
                <w:u w:val="none" w:color="auto"/>
                <w:lang w:val="en-US" w:eastAsia="zh-CN"/>
              </w:rPr>
              <w:t>9</w:t>
            </w:r>
            <w:r>
              <w:rPr>
                <w:rFonts w:hint="default" w:ascii="Times New Roman" w:hAnsi="Times New Roman" w:eastAsia="宋体" w:cs="Times New Roman"/>
                <w:b w:val="0"/>
                <w:bCs w:val="0"/>
                <w:color w:val="auto"/>
                <w:kern w:val="2"/>
                <w:sz w:val="24"/>
                <w:szCs w:val="24"/>
                <w:highlight w:val="none"/>
                <w:u w:val="none" w:color="auto"/>
              </w:rPr>
              <w:t>月，</w:t>
            </w:r>
            <w:r>
              <w:rPr>
                <w:rFonts w:hint="default" w:ascii="Times New Roman" w:hAnsi="Times New Roman" w:eastAsia="宋体" w:cs="Times New Roman"/>
                <w:b w:val="0"/>
                <w:bCs w:val="0"/>
                <w:color w:val="auto"/>
                <w:kern w:val="2"/>
                <w:sz w:val="24"/>
                <w:szCs w:val="24"/>
                <w:highlight w:val="none"/>
                <w:u w:val="none" w:color="auto"/>
                <w:lang w:val="en-US" w:eastAsia="zh-CN"/>
              </w:rPr>
              <w:t>预计</w:t>
            </w:r>
            <w:r>
              <w:rPr>
                <w:rFonts w:hint="default" w:ascii="Times New Roman" w:hAnsi="Times New Roman" w:eastAsia="宋体" w:cs="Times New Roman"/>
                <w:b w:val="0"/>
                <w:bCs w:val="0"/>
                <w:color w:val="auto"/>
                <w:kern w:val="2"/>
                <w:sz w:val="24"/>
                <w:szCs w:val="24"/>
                <w:highlight w:val="none"/>
                <w:u w:val="none" w:color="auto"/>
              </w:rPr>
              <w:t>投产时间为202</w:t>
            </w:r>
            <w:r>
              <w:rPr>
                <w:rFonts w:hint="eastAsia" w:cs="Times New Roman"/>
                <w:b w:val="0"/>
                <w:bCs w:val="0"/>
                <w:color w:val="auto"/>
                <w:kern w:val="2"/>
                <w:sz w:val="24"/>
                <w:szCs w:val="24"/>
                <w:highlight w:val="none"/>
                <w:u w:val="none" w:color="auto"/>
                <w:lang w:val="en-US" w:eastAsia="zh-CN"/>
              </w:rPr>
              <w:t>6</w:t>
            </w:r>
            <w:r>
              <w:rPr>
                <w:rFonts w:hint="default" w:ascii="Times New Roman" w:hAnsi="Times New Roman" w:eastAsia="宋体" w:cs="Times New Roman"/>
                <w:b w:val="0"/>
                <w:bCs w:val="0"/>
                <w:color w:val="auto"/>
                <w:kern w:val="2"/>
                <w:sz w:val="24"/>
                <w:szCs w:val="24"/>
                <w:highlight w:val="none"/>
                <w:u w:val="none" w:color="auto"/>
              </w:rPr>
              <w:t>年</w:t>
            </w:r>
            <w:r>
              <w:rPr>
                <w:rFonts w:hint="eastAsia" w:cs="Times New Roman"/>
                <w:b w:val="0"/>
                <w:bCs w:val="0"/>
                <w:color w:val="auto"/>
                <w:kern w:val="2"/>
                <w:sz w:val="24"/>
                <w:szCs w:val="24"/>
                <w:highlight w:val="none"/>
                <w:u w:val="none" w:color="auto"/>
                <w:lang w:val="en-US" w:eastAsia="zh-CN"/>
              </w:rPr>
              <w:t>10</w:t>
            </w:r>
            <w:r>
              <w:rPr>
                <w:rFonts w:hint="default" w:ascii="Times New Roman" w:hAnsi="Times New Roman" w:eastAsia="宋体" w:cs="Times New Roman"/>
                <w:b w:val="0"/>
                <w:bCs w:val="0"/>
                <w:color w:val="auto"/>
                <w:kern w:val="2"/>
                <w:sz w:val="24"/>
                <w:szCs w:val="24"/>
                <w:highlight w:val="none"/>
                <w:u w:val="none" w:color="auto"/>
              </w:rPr>
              <w:t>月。</w:t>
            </w:r>
          </w:p>
        </w:tc>
      </w:tr>
      <w:tr w14:paraId="00C688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71" w:hRule="atLeast"/>
          <w:jc w:val="center"/>
        </w:trPr>
        <w:tc>
          <w:tcPr>
            <w:tcW w:w="533" w:type="dxa"/>
            <w:noWrap w:val="0"/>
            <w:vAlign w:val="center"/>
          </w:tcPr>
          <w:p w14:paraId="2D4DB548">
            <w:pPr>
              <w:pStyle w:val="21"/>
              <w:adjustRightInd w:val="0"/>
              <w:snapToGrid w:val="0"/>
              <w:spacing w:before="0" w:beforeAutospacing="0" w:after="0" w:afterAutospacing="0"/>
              <w:jc w:val="center"/>
              <w:rPr>
                <w:rFonts w:cs="宋体"/>
                <w:sz w:val="24"/>
                <w:szCs w:val="24"/>
                <w:highlight w:val="none"/>
              </w:rPr>
            </w:pPr>
            <w:r>
              <w:rPr>
                <w:rFonts w:hint="eastAsia" w:cs="宋体"/>
                <w:b/>
                <w:bCs/>
                <w:sz w:val="24"/>
                <w:szCs w:val="24"/>
                <w:highlight w:val="none"/>
              </w:rPr>
              <w:t>工艺流程和产排污环节</w:t>
            </w:r>
          </w:p>
        </w:tc>
        <w:tc>
          <w:tcPr>
            <w:tcW w:w="8527" w:type="dxa"/>
            <w:noWrap w:val="0"/>
            <w:vAlign w:val="top"/>
          </w:tcPr>
          <w:p w14:paraId="6118ECCE">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b/>
                <w:sz w:val="24"/>
                <w:szCs w:val="24"/>
                <w:highlight w:val="none"/>
                <w:u w:val="none"/>
              </w:rPr>
            </w:pPr>
            <w:r>
              <w:rPr>
                <w:rFonts w:hint="eastAsia"/>
                <w:b/>
                <w:sz w:val="24"/>
                <w:szCs w:val="24"/>
                <w:highlight w:val="none"/>
                <w:u w:val="none"/>
                <w:lang w:val="en-US" w:eastAsia="zh-CN"/>
              </w:rPr>
              <w:t>1、</w:t>
            </w:r>
            <w:r>
              <w:rPr>
                <w:rFonts w:hint="eastAsia"/>
                <w:b/>
                <w:sz w:val="24"/>
                <w:szCs w:val="24"/>
                <w:highlight w:val="none"/>
                <w:u w:val="none"/>
              </w:rPr>
              <w:t>工艺流程简述</w:t>
            </w:r>
          </w:p>
          <w:p w14:paraId="2F75155D">
            <w:pPr>
              <w:adjustRightInd w:val="0"/>
              <w:spacing w:line="360" w:lineRule="auto"/>
              <w:ind w:firstLine="480" w:firstLineChars="200"/>
              <w:rPr>
                <w:rFonts w:hint="eastAsia"/>
                <w:sz w:val="24"/>
                <w:szCs w:val="24"/>
                <w:highlight w:val="none"/>
                <w:u w:val="none"/>
              </w:rPr>
            </w:pPr>
            <w:r>
              <w:rPr>
                <w:rFonts w:hint="eastAsia"/>
                <w:sz w:val="24"/>
                <w:szCs w:val="24"/>
                <w:highlight w:val="none"/>
                <w:u w:val="none"/>
              </w:rPr>
              <w:t>本项目为商品混凝土生产加工项目，</w:t>
            </w:r>
            <w:r>
              <w:rPr>
                <w:rFonts w:hint="eastAsia"/>
                <w:sz w:val="24"/>
                <w:szCs w:val="24"/>
                <w:highlight w:val="none"/>
                <w:u w:val="none"/>
                <w:lang w:eastAsia="zh-CN"/>
              </w:rPr>
              <w:t>砂石骨料</w:t>
            </w:r>
            <w:r>
              <w:rPr>
                <w:rFonts w:hint="eastAsia"/>
                <w:sz w:val="24"/>
                <w:szCs w:val="24"/>
                <w:highlight w:val="none"/>
                <w:u w:val="none"/>
              </w:rPr>
              <w:t>以及粉料由运输车辆运进厂区，卸入</w:t>
            </w:r>
            <w:r>
              <w:rPr>
                <w:rFonts w:hint="eastAsia"/>
                <w:sz w:val="24"/>
                <w:szCs w:val="24"/>
                <w:highlight w:val="none"/>
                <w:u w:val="none"/>
                <w:lang w:eastAsia="zh-CN"/>
              </w:rPr>
              <w:t>骨</w:t>
            </w:r>
            <w:r>
              <w:rPr>
                <w:rFonts w:hint="eastAsia"/>
                <w:sz w:val="24"/>
                <w:szCs w:val="24"/>
                <w:highlight w:val="none"/>
                <w:u w:val="none"/>
              </w:rPr>
              <w:t>料堆放场及储罐内，混凝土搅拌工序均在搅拌楼内进行，粉料筒仓、搅拌机均配套脉冲袋式除尘器，收集生产过程产生的粉尘，有效削减颗粒物排放。</w:t>
            </w:r>
          </w:p>
          <w:p w14:paraId="5C8CC6D6">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default" w:eastAsia="宋体"/>
                <w:iCs/>
                <w:sz w:val="24"/>
                <w:szCs w:val="24"/>
                <w:highlight w:val="none"/>
                <w:u w:val="none"/>
                <w:lang w:val="en-US" w:eastAsia="zh-CN"/>
              </w:rPr>
            </w:pPr>
            <w:r>
              <w:rPr>
                <w:rFonts w:hint="eastAsia"/>
                <w:b/>
                <w:sz w:val="24"/>
                <w:szCs w:val="24"/>
                <w:highlight w:val="none"/>
                <w:u w:val="none"/>
                <w:lang w:val="en-US" w:eastAsia="zh-CN"/>
              </w:rPr>
              <w:t>2、</w:t>
            </w:r>
            <w:r>
              <w:rPr>
                <w:b/>
                <w:sz w:val="24"/>
                <w:szCs w:val="24"/>
                <w:highlight w:val="none"/>
                <w:u w:val="none"/>
              </w:rPr>
              <w:t>工艺流程</w:t>
            </w:r>
            <w:r>
              <w:rPr>
                <w:rFonts w:hint="eastAsia"/>
                <w:b/>
                <w:sz w:val="24"/>
                <w:szCs w:val="24"/>
                <w:highlight w:val="none"/>
                <w:u w:val="none"/>
              </w:rPr>
              <w:t>分析</w:t>
            </w:r>
          </w:p>
          <w:p w14:paraId="33678347">
            <w:pPr>
              <w:spacing w:line="360" w:lineRule="auto"/>
              <w:ind w:firstLine="480" w:firstLineChars="200"/>
              <w:rPr>
                <w:rFonts w:hint="eastAsia"/>
                <w:iCs/>
                <w:sz w:val="24"/>
                <w:szCs w:val="24"/>
                <w:highlight w:val="none"/>
                <w:u w:val="none"/>
              </w:rPr>
            </w:pPr>
            <w:r>
              <w:rPr>
                <w:rFonts w:hint="eastAsia"/>
                <w:iCs/>
                <w:sz w:val="24"/>
                <w:szCs w:val="24"/>
                <w:highlight w:val="none"/>
                <w:u w:val="none"/>
              </w:rPr>
              <w:t>本项目生产工序主要由物料储存、物料称量输送、搅拌工序、外运等几部分组成，生产工艺如下：</w:t>
            </w:r>
          </w:p>
          <w:p w14:paraId="2B90B34D">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cs="Times New Roman"/>
                <w:iCs/>
                <w:sz w:val="24"/>
                <w:szCs w:val="24"/>
                <w:highlight w:val="none"/>
                <w:u w:val="none"/>
              </w:rPr>
            </w:pPr>
            <w:r>
              <w:rPr>
                <w:rFonts w:hint="eastAsia" w:ascii="宋体" w:hAnsi="宋体" w:eastAsia="宋体" w:cs="宋体"/>
                <w:iCs/>
                <w:sz w:val="24"/>
                <w:szCs w:val="24"/>
                <w:highlight w:val="none"/>
                <w:u w:val="none"/>
              </w:rPr>
              <w:t>①</w:t>
            </w:r>
            <w:r>
              <w:rPr>
                <w:rFonts w:hint="eastAsia"/>
                <w:iCs/>
                <w:sz w:val="24"/>
                <w:szCs w:val="24"/>
                <w:highlight w:val="none"/>
                <w:u w:val="none"/>
              </w:rPr>
              <w:t>物料储存</w:t>
            </w:r>
          </w:p>
          <w:p w14:paraId="343A640E">
            <w:pPr>
              <w:keepNext w:val="0"/>
              <w:keepLines w:val="0"/>
              <w:pageBreakBefore w:val="0"/>
              <w:widowControl/>
              <w:suppressLineNumbers w:val="0"/>
              <w:kinsoku/>
              <w:wordWrap/>
              <w:overflowPunct/>
              <w:topLinePunct w:val="0"/>
              <w:autoSpaceDE/>
              <w:autoSpaceDN/>
              <w:bidi w:val="0"/>
              <w:adjustRightInd/>
              <w:snapToGrid/>
              <w:spacing w:line="360" w:lineRule="auto"/>
              <w:ind w:left="0" w:firstLine="480" w:firstLineChars="200"/>
              <w:jc w:val="both"/>
              <w:textAlignment w:val="auto"/>
              <w:rPr>
                <w:rFonts w:hint="eastAsia"/>
                <w:iCs/>
                <w:color w:val="auto"/>
                <w:sz w:val="24"/>
                <w:szCs w:val="24"/>
                <w:highlight w:val="none"/>
                <w:u w:val="none"/>
              </w:rPr>
            </w:pPr>
            <w:r>
              <w:rPr>
                <w:rFonts w:hint="default" w:ascii="Times New Roman" w:hAnsi="Times New Roman" w:cs="Times New Roman"/>
                <w:iCs/>
                <w:color w:val="auto"/>
                <w:sz w:val="24"/>
                <w:szCs w:val="24"/>
                <w:highlight w:val="none"/>
                <w:u w:val="none"/>
              </w:rPr>
              <w:t>原料</w:t>
            </w:r>
            <w:r>
              <w:rPr>
                <w:rFonts w:hint="default" w:ascii="Times New Roman" w:hAnsi="Times New Roman" w:cs="Times New Roman"/>
                <w:iCs/>
                <w:color w:val="auto"/>
                <w:sz w:val="24"/>
                <w:szCs w:val="24"/>
                <w:highlight w:val="none"/>
                <w:u w:val="none"/>
                <w:lang w:eastAsia="zh-CN"/>
              </w:rPr>
              <w:t>砂子、碎石</w:t>
            </w:r>
            <w:r>
              <w:rPr>
                <w:rFonts w:hint="default" w:ascii="Times New Roman" w:hAnsi="Times New Roman" w:cs="Times New Roman"/>
                <w:iCs/>
                <w:color w:val="auto"/>
                <w:sz w:val="24"/>
                <w:szCs w:val="24"/>
                <w:highlight w:val="none"/>
                <w:u w:val="none"/>
              </w:rPr>
              <w:t>等骨料</w:t>
            </w:r>
            <w:r>
              <w:rPr>
                <w:rFonts w:hint="default" w:ascii="Times New Roman" w:hAnsi="Times New Roman" w:cs="Times New Roman"/>
                <w:iCs/>
                <w:color w:val="auto"/>
                <w:sz w:val="24"/>
                <w:szCs w:val="24"/>
                <w:highlight w:val="none"/>
                <w:u w:val="none"/>
                <w:lang w:val="en-US" w:eastAsia="zh-CN"/>
              </w:rPr>
              <w:t>按照生产需要进行购买，砂子进场粒径</w:t>
            </w:r>
            <w:r>
              <w:rPr>
                <w:rFonts w:hint="eastAsia" w:ascii="Times New Roman" w:hAnsi="Times New Roman" w:cs="Times New Roman"/>
                <w:iCs/>
                <w:color w:val="auto"/>
                <w:sz w:val="24"/>
                <w:szCs w:val="24"/>
                <w:highlight w:val="none"/>
                <w:u w:val="none"/>
                <w:lang w:val="en-US" w:eastAsia="zh-CN"/>
              </w:rPr>
              <w:t>为0.15-</w:t>
            </w:r>
            <w:r>
              <w:rPr>
                <w:rFonts w:hint="default" w:ascii="Times New Roman" w:hAnsi="Times New Roman" w:eastAsia="宋体" w:cs="Times New Roman"/>
                <w:iCs/>
                <w:color w:val="auto"/>
                <w:sz w:val="24"/>
                <w:szCs w:val="24"/>
                <w:highlight w:val="none"/>
                <w:u w:val="none"/>
                <w:lang w:val="en-US" w:eastAsia="zh-CN"/>
              </w:rPr>
              <w:t>4.75mm，碎石</w:t>
            </w:r>
            <w:r>
              <w:rPr>
                <w:rFonts w:hint="eastAsia" w:ascii="Times New Roman" w:hAnsi="Times New Roman" w:eastAsia="宋体" w:cs="Times New Roman"/>
                <w:iCs/>
                <w:color w:val="auto"/>
                <w:sz w:val="24"/>
                <w:szCs w:val="24"/>
                <w:highlight w:val="none"/>
                <w:u w:val="none"/>
                <w:lang w:val="en-US" w:eastAsia="zh-CN"/>
              </w:rPr>
              <w:t>进场</w:t>
            </w:r>
            <w:r>
              <w:rPr>
                <w:rFonts w:hint="default" w:ascii="Times New Roman" w:hAnsi="Times New Roman" w:eastAsia="宋体" w:cs="Times New Roman"/>
                <w:iCs/>
                <w:color w:val="auto"/>
                <w:sz w:val="24"/>
                <w:szCs w:val="24"/>
                <w:highlight w:val="none"/>
                <w:u w:val="none"/>
                <w:lang w:val="en-US" w:eastAsia="zh-CN"/>
              </w:rPr>
              <w:t>粒径</w:t>
            </w:r>
            <w:r>
              <w:rPr>
                <w:rFonts w:hint="eastAsia" w:ascii="Times New Roman" w:hAnsi="Times New Roman" w:eastAsia="宋体" w:cs="Times New Roman"/>
                <w:iCs/>
                <w:color w:val="auto"/>
                <w:sz w:val="24"/>
                <w:szCs w:val="24"/>
                <w:highlight w:val="none"/>
                <w:u w:val="none"/>
                <w:lang w:val="en-US" w:eastAsia="zh-CN"/>
              </w:rPr>
              <w:t>为</w:t>
            </w:r>
            <w:r>
              <w:rPr>
                <w:rFonts w:hint="eastAsia" w:ascii="Times New Roman" w:hAnsi="Times New Roman" w:cs="Times New Roman"/>
                <w:iCs/>
                <w:color w:val="auto"/>
                <w:sz w:val="24"/>
                <w:szCs w:val="24"/>
                <w:highlight w:val="none"/>
                <w:u w:val="none"/>
                <w:lang w:val="en-US" w:eastAsia="zh-CN"/>
              </w:rPr>
              <w:t>0.5-1</w:t>
            </w:r>
            <w:r>
              <w:rPr>
                <w:rFonts w:hint="default" w:ascii="Times New Roman" w:hAnsi="Times New Roman" w:eastAsia="宋体" w:cs="Times New Roman"/>
                <w:iCs/>
                <w:color w:val="auto"/>
                <w:sz w:val="24"/>
                <w:szCs w:val="24"/>
                <w:highlight w:val="none"/>
                <w:u w:val="none"/>
                <w:lang w:val="en-US" w:eastAsia="zh-CN"/>
              </w:rPr>
              <w:t>mm</w:t>
            </w:r>
            <w:r>
              <w:rPr>
                <w:rFonts w:hint="eastAsia" w:ascii="Times New Roman" w:hAnsi="Times New Roman" w:cs="Times New Roman"/>
                <w:iCs/>
                <w:color w:val="auto"/>
                <w:sz w:val="24"/>
                <w:szCs w:val="24"/>
                <w:highlight w:val="none"/>
                <w:u w:val="none"/>
                <w:lang w:val="en-US" w:eastAsia="zh-CN"/>
              </w:rPr>
              <w:t>、12-23</w:t>
            </w:r>
            <w:r>
              <w:rPr>
                <w:rFonts w:hint="default" w:ascii="Times New Roman" w:hAnsi="Times New Roman" w:eastAsia="宋体" w:cs="Times New Roman"/>
                <w:iCs/>
                <w:color w:val="auto"/>
                <w:sz w:val="24"/>
                <w:szCs w:val="24"/>
                <w:highlight w:val="none"/>
                <w:u w:val="none"/>
                <w:lang w:val="en-US" w:eastAsia="zh-CN"/>
              </w:rPr>
              <w:t>mm，</w:t>
            </w:r>
            <w:r>
              <w:rPr>
                <w:rFonts w:hint="eastAsia"/>
                <w:iCs/>
                <w:color w:val="auto"/>
                <w:sz w:val="24"/>
                <w:szCs w:val="24"/>
                <w:highlight w:val="none"/>
                <w:u w:val="none"/>
                <w:lang w:val="en-US" w:eastAsia="zh-CN"/>
              </w:rPr>
              <w:t>本项目不进行砂石的粉碎，</w:t>
            </w:r>
            <w:r>
              <w:rPr>
                <w:rFonts w:hint="eastAsia"/>
                <w:iCs/>
                <w:color w:val="auto"/>
                <w:sz w:val="24"/>
                <w:szCs w:val="24"/>
                <w:highlight w:val="none"/>
                <w:u w:val="none"/>
              </w:rPr>
              <w:t>由密闭篷布货车运输到厂区</w:t>
            </w:r>
            <w:r>
              <w:rPr>
                <w:rFonts w:hint="eastAsia"/>
                <w:iCs/>
                <w:color w:val="auto"/>
                <w:sz w:val="24"/>
                <w:szCs w:val="24"/>
                <w:highlight w:val="none"/>
                <w:u w:val="none"/>
                <w:lang w:val="en-US" w:eastAsia="zh-CN"/>
              </w:rPr>
              <w:t>料棚内</w:t>
            </w:r>
            <w:r>
              <w:rPr>
                <w:rFonts w:hint="eastAsia"/>
                <w:iCs/>
                <w:color w:val="auto"/>
                <w:sz w:val="24"/>
                <w:szCs w:val="24"/>
                <w:highlight w:val="none"/>
                <w:u w:val="none"/>
              </w:rPr>
              <w:t>储存，装卸采用自卸方式，</w:t>
            </w:r>
            <w:r>
              <w:rPr>
                <w:rFonts w:hint="eastAsia"/>
                <w:iCs/>
                <w:color w:val="auto"/>
                <w:sz w:val="24"/>
                <w:szCs w:val="24"/>
                <w:highlight w:val="none"/>
                <w:u w:val="none"/>
                <w:lang w:val="en-US" w:eastAsia="zh-CN"/>
              </w:rPr>
              <w:t>料棚地面硬化、半封闭彩钢棚、洒水降尘</w:t>
            </w:r>
            <w:r>
              <w:rPr>
                <w:rFonts w:hint="eastAsia"/>
                <w:iCs/>
                <w:color w:val="auto"/>
                <w:sz w:val="24"/>
                <w:szCs w:val="24"/>
                <w:highlight w:val="none"/>
                <w:u w:val="none"/>
              </w:rPr>
              <w:t>；水泥、粉煤灰等粉料分别由专用罐车运输进厂，通过罐车自带的管道以负压吸入料斗，再以压缩空气（正压）通过管道吸入散装粉料仓，整个输送过程在密闭的管道中完成，各粉料</w:t>
            </w:r>
            <w:r>
              <w:rPr>
                <w:rFonts w:hint="eastAsia"/>
                <w:iCs/>
                <w:color w:val="auto"/>
                <w:sz w:val="24"/>
                <w:szCs w:val="24"/>
                <w:highlight w:val="none"/>
                <w:u w:val="none"/>
                <w:lang w:eastAsia="zh-CN"/>
              </w:rPr>
              <w:t>下部</w:t>
            </w:r>
            <w:r>
              <w:rPr>
                <w:rFonts w:hint="eastAsia"/>
                <w:iCs/>
                <w:color w:val="auto"/>
                <w:sz w:val="24"/>
                <w:szCs w:val="24"/>
                <w:highlight w:val="none"/>
                <w:u w:val="none"/>
              </w:rPr>
              <w:t>设除尘器，含尘废气经过除尘后排放，粉尘过滤在仓内；</w:t>
            </w:r>
            <w:r>
              <w:rPr>
                <w:rFonts w:hint="eastAsia"/>
                <w:iCs/>
                <w:color w:val="auto"/>
                <w:sz w:val="24"/>
                <w:szCs w:val="24"/>
                <w:highlight w:val="none"/>
                <w:u w:val="none"/>
                <w:lang w:val="en-US" w:eastAsia="zh-CN"/>
              </w:rPr>
              <w:t>外加</w:t>
            </w:r>
            <w:r>
              <w:rPr>
                <w:rFonts w:hint="eastAsia"/>
                <w:iCs/>
                <w:color w:val="auto"/>
                <w:sz w:val="24"/>
                <w:szCs w:val="24"/>
                <w:highlight w:val="none"/>
                <w:u w:val="none"/>
              </w:rPr>
              <w:t>剂由专用罐车运输至厂区储存至</w:t>
            </w:r>
            <w:r>
              <w:rPr>
                <w:rFonts w:hint="eastAsia"/>
                <w:iCs/>
                <w:color w:val="auto"/>
                <w:sz w:val="24"/>
                <w:szCs w:val="24"/>
                <w:highlight w:val="none"/>
                <w:u w:val="none"/>
                <w:lang w:val="en-US" w:eastAsia="zh-CN"/>
              </w:rPr>
              <w:t>外</w:t>
            </w:r>
            <w:r>
              <w:rPr>
                <w:rFonts w:hint="eastAsia"/>
                <w:iCs/>
                <w:color w:val="auto"/>
                <w:sz w:val="24"/>
                <w:szCs w:val="24"/>
                <w:highlight w:val="none"/>
                <w:u w:val="none"/>
              </w:rPr>
              <w:t>加剂储罐。</w:t>
            </w:r>
          </w:p>
          <w:p w14:paraId="7D947C46">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eastAsia"/>
                <w:iCs/>
                <w:color w:val="auto"/>
                <w:sz w:val="24"/>
                <w:szCs w:val="24"/>
                <w:highlight w:val="none"/>
                <w:u w:val="none"/>
              </w:rPr>
            </w:pPr>
            <w:r>
              <w:rPr>
                <w:rFonts w:hint="eastAsia" w:ascii="宋体" w:hAnsi="宋体" w:cs="宋体"/>
                <w:iCs/>
                <w:color w:val="auto"/>
                <w:sz w:val="24"/>
                <w:szCs w:val="24"/>
                <w:highlight w:val="none"/>
                <w:u w:val="none"/>
              </w:rPr>
              <w:t>②</w:t>
            </w:r>
            <w:r>
              <w:rPr>
                <w:rFonts w:hint="eastAsia"/>
                <w:iCs/>
                <w:color w:val="auto"/>
                <w:sz w:val="24"/>
                <w:szCs w:val="24"/>
                <w:highlight w:val="none"/>
                <w:u w:val="none"/>
              </w:rPr>
              <w:t>物料称量</w:t>
            </w:r>
          </w:p>
          <w:p w14:paraId="511006A0">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eastAsia"/>
                <w:iCs/>
                <w:sz w:val="24"/>
                <w:szCs w:val="24"/>
                <w:highlight w:val="none"/>
                <w:u w:val="none"/>
              </w:rPr>
            </w:pPr>
            <w:r>
              <w:rPr>
                <w:rFonts w:hint="eastAsia"/>
                <w:iCs/>
                <w:sz w:val="24"/>
                <w:szCs w:val="24"/>
                <w:highlight w:val="none"/>
                <w:u w:val="none"/>
              </w:rPr>
              <w:t>各物料按照一定比例进行加料，</w:t>
            </w:r>
            <w:r>
              <w:rPr>
                <w:rFonts w:hint="eastAsia"/>
                <w:iCs/>
                <w:sz w:val="24"/>
                <w:szCs w:val="24"/>
                <w:highlight w:val="none"/>
                <w:u w:val="none"/>
                <w:lang w:eastAsia="zh-CN"/>
              </w:rPr>
              <w:t>砂子、碎石</w:t>
            </w:r>
            <w:r>
              <w:rPr>
                <w:rFonts w:hint="eastAsia"/>
                <w:iCs/>
                <w:sz w:val="24"/>
                <w:szCs w:val="24"/>
                <w:highlight w:val="none"/>
                <w:u w:val="none"/>
              </w:rPr>
              <w:t>在</w:t>
            </w:r>
            <w:r>
              <w:rPr>
                <w:rFonts w:hint="eastAsia"/>
                <w:iCs/>
                <w:sz w:val="24"/>
                <w:szCs w:val="24"/>
                <w:highlight w:val="none"/>
                <w:u w:val="none"/>
                <w:lang w:val="en-US" w:eastAsia="zh-CN"/>
              </w:rPr>
              <w:t>料棚内</w:t>
            </w:r>
            <w:r>
              <w:rPr>
                <w:rFonts w:hint="eastAsia"/>
                <w:iCs/>
                <w:sz w:val="24"/>
                <w:szCs w:val="24"/>
                <w:highlight w:val="none"/>
                <w:u w:val="none"/>
              </w:rPr>
              <w:t>堆存，由车辆装载至斗式料仓，骨料经过计量后由密闭的皮带输送机送入混凝土搅拌机；水泥、粉煤灰等粉料由密闭螺旋输送机输送到粉料秤斗进行计量，利用重力从秤斗进入搅拌机；</w:t>
            </w:r>
            <w:r>
              <w:rPr>
                <w:rFonts w:hint="eastAsia"/>
                <w:iCs/>
                <w:sz w:val="24"/>
                <w:szCs w:val="24"/>
                <w:highlight w:val="none"/>
                <w:u w:val="none"/>
                <w:lang w:val="en-US" w:eastAsia="zh-CN"/>
              </w:rPr>
              <w:t>外</w:t>
            </w:r>
            <w:r>
              <w:rPr>
                <w:rFonts w:hint="eastAsia"/>
                <w:iCs/>
                <w:sz w:val="24"/>
                <w:szCs w:val="24"/>
                <w:highlight w:val="none"/>
                <w:u w:val="none"/>
              </w:rPr>
              <w:t>加剂由泵从储罐泵至搅拌机；生产搅拌用水采用压力供水，搅拌用水由水秤斗计量后送入搅拌机，项目物料投送过程中粉尘产生量较少。</w:t>
            </w:r>
          </w:p>
          <w:p w14:paraId="00010BCE">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eastAsia"/>
                <w:iCs/>
                <w:sz w:val="24"/>
                <w:szCs w:val="24"/>
                <w:highlight w:val="none"/>
                <w:u w:val="none"/>
              </w:rPr>
            </w:pPr>
            <w:r>
              <w:rPr>
                <w:rFonts w:ascii="宋体" w:hAnsi="宋体" w:cs="宋体"/>
                <w:iCs/>
                <w:sz w:val="24"/>
                <w:szCs w:val="24"/>
                <w:highlight w:val="none"/>
                <w:u w:val="none"/>
              </w:rPr>
              <w:t>③</w:t>
            </w:r>
            <w:r>
              <w:rPr>
                <w:rFonts w:hint="eastAsia" w:ascii="宋体" w:hAnsi="宋体" w:cs="宋体"/>
                <w:iCs/>
                <w:sz w:val="24"/>
                <w:szCs w:val="24"/>
                <w:highlight w:val="none"/>
                <w:u w:val="none"/>
              </w:rPr>
              <w:t>搅拌</w:t>
            </w:r>
            <w:r>
              <w:rPr>
                <w:rFonts w:hint="eastAsia"/>
                <w:iCs/>
                <w:sz w:val="24"/>
                <w:szCs w:val="24"/>
                <w:highlight w:val="none"/>
                <w:u w:val="none"/>
              </w:rPr>
              <w:t>工序</w:t>
            </w:r>
          </w:p>
          <w:p w14:paraId="5BA5AB25">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eastAsia"/>
                <w:iCs/>
                <w:sz w:val="24"/>
                <w:szCs w:val="24"/>
                <w:highlight w:val="none"/>
                <w:u w:val="none"/>
              </w:rPr>
            </w:pPr>
            <w:r>
              <w:rPr>
                <w:rFonts w:hint="eastAsia"/>
                <w:iCs/>
                <w:sz w:val="24"/>
                <w:szCs w:val="24"/>
                <w:highlight w:val="none"/>
                <w:u w:val="none"/>
              </w:rPr>
              <w:t>经过计量后各种原料进入搅拌机进行机械式强制搅拌。本项目搅拌</w:t>
            </w:r>
            <w:r>
              <w:rPr>
                <w:rFonts w:hint="eastAsia"/>
                <w:iCs/>
                <w:sz w:val="24"/>
                <w:szCs w:val="24"/>
                <w:highlight w:val="none"/>
                <w:u w:val="none"/>
                <w:lang w:val="en-US" w:eastAsia="zh-CN"/>
              </w:rPr>
              <w:t>楼</w:t>
            </w:r>
            <w:r>
              <w:rPr>
                <w:rFonts w:hint="eastAsia"/>
                <w:iCs/>
                <w:sz w:val="24"/>
                <w:szCs w:val="24"/>
                <w:highlight w:val="none"/>
                <w:u w:val="none"/>
              </w:rPr>
              <w:t>为全封闭作业，在搅拌机机壳上部用一根通风管与</w:t>
            </w:r>
            <w:r>
              <w:rPr>
                <w:rFonts w:hint="eastAsia"/>
                <w:iCs/>
                <w:sz w:val="24"/>
                <w:szCs w:val="24"/>
                <w:highlight w:val="none"/>
                <w:u w:val="none"/>
                <w:lang w:val="en-US" w:eastAsia="zh-CN"/>
              </w:rPr>
              <w:t>集</w:t>
            </w:r>
            <w:r>
              <w:rPr>
                <w:rFonts w:hint="eastAsia"/>
                <w:iCs/>
                <w:sz w:val="24"/>
                <w:szCs w:val="24"/>
                <w:highlight w:val="none"/>
                <w:u w:val="none"/>
              </w:rPr>
              <w:t>尘设备连接，产生粉尘通过各自管道进入</w:t>
            </w:r>
            <w:r>
              <w:rPr>
                <w:rFonts w:hint="eastAsia"/>
                <w:iCs/>
                <w:sz w:val="24"/>
                <w:szCs w:val="24"/>
                <w:highlight w:val="none"/>
                <w:u w:val="none"/>
                <w:lang w:val="en-US" w:eastAsia="zh-CN"/>
              </w:rPr>
              <w:t>脉冲袋式</w:t>
            </w:r>
            <w:r>
              <w:rPr>
                <w:rFonts w:hint="eastAsia"/>
                <w:iCs/>
                <w:sz w:val="24"/>
                <w:szCs w:val="24"/>
                <w:highlight w:val="none"/>
                <w:u w:val="none"/>
              </w:rPr>
              <w:t>除尘器净化后排放，</w:t>
            </w:r>
            <w:r>
              <w:rPr>
                <w:rFonts w:hint="eastAsia"/>
                <w:iCs/>
                <w:sz w:val="24"/>
                <w:szCs w:val="24"/>
                <w:highlight w:val="none"/>
                <w:u w:val="none"/>
                <w:lang w:val="en-US" w:eastAsia="zh-CN"/>
              </w:rPr>
              <w:t>除尘器</w:t>
            </w:r>
            <w:r>
              <w:rPr>
                <w:rFonts w:hint="eastAsia"/>
                <w:iCs/>
                <w:sz w:val="24"/>
                <w:szCs w:val="24"/>
                <w:highlight w:val="none"/>
                <w:u w:val="none"/>
                <w:lang w:eastAsia="zh-CN"/>
              </w:rPr>
              <w:t>收集粉尘</w:t>
            </w:r>
            <w:r>
              <w:rPr>
                <w:rFonts w:hint="eastAsia"/>
                <w:iCs/>
                <w:sz w:val="24"/>
                <w:szCs w:val="24"/>
                <w:highlight w:val="none"/>
                <w:u w:val="none"/>
              </w:rPr>
              <w:t>经收集后回用于本工序，本工序严格控制各原料配料量，以保证混凝土的质量。</w:t>
            </w:r>
          </w:p>
          <w:p w14:paraId="40D2DCB9">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eastAsia"/>
                <w:iCs/>
                <w:sz w:val="24"/>
                <w:szCs w:val="24"/>
                <w:highlight w:val="none"/>
                <w:u w:val="none"/>
              </w:rPr>
            </w:pPr>
            <w:r>
              <w:rPr>
                <w:rFonts w:hint="eastAsia" w:ascii="宋体" w:hAnsi="宋体" w:cs="宋体"/>
                <w:iCs/>
                <w:sz w:val="24"/>
                <w:szCs w:val="24"/>
                <w:highlight w:val="none"/>
                <w:u w:val="none"/>
              </w:rPr>
              <w:t>④</w:t>
            </w:r>
            <w:r>
              <w:rPr>
                <w:rFonts w:hint="eastAsia"/>
                <w:iCs/>
                <w:sz w:val="24"/>
                <w:szCs w:val="24"/>
                <w:highlight w:val="none"/>
                <w:u w:val="none"/>
              </w:rPr>
              <w:t>外运</w:t>
            </w:r>
          </w:p>
          <w:p w14:paraId="31D338C8">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eastAsia"/>
                <w:iCs/>
                <w:color w:val="auto"/>
                <w:sz w:val="24"/>
                <w:szCs w:val="24"/>
                <w:highlight w:val="none"/>
                <w:u w:val="none"/>
              </w:rPr>
            </w:pPr>
            <w:r>
              <w:rPr>
                <w:rFonts w:hint="eastAsia"/>
                <w:iCs/>
                <w:color w:val="auto"/>
                <w:sz w:val="24"/>
                <w:szCs w:val="24"/>
                <w:highlight w:val="none"/>
                <w:u w:val="none"/>
              </w:rPr>
              <w:t>搅拌均匀后的混凝土由搅拌机出料口卸入罐车直接运至道漫临线（G612）分水（县界）至临江段工程MLSG01标段</w:t>
            </w:r>
            <w:r>
              <w:rPr>
                <w:rFonts w:hint="eastAsia"/>
                <w:iCs/>
                <w:color w:val="auto"/>
                <w:sz w:val="24"/>
                <w:szCs w:val="24"/>
                <w:highlight w:val="none"/>
                <w:u w:val="none"/>
                <w:lang w:eastAsia="zh-CN"/>
              </w:rPr>
              <w:t>用于配套临时工程，不在厂区内储存</w:t>
            </w:r>
            <w:r>
              <w:rPr>
                <w:rFonts w:hint="eastAsia"/>
                <w:iCs/>
                <w:color w:val="auto"/>
                <w:sz w:val="24"/>
                <w:szCs w:val="24"/>
                <w:highlight w:val="none"/>
                <w:u w:val="none"/>
              </w:rPr>
              <w:t>。</w:t>
            </w:r>
          </w:p>
          <w:p w14:paraId="038EE8C8">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eastAsia"/>
                <w:iCs/>
                <w:color w:val="auto"/>
                <w:sz w:val="24"/>
                <w:szCs w:val="24"/>
                <w:highlight w:val="none"/>
                <w:u w:val="none"/>
              </w:rPr>
            </w:pPr>
            <w:r>
              <w:rPr>
                <w:rFonts w:hint="eastAsia" w:ascii="宋体" w:hAnsi="宋体" w:cs="宋体"/>
                <w:iCs/>
                <w:color w:val="auto"/>
                <w:sz w:val="24"/>
                <w:szCs w:val="24"/>
                <w:highlight w:val="none"/>
                <w:u w:val="none"/>
              </w:rPr>
              <w:t>⑤</w:t>
            </w:r>
            <w:r>
              <w:rPr>
                <w:rFonts w:hint="eastAsia"/>
                <w:iCs/>
                <w:color w:val="auto"/>
                <w:sz w:val="24"/>
                <w:szCs w:val="24"/>
                <w:highlight w:val="none"/>
                <w:u w:val="none"/>
              </w:rPr>
              <w:t>清洁</w:t>
            </w:r>
          </w:p>
          <w:p w14:paraId="25255293">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eastAsia"/>
                <w:iCs/>
                <w:sz w:val="24"/>
                <w:szCs w:val="24"/>
                <w:highlight w:val="none"/>
                <w:u w:val="none"/>
              </w:rPr>
            </w:pPr>
            <w:r>
              <w:rPr>
                <w:rFonts w:hint="eastAsia"/>
                <w:iCs/>
                <w:sz w:val="24"/>
                <w:szCs w:val="24"/>
                <w:highlight w:val="none"/>
                <w:u w:val="none"/>
              </w:rPr>
              <w:t>生产结束后，职工利用水枪等冲洗设施对搅拌设</w:t>
            </w:r>
            <w:r>
              <w:rPr>
                <w:rFonts w:hint="eastAsia" w:ascii="Times New Roman" w:hAnsi="Times New Roman" w:eastAsia="宋体" w:cs="Times New Roman"/>
                <w:iCs/>
                <w:sz w:val="24"/>
                <w:szCs w:val="24"/>
                <w:highlight w:val="none"/>
                <w:u w:val="none"/>
              </w:rPr>
              <w:t>备、罐车等进行冲洗，冲洗后的废水</w:t>
            </w:r>
            <w:r>
              <w:rPr>
                <w:rFonts w:hint="eastAsia" w:ascii="Times New Roman" w:hAnsi="Times New Roman" w:eastAsia="宋体" w:cs="Times New Roman"/>
                <w:iCs/>
                <w:sz w:val="24"/>
                <w:szCs w:val="24"/>
                <w:highlight w:val="none"/>
                <w:u w:val="none"/>
                <w:lang w:val="en-US" w:eastAsia="zh-CN"/>
              </w:rPr>
              <w:t>经</w:t>
            </w:r>
            <w:r>
              <w:rPr>
                <w:rFonts w:hint="eastAsia" w:cs="Times New Roman"/>
                <w:iCs/>
                <w:sz w:val="24"/>
                <w:szCs w:val="24"/>
                <w:highlight w:val="none"/>
                <w:u w:val="none"/>
                <w:lang w:val="en-US" w:eastAsia="zh-CN"/>
              </w:rPr>
              <w:t>三级</w:t>
            </w:r>
            <w:r>
              <w:rPr>
                <w:rFonts w:hint="eastAsia" w:ascii="Times New Roman" w:hAnsi="Times New Roman" w:eastAsia="宋体" w:cs="Times New Roman"/>
                <w:iCs/>
                <w:sz w:val="24"/>
                <w:szCs w:val="24"/>
                <w:highlight w:val="none"/>
                <w:u w:val="none"/>
                <w:lang w:val="en-US" w:eastAsia="zh-CN"/>
              </w:rPr>
              <w:t>沉淀池</w:t>
            </w:r>
            <w:r>
              <w:rPr>
                <w:rFonts w:hint="eastAsia" w:cs="Times New Roman"/>
                <w:iCs/>
                <w:sz w:val="24"/>
                <w:szCs w:val="24"/>
                <w:highlight w:val="none"/>
                <w:u w:val="none"/>
                <w:lang w:val="en-US" w:eastAsia="zh-CN"/>
              </w:rPr>
              <w:t>沉淀</w:t>
            </w:r>
            <w:r>
              <w:rPr>
                <w:rFonts w:hint="eastAsia" w:ascii="Times New Roman" w:hAnsi="Times New Roman" w:eastAsia="宋体" w:cs="Times New Roman"/>
                <w:iCs/>
                <w:sz w:val="24"/>
                <w:szCs w:val="24"/>
                <w:highlight w:val="none"/>
                <w:u w:val="none"/>
                <w:lang w:val="en-US" w:eastAsia="zh-CN"/>
              </w:rPr>
              <w:t>处理后回用于生产</w:t>
            </w:r>
            <w:r>
              <w:rPr>
                <w:rFonts w:hint="eastAsia" w:cs="Times New Roman"/>
                <w:iCs/>
                <w:sz w:val="24"/>
                <w:szCs w:val="24"/>
                <w:highlight w:val="none"/>
                <w:u w:val="none"/>
                <w:lang w:eastAsia="zh-CN"/>
              </w:rPr>
              <w:t>，</w:t>
            </w:r>
            <w:r>
              <w:rPr>
                <w:rFonts w:hint="eastAsia" w:ascii="Times New Roman" w:hAnsi="Times New Roman" w:eastAsia="宋体" w:cs="Times New Roman"/>
                <w:iCs/>
                <w:sz w:val="24"/>
                <w:szCs w:val="24"/>
                <w:highlight w:val="none"/>
                <w:u w:val="none"/>
              </w:rPr>
              <w:t>沉淀池沉淀物</w:t>
            </w:r>
            <w:r>
              <w:rPr>
                <w:rFonts w:hint="eastAsia" w:cs="Times New Roman"/>
                <w:iCs/>
                <w:sz w:val="24"/>
                <w:szCs w:val="24"/>
                <w:highlight w:val="none"/>
                <w:u w:val="none"/>
                <w:lang w:eastAsia="zh-CN"/>
              </w:rPr>
              <w:t>定期清掏，</w:t>
            </w:r>
            <w:r>
              <w:rPr>
                <w:rFonts w:hint="eastAsia"/>
                <w:iCs/>
                <w:sz w:val="24"/>
                <w:szCs w:val="24"/>
                <w:highlight w:val="none"/>
                <w:u w:val="none"/>
              </w:rPr>
              <w:t>全部回用于生产工序。</w:t>
            </w:r>
          </w:p>
          <w:p w14:paraId="3F4D00BF">
            <w:pPr>
              <w:spacing w:line="360" w:lineRule="auto"/>
              <w:jc w:val="center"/>
              <w:rPr>
                <w:rFonts w:hint="eastAsia" w:eastAsia="宋体"/>
                <w:iCs/>
                <w:sz w:val="24"/>
                <w:szCs w:val="24"/>
                <w:highlight w:val="none"/>
                <w:u w:val="none"/>
                <w:lang w:eastAsia="zh-CN"/>
              </w:rPr>
            </w:pPr>
            <w:r>
              <w:drawing>
                <wp:inline distT="0" distB="0" distL="114300" distR="114300">
                  <wp:extent cx="4732655" cy="3679190"/>
                  <wp:effectExtent l="0" t="0" r="10795" b="1651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1"/>
                          <a:stretch>
                            <a:fillRect/>
                          </a:stretch>
                        </pic:blipFill>
                        <pic:spPr>
                          <a:xfrm>
                            <a:off x="0" y="0"/>
                            <a:ext cx="4732655" cy="3679190"/>
                          </a:xfrm>
                          <a:prstGeom prst="rect">
                            <a:avLst/>
                          </a:prstGeom>
                          <a:noFill/>
                          <a:ln>
                            <a:noFill/>
                          </a:ln>
                        </pic:spPr>
                      </pic:pic>
                    </a:graphicData>
                  </a:graphic>
                </wp:inline>
              </w:drawing>
            </w:r>
          </w:p>
          <w:p w14:paraId="20F174A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iCs/>
                <w:sz w:val="24"/>
                <w:szCs w:val="24"/>
                <w:highlight w:val="none"/>
                <w:u w:val="none"/>
              </w:rPr>
            </w:pPr>
            <w:r>
              <w:rPr>
                <w:rFonts w:hint="eastAsia"/>
                <w:b/>
                <w:bCs/>
                <w:i w:val="0"/>
                <w:iCs w:val="0"/>
                <w:szCs w:val="21"/>
                <w:highlight w:val="none"/>
                <w:u w:val="none"/>
              </w:rPr>
              <w:t>图</w:t>
            </w:r>
            <w:r>
              <w:rPr>
                <w:rFonts w:hint="eastAsia"/>
                <w:b/>
                <w:bCs/>
                <w:i w:val="0"/>
                <w:iCs w:val="0"/>
                <w:szCs w:val="21"/>
                <w:highlight w:val="none"/>
                <w:u w:val="none"/>
                <w:lang w:val="en-US" w:eastAsia="zh-CN"/>
              </w:rPr>
              <w:t>2</w:t>
            </w:r>
            <w:r>
              <w:rPr>
                <w:b/>
                <w:bCs/>
                <w:i w:val="0"/>
                <w:iCs w:val="0"/>
                <w:szCs w:val="21"/>
                <w:highlight w:val="none"/>
                <w:u w:val="none"/>
              </w:rPr>
              <w:t xml:space="preserve"> </w:t>
            </w:r>
            <w:r>
              <w:rPr>
                <w:rFonts w:hint="eastAsia"/>
                <w:b/>
                <w:bCs/>
                <w:i w:val="0"/>
                <w:iCs w:val="0"/>
                <w:szCs w:val="21"/>
                <w:highlight w:val="none"/>
                <w:u w:val="none"/>
                <w:lang w:val="en-US" w:eastAsia="zh-CN"/>
              </w:rPr>
              <w:t xml:space="preserve"> </w:t>
            </w:r>
            <w:r>
              <w:rPr>
                <w:rFonts w:hint="eastAsia"/>
                <w:b/>
                <w:bCs/>
                <w:i w:val="0"/>
                <w:iCs w:val="0"/>
                <w:szCs w:val="21"/>
                <w:highlight w:val="none"/>
                <w:u w:val="none"/>
                <w:lang w:eastAsia="zh-CN"/>
              </w:rPr>
              <w:t>生产</w:t>
            </w:r>
            <w:r>
              <w:rPr>
                <w:rFonts w:hint="eastAsia"/>
                <w:b/>
                <w:bCs/>
                <w:i w:val="0"/>
                <w:iCs w:val="0"/>
                <w:szCs w:val="21"/>
                <w:highlight w:val="none"/>
                <w:u w:val="none"/>
              </w:rPr>
              <w:t>工艺流程及产污节点图</w:t>
            </w:r>
          </w:p>
          <w:p w14:paraId="6F7835D2">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eastAsia"/>
                <w:iCs/>
                <w:color w:val="auto"/>
                <w:sz w:val="24"/>
                <w:szCs w:val="24"/>
                <w:highlight w:val="none"/>
                <w:u w:val="none"/>
              </w:rPr>
            </w:pPr>
            <w:r>
              <w:rPr>
                <w:rFonts w:hint="default" w:ascii="Times New Roman" w:hAnsi="Times New Roman" w:cs="Times New Roman"/>
                <w:color w:val="auto"/>
                <w:sz w:val="24"/>
                <w:szCs w:val="24"/>
                <w:u w:val="single"/>
              </w:rPr>
              <w:t>喷淋装置数量及设置节点</w:t>
            </w:r>
            <w:r>
              <w:rPr>
                <w:rFonts w:hint="eastAsia" w:cs="Times New Roman"/>
                <w:color w:val="auto"/>
                <w:sz w:val="24"/>
                <w:szCs w:val="24"/>
                <w:u w:val="single"/>
                <w:lang w:eastAsia="zh-CN"/>
              </w:rPr>
              <w:t>详见下表。</w:t>
            </w:r>
          </w:p>
          <w:p w14:paraId="6879E21B">
            <w:pPr>
              <w:pStyle w:val="64"/>
              <w:keepNext w:val="0"/>
              <w:keepLines w:val="0"/>
              <w:pageBreakBefore w:val="0"/>
              <w:widowControl/>
              <w:numPr>
                <w:ilvl w:val="0"/>
                <w:numId w:val="0"/>
              </w:numPr>
              <w:kinsoku/>
              <w:wordWrap/>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b/>
                <w:bCs/>
                <w:i w:val="0"/>
                <w:iCs w:val="0"/>
                <w:smallCaps w:val="0"/>
                <w:color w:val="auto"/>
                <w:spacing w:val="0"/>
                <w:w w:val="100"/>
                <w:kern w:val="0"/>
                <w:position w:val="0"/>
                <w:sz w:val="24"/>
                <w:szCs w:val="24"/>
                <w:highlight w:val="none"/>
                <w:u w:val="single" w:color="auto"/>
                <w:lang w:val="en-US" w:eastAsia="zh-CN" w:bidi="ar-SA"/>
              </w:rPr>
            </w:pPr>
            <w:r>
              <w:rPr>
                <w:rFonts w:hint="default" w:ascii="Times New Roman" w:hAnsi="Times New Roman" w:eastAsia="宋体" w:cs="Times New Roman"/>
                <w:b/>
                <w:bCs/>
                <w:i w:val="0"/>
                <w:iCs w:val="0"/>
                <w:smallCaps w:val="0"/>
                <w:color w:val="auto"/>
                <w:spacing w:val="0"/>
                <w:w w:val="100"/>
                <w:kern w:val="0"/>
                <w:position w:val="0"/>
                <w:sz w:val="24"/>
                <w:szCs w:val="24"/>
                <w:highlight w:val="none"/>
                <w:u w:val="single" w:color="auto"/>
                <w:lang w:val="en-US" w:eastAsia="zh-CN" w:bidi="ar-SA"/>
              </w:rPr>
              <w:t>表</w:t>
            </w:r>
            <w:r>
              <w:rPr>
                <w:rFonts w:hint="eastAsia" w:ascii="Times New Roman" w:hAnsi="Times New Roman" w:eastAsia="宋体" w:cs="Times New Roman"/>
                <w:b/>
                <w:bCs/>
                <w:i w:val="0"/>
                <w:iCs w:val="0"/>
                <w:smallCaps w:val="0"/>
                <w:color w:val="auto"/>
                <w:spacing w:val="0"/>
                <w:w w:val="100"/>
                <w:kern w:val="0"/>
                <w:position w:val="0"/>
                <w:sz w:val="24"/>
                <w:szCs w:val="24"/>
                <w:highlight w:val="none"/>
                <w:u w:val="single" w:color="auto"/>
                <w:lang w:val="en-US" w:eastAsia="zh-CN" w:bidi="ar-SA"/>
              </w:rPr>
              <w:t>2-</w:t>
            </w:r>
            <w:r>
              <w:rPr>
                <w:rFonts w:hint="eastAsia" w:ascii="Times New Roman" w:hAnsi="Times New Roman" w:cs="Times New Roman"/>
                <w:b/>
                <w:bCs/>
                <w:i w:val="0"/>
                <w:iCs w:val="0"/>
                <w:smallCaps w:val="0"/>
                <w:color w:val="auto"/>
                <w:spacing w:val="0"/>
                <w:w w:val="100"/>
                <w:kern w:val="0"/>
                <w:position w:val="0"/>
                <w:sz w:val="24"/>
                <w:szCs w:val="24"/>
                <w:highlight w:val="none"/>
                <w:u w:val="single" w:color="auto"/>
                <w:lang w:val="en-US" w:eastAsia="zh-CN" w:bidi="ar-SA"/>
              </w:rPr>
              <w:t>8</w:t>
            </w:r>
            <w:r>
              <w:rPr>
                <w:rFonts w:hint="default" w:ascii="Times New Roman" w:hAnsi="Times New Roman" w:eastAsia="宋体" w:cs="Times New Roman"/>
                <w:b/>
                <w:bCs/>
                <w:i w:val="0"/>
                <w:iCs w:val="0"/>
                <w:smallCaps w:val="0"/>
                <w:color w:val="auto"/>
                <w:spacing w:val="0"/>
                <w:w w:val="100"/>
                <w:kern w:val="0"/>
                <w:position w:val="0"/>
                <w:sz w:val="24"/>
                <w:szCs w:val="24"/>
                <w:highlight w:val="none"/>
                <w:u w:val="single" w:color="auto"/>
                <w:lang w:val="en-US" w:eastAsia="zh-CN" w:bidi="ar-SA"/>
              </w:rPr>
              <w:t xml:space="preserve"> 喷淋抑尘装置布设节点及数量表</w:t>
            </w:r>
          </w:p>
          <w:tbl>
            <w:tblPr>
              <w:tblStyle w:val="25"/>
              <w:tblW w:w="4998" w:type="pct"/>
              <w:tblInd w:w="0" w:type="dxa"/>
              <w:tblBorders>
                <w:top w:val="single" w:color="000000" w:sz="12" w:space="0"/>
                <w:left w:val="single" w:color="DEE0E3" w:sz="2" w:space="0"/>
                <w:bottom w:val="single" w:color="000000" w:sz="12" w:space="0"/>
                <w:right w:val="single" w:color="DEE0E3" w:sz="2" w:space="0"/>
                <w:insideH w:val="single" w:color="000000" w:sz="4" w:space="0"/>
                <w:insideV w:val="single" w:color="000000" w:sz="4" w:space="0"/>
              </w:tblBorders>
              <w:tblLayout w:type="autofit"/>
              <w:tblCellMar>
                <w:top w:w="0" w:type="dxa"/>
                <w:left w:w="10" w:type="dxa"/>
                <w:bottom w:w="0" w:type="dxa"/>
                <w:right w:w="10" w:type="dxa"/>
              </w:tblCellMar>
            </w:tblPr>
            <w:tblGrid>
              <w:gridCol w:w="2076"/>
              <w:gridCol w:w="1568"/>
              <w:gridCol w:w="2582"/>
              <w:gridCol w:w="2077"/>
            </w:tblGrid>
            <w:tr w14:paraId="3312CDAA">
              <w:tblPrEx>
                <w:tblBorders>
                  <w:top w:val="single" w:color="000000" w:sz="12" w:space="0"/>
                  <w:left w:val="single" w:color="DEE0E3" w:sz="2" w:space="0"/>
                  <w:bottom w:val="single" w:color="000000" w:sz="12" w:space="0"/>
                  <w:right w:val="single" w:color="DEE0E3" w:sz="2" w:space="0"/>
                  <w:insideH w:val="single" w:color="000000" w:sz="4" w:space="0"/>
                  <w:insideV w:val="single" w:color="000000" w:sz="4" w:space="0"/>
                </w:tblBorders>
                <w:tblCellMar>
                  <w:top w:w="0" w:type="dxa"/>
                  <w:left w:w="10" w:type="dxa"/>
                  <w:bottom w:w="0" w:type="dxa"/>
                  <w:right w:w="10" w:type="dxa"/>
                </w:tblCellMar>
              </w:tblPrEx>
              <w:tc>
                <w:tcPr>
                  <w:tcW w:w="1250" w:type="pct"/>
                  <w:tcBorders>
                    <w:tl2br w:val="nil"/>
                    <w:tr2bl w:val="nil"/>
                  </w:tcBorders>
                  <w:noWrap w:val="0"/>
                  <w:tcMar>
                    <w:top w:w="60" w:type="dxa"/>
                    <w:left w:w="120" w:type="dxa"/>
                    <w:bottom w:w="30" w:type="dxa"/>
                    <w:right w:w="120" w:type="dxa"/>
                  </w:tcMar>
                  <w:vAlign w:val="center"/>
                </w:tcPr>
                <w:p w14:paraId="47E0093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pPr>
                  <w:r>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t>产污节点</w:t>
                  </w:r>
                </w:p>
              </w:tc>
              <w:tc>
                <w:tcPr>
                  <w:tcW w:w="944" w:type="pct"/>
                  <w:tcBorders>
                    <w:tl2br w:val="nil"/>
                    <w:tr2bl w:val="nil"/>
                  </w:tcBorders>
                  <w:noWrap w:val="0"/>
                  <w:tcMar>
                    <w:top w:w="60" w:type="dxa"/>
                    <w:left w:w="120" w:type="dxa"/>
                    <w:bottom w:w="30" w:type="dxa"/>
                    <w:right w:w="120" w:type="dxa"/>
                  </w:tcMar>
                  <w:vAlign w:val="center"/>
                </w:tcPr>
                <w:p w14:paraId="7A2A870A">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pPr>
                  <w:r>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t>喷淋装置数量</w:t>
                  </w:r>
                </w:p>
              </w:tc>
              <w:tc>
                <w:tcPr>
                  <w:tcW w:w="1554" w:type="pct"/>
                  <w:tcBorders>
                    <w:tl2br w:val="nil"/>
                    <w:tr2bl w:val="nil"/>
                  </w:tcBorders>
                  <w:noWrap w:val="0"/>
                  <w:tcMar>
                    <w:top w:w="60" w:type="dxa"/>
                    <w:left w:w="120" w:type="dxa"/>
                    <w:bottom w:w="30" w:type="dxa"/>
                    <w:right w:w="120" w:type="dxa"/>
                  </w:tcMar>
                  <w:vAlign w:val="center"/>
                </w:tcPr>
                <w:p w14:paraId="1000F02B">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pPr>
                  <w:r>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t>安装位置</w:t>
                  </w:r>
                </w:p>
              </w:tc>
              <w:tc>
                <w:tcPr>
                  <w:tcW w:w="1250" w:type="pct"/>
                  <w:tcBorders>
                    <w:tl2br w:val="nil"/>
                    <w:tr2bl w:val="nil"/>
                  </w:tcBorders>
                  <w:noWrap w:val="0"/>
                  <w:tcMar>
                    <w:top w:w="60" w:type="dxa"/>
                    <w:left w:w="120" w:type="dxa"/>
                    <w:bottom w:w="30" w:type="dxa"/>
                    <w:right w:w="120" w:type="dxa"/>
                  </w:tcMar>
                  <w:vAlign w:val="center"/>
                </w:tcPr>
                <w:p w14:paraId="4C276694">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pPr>
                  <w:r>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t>运行方式</w:t>
                  </w:r>
                </w:p>
              </w:tc>
            </w:tr>
            <w:tr w14:paraId="3E89DE5A">
              <w:tblPrEx>
                <w:tblBorders>
                  <w:top w:val="single" w:color="000000" w:sz="12" w:space="0"/>
                  <w:left w:val="single" w:color="DEE0E3" w:sz="2" w:space="0"/>
                  <w:bottom w:val="single" w:color="000000" w:sz="12" w:space="0"/>
                  <w:right w:val="single" w:color="DEE0E3" w:sz="2" w:space="0"/>
                  <w:insideH w:val="single" w:color="000000" w:sz="4" w:space="0"/>
                  <w:insideV w:val="single" w:color="000000" w:sz="4" w:space="0"/>
                </w:tblBorders>
                <w:tblCellMar>
                  <w:top w:w="0" w:type="dxa"/>
                  <w:left w:w="10" w:type="dxa"/>
                  <w:bottom w:w="0" w:type="dxa"/>
                  <w:right w:w="10" w:type="dxa"/>
                </w:tblCellMar>
              </w:tblPrEx>
              <w:tc>
                <w:tcPr>
                  <w:tcW w:w="1250" w:type="pct"/>
                  <w:tcBorders>
                    <w:tl2br w:val="nil"/>
                    <w:tr2bl w:val="nil"/>
                  </w:tcBorders>
                  <w:noWrap w:val="0"/>
                  <w:tcMar>
                    <w:top w:w="60" w:type="dxa"/>
                    <w:left w:w="120" w:type="dxa"/>
                    <w:bottom w:w="30" w:type="dxa"/>
                    <w:right w:w="120" w:type="dxa"/>
                  </w:tcMar>
                  <w:vAlign w:val="center"/>
                </w:tcPr>
                <w:p w14:paraId="04F83B02">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pPr>
                  <w:r>
                    <w:rPr>
                      <w:rFonts w:hint="eastAsia" w:ascii="Times New Roman" w:hAnsi="Times New Roman" w:cs="Times New Roman"/>
                      <w:smallCaps w:val="0"/>
                      <w:color w:val="auto"/>
                      <w:spacing w:val="0"/>
                      <w:kern w:val="0"/>
                      <w:position w:val="0"/>
                      <w:sz w:val="21"/>
                      <w:szCs w:val="21"/>
                      <w:highlight w:val="none"/>
                      <w:u w:val="single" w:color="auto"/>
                      <w:vertAlign w:val="baseline"/>
                      <w:lang w:val="en-US" w:eastAsia="zh-CN" w:bidi="ar-SA"/>
                    </w:rPr>
                    <w:t>上料口</w:t>
                  </w:r>
                </w:p>
              </w:tc>
              <w:tc>
                <w:tcPr>
                  <w:tcW w:w="944" w:type="pct"/>
                  <w:tcBorders>
                    <w:tl2br w:val="nil"/>
                    <w:tr2bl w:val="nil"/>
                  </w:tcBorders>
                  <w:noWrap w:val="0"/>
                  <w:tcMar>
                    <w:top w:w="60" w:type="dxa"/>
                    <w:left w:w="120" w:type="dxa"/>
                    <w:bottom w:w="30" w:type="dxa"/>
                    <w:right w:w="120" w:type="dxa"/>
                  </w:tcMar>
                  <w:vAlign w:val="center"/>
                </w:tcPr>
                <w:p w14:paraId="5DE1FEF2">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pPr>
                  <w:r>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t>2组</w:t>
                  </w:r>
                </w:p>
              </w:tc>
              <w:tc>
                <w:tcPr>
                  <w:tcW w:w="1554" w:type="pct"/>
                  <w:tcBorders>
                    <w:tl2br w:val="nil"/>
                    <w:tr2bl w:val="nil"/>
                  </w:tcBorders>
                  <w:noWrap w:val="0"/>
                  <w:tcMar>
                    <w:top w:w="60" w:type="dxa"/>
                    <w:left w:w="120" w:type="dxa"/>
                    <w:bottom w:w="30" w:type="dxa"/>
                    <w:right w:w="120" w:type="dxa"/>
                  </w:tcMar>
                  <w:vAlign w:val="center"/>
                </w:tcPr>
                <w:p w14:paraId="32550EAF">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pPr>
                  <w:r>
                    <w:rPr>
                      <w:rFonts w:hint="eastAsia" w:ascii="Times New Roman" w:hAnsi="Times New Roman" w:cs="Times New Roman"/>
                      <w:smallCaps w:val="0"/>
                      <w:color w:val="auto"/>
                      <w:spacing w:val="0"/>
                      <w:kern w:val="0"/>
                      <w:position w:val="0"/>
                      <w:sz w:val="21"/>
                      <w:szCs w:val="21"/>
                      <w:highlight w:val="none"/>
                      <w:u w:val="single" w:color="auto"/>
                      <w:vertAlign w:val="baseline"/>
                      <w:lang w:val="en-US" w:eastAsia="zh-CN" w:bidi="ar-SA"/>
                    </w:rPr>
                    <w:t>上</w:t>
                  </w:r>
                  <w:r>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t>料口</w:t>
                  </w:r>
                </w:p>
              </w:tc>
              <w:tc>
                <w:tcPr>
                  <w:tcW w:w="1250" w:type="pct"/>
                  <w:tcBorders>
                    <w:tl2br w:val="nil"/>
                    <w:tr2bl w:val="nil"/>
                  </w:tcBorders>
                  <w:noWrap w:val="0"/>
                  <w:tcMar>
                    <w:top w:w="60" w:type="dxa"/>
                    <w:left w:w="120" w:type="dxa"/>
                    <w:bottom w:w="30" w:type="dxa"/>
                    <w:right w:w="120" w:type="dxa"/>
                  </w:tcMar>
                  <w:vAlign w:val="center"/>
                </w:tcPr>
                <w:p w14:paraId="74A98BF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pPr>
                  <w:r>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t>连续喷淋</w:t>
                  </w:r>
                </w:p>
              </w:tc>
            </w:tr>
            <w:tr w14:paraId="6587C9D7">
              <w:tblPrEx>
                <w:tblBorders>
                  <w:top w:val="single" w:color="000000" w:sz="12" w:space="0"/>
                  <w:left w:val="single" w:color="DEE0E3" w:sz="2" w:space="0"/>
                  <w:bottom w:val="single" w:color="000000" w:sz="12" w:space="0"/>
                  <w:right w:val="single" w:color="DEE0E3" w:sz="2" w:space="0"/>
                  <w:insideH w:val="single" w:color="000000" w:sz="4" w:space="0"/>
                  <w:insideV w:val="single" w:color="000000" w:sz="4" w:space="0"/>
                </w:tblBorders>
                <w:tblCellMar>
                  <w:top w:w="0" w:type="dxa"/>
                  <w:left w:w="10" w:type="dxa"/>
                  <w:bottom w:w="0" w:type="dxa"/>
                  <w:right w:w="10" w:type="dxa"/>
                </w:tblCellMar>
              </w:tblPrEx>
              <w:tc>
                <w:tcPr>
                  <w:tcW w:w="1250" w:type="pct"/>
                  <w:tcBorders>
                    <w:tl2br w:val="nil"/>
                    <w:tr2bl w:val="nil"/>
                  </w:tcBorders>
                  <w:noWrap w:val="0"/>
                  <w:tcMar>
                    <w:top w:w="60" w:type="dxa"/>
                    <w:left w:w="120" w:type="dxa"/>
                    <w:bottom w:w="30" w:type="dxa"/>
                    <w:right w:w="120" w:type="dxa"/>
                  </w:tcMar>
                  <w:vAlign w:val="center"/>
                </w:tcPr>
                <w:p w14:paraId="13C7340F">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pPr>
                  <w:r>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t>皮带输送</w:t>
                  </w:r>
                </w:p>
              </w:tc>
              <w:tc>
                <w:tcPr>
                  <w:tcW w:w="944" w:type="pct"/>
                  <w:tcBorders>
                    <w:tl2br w:val="nil"/>
                    <w:tr2bl w:val="nil"/>
                  </w:tcBorders>
                  <w:noWrap w:val="0"/>
                  <w:tcMar>
                    <w:top w:w="60" w:type="dxa"/>
                    <w:left w:w="120" w:type="dxa"/>
                    <w:bottom w:w="30" w:type="dxa"/>
                    <w:right w:w="120" w:type="dxa"/>
                  </w:tcMar>
                  <w:vAlign w:val="center"/>
                </w:tcPr>
                <w:p w14:paraId="590D5BC0">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pPr>
                  <w:r>
                    <w:rPr>
                      <w:rFonts w:hint="eastAsia" w:ascii="Times New Roman" w:hAnsi="Times New Roman" w:cs="Times New Roman"/>
                      <w:smallCaps w:val="0"/>
                      <w:color w:val="auto"/>
                      <w:spacing w:val="0"/>
                      <w:kern w:val="0"/>
                      <w:position w:val="0"/>
                      <w:sz w:val="21"/>
                      <w:szCs w:val="21"/>
                      <w:highlight w:val="none"/>
                      <w:u w:val="single" w:color="auto"/>
                      <w:vertAlign w:val="baseline"/>
                      <w:lang w:val="en-US" w:eastAsia="zh-CN" w:bidi="ar-SA"/>
                    </w:rPr>
                    <w:t>2</w:t>
                  </w:r>
                  <w:r>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t>组</w:t>
                  </w:r>
                </w:p>
              </w:tc>
              <w:tc>
                <w:tcPr>
                  <w:tcW w:w="1554" w:type="pct"/>
                  <w:tcBorders>
                    <w:tl2br w:val="nil"/>
                    <w:tr2bl w:val="nil"/>
                  </w:tcBorders>
                  <w:noWrap w:val="0"/>
                  <w:tcMar>
                    <w:top w:w="60" w:type="dxa"/>
                    <w:left w:w="120" w:type="dxa"/>
                    <w:bottom w:w="30" w:type="dxa"/>
                    <w:right w:w="120" w:type="dxa"/>
                  </w:tcMar>
                  <w:vAlign w:val="center"/>
                </w:tcPr>
                <w:p w14:paraId="717E6DAE">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pPr>
                  <w:r>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t>每条皮带末端卸料口</w:t>
                  </w:r>
                </w:p>
              </w:tc>
              <w:tc>
                <w:tcPr>
                  <w:tcW w:w="1250" w:type="pct"/>
                  <w:tcBorders>
                    <w:tl2br w:val="nil"/>
                    <w:tr2bl w:val="nil"/>
                  </w:tcBorders>
                  <w:noWrap w:val="0"/>
                  <w:tcMar>
                    <w:top w:w="60" w:type="dxa"/>
                    <w:left w:w="120" w:type="dxa"/>
                    <w:bottom w:w="30" w:type="dxa"/>
                    <w:right w:w="120" w:type="dxa"/>
                  </w:tcMar>
                  <w:vAlign w:val="center"/>
                </w:tcPr>
                <w:p w14:paraId="6493267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pPr>
                  <w:r>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t>启停同步喷淋</w:t>
                  </w:r>
                </w:p>
              </w:tc>
            </w:tr>
            <w:tr w14:paraId="5853FB62">
              <w:tblPrEx>
                <w:tblBorders>
                  <w:top w:val="single" w:color="000000" w:sz="12" w:space="0"/>
                  <w:left w:val="single" w:color="DEE0E3" w:sz="2" w:space="0"/>
                  <w:bottom w:val="single" w:color="000000" w:sz="12" w:space="0"/>
                  <w:right w:val="single" w:color="DEE0E3" w:sz="2" w:space="0"/>
                  <w:insideH w:val="single" w:color="000000" w:sz="4" w:space="0"/>
                  <w:insideV w:val="single" w:color="000000" w:sz="4" w:space="0"/>
                </w:tblBorders>
              </w:tblPrEx>
              <w:tc>
                <w:tcPr>
                  <w:tcW w:w="1250" w:type="pct"/>
                  <w:tcBorders>
                    <w:tl2br w:val="nil"/>
                    <w:tr2bl w:val="nil"/>
                  </w:tcBorders>
                  <w:noWrap w:val="0"/>
                  <w:tcMar>
                    <w:top w:w="60" w:type="dxa"/>
                    <w:left w:w="120" w:type="dxa"/>
                    <w:bottom w:w="30" w:type="dxa"/>
                    <w:right w:w="120" w:type="dxa"/>
                  </w:tcMar>
                  <w:vAlign w:val="center"/>
                </w:tcPr>
                <w:p w14:paraId="63F4AA4F">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pPr>
                  <w:r>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t>装卸作业区</w:t>
                  </w:r>
                </w:p>
              </w:tc>
              <w:tc>
                <w:tcPr>
                  <w:tcW w:w="944" w:type="pct"/>
                  <w:tcBorders>
                    <w:tl2br w:val="nil"/>
                    <w:tr2bl w:val="nil"/>
                  </w:tcBorders>
                  <w:noWrap w:val="0"/>
                  <w:tcMar>
                    <w:top w:w="60" w:type="dxa"/>
                    <w:left w:w="120" w:type="dxa"/>
                    <w:bottom w:w="30" w:type="dxa"/>
                    <w:right w:w="120" w:type="dxa"/>
                  </w:tcMar>
                  <w:vAlign w:val="center"/>
                </w:tcPr>
                <w:p w14:paraId="1F57FCD6">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pPr>
                  <w:r>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t>2组</w:t>
                  </w:r>
                </w:p>
              </w:tc>
              <w:tc>
                <w:tcPr>
                  <w:tcW w:w="1554" w:type="pct"/>
                  <w:tcBorders>
                    <w:tl2br w:val="nil"/>
                    <w:tr2bl w:val="nil"/>
                  </w:tcBorders>
                  <w:noWrap w:val="0"/>
                  <w:tcMar>
                    <w:top w:w="60" w:type="dxa"/>
                    <w:left w:w="120" w:type="dxa"/>
                    <w:bottom w:w="30" w:type="dxa"/>
                    <w:right w:w="120" w:type="dxa"/>
                  </w:tcMar>
                  <w:vAlign w:val="center"/>
                </w:tcPr>
                <w:p w14:paraId="6E29154D">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pPr>
                  <w:r>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t>装卸点位两侧</w:t>
                  </w:r>
                </w:p>
              </w:tc>
              <w:tc>
                <w:tcPr>
                  <w:tcW w:w="1250" w:type="pct"/>
                  <w:tcBorders>
                    <w:tl2br w:val="nil"/>
                    <w:tr2bl w:val="nil"/>
                  </w:tcBorders>
                  <w:noWrap w:val="0"/>
                  <w:tcMar>
                    <w:top w:w="60" w:type="dxa"/>
                    <w:left w:w="120" w:type="dxa"/>
                    <w:bottom w:w="30" w:type="dxa"/>
                    <w:right w:w="120" w:type="dxa"/>
                  </w:tcMar>
                  <w:vAlign w:val="center"/>
                </w:tcPr>
                <w:p w14:paraId="58BF7B7D">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pPr>
                  <w:r>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t>作业时开启</w:t>
                  </w:r>
                </w:p>
              </w:tc>
            </w:tr>
            <w:tr w14:paraId="794658BC">
              <w:tblPrEx>
                <w:tblBorders>
                  <w:top w:val="single" w:color="000000" w:sz="12" w:space="0"/>
                  <w:left w:val="single" w:color="DEE0E3" w:sz="2" w:space="0"/>
                  <w:bottom w:val="single" w:color="000000" w:sz="12" w:space="0"/>
                  <w:right w:val="single" w:color="DEE0E3" w:sz="2" w:space="0"/>
                  <w:insideH w:val="single" w:color="000000" w:sz="4" w:space="0"/>
                  <w:insideV w:val="single" w:color="000000" w:sz="4" w:space="0"/>
                </w:tblBorders>
                <w:tblCellMar>
                  <w:top w:w="0" w:type="dxa"/>
                  <w:left w:w="10" w:type="dxa"/>
                  <w:bottom w:w="0" w:type="dxa"/>
                  <w:right w:w="10" w:type="dxa"/>
                </w:tblCellMar>
              </w:tblPrEx>
              <w:tc>
                <w:tcPr>
                  <w:tcW w:w="1250" w:type="pct"/>
                  <w:tcBorders>
                    <w:tl2br w:val="nil"/>
                    <w:tr2bl w:val="nil"/>
                  </w:tcBorders>
                  <w:noWrap w:val="0"/>
                  <w:tcMar>
                    <w:top w:w="60" w:type="dxa"/>
                    <w:left w:w="120" w:type="dxa"/>
                    <w:bottom w:w="30" w:type="dxa"/>
                    <w:right w:w="120" w:type="dxa"/>
                  </w:tcMar>
                  <w:vAlign w:val="center"/>
                </w:tcPr>
                <w:p w14:paraId="414CDEA5">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pPr>
                  <w:r>
                    <w:rPr>
                      <w:rFonts w:hint="eastAsia" w:ascii="Times New Roman" w:hAnsi="Times New Roman" w:cs="Times New Roman"/>
                      <w:smallCaps w:val="0"/>
                      <w:color w:val="auto"/>
                      <w:spacing w:val="0"/>
                      <w:kern w:val="0"/>
                      <w:position w:val="0"/>
                      <w:sz w:val="21"/>
                      <w:szCs w:val="21"/>
                      <w:highlight w:val="none"/>
                      <w:u w:val="single" w:color="auto"/>
                      <w:vertAlign w:val="baseline"/>
                      <w:lang w:val="en-US" w:eastAsia="zh-CN" w:bidi="ar-SA"/>
                    </w:rPr>
                    <w:t>料棚</w:t>
                  </w:r>
                </w:p>
              </w:tc>
              <w:tc>
                <w:tcPr>
                  <w:tcW w:w="944" w:type="pct"/>
                  <w:tcBorders>
                    <w:tl2br w:val="nil"/>
                    <w:tr2bl w:val="nil"/>
                  </w:tcBorders>
                  <w:noWrap w:val="0"/>
                  <w:tcMar>
                    <w:top w:w="60" w:type="dxa"/>
                    <w:left w:w="120" w:type="dxa"/>
                    <w:bottom w:w="30" w:type="dxa"/>
                    <w:right w:w="120" w:type="dxa"/>
                  </w:tcMar>
                  <w:vAlign w:val="center"/>
                </w:tcPr>
                <w:p w14:paraId="2B93BFB0">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pPr>
                  <w:r>
                    <w:rPr>
                      <w:rFonts w:hint="eastAsia" w:ascii="Times New Roman" w:hAnsi="Times New Roman" w:cs="Times New Roman"/>
                      <w:smallCaps w:val="0"/>
                      <w:color w:val="auto"/>
                      <w:spacing w:val="0"/>
                      <w:kern w:val="0"/>
                      <w:position w:val="0"/>
                      <w:sz w:val="21"/>
                      <w:szCs w:val="21"/>
                      <w:highlight w:val="none"/>
                      <w:u w:val="single" w:color="auto"/>
                      <w:vertAlign w:val="baseline"/>
                      <w:lang w:val="en-US" w:eastAsia="zh-CN" w:bidi="ar-SA"/>
                    </w:rPr>
                    <w:t>4</w:t>
                  </w:r>
                  <w:r>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t>组</w:t>
                  </w:r>
                </w:p>
              </w:tc>
              <w:tc>
                <w:tcPr>
                  <w:tcW w:w="1554" w:type="pct"/>
                  <w:tcBorders>
                    <w:tl2br w:val="nil"/>
                    <w:tr2bl w:val="nil"/>
                  </w:tcBorders>
                  <w:noWrap w:val="0"/>
                  <w:tcMar>
                    <w:top w:w="60" w:type="dxa"/>
                    <w:left w:w="120" w:type="dxa"/>
                    <w:bottom w:w="30" w:type="dxa"/>
                    <w:right w:w="120" w:type="dxa"/>
                  </w:tcMar>
                  <w:vAlign w:val="center"/>
                </w:tcPr>
                <w:p w14:paraId="60567790">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pPr>
                  <w:r>
                    <w:rPr>
                      <w:rFonts w:hint="eastAsia" w:ascii="Times New Roman" w:hAnsi="Times New Roman" w:cs="Times New Roman"/>
                      <w:smallCaps w:val="0"/>
                      <w:color w:val="auto"/>
                      <w:spacing w:val="0"/>
                      <w:kern w:val="0"/>
                      <w:position w:val="0"/>
                      <w:sz w:val="21"/>
                      <w:szCs w:val="21"/>
                      <w:highlight w:val="none"/>
                      <w:u w:val="single" w:color="auto"/>
                      <w:vertAlign w:val="baseline"/>
                      <w:lang w:val="en-US" w:eastAsia="zh-CN" w:bidi="ar-SA"/>
                    </w:rPr>
                    <w:t>料棚</w:t>
                  </w:r>
                  <w:r>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t>四周</w:t>
                  </w:r>
                </w:p>
              </w:tc>
              <w:tc>
                <w:tcPr>
                  <w:tcW w:w="1250" w:type="pct"/>
                  <w:tcBorders>
                    <w:tl2br w:val="nil"/>
                    <w:tr2bl w:val="nil"/>
                  </w:tcBorders>
                  <w:noWrap w:val="0"/>
                  <w:tcMar>
                    <w:top w:w="60" w:type="dxa"/>
                    <w:left w:w="120" w:type="dxa"/>
                    <w:bottom w:w="30" w:type="dxa"/>
                    <w:right w:w="120" w:type="dxa"/>
                  </w:tcMar>
                  <w:vAlign w:val="center"/>
                </w:tcPr>
                <w:p w14:paraId="5E180874">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pPr>
                  <w:r>
                    <w:rPr>
                      <w:rFonts w:hint="default" w:ascii="Times New Roman" w:hAnsi="Times New Roman" w:eastAsia="宋体" w:cs="Times New Roman"/>
                      <w:smallCaps w:val="0"/>
                      <w:color w:val="auto"/>
                      <w:spacing w:val="0"/>
                      <w:kern w:val="0"/>
                      <w:position w:val="0"/>
                      <w:sz w:val="21"/>
                      <w:szCs w:val="21"/>
                      <w:highlight w:val="none"/>
                      <w:u w:val="single" w:color="auto"/>
                      <w:vertAlign w:val="baseline"/>
                      <w:lang w:val="en-US" w:eastAsia="zh-CN" w:bidi="ar-SA"/>
                    </w:rPr>
                    <w:t>定时间歇喷淋</w:t>
                  </w:r>
                </w:p>
              </w:tc>
            </w:tr>
          </w:tbl>
          <w:p w14:paraId="1CAC33AA">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eastAsia"/>
                <w:iCs/>
                <w:color w:val="auto"/>
                <w:sz w:val="24"/>
                <w:szCs w:val="24"/>
                <w:highlight w:val="none"/>
                <w:u w:val="none"/>
              </w:rPr>
            </w:pPr>
          </w:p>
          <w:p w14:paraId="0AED7AFB">
            <w:pPr>
              <w:numPr>
                <w:ilvl w:val="0"/>
                <w:numId w:val="0"/>
              </w:numPr>
              <w:adjustRightInd w:val="0"/>
              <w:spacing w:line="360" w:lineRule="auto"/>
              <w:ind w:firstLine="482" w:firstLineChars="200"/>
              <w:rPr>
                <w:rFonts w:hint="eastAsia"/>
                <w:b w:val="0"/>
                <w:bCs w:val="0"/>
                <w:i w:val="0"/>
                <w:iCs w:val="0"/>
                <w:sz w:val="24"/>
                <w:szCs w:val="24"/>
                <w:highlight w:val="none"/>
                <w:u w:val="none"/>
                <w:lang w:val="en-US" w:eastAsia="zh-CN"/>
              </w:rPr>
            </w:pPr>
            <w:r>
              <w:rPr>
                <w:rFonts w:hint="eastAsia" w:cs="Times New Roman"/>
                <w:b/>
                <w:bCs/>
                <w:i w:val="0"/>
                <w:iCs w:val="0"/>
                <w:kern w:val="2"/>
                <w:sz w:val="24"/>
                <w:szCs w:val="24"/>
                <w:highlight w:val="none"/>
                <w:u w:val="none"/>
                <w:lang w:val="en-US" w:eastAsia="zh-CN" w:bidi="ar-SA"/>
              </w:rPr>
              <w:t>3</w:t>
            </w:r>
            <w:r>
              <w:rPr>
                <w:rFonts w:hint="eastAsia" w:ascii="Times New Roman" w:hAnsi="Times New Roman" w:eastAsia="宋体" w:cs="Times New Roman"/>
                <w:b/>
                <w:bCs/>
                <w:i w:val="0"/>
                <w:iCs w:val="0"/>
                <w:kern w:val="2"/>
                <w:sz w:val="24"/>
                <w:szCs w:val="24"/>
                <w:highlight w:val="none"/>
                <w:u w:val="none"/>
                <w:lang w:val="en-US" w:eastAsia="zh-CN" w:bidi="ar-SA"/>
              </w:rPr>
              <w:t>、</w:t>
            </w:r>
            <w:r>
              <w:rPr>
                <w:rFonts w:hint="eastAsia"/>
                <w:b/>
                <w:bCs/>
                <w:i w:val="0"/>
                <w:iCs w:val="0"/>
                <w:sz w:val="24"/>
                <w:szCs w:val="24"/>
                <w:highlight w:val="none"/>
                <w:u w:val="none"/>
                <w:lang w:val="en-US" w:eastAsia="zh-CN"/>
              </w:rPr>
              <w:t>化验室</w:t>
            </w:r>
          </w:p>
          <w:p w14:paraId="36DC69EC">
            <w:pPr>
              <w:numPr>
                <w:ilvl w:val="0"/>
                <w:numId w:val="0"/>
              </w:numPr>
              <w:adjustRightInd w:val="0"/>
              <w:spacing w:line="360" w:lineRule="auto"/>
              <w:ind w:firstLine="480" w:firstLineChars="200"/>
              <w:rPr>
                <w:rFonts w:hint="default"/>
                <w:b w:val="0"/>
                <w:bCs w:val="0"/>
                <w:i w:val="0"/>
                <w:iCs w:val="0"/>
                <w:color w:val="auto"/>
                <w:sz w:val="24"/>
                <w:szCs w:val="24"/>
                <w:highlight w:val="none"/>
                <w:u w:val="none"/>
                <w:lang w:val="en-US" w:eastAsia="zh-CN"/>
              </w:rPr>
            </w:pPr>
            <w:r>
              <w:rPr>
                <w:rFonts w:hint="default"/>
                <w:b w:val="0"/>
                <w:bCs w:val="0"/>
                <w:i w:val="0"/>
                <w:iCs w:val="0"/>
                <w:color w:val="auto"/>
                <w:sz w:val="24"/>
                <w:szCs w:val="24"/>
                <w:highlight w:val="none"/>
                <w:u w:val="none"/>
                <w:lang w:val="en-US" w:eastAsia="zh-CN"/>
              </w:rPr>
              <w:t>项目</w:t>
            </w:r>
            <w:r>
              <w:rPr>
                <w:rFonts w:hint="eastAsia"/>
                <w:b w:val="0"/>
                <w:bCs w:val="0"/>
                <w:i w:val="0"/>
                <w:iCs w:val="0"/>
                <w:color w:val="auto"/>
                <w:sz w:val="24"/>
                <w:szCs w:val="24"/>
                <w:highlight w:val="none"/>
                <w:u w:val="none"/>
                <w:lang w:val="en-US" w:eastAsia="zh-CN"/>
              </w:rPr>
              <w:t>化验室</w:t>
            </w:r>
            <w:r>
              <w:rPr>
                <w:rFonts w:hint="default"/>
                <w:b w:val="0"/>
                <w:bCs w:val="0"/>
                <w:i w:val="0"/>
                <w:iCs w:val="0"/>
                <w:color w:val="auto"/>
                <w:sz w:val="24"/>
                <w:szCs w:val="24"/>
                <w:highlight w:val="none"/>
                <w:u w:val="none"/>
                <w:lang w:val="en-US" w:eastAsia="zh-CN"/>
              </w:rPr>
              <w:t>主要工作内容为实验样品质量检测，针对产品试件进行抗折强度</w:t>
            </w:r>
            <w:r>
              <w:rPr>
                <w:rFonts w:hint="eastAsia"/>
                <w:b w:val="0"/>
                <w:bCs w:val="0"/>
                <w:i w:val="0"/>
                <w:iCs w:val="0"/>
                <w:color w:val="auto"/>
                <w:sz w:val="24"/>
                <w:szCs w:val="24"/>
                <w:highlight w:val="none"/>
                <w:u w:val="none"/>
                <w:lang w:val="en-US" w:eastAsia="zh-CN"/>
              </w:rPr>
              <w:t>、</w:t>
            </w:r>
            <w:r>
              <w:rPr>
                <w:rFonts w:hint="default"/>
                <w:b w:val="0"/>
                <w:bCs w:val="0"/>
                <w:i w:val="0"/>
                <w:iCs w:val="0"/>
                <w:color w:val="auto"/>
                <w:sz w:val="24"/>
                <w:szCs w:val="24"/>
                <w:highlight w:val="none"/>
                <w:u w:val="none"/>
                <w:lang w:val="en-US" w:eastAsia="zh-CN"/>
              </w:rPr>
              <w:t>抗压强度等一系列的物理性能、耐久性能试验。化验室仅开展物理性能检测，不使用化学试剂，无实验废水产生；检测后废弃试样统一收集，外运至再生骨料加工厂加工再生砂石。</w:t>
            </w:r>
          </w:p>
          <w:p w14:paraId="4552B5FD">
            <w:pPr>
              <w:adjustRightInd w:val="0"/>
              <w:spacing w:line="360" w:lineRule="auto"/>
              <w:ind w:firstLine="482" w:firstLineChars="200"/>
              <w:rPr>
                <w:rFonts w:hint="eastAsia"/>
                <w:b/>
                <w:bCs/>
                <w:i w:val="0"/>
                <w:iCs w:val="0"/>
                <w:color w:val="auto"/>
                <w:sz w:val="24"/>
                <w:szCs w:val="24"/>
                <w:highlight w:val="none"/>
                <w:u w:val="none"/>
              </w:rPr>
            </w:pPr>
            <w:r>
              <w:rPr>
                <w:rFonts w:hint="eastAsia"/>
                <w:b/>
                <w:bCs/>
                <w:i w:val="0"/>
                <w:iCs w:val="0"/>
                <w:color w:val="auto"/>
                <w:sz w:val="24"/>
                <w:szCs w:val="24"/>
                <w:highlight w:val="none"/>
                <w:u w:val="none"/>
                <w:lang w:val="en-US" w:eastAsia="zh-CN"/>
              </w:rPr>
              <w:t>4、</w:t>
            </w:r>
            <w:r>
              <w:rPr>
                <w:rFonts w:hint="eastAsia"/>
                <w:b/>
                <w:bCs/>
                <w:i w:val="0"/>
                <w:iCs w:val="0"/>
                <w:color w:val="auto"/>
                <w:sz w:val="24"/>
                <w:szCs w:val="24"/>
                <w:highlight w:val="none"/>
                <w:u w:val="none"/>
              </w:rPr>
              <w:t>产污环节</w:t>
            </w:r>
          </w:p>
          <w:p w14:paraId="02A27663">
            <w:pPr>
              <w:numPr>
                <w:ilvl w:val="0"/>
                <w:numId w:val="0"/>
              </w:numPr>
              <w:adjustRightInd w:val="0"/>
              <w:spacing w:line="360" w:lineRule="auto"/>
              <w:ind w:firstLine="480" w:firstLineChars="200"/>
              <w:rPr>
                <w:rFonts w:hint="default" w:ascii="Times New Roman" w:hAnsi="Times New Roman" w:eastAsia="宋体" w:cs="Times New Roman"/>
                <w:b w:val="0"/>
                <w:bCs w:val="0"/>
                <w:i w:val="0"/>
                <w:iCs w:val="0"/>
                <w:sz w:val="24"/>
                <w:szCs w:val="24"/>
                <w:highlight w:val="none"/>
                <w:u w:val="none"/>
                <w:lang w:val="en-US" w:eastAsia="zh-CN"/>
              </w:rPr>
            </w:pPr>
            <w:r>
              <w:rPr>
                <w:rFonts w:hint="eastAsia" w:ascii="Times New Roman" w:hAnsi="Times New Roman" w:eastAsia="宋体" w:cs="Times New Roman"/>
                <w:b w:val="0"/>
                <w:bCs w:val="0"/>
                <w:i w:val="0"/>
                <w:iCs w:val="0"/>
                <w:sz w:val="24"/>
                <w:szCs w:val="24"/>
                <w:highlight w:val="none"/>
                <w:u w:val="none"/>
                <w:lang w:val="en-US" w:eastAsia="zh-CN"/>
              </w:rPr>
              <w:t>本项目主要产污环节如下：</w:t>
            </w:r>
          </w:p>
          <w:p w14:paraId="013A0EEF">
            <w:pPr>
              <w:numPr>
                <w:ilvl w:val="0"/>
                <w:numId w:val="0"/>
              </w:numPr>
              <w:adjustRightInd w:val="0"/>
              <w:spacing w:line="360" w:lineRule="auto"/>
              <w:ind w:firstLine="480" w:firstLineChars="200"/>
              <w:rPr>
                <w:rFonts w:hint="default" w:ascii="Times New Roman" w:hAnsi="Times New Roman" w:eastAsia="宋体" w:cs="Times New Roman"/>
                <w:b w:val="0"/>
                <w:bCs w:val="0"/>
                <w:i w:val="0"/>
                <w:iCs w:val="0"/>
                <w:sz w:val="24"/>
                <w:szCs w:val="24"/>
                <w:highlight w:val="none"/>
                <w:u w:val="none"/>
                <w:lang w:val="en-US" w:eastAsia="zh-CN"/>
              </w:rPr>
            </w:pPr>
            <w:r>
              <w:rPr>
                <w:rFonts w:hint="eastAsia" w:ascii="Times New Roman" w:hAnsi="Times New Roman" w:eastAsia="宋体" w:cs="Times New Roman"/>
                <w:b w:val="0"/>
                <w:bCs w:val="0"/>
                <w:i w:val="0"/>
                <w:iCs w:val="0"/>
                <w:sz w:val="24"/>
                <w:szCs w:val="24"/>
                <w:highlight w:val="none"/>
                <w:u w:val="none"/>
                <w:lang w:val="en-US" w:eastAsia="zh-CN"/>
              </w:rPr>
              <w:t>①废气</w:t>
            </w:r>
          </w:p>
          <w:p w14:paraId="3D3DC016">
            <w:pPr>
              <w:numPr>
                <w:ilvl w:val="0"/>
                <w:numId w:val="0"/>
              </w:numPr>
              <w:adjustRightInd w:val="0"/>
              <w:spacing w:line="360" w:lineRule="auto"/>
              <w:ind w:firstLine="480" w:firstLineChars="200"/>
              <w:rPr>
                <w:rFonts w:hint="default" w:ascii="Times New Roman" w:hAnsi="Times New Roman" w:eastAsia="宋体" w:cs="Times New Roman"/>
                <w:b w:val="0"/>
                <w:bCs w:val="0"/>
                <w:i w:val="0"/>
                <w:iCs w:val="0"/>
                <w:sz w:val="24"/>
                <w:szCs w:val="24"/>
                <w:highlight w:val="none"/>
                <w:u w:val="none"/>
                <w:lang w:val="en-US" w:eastAsia="zh-CN"/>
              </w:rPr>
            </w:pPr>
            <w:r>
              <w:rPr>
                <w:rFonts w:hint="eastAsia" w:ascii="Times New Roman" w:hAnsi="Times New Roman" w:eastAsia="宋体" w:cs="Times New Roman"/>
                <w:b w:val="0"/>
                <w:bCs w:val="0"/>
                <w:i w:val="0"/>
                <w:iCs w:val="0"/>
                <w:sz w:val="24"/>
                <w:szCs w:val="24"/>
                <w:highlight w:val="none"/>
                <w:u w:val="none"/>
                <w:lang w:val="en-US" w:eastAsia="zh-CN"/>
              </w:rPr>
              <w:t>本项目大气污染物主要为搅拌工序、水泥储罐、粉煤灰</w:t>
            </w:r>
            <w:r>
              <w:rPr>
                <w:rFonts w:hint="eastAsia" w:cs="Times New Roman"/>
                <w:b w:val="0"/>
                <w:bCs w:val="0"/>
                <w:i w:val="0"/>
                <w:iCs w:val="0"/>
                <w:sz w:val="24"/>
                <w:szCs w:val="24"/>
                <w:highlight w:val="none"/>
                <w:u w:val="none"/>
                <w:lang w:val="en-US" w:eastAsia="zh-CN"/>
              </w:rPr>
              <w:t>储</w:t>
            </w:r>
            <w:r>
              <w:rPr>
                <w:rFonts w:hint="eastAsia" w:ascii="Times New Roman" w:hAnsi="Times New Roman" w:eastAsia="宋体" w:cs="Times New Roman"/>
                <w:b w:val="0"/>
                <w:bCs w:val="0"/>
                <w:i w:val="0"/>
                <w:iCs w:val="0"/>
                <w:sz w:val="24"/>
                <w:szCs w:val="24"/>
                <w:highlight w:val="none"/>
                <w:u w:val="none"/>
                <w:lang w:val="en-US" w:eastAsia="zh-CN"/>
              </w:rPr>
              <w:t>罐</w:t>
            </w:r>
            <w:r>
              <w:rPr>
                <w:rFonts w:hint="eastAsia" w:cs="Times New Roman"/>
                <w:b w:val="0"/>
                <w:bCs w:val="0"/>
                <w:i w:val="0"/>
                <w:iCs w:val="0"/>
                <w:sz w:val="24"/>
                <w:szCs w:val="24"/>
                <w:highlight w:val="none"/>
                <w:u w:val="none"/>
                <w:lang w:val="en-US" w:eastAsia="zh-CN"/>
              </w:rPr>
              <w:t>、料棚</w:t>
            </w:r>
            <w:r>
              <w:rPr>
                <w:rFonts w:hint="eastAsia" w:ascii="Times New Roman" w:hAnsi="Times New Roman" w:eastAsia="宋体" w:cs="Times New Roman"/>
                <w:b w:val="0"/>
                <w:bCs w:val="0"/>
                <w:i w:val="0"/>
                <w:iCs w:val="0"/>
                <w:sz w:val="24"/>
                <w:szCs w:val="24"/>
                <w:highlight w:val="none"/>
                <w:u w:val="none"/>
                <w:lang w:val="en-US" w:eastAsia="zh-CN"/>
              </w:rPr>
              <w:t>、上料、车辆运输等过程排放的粉尘。</w:t>
            </w:r>
          </w:p>
          <w:p w14:paraId="76B2008B">
            <w:pPr>
              <w:numPr>
                <w:ilvl w:val="0"/>
                <w:numId w:val="0"/>
              </w:numPr>
              <w:adjustRightInd w:val="0"/>
              <w:spacing w:line="360" w:lineRule="auto"/>
              <w:ind w:firstLine="480" w:firstLineChars="200"/>
              <w:rPr>
                <w:rFonts w:hint="default" w:ascii="Times New Roman" w:hAnsi="Times New Roman" w:eastAsia="宋体" w:cs="Times New Roman"/>
                <w:b w:val="0"/>
                <w:bCs w:val="0"/>
                <w:i w:val="0"/>
                <w:iCs w:val="0"/>
                <w:sz w:val="24"/>
                <w:szCs w:val="24"/>
                <w:highlight w:val="none"/>
                <w:u w:val="none"/>
                <w:lang w:val="en-US" w:eastAsia="zh-CN"/>
              </w:rPr>
            </w:pPr>
            <w:r>
              <w:rPr>
                <w:rFonts w:hint="eastAsia" w:ascii="Times New Roman" w:hAnsi="Times New Roman" w:eastAsia="宋体" w:cs="Times New Roman"/>
                <w:b w:val="0"/>
                <w:bCs w:val="0"/>
                <w:i w:val="0"/>
                <w:iCs w:val="0"/>
                <w:sz w:val="24"/>
                <w:szCs w:val="24"/>
                <w:highlight w:val="none"/>
                <w:u w:val="none"/>
                <w:lang w:val="en-US" w:eastAsia="zh-CN"/>
              </w:rPr>
              <w:t>②废水</w:t>
            </w:r>
          </w:p>
          <w:p w14:paraId="63046A63">
            <w:pPr>
              <w:numPr>
                <w:ilvl w:val="0"/>
                <w:numId w:val="0"/>
              </w:numPr>
              <w:adjustRightInd w:val="0"/>
              <w:spacing w:line="360" w:lineRule="auto"/>
              <w:ind w:firstLine="480" w:firstLineChars="200"/>
              <w:rPr>
                <w:rFonts w:hint="default" w:ascii="Times New Roman" w:hAnsi="Times New Roman" w:eastAsia="宋体" w:cs="Times New Roman"/>
                <w:b w:val="0"/>
                <w:bCs w:val="0"/>
                <w:i w:val="0"/>
                <w:iCs w:val="0"/>
                <w:sz w:val="24"/>
                <w:szCs w:val="24"/>
                <w:highlight w:val="none"/>
                <w:u w:val="none"/>
                <w:lang w:val="en-US" w:eastAsia="zh-CN"/>
              </w:rPr>
            </w:pPr>
            <w:r>
              <w:rPr>
                <w:rFonts w:hint="eastAsia" w:ascii="Times New Roman" w:hAnsi="Times New Roman" w:eastAsia="宋体" w:cs="Times New Roman"/>
                <w:b w:val="0"/>
                <w:bCs w:val="0"/>
                <w:i w:val="0"/>
                <w:iCs w:val="0"/>
                <w:sz w:val="24"/>
                <w:szCs w:val="24"/>
                <w:highlight w:val="none"/>
                <w:u w:val="none"/>
                <w:lang w:val="en-US" w:eastAsia="zh-CN"/>
              </w:rPr>
              <w:t>本项目产生的废水主要是生活</w:t>
            </w:r>
            <w:r>
              <w:rPr>
                <w:rFonts w:hint="eastAsia" w:cs="Times New Roman"/>
                <w:b w:val="0"/>
                <w:bCs w:val="0"/>
                <w:i w:val="0"/>
                <w:iCs w:val="0"/>
                <w:sz w:val="24"/>
                <w:szCs w:val="24"/>
                <w:highlight w:val="none"/>
                <w:u w:val="none"/>
                <w:lang w:val="en-US" w:eastAsia="zh-CN"/>
              </w:rPr>
              <w:t>污</w:t>
            </w:r>
            <w:r>
              <w:rPr>
                <w:rFonts w:hint="eastAsia" w:ascii="Times New Roman" w:hAnsi="Times New Roman" w:eastAsia="宋体" w:cs="Times New Roman"/>
                <w:b w:val="0"/>
                <w:bCs w:val="0"/>
                <w:i w:val="0"/>
                <w:iCs w:val="0"/>
                <w:sz w:val="24"/>
                <w:szCs w:val="24"/>
                <w:highlight w:val="none"/>
                <w:u w:val="none"/>
                <w:lang w:val="en-US" w:eastAsia="zh-CN"/>
              </w:rPr>
              <w:t>水</w:t>
            </w:r>
            <w:r>
              <w:rPr>
                <w:rFonts w:hint="eastAsia" w:cs="Times New Roman"/>
                <w:b w:val="0"/>
                <w:bCs w:val="0"/>
                <w:i w:val="0"/>
                <w:iCs w:val="0"/>
                <w:sz w:val="24"/>
                <w:szCs w:val="24"/>
                <w:highlight w:val="none"/>
                <w:u w:val="none"/>
                <w:lang w:val="en-US" w:eastAsia="zh-CN"/>
              </w:rPr>
              <w:t>、</w:t>
            </w:r>
            <w:r>
              <w:rPr>
                <w:rFonts w:hint="eastAsia" w:ascii="Times New Roman" w:hAnsi="Times New Roman" w:eastAsia="宋体" w:cs="Times New Roman"/>
                <w:b w:val="0"/>
                <w:bCs w:val="0"/>
                <w:i w:val="0"/>
                <w:iCs w:val="0"/>
                <w:sz w:val="24"/>
                <w:szCs w:val="24"/>
                <w:highlight w:val="none"/>
                <w:u w:val="none"/>
                <w:lang w:val="en-US" w:eastAsia="zh-CN"/>
              </w:rPr>
              <w:t>设备</w:t>
            </w:r>
            <w:r>
              <w:rPr>
                <w:rFonts w:hint="eastAsia" w:cs="Times New Roman"/>
                <w:b w:val="0"/>
                <w:bCs w:val="0"/>
                <w:i w:val="0"/>
                <w:iCs w:val="0"/>
                <w:sz w:val="24"/>
                <w:szCs w:val="24"/>
                <w:highlight w:val="none"/>
                <w:u w:val="none"/>
                <w:lang w:val="en-US" w:eastAsia="zh-CN"/>
              </w:rPr>
              <w:t>清</w:t>
            </w:r>
            <w:r>
              <w:rPr>
                <w:rFonts w:hint="eastAsia" w:ascii="Times New Roman" w:hAnsi="Times New Roman" w:eastAsia="宋体" w:cs="Times New Roman"/>
                <w:b w:val="0"/>
                <w:bCs w:val="0"/>
                <w:i w:val="0"/>
                <w:iCs w:val="0"/>
                <w:sz w:val="24"/>
                <w:szCs w:val="24"/>
                <w:highlight w:val="none"/>
                <w:u w:val="none"/>
                <w:lang w:val="en-US" w:eastAsia="zh-CN"/>
              </w:rPr>
              <w:t>洗废水、罐车清洗废水。</w:t>
            </w:r>
          </w:p>
          <w:p w14:paraId="2876C5B1">
            <w:pPr>
              <w:numPr>
                <w:ilvl w:val="0"/>
                <w:numId w:val="0"/>
              </w:numPr>
              <w:adjustRightInd w:val="0"/>
              <w:spacing w:line="360" w:lineRule="auto"/>
              <w:ind w:firstLine="480" w:firstLineChars="200"/>
              <w:rPr>
                <w:rFonts w:hint="default" w:ascii="Times New Roman" w:hAnsi="Times New Roman" w:eastAsia="宋体" w:cs="Times New Roman"/>
                <w:b w:val="0"/>
                <w:bCs w:val="0"/>
                <w:i w:val="0"/>
                <w:iCs w:val="0"/>
                <w:sz w:val="24"/>
                <w:szCs w:val="24"/>
                <w:highlight w:val="none"/>
                <w:u w:val="none"/>
                <w:lang w:val="en-US" w:eastAsia="zh-CN"/>
              </w:rPr>
            </w:pPr>
            <w:r>
              <w:rPr>
                <w:rFonts w:hint="eastAsia" w:ascii="Times New Roman" w:hAnsi="Times New Roman" w:eastAsia="宋体" w:cs="Times New Roman"/>
                <w:b w:val="0"/>
                <w:bCs w:val="0"/>
                <w:i w:val="0"/>
                <w:iCs w:val="0"/>
                <w:sz w:val="24"/>
                <w:szCs w:val="24"/>
                <w:highlight w:val="none"/>
                <w:u w:val="none"/>
                <w:lang w:val="en-US" w:eastAsia="zh-CN"/>
              </w:rPr>
              <w:t>③固废</w:t>
            </w:r>
          </w:p>
          <w:p w14:paraId="070B6C34">
            <w:pPr>
              <w:numPr>
                <w:ilvl w:val="0"/>
                <w:numId w:val="0"/>
              </w:numPr>
              <w:adjustRightInd w:val="0"/>
              <w:spacing w:line="360" w:lineRule="auto"/>
              <w:ind w:firstLine="480" w:firstLineChars="200"/>
              <w:rPr>
                <w:rFonts w:hint="default" w:ascii="Times New Roman" w:hAnsi="Times New Roman" w:eastAsia="宋体" w:cs="Times New Roman"/>
                <w:b w:val="0"/>
                <w:bCs w:val="0"/>
                <w:i w:val="0"/>
                <w:iCs w:val="0"/>
                <w:color w:val="auto"/>
                <w:sz w:val="24"/>
                <w:szCs w:val="24"/>
                <w:highlight w:val="none"/>
                <w:u w:val="none"/>
                <w:lang w:val="en-US" w:eastAsia="zh-CN"/>
              </w:rPr>
            </w:pPr>
            <w:r>
              <w:rPr>
                <w:rFonts w:hint="eastAsia" w:cs="Times New Roman"/>
                <w:b w:val="0"/>
                <w:bCs w:val="0"/>
                <w:i w:val="0"/>
                <w:iCs w:val="0"/>
                <w:color w:val="auto"/>
                <w:sz w:val="24"/>
                <w:szCs w:val="24"/>
                <w:highlight w:val="none"/>
                <w:u w:val="none"/>
                <w:lang w:val="en-US" w:eastAsia="zh-CN"/>
              </w:rPr>
              <w:t>本</w:t>
            </w:r>
            <w:r>
              <w:rPr>
                <w:rFonts w:hint="eastAsia" w:ascii="Times New Roman" w:hAnsi="Times New Roman" w:eastAsia="宋体" w:cs="Times New Roman"/>
                <w:b w:val="0"/>
                <w:bCs w:val="0"/>
                <w:i w:val="0"/>
                <w:iCs w:val="0"/>
                <w:color w:val="auto"/>
                <w:sz w:val="24"/>
                <w:szCs w:val="24"/>
                <w:highlight w:val="none"/>
                <w:u w:val="none"/>
                <w:lang w:val="en-US" w:eastAsia="zh-CN"/>
              </w:rPr>
              <w:t>项目产生的固体废物主要是生活垃圾、</w:t>
            </w:r>
            <w:r>
              <w:rPr>
                <w:rFonts w:hint="eastAsia" w:cs="Times New Roman"/>
                <w:b w:val="0"/>
                <w:bCs w:val="0"/>
                <w:i w:val="0"/>
                <w:iCs w:val="0"/>
                <w:color w:val="auto"/>
                <w:sz w:val="24"/>
                <w:szCs w:val="24"/>
                <w:highlight w:val="none"/>
                <w:u w:val="none"/>
                <w:lang w:val="en-US" w:eastAsia="zh-CN"/>
              </w:rPr>
              <w:t>除尘器</w:t>
            </w:r>
            <w:r>
              <w:rPr>
                <w:rFonts w:hint="eastAsia" w:ascii="Times New Roman" w:hAnsi="Times New Roman" w:eastAsia="宋体" w:cs="Times New Roman"/>
                <w:b w:val="0"/>
                <w:bCs w:val="0"/>
                <w:i w:val="0"/>
                <w:iCs w:val="0"/>
                <w:color w:val="auto"/>
                <w:sz w:val="24"/>
                <w:szCs w:val="24"/>
                <w:highlight w:val="none"/>
                <w:u w:val="none"/>
                <w:lang w:val="en-US" w:eastAsia="zh-CN"/>
              </w:rPr>
              <w:t>收集粉尘、</w:t>
            </w:r>
            <w:r>
              <w:rPr>
                <w:rFonts w:hint="eastAsia" w:cs="Times New Roman"/>
                <w:b w:val="0"/>
                <w:bCs w:val="0"/>
                <w:i w:val="0"/>
                <w:iCs w:val="0"/>
                <w:color w:val="auto"/>
                <w:sz w:val="24"/>
                <w:szCs w:val="24"/>
                <w:highlight w:val="none"/>
                <w:u w:val="none"/>
                <w:lang w:val="en-US" w:eastAsia="zh-CN"/>
              </w:rPr>
              <w:t>废布袋、沉淀池沉淀物、初期雨水收集池内沉淀污泥、化验室废试样</w:t>
            </w:r>
            <w:r>
              <w:rPr>
                <w:rFonts w:hint="eastAsia" w:ascii="Times New Roman" w:hAnsi="Times New Roman" w:eastAsia="宋体" w:cs="Times New Roman"/>
                <w:b w:val="0"/>
                <w:bCs w:val="0"/>
                <w:i w:val="0"/>
                <w:iCs w:val="0"/>
                <w:color w:val="auto"/>
                <w:sz w:val="24"/>
                <w:szCs w:val="24"/>
                <w:highlight w:val="none"/>
                <w:u w:val="none"/>
                <w:lang w:val="en-US" w:eastAsia="zh-CN"/>
              </w:rPr>
              <w:t>等。</w:t>
            </w:r>
          </w:p>
          <w:p w14:paraId="302B2514">
            <w:pPr>
              <w:numPr>
                <w:ilvl w:val="0"/>
                <w:numId w:val="0"/>
              </w:numPr>
              <w:adjustRightInd w:val="0"/>
              <w:spacing w:line="360" w:lineRule="auto"/>
              <w:ind w:firstLine="480" w:firstLineChars="200"/>
              <w:rPr>
                <w:rFonts w:hint="default" w:ascii="Times New Roman" w:hAnsi="Times New Roman" w:eastAsia="宋体" w:cs="Times New Roman"/>
                <w:b w:val="0"/>
                <w:bCs w:val="0"/>
                <w:i w:val="0"/>
                <w:iCs w:val="0"/>
                <w:color w:val="auto"/>
                <w:sz w:val="24"/>
                <w:szCs w:val="24"/>
                <w:highlight w:val="none"/>
                <w:u w:val="none"/>
                <w:lang w:val="en-US" w:eastAsia="zh-CN"/>
              </w:rPr>
            </w:pPr>
            <w:r>
              <w:rPr>
                <w:rFonts w:hint="eastAsia" w:ascii="Times New Roman" w:hAnsi="Times New Roman" w:eastAsia="宋体" w:cs="Times New Roman"/>
                <w:b w:val="0"/>
                <w:bCs w:val="0"/>
                <w:i w:val="0"/>
                <w:iCs w:val="0"/>
                <w:color w:val="auto"/>
                <w:sz w:val="24"/>
                <w:szCs w:val="24"/>
                <w:highlight w:val="none"/>
                <w:u w:val="none"/>
                <w:lang w:val="en-US" w:eastAsia="zh-CN"/>
              </w:rPr>
              <w:t>④噪声</w:t>
            </w:r>
          </w:p>
          <w:p w14:paraId="1A0D4855">
            <w:pPr>
              <w:numPr>
                <w:ilvl w:val="0"/>
                <w:numId w:val="0"/>
              </w:numPr>
              <w:adjustRightInd w:val="0"/>
              <w:spacing w:line="360" w:lineRule="auto"/>
              <w:ind w:firstLine="480" w:firstLineChars="200"/>
              <w:rPr>
                <w:rFonts w:hint="eastAsia" w:ascii="Times New Roman" w:hAnsi="Times New Roman" w:eastAsia="宋体" w:cs="Times New Roman"/>
                <w:b w:val="0"/>
                <w:bCs w:val="0"/>
                <w:i w:val="0"/>
                <w:iCs w:val="0"/>
                <w:color w:val="auto"/>
                <w:sz w:val="24"/>
                <w:szCs w:val="24"/>
                <w:highlight w:val="none"/>
                <w:u w:val="none"/>
                <w:lang w:val="en-US" w:eastAsia="zh-CN"/>
              </w:rPr>
            </w:pPr>
            <w:r>
              <w:rPr>
                <w:rFonts w:hint="eastAsia" w:ascii="Times New Roman" w:hAnsi="Times New Roman" w:eastAsia="宋体" w:cs="Times New Roman"/>
                <w:b w:val="0"/>
                <w:bCs w:val="0"/>
                <w:i w:val="0"/>
                <w:iCs w:val="0"/>
                <w:color w:val="auto"/>
                <w:sz w:val="24"/>
                <w:szCs w:val="24"/>
                <w:highlight w:val="none"/>
                <w:u w:val="none"/>
                <w:lang w:val="en-US" w:eastAsia="zh-CN"/>
              </w:rPr>
              <w:t>本项目噪声源主要是生产线生产设备运行时产生的噪声。</w:t>
            </w:r>
          </w:p>
          <w:p w14:paraId="07954FBA">
            <w:pPr>
              <w:jc w:val="center"/>
              <w:rPr>
                <w:rFonts w:ascii="Times New Roman" w:hAnsi="Times New Roman" w:eastAsia="宋体" w:cs="Times New Roman"/>
                <w:b/>
                <w:bCs/>
                <w:iCs/>
                <w:color w:val="auto"/>
                <w:sz w:val="21"/>
                <w:szCs w:val="21"/>
                <w:highlight w:val="none"/>
                <w:u w:val="single"/>
              </w:rPr>
            </w:pPr>
            <w:r>
              <w:rPr>
                <w:rFonts w:ascii="Times New Roman" w:hAnsi="Times New Roman" w:eastAsia="宋体" w:cs="Times New Roman"/>
                <w:b/>
                <w:bCs/>
                <w:iCs/>
                <w:color w:val="auto"/>
                <w:sz w:val="24"/>
                <w:szCs w:val="24"/>
                <w:highlight w:val="none"/>
                <w:u w:val="none"/>
              </w:rPr>
              <w:t>表</w:t>
            </w:r>
            <w:r>
              <w:rPr>
                <w:rFonts w:hint="eastAsia" w:cs="Times New Roman"/>
                <w:b/>
                <w:bCs/>
                <w:iCs/>
                <w:color w:val="auto"/>
                <w:sz w:val="24"/>
                <w:szCs w:val="24"/>
                <w:highlight w:val="none"/>
                <w:u w:val="none"/>
                <w:lang w:val="en-US" w:eastAsia="zh-CN"/>
              </w:rPr>
              <w:t>2-9</w:t>
            </w:r>
            <w:r>
              <w:rPr>
                <w:rFonts w:hint="eastAsia" w:ascii="Times New Roman" w:hAnsi="Times New Roman" w:eastAsia="宋体" w:cs="Times New Roman"/>
                <w:b/>
                <w:bCs/>
                <w:iCs/>
                <w:color w:val="auto"/>
                <w:sz w:val="24"/>
                <w:szCs w:val="24"/>
                <w:highlight w:val="none"/>
                <w:u w:val="none"/>
                <w:lang w:val="en-US" w:eastAsia="zh-CN"/>
              </w:rPr>
              <w:t xml:space="preserve">   运营期主要污染工序</w:t>
            </w:r>
            <w:r>
              <w:rPr>
                <w:rFonts w:ascii="Times New Roman" w:hAnsi="Times New Roman" w:eastAsia="宋体" w:cs="Times New Roman"/>
                <w:b/>
                <w:bCs/>
                <w:iCs/>
                <w:color w:val="auto"/>
                <w:sz w:val="24"/>
                <w:szCs w:val="24"/>
                <w:highlight w:val="none"/>
                <w:u w:val="none"/>
              </w:rPr>
              <w:t>一览表</w:t>
            </w:r>
          </w:p>
          <w:tbl>
            <w:tblPr>
              <w:tblStyle w:val="2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1770"/>
              <w:gridCol w:w="4043"/>
              <w:gridCol w:w="1763"/>
            </w:tblGrid>
            <w:tr w14:paraId="036DC5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l2br w:val="nil"/>
                    <w:tr2bl w:val="nil"/>
                  </w:tcBorders>
                  <w:noWrap w:val="0"/>
                  <w:vAlign w:val="center"/>
                </w:tcPr>
                <w:p w14:paraId="10439E81">
                  <w:pPr>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污染类别</w:t>
                  </w:r>
                </w:p>
              </w:tc>
              <w:tc>
                <w:tcPr>
                  <w:tcW w:w="0" w:type="auto"/>
                  <w:tcBorders>
                    <w:tl2br w:val="nil"/>
                    <w:tr2bl w:val="nil"/>
                  </w:tcBorders>
                  <w:noWrap w:val="0"/>
                  <w:vAlign w:val="center"/>
                </w:tcPr>
                <w:p w14:paraId="6558625C">
                  <w:pPr>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污染源名称</w:t>
                  </w:r>
                </w:p>
              </w:tc>
              <w:tc>
                <w:tcPr>
                  <w:tcW w:w="0" w:type="auto"/>
                  <w:tcBorders>
                    <w:tl2br w:val="nil"/>
                    <w:tr2bl w:val="nil"/>
                  </w:tcBorders>
                  <w:noWrap w:val="0"/>
                  <w:vAlign w:val="center"/>
                </w:tcPr>
                <w:p w14:paraId="38EFC7F8">
                  <w:pPr>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产污工序</w:t>
                  </w:r>
                </w:p>
              </w:tc>
              <w:tc>
                <w:tcPr>
                  <w:tcW w:w="0" w:type="auto"/>
                  <w:tcBorders>
                    <w:tl2br w:val="nil"/>
                    <w:tr2bl w:val="nil"/>
                  </w:tcBorders>
                  <w:noWrap w:val="0"/>
                  <w:vAlign w:val="center"/>
                </w:tcPr>
                <w:p w14:paraId="48002E94">
                  <w:pPr>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主要污染因子</w:t>
                  </w:r>
                </w:p>
              </w:tc>
            </w:tr>
            <w:tr w14:paraId="1BDD14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Borders>
                    <w:tl2br w:val="nil"/>
                    <w:tr2bl w:val="nil"/>
                  </w:tcBorders>
                  <w:noWrap w:val="0"/>
                  <w:vAlign w:val="center"/>
                </w:tcPr>
                <w:p w14:paraId="07F095FE">
                  <w:pPr>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废水</w:t>
                  </w:r>
                </w:p>
              </w:tc>
              <w:tc>
                <w:tcPr>
                  <w:tcW w:w="0" w:type="auto"/>
                  <w:tcBorders>
                    <w:tl2br w:val="nil"/>
                    <w:tr2bl w:val="nil"/>
                  </w:tcBorders>
                  <w:noWrap w:val="0"/>
                  <w:vAlign w:val="center"/>
                </w:tcPr>
                <w:p w14:paraId="68DB6B43">
                  <w:pPr>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生活</w:t>
                  </w:r>
                  <w:r>
                    <w:rPr>
                      <w:rFonts w:hint="eastAsia" w:cs="Times New Roman"/>
                      <w:color w:val="auto"/>
                      <w:szCs w:val="21"/>
                      <w:highlight w:val="none"/>
                      <w:lang w:val="en-US" w:eastAsia="zh-CN"/>
                    </w:rPr>
                    <w:t>污</w:t>
                  </w:r>
                  <w:r>
                    <w:rPr>
                      <w:rFonts w:hint="eastAsia" w:ascii="Times New Roman" w:hAnsi="Times New Roman" w:eastAsia="宋体" w:cs="Times New Roman"/>
                      <w:color w:val="auto"/>
                      <w:szCs w:val="21"/>
                      <w:highlight w:val="none"/>
                      <w:lang w:val="en-US" w:eastAsia="zh-CN"/>
                    </w:rPr>
                    <w:t>水</w:t>
                  </w:r>
                </w:p>
              </w:tc>
              <w:tc>
                <w:tcPr>
                  <w:tcW w:w="0" w:type="auto"/>
                  <w:tcBorders>
                    <w:tl2br w:val="nil"/>
                    <w:tr2bl w:val="nil"/>
                  </w:tcBorders>
                  <w:noWrap w:val="0"/>
                  <w:vAlign w:val="center"/>
                </w:tcPr>
                <w:p w14:paraId="3EBE51FF">
                  <w:pPr>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生活办公</w:t>
                  </w:r>
                </w:p>
              </w:tc>
              <w:tc>
                <w:tcPr>
                  <w:tcW w:w="0" w:type="auto"/>
                  <w:tcBorders>
                    <w:tl2br w:val="nil"/>
                    <w:tr2bl w:val="nil"/>
                  </w:tcBorders>
                  <w:noWrap w:val="0"/>
                  <w:vAlign w:val="center"/>
                </w:tcPr>
                <w:p w14:paraId="505FBA29">
                  <w:pPr>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COD、BOD</w:t>
                  </w:r>
                  <w:r>
                    <w:rPr>
                      <w:rFonts w:hint="eastAsia" w:ascii="Times New Roman" w:hAnsi="Times New Roman" w:eastAsia="宋体" w:cs="Times New Roman"/>
                      <w:color w:val="auto"/>
                      <w:szCs w:val="21"/>
                      <w:highlight w:val="none"/>
                      <w:vertAlign w:val="subscript"/>
                      <w:lang w:val="en-US" w:eastAsia="zh-CN"/>
                    </w:rPr>
                    <w:t>5</w:t>
                  </w:r>
                  <w:r>
                    <w:rPr>
                      <w:rFonts w:hint="eastAsia" w:ascii="Times New Roman" w:hAnsi="Times New Roman" w:eastAsia="宋体" w:cs="Times New Roman"/>
                      <w:color w:val="auto"/>
                      <w:szCs w:val="21"/>
                      <w:highlight w:val="none"/>
                      <w:lang w:val="en-US" w:eastAsia="zh-CN"/>
                    </w:rPr>
                    <w:t>、SS、</w:t>
                  </w:r>
                  <w:r>
                    <w:rPr>
                      <w:rFonts w:hint="eastAsia" w:cs="Times New Roman"/>
                      <w:color w:val="auto"/>
                      <w:szCs w:val="21"/>
                      <w:highlight w:val="none"/>
                      <w:lang w:val="en-US" w:eastAsia="zh-CN"/>
                    </w:rPr>
                    <w:t>氨氮</w:t>
                  </w:r>
                </w:p>
              </w:tc>
            </w:tr>
            <w:tr w14:paraId="7D7DBA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noWrap w:val="0"/>
                  <w:vAlign w:val="center"/>
                </w:tcPr>
                <w:p w14:paraId="12A30BCE">
                  <w:pPr>
                    <w:snapToGrid w:val="0"/>
                    <w:jc w:val="center"/>
                    <w:rPr>
                      <w:rFonts w:hint="eastAsia" w:ascii="Times New Roman" w:hAnsi="Times New Roman" w:eastAsia="宋体" w:cs="Times New Roman"/>
                      <w:color w:val="auto"/>
                      <w:szCs w:val="21"/>
                      <w:highlight w:val="none"/>
                      <w:lang w:val="en-US" w:eastAsia="zh-CN"/>
                    </w:rPr>
                  </w:pPr>
                </w:p>
              </w:tc>
              <w:tc>
                <w:tcPr>
                  <w:tcW w:w="0" w:type="auto"/>
                  <w:tcBorders>
                    <w:tl2br w:val="nil"/>
                    <w:tr2bl w:val="nil"/>
                  </w:tcBorders>
                  <w:noWrap w:val="0"/>
                  <w:vAlign w:val="center"/>
                </w:tcPr>
                <w:p w14:paraId="45964111">
                  <w:pPr>
                    <w:snapToGrid w:val="0"/>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设备</w:t>
                  </w:r>
                  <w:r>
                    <w:rPr>
                      <w:rFonts w:hint="eastAsia" w:cs="Times New Roman"/>
                      <w:color w:val="auto"/>
                      <w:szCs w:val="21"/>
                      <w:highlight w:val="none"/>
                      <w:lang w:val="en-US" w:eastAsia="zh-CN"/>
                    </w:rPr>
                    <w:t>清</w:t>
                  </w:r>
                  <w:r>
                    <w:rPr>
                      <w:rFonts w:hint="eastAsia" w:ascii="Times New Roman" w:hAnsi="Times New Roman" w:eastAsia="宋体" w:cs="Times New Roman"/>
                      <w:color w:val="auto"/>
                      <w:szCs w:val="21"/>
                      <w:highlight w:val="none"/>
                      <w:lang w:val="en-US" w:eastAsia="zh-CN"/>
                    </w:rPr>
                    <w:t>洗废水、罐车清洗废水</w:t>
                  </w:r>
                </w:p>
              </w:tc>
              <w:tc>
                <w:tcPr>
                  <w:tcW w:w="0" w:type="auto"/>
                  <w:tcBorders>
                    <w:tl2br w:val="nil"/>
                    <w:tr2bl w:val="nil"/>
                  </w:tcBorders>
                  <w:noWrap w:val="0"/>
                  <w:vAlign w:val="center"/>
                </w:tcPr>
                <w:p w14:paraId="51DBEFF1">
                  <w:pPr>
                    <w:snapToGrid w:val="0"/>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设备</w:t>
                  </w:r>
                  <w:r>
                    <w:rPr>
                      <w:rFonts w:hint="eastAsia" w:cs="Times New Roman"/>
                      <w:color w:val="auto"/>
                      <w:szCs w:val="21"/>
                      <w:highlight w:val="none"/>
                      <w:lang w:val="en-US" w:eastAsia="zh-CN"/>
                    </w:rPr>
                    <w:t>清</w:t>
                  </w:r>
                  <w:r>
                    <w:rPr>
                      <w:rFonts w:hint="eastAsia" w:ascii="Times New Roman" w:hAnsi="Times New Roman" w:eastAsia="宋体" w:cs="Times New Roman"/>
                      <w:color w:val="auto"/>
                      <w:szCs w:val="21"/>
                      <w:highlight w:val="none"/>
                      <w:lang w:val="en-US" w:eastAsia="zh-CN"/>
                    </w:rPr>
                    <w:t>洗、罐车清洗</w:t>
                  </w:r>
                </w:p>
              </w:tc>
              <w:tc>
                <w:tcPr>
                  <w:tcW w:w="0" w:type="auto"/>
                  <w:tcBorders>
                    <w:tl2br w:val="nil"/>
                    <w:tr2bl w:val="nil"/>
                  </w:tcBorders>
                  <w:noWrap w:val="0"/>
                  <w:vAlign w:val="center"/>
                </w:tcPr>
                <w:p w14:paraId="2F5F044C">
                  <w:pPr>
                    <w:snapToGrid w:val="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SS</w:t>
                  </w:r>
                </w:p>
              </w:tc>
            </w:tr>
            <w:tr w14:paraId="7F2589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0" w:type="auto"/>
                  <w:tcBorders>
                    <w:tl2br w:val="nil"/>
                    <w:tr2bl w:val="nil"/>
                  </w:tcBorders>
                  <w:noWrap w:val="0"/>
                  <w:vAlign w:val="center"/>
                </w:tcPr>
                <w:p w14:paraId="7662B4B2">
                  <w:pPr>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废气</w:t>
                  </w:r>
                </w:p>
              </w:tc>
              <w:tc>
                <w:tcPr>
                  <w:tcW w:w="0" w:type="auto"/>
                  <w:tcBorders>
                    <w:tl2br w:val="nil"/>
                    <w:tr2bl w:val="nil"/>
                  </w:tcBorders>
                  <w:noWrap w:val="0"/>
                  <w:vAlign w:val="center"/>
                </w:tcPr>
                <w:p w14:paraId="7167E507">
                  <w:pPr>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粉尘</w:t>
                  </w:r>
                </w:p>
              </w:tc>
              <w:tc>
                <w:tcPr>
                  <w:tcW w:w="0" w:type="auto"/>
                  <w:tcBorders>
                    <w:tl2br w:val="nil"/>
                    <w:tr2bl w:val="nil"/>
                  </w:tcBorders>
                  <w:noWrap w:val="0"/>
                  <w:vAlign w:val="center"/>
                </w:tcPr>
                <w:p w14:paraId="7D486277">
                  <w:pPr>
                    <w:keepNext w:val="0"/>
                    <w:keepLines w:val="0"/>
                    <w:widowControl/>
                    <w:suppressLineNumbers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搅拌工序、</w:t>
                  </w:r>
                  <w:r>
                    <w:rPr>
                      <w:rFonts w:hint="eastAsia"/>
                      <w:color w:val="auto"/>
                      <w:sz w:val="21"/>
                      <w:szCs w:val="21"/>
                      <w:highlight w:val="none"/>
                      <w:u w:val="none" w:color="auto"/>
                      <w:lang w:val="en-US" w:eastAsia="zh-CN"/>
                    </w:rPr>
                    <w:t>水泥筒仓（储罐）</w:t>
                  </w:r>
                  <w:r>
                    <w:rPr>
                      <w:rFonts w:hint="eastAsia" w:ascii="Times New Roman" w:hAnsi="Times New Roman" w:eastAsia="宋体" w:cs="Times New Roman"/>
                      <w:color w:val="auto"/>
                      <w:szCs w:val="21"/>
                      <w:highlight w:val="none"/>
                      <w:lang w:val="en-US" w:eastAsia="zh-CN"/>
                    </w:rPr>
                    <w:t>、</w:t>
                  </w:r>
                  <w:r>
                    <w:rPr>
                      <w:rFonts w:hint="eastAsia"/>
                      <w:color w:val="auto"/>
                      <w:sz w:val="21"/>
                      <w:szCs w:val="21"/>
                      <w:highlight w:val="none"/>
                      <w:u w:val="none" w:color="auto"/>
                      <w:lang w:val="en-US" w:eastAsia="zh-CN"/>
                    </w:rPr>
                    <w:t>粉煤灰</w:t>
                  </w:r>
                  <w:r>
                    <w:rPr>
                      <w:rFonts w:hint="eastAsia"/>
                      <w:color w:val="auto"/>
                      <w:sz w:val="21"/>
                      <w:szCs w:val="21"/>
                      <w:highlight w:val="none"/>
                      <w:u w:val="none" w:color="auto"/>
                      <w:lang w:eastAsia="zh-CN"/>
                    </w:rPr>
                    <w:t>筒仓</w:t>
                  </w:r>
                  <w:r>
                    <w:rPr>
                      <w:rFonts w:hint="eastAsia"/>
                      <w:color w:val="auto"/>
                      <w:sz w:val="21"/>
                      <w:szCs w:val="21"/>
                      <w:highlight w:val="none"/>
                      <w:u w:val="none" w:color="auto"/>
                      <w:lang w:val="en-US" w:eastAsia="zh-CN"/>
                    </w:rPr>
                    <w:t>（储罐）</w:t>
                  </w:r>
                  <w:r>
                    <w:rPr>
                      <w:rFonts w:hint="eastAsia" w:ascii="Times New Roman" w:hAnsi="Times New Roman" w:eastAsia="宋体" w:cs="Times New Roman"/>
                      <w:color w:val="auto"/>
                      <w:szCs w:val="21"/>
                      <w:highlight w:val="none"/>
                      <w:lang w:val="en-US" w:eastAsia="zh-CN"/>
                    </w:rPr>
                    <w:t>、</w:t>
                  </w:r>
                  <w:r>
                    <w:rPr>
                      <w:rFonts w:hint="eastAsia" w:cs="Times New Roman"/>
                      <w:color w:val="auto"/>
                      <w:szCs w:val="21"/>
                      <w:highlight w:val="none"/>
                      <w:lang w:val="en-US" w:eastAsia="zh-CN"/>
                    </w:rPr>
                    <w:t>料棚</w:t>
                  </w:r>
                  <w:r>
                    <w:rPr>
                      <w:rFonts w:hint="eastAsia" w:ascii="Times New Roman" w:hAnsi="Times New Roman" w:eastAsia="宋体" w:cs="Times New Roman"/>
                      <w:color w:val="auto"/>
                      <w:szCs w:val="21"/>
                      <w:highlight w:val="none"/>
                      <w:lang w:val="en-US" w:eastAsia="zh-CN"/>
                    </w:rPr>
                    <w:t>、上料、车辆运输</w:t>
                  </w:r>
                </w:p>
              </w:tc>
              <w:tc>
                <w:tcPr>
                  <w:tcW w:w="0" w:type="auto"/>
                  <w:tcBorders>
                    <w:tl2br w:val="nil"/>
                    <w:tr2bl w:val="nil"/>
                  </w:tcBorders>
                  <w:noWrap w:val="0"/>
                  <w:vAlign w:val="center"/>
                </w:tcPr>
                <w:p w14:paraId="71FC33F1">
                  <w:pPr>
                    <w:snapToGrid w:val="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颗粒物</w:t>
                  </w:r>
                </w:p>
              </w:tc>
            </w:tr>
            <w:tr w14:paraId="546CE1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l2br w:val="nil"/>
                    <w:tr2bl w:val="nil"/>
                  </w:tcBorders>
                  <w:noWrap w:val="0"/>
                  <w:vAlign w:val="center"/>
                </w:tcPr>
                <w:p w14:paraId="6A29059D">
                  <w:pPr>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噪声</w:t>
                  </w:r>
                </w:p>
              </w:tc>
              <w:tc>
                <w:tcPr>
                  <w:tcW w:w="0" w:type="auto"/>
                  <w:tcBorders>
                    <w:tl2br w:val="nil"/>
                    <w:tr2bl w:val="nil"/>
                  </w:tcBorders>
                  <w:noWrap w:val="0"/>
                  <w:vAlign w:val="center"/>
                </w:tcPr>
                <w:p w14:paraId="14923325">
                  <w:pPr>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设备噪声</w:t>
                  </w:r>
                </w:p>
              </w:tc>
              <w:tc>
                <w:tcPr>
                  <w:tcW w:w="0" w:type="auto"/>
                  <w:tcBorders>
                    <w:tl2br w:val="nil"/>
                    <w:tr2bl w:val="nil"/>
                  </w:tcBorders>
                  <w:noWrap w:val="0"/>
                  <w:vAlign w:val="center"/>
                </w:tcPr>
                <w:p w14:paraId="2CD318B1">
                  <w:pPr>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设备运转</w:t>
                  </w:r>
                </w:p>
              </w:tc>
              <w:tc>
                <w:tcPr>
                  <w:tcW w:w="0" w:type="auto"/>
                  <w:tcBorders>
                    <w:tl2br w:val="nil"/>
                    <w:tr2bl w:val="nil"/>
                  </w:tcBorders>
                  <w:noWrap w:val="0"/>
                  <w:vAlign w:val="center"/>
                </w:tcPr>
                <w:p w14:paraId="27C9C56B">
                  <w:pPr>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噪声</w:t>
                  </w:r>
                </w:p>
              </w:tc>
            </w:tr>
            <w:tr w14:paraId="7D4C66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Borders>
                    <w:tl2br w:val="nil"/>
                    <w:tr2bl w:val="nil"/>
                  </w:tcBorders>
                  <w:noWrap w:val="0"/>
                  <w:vAlign w:val="center"/>
                </w:tcPr>
                <w:p w14:paraId="18DE7BB8">
                  <w:pPr>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固废</w:t>
                  </w:r>
                </w:p>
              </w:tc>
              <w:tc>
                <w:tcPr>
                  <w:tcW w:w="0" w:type="auto"/>
                  <w:tcBorders>
                    <w:tl2br w:val="nil"/>
                    <w:tr2bl w:val="nil"/>
                  </w:tcBorders>
                  <w:noWrap w:val="0"/>
                  <w:vAlign w:val="center"/>
                </w:tcPr>
                <w:p w14:paraId="5D5CB0A7">
                  <w:pPr>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生活垃圾</w:t>
                  </w:r>
                </w:p>
              </w:tc>
              <w:tc>
                <w:tcPr>
                  <w:tcW w:w="0" w:type="auto"/>
                  <w:tcBorders>
                    <w:tl2br w:val="nil"/>
                    <w:tr2bl w:val="nil"/>
                  </w:tcBorders>
                  <w:noWrap w:val="0"/>
                  <w:vAlign w:val="center"/>
                </w:tcPr>
                <w:p w14:paraId="517224BD">
                  <w:pPr>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生活办公</w:t>
                  </w:r>
                </w:p>
              </w:tc>
              <w:tc>
                <w:tcPr>
                  <w:tcW w:w="0" w:type="auto"/>
                  <w:tcBorders>
                    <w:tl2br w:val="nil"/>
                    <w:tr2bl w:val="nil"/>
                  </w:tcBorders>
                  <w:noWrap w:val="0"/>
                  <w:vAlign w:val="center"/>
                </w:tcPr>
                <w:p w14:paraId="7BDF809A">
                  <w:pPr>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一般固废</w:t>
                  </w:r>
                </w:p>
              </w:tc>
            </w:tr>
            <w:tr w14:paraId="060703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noWrap w:val="0"/>
                  <w:vAlign w:val="center"/>
                </w:tcPr>
                <w:p w14:paraId="505279BD">
                  <w:pPr>
                    <w:snapToGrid w:val="0"/>
                    <w:jc w:val="center"/>
                    <w:rPr>
                      <w:rFonts w:hint="eastAsia" w:ascii="Times New Roman" w:hAnsi="Times New Roman" w:eastAsia="宋体" w:cs="Times New Roman"/>
                      <w:color w:val="auto"/>
                      <w:szCs w:val="21"/>
                      <w:highlight w:val="none"/>
                      <w:lang w:val="en-US" w:eastAsia="zh-CN"/>
                    </w:rPr>
                  </w:pPr>
                </w:p>
              </w:tc>
              <w:tc>
                <w:tcPr>
                  <w:tcW w:w="0" w:type="auto"/>
                  <w:tcBorders>
                    <w:tl2br w:val="nil"/>
                    <w:tr2bl w:val="nil"/>
                  </w:tcBorders>
                  <w:noWrap w:val="0"/>
                  <w:vAlign w:val="center"/>
                </w:tcPr>
                <w:p w14:paraId="4C8B4E43">
                  <w:pPr>
                    <w:snapToGrid w:val="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除尘器</w:t>
                  </w:r>
                  <w:r>
                    <w:rPr>
                      <w:rFonts w:hint="eastAsia" w:ascii="Times New Roman" w:hAnsi="Times New Roman" w:eastAsia="宋体" w:cs="Times New Roman"/>
                      <w:color w:val="auto"/>
                      <w:szCs w:val="21"/>
                      <w:highlight w:val="none"/>
                      <w:lang w:val="en-US" w:eastAsia="zh-CN"/>
                    </w:rPr>
                    <w:t>收集粉尘</w:t>
                  </w:r>
                </w:p>
              </w:tc>
              <w:tc>
                <w:tcPr>
                  <w:tcW w:w="0" w:type="auto"/>
                  <w:tcBorders>
                    <w:tl2br w:val="nil"/>
                    <w:tr2bl w:val="nil"/>
                  </w:tcBorders>
                  <w:noWrap w:val="0"/>
                  <w:vAlign w:val="center"/>
                </w:tcPr>
                <w:p w14:paraId="7DDE25B5">
                  <w:pPr>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废气治理</w:t>
                  </w:r>
                </w:p>
              </w:tc>
              <w:tc>
                <w:tcPr>
                  <w:tcW w:w="0" w:type="auto"/>
                  <w:tcBorders>
                    <w:tl2br w:val="nil"/>
                    <w:tr2bl w:val="nil"/>
                  </w:tcBorders>
                  <w:noWrap w:val="0"/>
                  <w:vAlign w:val="center"/>
                </w:tcPr>
                <w:p w14:paraId="04A792BD">
                  <w:pPr>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一般固废</w:t>
                  </w:r>
                </w:p>
              </w:tc>
            </w:tr>
            <w:tr w14:paraId="24DEFB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0" w:type="auto"/>
                  <w:vMerge w:val="continue"/>
                  <w:tcBorders>
                    <w:tl2br w:val="nil"/>
                    <w:tr2bl w:val="nil"/>
                  </w:tcBorders>
                  <w:noWrap w:val="0"/>
                  <w:vAlign w:val="center"/>
                </w:tcPr>
                <w:p w14:paraId="0071EE94">
                  <w:pPr>
                    <w:snapToGrid w:val="0"/>
                    <w:jc w:val="center"/>
                    <w:rPr>
                      <w:rFonts w:hint="eastAsia" w:ascii="Times New Roman" w:hAnsi="Times New Roman" w:eastAsia="宋体" w:cs="Times New Roman"/>
                      <w:color w:val="auto"/>
                      <w:szCs w:val="21"/>
                      <w:highlight w:val="none"/>
                      <w:lang w:val="en-US" w:eastAsia="zh-CN"/>
                    </w:rPr>
                  </w:pPr>
                </w:p>
              </w:tc>
              <w:tc>
                <w:tcPr>
                  <w:tcW w:w="0" w:type="auto"/>
                  <w:tcBorders>
                    <w:tl2br w:val="nil"/>
                    <w:tr2bl w:val="nil"/>
                  </w:tcBorders>
                  <w:noWrap w:val="0"/>
                  <w:vAlign w:val="center"/>
                </w:tcPr>
                <w:p w14:paraId="0553EEA4">
                  <w:pPr>
                    <w:snapToGrid w:val="0"/>
                    <w:jc w:val="center"/>
                    <w:rPr>
                      <w:rFonts w:hint="eastAsia" w:cs="Times New Roman"/>
                      <w:color w:val="auto"/>
                      <w:szCs w:val="21"/>
                      <w:highlight w:val="none"/>
                      <w:lang w:val="en-US" w:eastAsia="zh-CN"/>
                    </w:rPr>
                  </w:pPr>
                  <w:r>
                    <w:rPr>
                      <w:rFonts w:hint="eastAsia" w:cs="Times New Roman"/>
                      <w:color w:val="auto"/>
                      <w:szCs w:val="21"/>
                      <w:highlight w:val="none"/>
                      <w:lang w:val="en-US" w:eastAsia="zh-CN"/>
                    </w:rPr>
                    <w:t>废布袋</w:t>
                  </w:r>
                </w:p>
              </w:tc>
              <w:tc>
                <w:tcPr>
                  <w:tcW w:w="0" w:type="auto"/>
                  <w:tcBorders>
                    <w:tl2br w:val="nil"/>
                    <w:tr2bl w:val="nil"/>
                  </w:tcBorders>
                  <w:shd w:val="clear" w:color="auto" w:fill="auto"/>
                  <w:noWrap w:val="0"/>
                  <w:vAlign w:val="center"/>
                </w:tcPr>
                <w:p w14:paraId="6128C94A">
                  <w:pPr>
                    <w:snapToGri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废气治理</w:t>
                  </w:r>
                </w:p>
              </w:tc>
              <w:tc>
                <w:tcPr>
                  <w:tcW w:w="0" w:type="auto"/>
                  <w:tcBorders>
                    <w:tl2br w:val="nil"/>
                    <w:tr2bl w:val="nil"/>
                  </w:tcBorders>
                  <w:shd w:val="clear" w:color="auto" w:fill="auto"/>
                  <w:noWrap w:val="0"/>
                  <w:vAlign w:val="center"/>
                </w:tcPr>
                <w:p w14:paraId="50CE0611">
                  <w:pPr>
                    <w:snapToGri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一般固废</w:t>
                  </w:r>
                </w:p>
              </w:tc>
            </w:tr>
            <w:tr w14:paraId="38147D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noWrap w:val="0"/>
                  <w:vAlign w:val="center"/>
                </w:tcPr>
                <w:p w14:paraId="3131F4D1">
                  <w:pPr>
                    <w:snapToGrid w:val="0"/>
                    <w:jc w:val="center"/>
                    <w:rPr>
                      <w:rFonts w:hint="eastAsia" w:ascii="Times New Roman" w:hAnsi="Times New Roman" w:eastAsia="宋体" w:cs="Times New Roman"/>
                      <w:color w:val="auto"/>
                      <w:szCs w:val="21"/>
                      <w:highlight w:val="none"/>
                      <w:lang w:val="en-US" w:eastAsia="zh-CN"/>
                    </w:rPr>
                  </w:pPr>
                </w:p>
              </w:tc>
              <w:tc>
                <w:tcPr>
                  <w:tcW w:w="0" w:type="auto"/>
                  <w:tcBorders>
                    <w:tl2br w:val="nil"/>
                    <w:tr2bl w:val="nil"/>
                  </w:tcBorders>
                  <w:noWrap w:val="0"/>
                  <w:vAlign w:val="center"/>
                </w:tcPr>
                <w:p w14:paraId="4C232B12">
                  <w:pPr>
                    <w:snapToGrid w:val="0"/>
                    <w:jc w:val="center"/>
                    <w:rPr>
                      <w:rFonts w:hint="eastAsia" w:cs="Times New Roman"/>
                      <w:color w:val="auto"/>
                      <w:szCs w:val="21"/>
                      <w:highlight w:val="none"/>
                      <w:lang w:val="en-US" w:eastAsia="zh-CN"/>
                    </w:rPr>
                  </w:pPr>
                  <w:r>
                    <w:rPr>
                      <w:rFonts w:hint="eastAsia" w:cs="Times New Roman"/>
                      <w:color w:val="auto"/>
                      <w:szCs w:val="21"/>
                      <w:highlight w:val="none"/>
                      <w:lang w:val="en-US" w:eastAsia="zh-CN"/>
                    </w:rPr>
                    <w:t>沉淀池沉淀物</w:t>
                  </w:r>
                </w:p>
              </w:tc>
              <w:tc>
                <w:tcPr>
                  <w:tcW w:w="0" w:type="auto"/>
                  <w:tcBorders>
                    <w:tl2br w:val="nil"/>
                    <w:tr2bl w:val="nil"/>
                  </w:tcBorders>
                  <w:shd w:val="clear" w:color="auto" w:fill="auto"/>
                  <w:noWrap w:val="0"/>
                  <w:vAlign w:val="center"/>
                </w:tcPr>
                <w:p w14:paraId="3BC89CE9">
                  <w:pPr>
                    <w:snapToGrid w:val="0"/>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废水治理</w:t>
                  </w:r>
                </w:p>
              </w:tc>
              <w:tc>
                <w:tcPr>
                  <w:tcW w:w="0" w:type="auto"/>
                  <w:tcBorders>
                    <w:tl2br w:val="nil"/>
                    <w:tr2bl w:val="nil"/>
                  </w:tcBorders>
                  <w:shd w:val="clear" w:color="auto" w:fill="auto"/>
                  <w:noWrap w:val="0"/>
                  <w:vAlign w:val="center"/>
                </w:tcPr>
                <w:p w14:paraId="3F081ABB">
                  <w:pPr>
                    <w:snapToGrid w:val="0"/>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一般固废</w:t>
                  </w:r>
                </w:p>
              </w:tc>
            </w:tr>
            <w:tr w14:paraId="2343AB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noWrap w:val="0"/>
                  <w:vAlign w:val="center"/>
                </w:tcPr>
                <w:p w14:paraId="2CC33183">
                  <w:pPr>
                    <w:snapToGrid w:val="0"/>
                    <w:jc w:val="center"/>
                    <w:rPr>
                      <w:rFonts w:hint="eastAsia" w:ascii="Times New Roman" w:hAnsi="Times New Roman" w:eastAsia="宋体" w:cs="Times New Roman"/>
                      <w:color w:val="auto"/>
                      <w:szCs w:val="21"/>
                      <w:highlight w:val="none"/>
                      <w:lang w:val="en-US" w:eastAsia="zh-CN"/>
                    </w:rPr>
                  </w:pPr>
                </w:p>
              </w:tc>
              <w:tc>
                <w:tcPr>
                  <w:tcW w:w="0" w:type="auto"/>
                  <w:tcBorders>
                    <w:tl2br w:val="nil"/>
                    <w:tr2bl w:val="nil"/>
                  </w:tcBorders>
                  <w:noWrap w:val="0"/>
                  <w:vAlign w:val="center"/>
                </w:tcPr>
                <w:p w14:paraId="7A8E77DE">
                  <w:pPr>
                    <w:snapToGrid w:val="0"/>
                    <w:jc w:val="center"/>
                    <w:rPr>
                      <w:rFonts w:hint="eastAsia" w:cs="Times New Roman"/>
                      <w:color w:val="auto"/>
                      <w:szCs w:val="21"/>
                      <w:highlight w:val="none"/>
                      <w:lang w:val="en-US" w:eastAsia="zh-CN"/>
                    </w:rPr>
                  </w:pPr>
                  <w:r>
                    <w:rPr>
                      <w:rFonts w:hint="eastAsia" w:cs="Times New Roman"/>
                      <w:color w:val="auto"/>
                      <w:szCs w:val="21"/>
                      <w:highlight w:val="none"/>
                      <w:lang w:val="en-US" w:eastAsia="zh-CN"/>
                    </w:rPr>
                    <w:t>初期雨水收集池内沉淀污泥</w:t>
                  </w:r>
                </w:p>
              </w:tc>
              <w:tc>
                <w:tcPr>
                  <w:tcW w:w="0" w:type="auto"/>
                  <w:tcBorders>
                    <w:tl2br w:val="nil"/>
                    <w:tr2bl w:val="nil"/>
                  </w:tcBorders>
                  <w:shd w:val="clear" w:color="auto" w:fill="auto"/>
                  <w:noWrap w:val="0"/>
                  <w:vAlign w:val="center"/>
                </w:tcPr>
                <w:p w14:paraId="173EF3CC">
                  <w:pPr>
                    <w:snapToGrid w:val="0"/>
                    <w:jc w:val="center"/>
                    <w:rPr>
                      <w:rFonts w:hint="eastAsia" w:cs="Times New Roman"/>
                      <w:color w:val="auto"/>
                      <w:szCs w:val="21"/>
                      <w:highlight w:val="none"/>
                      <w:lang w:val="en-US" w:eastAsia="zh-CN"/>
                    </w:rPr>
                  </w:pPr>
                  <w:r>
                    <w:rPr>
                      <w:rFonts w:hint="eastAsia" w:cs="Times New Roman"/>
                      <w:color w:val="auto"/>
                      <w:szCs w:val="21"/>
                      <w:highlight w:val="none"/>
                      <w:lang w:val="en-US" w:eastAsia="zh-CN"/>
                    </w:rPr>
                    <w:t>废水治理</w:t>
                  </w:r>
                </w:p>
              </w:tc>
              <w:tc>
                <w:tcPr>
                  <w:tcW w:w="0" w:type="auto"/>
                  <w:tcBorders>
                    <w:tl2br w:val="nil"/>
                    <w:tr2bl w:val="nil"/>
                  </w:tcBorders>
                  <w:shd w:val="clear" w:color="auto" w:fill="auto"/>
                  <w:noWrap w:val="0"/>
                  <w:vAlign w:val="center"/>
                </w:tcPr>
                <w:p w14:paraId="2B1A8647">
                  <w:pPr>
                    <w:snapToGrid w:val="0"/>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一般固废</w:t>
                  </w:r>
                </w:p>
              </w:tc>
            </w:tr>
            <w:tr w14:paraId="682F6F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noWrap w:val="0"/>
                  <w:vAlign w:val="center"/>
                </w:tcPr>
                <w:p w14:paraId="6A491F29">
                  <w:pPr>
                    <w:snapToGrid w:val="0"/>
                    <w:jc w:val="center"/>
                    <w:rPr>
                      <w:rFonts w:hint="eastAsia" w:ascii="Times New Roman" w:hAnsi="Times New Roman" w:eastAsia="宋体" w:cs="Times New Roman"/>
                      <w:color w:val="auto"/>
                      <w:szCs w:val="21"/>
                      <w:highlight w:val="none"/>
                      <w:lang w:val="en-US" w:eastAsia="zh-CN"/>
                    </w:rPr>
                  </w:pPr>
                </w:p>
              </w:tc>
              <w:tc>
                <w:tcPr>
                  <w:tcW w:w="0" w:type="auto"/>
                  <w:tcBorders>
                    <w:tl2br w:val="nil"/>
                    <w:tr2bl w:val="nil"/>
                  </w:tcBorders>
                  <w:noWrap w:val="0"/>
                  <w:vAlign w:val="center"/>
                </w:tcPr>
                <w:p w14:paraId="24B05AC4">
                  <w:pPr>
                    <w:snapToGrid w:val="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化验室废试样</w:t>
                  </w:r>
                </w:p>
              </w:tc>
              <w:tc>
                <w:tcPr>
                  <w:tcW w:w="0" w:type="auto"/>
                  <w:tcBorders>
                    <w:tl2br w:val="nil"/>
                    <w:tr2bl w:val="nil"/>
                  </w:tcBorders>
                  <w:noWrap w:val="0"/>
                  <w:vAlign w:val="center"/>
                </w:tcPr>
                <w:p w14:paraId="0BCBF5EA">
                  <w:pPr>
                    <w:snapToGrid w:val="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化验室</w:t>
                  </w:r>
                </w:p>
              </w:tc>
              <w:tc>
                <w:tcPr>
                  <w:tcW w:w="0" w:type="auto"/>
                  <w:tcBorders>
                    <w:tl2br w:val="nil"/>
                    <w:tr2bl w:val="nil"/>
                  </w:tcBorders>
                  <w:noWrap w:val="0"/>
                  <w:vAlign w:val="center"/>
                </w:tcPr>
                <w:p w14:paraId="447DE7A5">
                  <w:pPr>
                    <w:snapToGrid w:val="0"/>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一般固废</w:t>
                  </w:r>
                </w:p>
              </w:tc>
            </w:tr>
          </w:tbl>
          <w:p w14:paraId="79375D2B">
            <w:pPr>
              <w:adjustRightInd w:val="0"/>
              <w:snapToGrid w:val="0"/>
              <w:jc w:val="center"/>
              <w:rPr>
                <w:rFonts w:hint="default" w:ascii="宋体" w:hAnsi="宋体" w:eastAsia="宋体"/>
                <w:bCs/>
                <w:sz w:val="24"/>
                <w:szCs w:val="24"/>
                <w:highlight w:val="cyan"/>
                <w:lang w:val="en-US" w:eastAsia="zh-CN"/>
              </w:rPr>
            </w:pPr>
          </w:p>
        </w:tc>
      </w:tr>
      <w:tr w14:paraId="6F97AE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533" w:type="dxa"/>
            <w:noWrap w:val="0"/>
            <w:vAlign w:val="center"/>
          </w:tcPr>
          <w:p w14:paraId="3E130245">
            <w:pPr>
              <w:pStyle w:val="21"/>
              <w:adjustRightInd w:val="0"/>
              <w:snapToGrid w:val="0"/>
              <w:spacing w:before="0" w:beforeAutospacing="0" w:after="0" w:afterAutospacing="0"/>
              <w:jc w:val="center"/>
              <w:rPr>
                <w:rFonts w:cs="宋体"/>
                <w:sz w:val="24"/>
                <w:szCs w:val="24"/>
                <w:highlight w:val="none"/>
              </w:rPr>
            </w:pPr>
            <w:r>
              <w:rPr>
                <w:rFonts w:hint="eastAsia" w:cs="宋体"/>
                <w:b/>
                <w:bCs w:val="0"/>
                <w:kern w:val="2"/>
                <w:sz w:val="24"/>
                <w:szCs w:val="24"/>
                <w:highlight w:val="none"/>
              </w:rPr>
              <w:t>与项目有关的原有环境污染问题</w:t>
            </w:r>
          </w:p>
        </w:tc>
        <w:tc>
          <w:tcPr>
            <w:tcW w:w="8527" w:type="dxa"/>
            <w:noWrap w:val="0"/>
            <w:vAlign w:val="center"/>
          </w:tcPr>
          <w:p w14:paraId="4C7E4F21">
            <w:pPr>
              <w:adjustRightInd w:val="0"/>
              <w:snapToGrid w:val="0"/>
              <w:spacing w:line="360" w:lineRule="auto"/>
              <w:ind w:firstLine="480" w:firstLineChars="200"/>
              <w:jc w:val="both"/>
              <w:rPr>
                <w:rFonts w:hint="eastAsia" w:ascii="Times New Roman" w:hAnsi="Times New Roman" w:eastAsia="宋体" w:cs="Times New Roman"/>
                <w:iCs/>
                <w:color w:val="FF0000"/>
                <w:sz w:val="24"/>
                <w:szCs w:val="24"/>
                <w:highlight w:val="none"/>
                <w:u w:val="single" w:color="auto"/>
                <w:lang w:eastAsia="zh-CN"/>
              </w:rPr>
            </w:pPr>
          </w:p>
          <w:p w14:paraId="0FB5B007">
            <w:pPr>
              <w:adjustRightInd w:val="0"/>
              <w:snapToGrid w:val="0"/>
              <w:spacing w:line="360" w:lineRule="auto"/>
              <w:ind w:firstLine="480" w:firstLineChars="200"/>
              <w:jc w:val="both"/>
              <w:rPr>
                <w:rFonts w:hint="eastAsia" w:ascii="Times New Roman" w:hAnsi="Times New Roman" w:eastAsia="宋体" w:cs="Times New Roman"/>
                <w:iCs/>
                <w:color w:val="FF0000"/>
                <w:sz w:val="24"/>
                <w:szCs w:val="24"/>
                <w:highlight w:val="none"/>
                <w:u w:val="single" w:color="auto"/>
                <w:lang w:eastAsia="zh-CN"/>
              </w:rPr>
            </w:pPr>
          </w:p>
          <w:p w14:paraId="7FD968A0">
            <w:pPr>
              <w:adjustRightInd w:val="0"/>
              <w:snapToGrid w:val="0"/>
              <w:spacing w:line="360" w:lineRule="auto"/>
              <w:ind w:firstLine="480" w:firstLineChars="200"/>
              <w:jc w:val="both"/>
              <w:rPr>
                <w:rFonts w:hint="eastAsia" w:ascii="Times New Roman" w:hAnsi="Times New Roman" w:eastAsia="宋体" w:cs="Times New Roman"/>
                <w:iCs/>
                <w:color w:val="FF0000"/>
                <w:sz w:val="24"/>
                <w:szCs w:val="24"/>
                <w:highlight w:val="none"/>
                <w:u w:val="single" w:color="auto"/>
                <w:lang w:eastAsia="zh-CN"/>
              </w:rPr>
            </w:pPr>
          </w:p>
          <w:p w14:paraId="4430764F">
            <w:pPr>
              <w:adjustRightInd w:val="0"/>
              <w:snapToGrid w:val="0"/>
              <w:spacing w:line="360" w:lineRule="auto"/>
              <w:ind w:firstLine="480" w:firstLineChars="200"/>
              <w:jc w:val="both"/>
              <w:rPr>
                <w:rFonts w:hint="eastAsia" w:ascii="Times New Roman" w:hAnsi="Times New Roman" w:eastAsia="宋体" w:cs="Times New Roman"/>
                <w:iCs/>
                <w:color w:val="FF0000"/>
                <w:sz w:val="24"/>
                <w:szCs w:val="24"/>
                <w:highlight w:val="none"/>
                <w:u w:val="single" w:color="auto"/>
                <w:lang w:eastAsia="zh-CN"/>
              </w:rPr>
            </w:pPr>
          </w:p>
          <w:p w14:paraId="0CEFD825">
            <w:pPr>
              <w:adjustRightInd w:val="0"/>
              <w:snapToGrid w:val="0"/>
              <w:spacing w:line="360" w:lineRule="auto"/>
              <w:ind w:firstLine="480" w:firstLineChars="200"/>
              <w:jc w:val="both"/>
              <w:rPr>
                <w:rFonts w:hint="eastAsia" w:ascii="Times New Roman" w:hAnsi="Times New Roman" w:eastAsia="宋体" w:cs="Times New Roman"/>
                <w:iCs/>
                <w:color w:val="FF0000"/>
                <w:sz w:val="24"/>
                <w:szCs w:val="24"/>
                <w:highlight w:val="none"/>
                <w:u w:val="single" w:color="auto"/>
                <w:lang w:eastAsia="zh-CN"/>
              </w:rPr>
            </w:pPr>
          </w:p>
          <w:p w14:paraId="7EA91FC5">
            <w:pPr>
              <w:adjustRightInd w:val="0"/>
              <w:snapToGrid w:val="0"/>
              <w:spacing w:line="360" w:lineRule="auto"/>
              <w:ind w:firstLine="480" w:firstLineChars="200"/>
              <w:jc w:val="both"/>
              <w:rPr>
                <w:rFonts w:hint="eastAsia" w:ascii="Times New Roman" w:hAnsi="Times New Roman" w:eastAsia="宋体" w:cs="Times New Roman"/>
                <w:iCs/>
                <w:color w:val="FF0000"/>
                <w:sz w:val="24"/>
                <w:szCs w:val="24"/>
                <w:highlight w:val="none"/>
                <w:u w:val="single" w:color="auto"/>
                <w:lang w:eastAsia="zh-CN"/>
              </w:rPr>
            </w:pPr>
          </w:p>
          <w:p w14:paraId="4375AB25">
            <w:pPr>
              <w:adjustRightInd w:val="0"/>
              <w:snapToGrid w:val="0"/>
              <w:spacing w:line="360" w:lineRule="auto"/>
              <w:ind w:firstLine="480" w:firstLineChars="200"/>
              <w:jc w:val="both"/>
              <w:rPr>
                <w:rFonts w:hint="eastAsia" w:ascii="Times New Roman" w:hAnsi="Times New Roman" w:eastAsia="宋体" w:cs="Times New Roman"/>
                <w:iCs/>
                <w:color w:val="FF0000"/>
                <w:sz w:val="24"/>
                <w:szCs w:val="24"/>
                <w:highlight w:val="none"/>
                <w:u w:val="single" w:color="auto"/>
                <w:lang w:eastAsia="zh-CN"/>
              </w:rPr>
            </w:pPr>
          </w:p>
          <w:p w14:paraId="26F7E07C">
            <w:pPr>
              <w:adjustRightInd w:val="0"/>
              <w:snapToGrid w:val="0"/>
              <w:spacing w:line="360" w:lineRule="auto"/>
              <w:ind w:firstLine="480" w:firstLineChars="200"/>
              <w:jc w:val="both"/>
              <w:rPr>
                <w:rFonts w:hint="eastAsia" w:ascii="Times New Roman" w:hAnsi="Times New Roman" w:eastAsia="宋体" w:cs="Times New Roman"/>
                <w:iCs/>
                <w:color w:val="FF0000"/>
                <w:sz w:val="24"/>
                <w:szCs w:val="24"/>
                <w:highlight w:val="none"/>
                <w:u w:val="single" w:color="auto"/>
                <w:lang w:eastAsia="zh-CN"/>
              </w:rPr>
            </w:pPr>
          </w:p>
          <w:p w14:paraId="1F084BA3">
            <w:pPr>
              <w:adjustRightInd w:val="0"/>
              <w:snapToGrid w:val="0"/>
              <w:spacing w:line="360" w:lineRule="auto"/>
              <w:ind w:firstLine="480" w:firstLineChars="200"/>
              <w:jc w:val="both"/>
              <w:rPr>
                <w:rFonts w:hint="eastAsia" w:ascii="Times New Roman" w:hAnsi="Times New Roman" w:eastAsia="宋体" w:cs="Times New Roman"/>
                <w:iCs/>
                <w:color w:val="FF0000"/>
                <w:sz w:val="24"/>
                <w:szCs w:val="24"/>
                <w:highlight w:val="none"/>
                <w:u w:val="single" w:color="auto"/>
                <w:lang w:eastAsia="zh-CN"/>
              </w:rPr>
            </w:pPr>
          </w:p>
          <w:p w14:paraId="2798011B">
            <w:pPr>
              <w:adjustRightInd w:val="0"/>
              <w:snapToGrid w:val="0"/>
              <w:spacing w:line="360" w:lineRule="auto"/>
              <w:ind w:firstLine="480" w:firstLineChars="200"/>
              <w:jc w:val="both"/>
              <w:rPr>
                <w:rFonts w:hint="eastAsia" w:ascii="Times New Roman" w:hAnsi="Times New Roman" w:eastAsia="宋体" w:cs="Times New Roman"/>
                <w:iCs/>
                <w:color w:val="FF0000"/>
                <w:sz w:val="24"/>
                <w:szCs w:val="24"/>
                <w:highlight w:val="none"/>
                <w:u w:val="single" w:color="auto"/>
                <w:lang w:eastAsia="zh-CN"/>
              </w:rPr>
            </w:pPr>
          </w:p>
          <w:p w14:paraId="1CE2B29B">
            <w:pPr>
              <w:adjustRightInd w:val="0"/>
              <w:snapToGrid w:val="0"/>
              <w:spacing w:line="360" w:lineRule="auto"/>
              <w:ind w:firstLine="480" w:firstLineChars="200"/>
              <w:jc w:val="both"/>
              <w:rPr>
                <w:rFonts w:hint="eastAsia" w:ascii="Times New Roman" w:hAnsi="Times New Roman" w:eastAsia="宋体" w:cs="Times New Roman"/>
                <w:iCs/>
                <w:color w:val="FF0000"/>
                <w:sz w:val="24"/>
                <w:szCs w:val="24"/>
                <w:highlight w:val="none"/>
                <w:u w:val="single" w:color="auto"/>
                <w:lang w:eastAsia="zh-CN"/>
              </w:rPr>
            </w:pPr>
          </w:p>
          <w:p w14:paraId="67BF6D7C">
            <w:pPr>
              <w:adjustRightInd w:val="0"/>
              <w:snapToGrid w:val="0"/>
              <w:spacing w:line="360" w:lineRule="auto"/>
              <w:ind w:firstLine="480" w:firstLineChars="200"/>
              <w:jc w:val="both"/>
              <w:rPr>
                <w:rFonts w:hint="eastAsia" w:ascii="Times New Roman" w:hAnsi="Times New Roman" w:eastAsia="宋体" w:cs="Times New Roman"/>
                <w:iCs/>
                <w:color w:val="FF0000"/>
                <w:sz w:val="24"/>
                <w:szCs w:val="24"/>
                <w:highlight w:val="none"/>
                <w:u w:val="single" w:color="auto"/>
                <w:lang w:eastAsia="zh-CN"/>
              </w:rPr>
            </w:pPr>
          </w:p>
          <w:p w14:paraId="050D3838">
            <w:pPr>
              <w:adjustRightInd w:val="0"/>
              <w:snapToGrid w:val="0"/>
              <w:spacing w:line="360" w:lineRule="auto"/>
              <w:ind w:firstLine="480" w:firstLineChars="200"/>
              <w:jc w:val="both"/>
              <w:rPr>
                <w:rFonts w:hint="eastAsia" w:ascii="Times New Roman" w:hAnsi="Times New Roman" w:eastAsia="宋体" w:cs="Times New Roman"/>
                <w:iCs/>
                <w:color w:val="FF0000"/>
                <w:sz w:val="24"/>
                <w:szCs w:val="24"/>
                <w:highlight w:val="none"/>
                <w:u w:val="single" w:color="auto"/>
                <w:lang w:eastAsia="zh-CN"/>
              </w:rPr>
            </w:pPr>
          </w:p>
          <w:p w14:paraId="21BF37EF">
            <w:pPr>
              <w:adjustRightInd w:val="0"/>
              <w:snapToGrid w:val="0"/>
              <w:spacing w:line="360" w:lineRule="auto"/>
              <w:ind w:firstLine="480" w:firstLineChars="200"/>
              <w:jc w:val="both"/>
              <w:rPr>
                <w:rFonts w:hint="eastAsia" w:ascii="Times New Roman" w:hAnsi="Times New Roman" w:eastAsia="宋体" w:cs="Times New Roman"/>
                <w:iCs/>
                <w:color w:val="auto"/>
                <w:sz w:val="24"/>
                <w:szCs w:val="24"/>
                <w:highlight w:val="none"/>
                <w:u w:val="single" w:color="auto"/>
                <w:lang w:eastAsia="zh-CN"/>
              </w:rPr>
            </w:pPr>
          </w:p>
          <w:p w14:paraId="0507C1CF">
            <w:pPr>
              <w:adjustRightInd w:val="0"/>
              <w:snapToGrid w:val="0"/>
              <w:spacing w:line="360" w:lineRule="auto"/>
              <w:ind w:firstLine="480" w:firstLineChars="200"/>
              <w:jc w:val="both"/>
              <w:rPr>
                <w:rFonts w:hint="eastAsia" w:ascii="Times New Roman" w:hAnsi="Times New Roman" w:eastAsia="宋体" w:cs="Times New Roman"/>
                <w:iCs/>
                <w:color w:val="auto"/>
                <w:sz w:val="24"/>
                <w:szCs w:val="24"/>
                <w:highlight w:val="none"/>
                <w:u w:val="single" w:color="auto"/>
                <w:lang w:eastAsia="zh-CN"/>
              </w:rPr>
            </w:pPr>
            <w:r>
              <w:rPr>
                <w:rFonts w:hint="eastAsia" w:ascii="Times New Roman" w:hAnsi="Times New Roman" w:eastAsia="宋体" w:cs="Times New Roman"/>
                <w:iCs/>
                <w:color w:val="auto"/>
                <w:sz w:val="24"/>
                <w:szCs w:val="24"/>
                <w:highlight w:val="none"/>
                <w:u w:val="single" w:color="auto"/>
                <w:lang w:eastAsia="zh-CN"/>
              </w:rPr>
              <w:t>本</w:t>
            </w:r>
            <w:r>
              <w:rPr>
                <w:rFonts w:hint="eastAsia" w:ascii="Times New Roman" w:hAnsi="Times New Roman" w:eastAsia="宋体" w:cs="Times New Roman"/>
                <w:iCs/>
                <w:color w:val="auto"/>
                <w:sz w:val="24"/>
                <w:szCs w:val="24"/>
                <w:highlight w:val="none"/>
                <w:u w:val="single" w:color="auto"/>
              </w:rPr>
              <w:t>项目</w:t>
            </w:r>
            <w:r>
              <w:rPr>
                <w:color w:val="auto"/>
                <w:sz w:val="24"/>
                <w:szCs w:val="24"/>
                <w:highlight w:val="none"/>
                <w:u w:val="single" w:color="auto"/>
              </w:rPr>
              <w:t>位于</w:t>
            </w:r>
            <w:r>
              <w:rPr>
                <w:rFonts w:hint="eastAsia" w:ascii="宋体" w:hAnsi="宋体" w:cs="宋体"/>
                <w:color w:val="auto"/>
                <w:sz w:val="24"/>
                <w:szCs w:val="24"/>
                <w:highlight w:val="none"/>
                <w:u w:val="single" w:color="auto"/>
                <w:lang w:val="en-US" w:eastAsia="zh-CN"/>
              </w:rPr>
              <w:t>吉</w:t>
            </w:r>
            <w:r>
              <w:rPr>
                <w:rFonts w:hint="eastAsia" w:ascii="宋体" w:hAnsi="宋体" w:eastAsia="宋体" w:cs="宋体"/>
                <w:color w:val="auto"/>
                <w:sz w:val="24"/>
                <w:szCs w:val="24"/>
                <w:highlight w:val="none"/>
                <w:u w:val="single" w:color="auto"/>
                <w:lang w:val="en-US" w:eastAsia="zh-CN"/>
              </w:rPr>
              <w:t>林省白山市</w:t>
            </w:r>
            <w:r>
              <w:rPr>
                <w:rFonts w:hint="eastAsia" w:ascii="宋体" w:hAnsi="宋体" w:cs="宋体"/>
                <w:color w:val="auto"/>
                <w:sz w:val="24"/>
                <w:szCs w:val="24"/>
                <w:highlight w:val="none"/>
                <w:u w:val="single" w:color="auto"/>
                <w:lang w:val="en-US" w:eastAsia="zh-CN"/>
              </w:rPr>
              <w:t>临江市桦树镇西大川村</w:t>
            </w:r>
            <w:r>
              <w:rPr>
                <w:rFonts w:hint="default" w:ascii="Times New Roman" w:hAnsi="Times New Roman" w:eastAsia="宋体" w:cs="Times New Roman"/>
                <w:iCs/>
                <w:color w:val="auto"/>
                <w:sz w:val="24"/>
                <w:szCs w:val="24"/>
                <w:highlight w:val="none"/>
                <w:u w:val="single" w:color="auto"/>
                <w:lang w:val="en-US" w:eastAsia="zh-CN"/>
              </w:rPr>
              <w:t>，占地面积为</w:t>
            </w:r>
            <w:r>
              <w:rPr>
                <w:rFonts w:hint="eastAsia" w:cs="Times New Roman"/>
                <w:iCs/>
                <w:color w:val="auto"/>
                <w:sz w:val="24"/>
                <w:szCs w:val="24"/>
                <w:highlight w:val="none"/>
                <w:u w:val="single" w:color="auto"/>
                <w:lang w:val="en-US" w:eastAsia="zh-CN"/>
              </w:rPr>
              <w:t>9859</w:t>
            </w:r>
            <w:r>
              <w:rPr>
                <w:rFonts w:hint="default" w:ascii="Times New Roman" w:hAnsi="Times New Roman" w:eastAsia="宋体" w:cs="Times New Roman"/>
                <w:iCs/>
                <w:color w:val="auto"/>
                <w:sz w:val="24"/>
                <w:szCs w:val="24"/>
                <w:highlight w:val="none"/>
                <w:u w:val="single" w:color="auto"/>
                <w:lang w:val="en-US" w:eastAsia="zh-CN"/>
              </w:rPr>
              <w:t>m</w:t>
            </w:r>
            <w:r>
              <w:rPr>
                <w:rFonts w:hint="default" w:ascii="Times New Roman" w:hAnsi="Times New Roman" w:eastAsia="宋体" w:cs="Times New Roman"/>
                <w:iCs/>
                <w:color w:val="auto"/>
                <w:sz w:val="24"/>
                <w:szCs w:val="24"/>
                <w:highlight w:val="none"/>
                <w:u w:val="single" w:color="auto"/>
                <w:vertAlign w:val="superscript"/>
                <w:lang w:val="en-US" w:eastAsia="zh-CN"/>
              </w:rPr>
              <w:t>2</w:t>
            </w:r>
            <w:r>
              <w:rPr>
                <w:rFonts w:hint="default" w:ascii="Times New Roman" w:hAnsi="Times New Roman" w:eastAsia="宋体" w:cs="Times New Roman"/>
                <w:iCs/>
                <w:color w:val="auto"/>
                <w:sz w:val="24"/>
                <w:szCs w:val="24"/>
                <w:highlight w:val="none"/>
                <w:u w:val="single" w:color="auto"/>
                <w:lang w:val="en-US" w:eastAsia="zh-CN"/>
              </w:rPr>
              <w:t>，</w:t>
            </w:r>
            <w:r>
              <w:rPr>
                <w:rFonts w:hint="eastAsia" w:cs="Times New Roman"/>
                <w:iCs/>
                <w:color w:val="auto"/>
                <w:sz w:val="24"/>
                <w:szCs w:val="24"/>
                <w:highlight w:val="none"/>
                <w:u w:val="single" w:color="auto"/>
                <w:lang w:val="en-US" w:eastAsia="zh-CN"/>
              </w:rPr>
              <w:t>用地性质为林地（全部为桦树镇西大川集体林地）和草地，为临时用地，现状为裸露空地，无植被、无采伐林木，无可剥离表土，无历史遗留环境污染问题。</w:t>
            </w:r>
          </w:p>
          <w:p w14:paraId="37FF9A27">
            <w:pPr>
              <w:adjustRightInd w:val="0"/>
              <w:snapToGrid w:val="0"/>
              <w:spacing w:line="360" w:lineRule="auto"/>
              <w:ind w:firstLine="480" w:firstLineChars="200"/>
              <w:jc w:val="both"/>
              <w:rPr>
                <w:rFonts w:hint="eastAsia" w:ascii="Times New Roman" w:hAnsi="Times New Roman" w:eastAsia="宋体" w:cs="Times New Roman"/>
                <w:iCs/>
                <w:color w:val="FF0000"/>
                <w:sz w:val="24"/>
                <w:szCs w:val="24"/>
                <w:highlight w:val="none"/>
                <w:u w:val="single" w:color="auto"/>
                <w:lang w:eastAsia="zh-CN"/>
              </w:rPr>
            </w:pPr>
          </w:p>
          <w:p w14:paraId="1A421366">
            <w:pPr>
              <w:adjustRightInd w:val="0"/>
              <w:snapToGrid w:val="0"/>
              <w:spacing w:line="360" w:lineRule="auto"/>
              <w:ind w:firstLine="480" w:firstLineChars="200"/>
              <w:jc w:val="both"/>
              <w:rPr>
                <w:rFonts w:hint="eastAsia" w:ascii="Times New Roman" w:hAnsi="Times New Roman" w:eastAsia="宋体" w:cs="Times New Roman"/>
                <w:iCs/>
                <w:color w:val="FF0000"/>
                <w:sz w:val="24"/>
                <w:szCs w:val="24"/>
                <w:highlight w:val="none"/>
                <w:u w:val="single" w:color="auto"/>
                <w:lang w:eastAsia="zh-CN"/>
              </w:rPr>
            </w:pPr>
          </w:p>
          <w:p w14:paraId="36520A5F">
            <w:pPr>
              <w:adjustRightInd w:val="0"/>
              <w:snapToGrid w:val="0"/>
              <w:spacing w:line="360" w:lineRule="auto"/>
              <w:ind w:firstLine="480" w:firstLineChars="200"/>
              <w:jc w:val="both"/>
              <w:rPr>
                <w:rFonts w:hint="eastAsia" w:ascii="Times New Roman" w:hAnsi="Times New Roman" w:eastAsia="宋体" w:cs="Times New Roman"/>
                <w:iCs/>
                <w:color w:val="FF0000"/>
                <w:sz w:val="24"/>
                <w:szCs w:val="24"/>
                <w:highlight w:val="none"/>
                <w:u w:val="single" w:color="auto"/>
                <w:lang w:eastAsia="zh-CN"/>
              </w:rPr>
            </w:pPr>
          </w:p>
          <w:p w14:paraId="786FE7D3">
            <w:pPr>
              <w:adjustRightInd w:val="0"/>
              <w:snapToGrid w:val="0"/>
              <w:spacing w:line="360" w:lineRule="auto"/>
              <w:ind w:firstLine="480" w:firstLineChars="200"/>
              <w:jc w:val="both"/>
              <w:rPr>
                <w:rFonts w:hint="eastAsia" w:ascii="Times New Roman" w:hAnsi="Times New Roman" w:eastAsia="宋体" w:cs="Times New Roman"/>
                <w:iCs/>
                <w:color w:val="FF0000"/>
                <w:sz w:val="24"/>
                <w:szCs w:val="24"/>
                <w:highlight w:val="none"/>
                <w:u w:val="single" w:color="auto"/>
                <w:lang w:eastAsia="zh-CN"/>
              </w:rPr>
            </w:pPr>
          </w:p>
          <w:p w14:paraId="7DD739D3">
            <w:pPr>
              <w:adjustRightInd w:val="0"/>
              <w:snapToGrid w:val="0"/>
              <w:spacing w:line="360" w:lineRule="auto"/>
              <w:ind w:firstLine="480" w:firstLineChars="200"/>
              <w:jc w:val="both"/>
              <w:rPr>
                <w:rFonts w:hint="eastAsia" w:ascii="Times New Roman" w:hAnsi="Times New Roman" w:eastAsia="宋体" w:cs="Times New Roman"/>
                <w:iCs/>
                <w:color w:val="FF0000"/>
                <w:sz w:val="24"/>
                <w:szCs w:val="24"/>
                <w:highlight w:val="none"/>
                <w:u w:val="single" w:color="auto"/>
                <w:lang w:eastAsia="zh-CN"/>
              </w:rPr>
            </w:pPr>
          </w:p>
          <w:p w14:paraId="014D9461">
            <w:pPr>
              <w:adjustRightInd w:val="0"/>
              <w:snapToGrid w:val="0"/>
              <w:spacing w:line="360" w:lineRule="auto"/>
              <w:ind w:firstLine="480" w:firstLineChars="200"/>
              <w:jc w:val="both"/>
              <w:rPr>
                <w:rFonts w:hint="eastAsia" w:ascii="Times New Roman" w:hAnsi="Times New Roman" w:eastAsia="宋体" w:cs="Times New Roman"/>
                <w:iCs/>
                <w:color w:val="FF0000"/>
                <w:sz w:val="24"/>
                <w:szCs w:val="24"/>
                <w:highlight w:val="none"/>
                <w:u w:val="single" w:color="auto"/>
                <w:lang w:eastAsia="zh-CN"/>
              </w:rPr>
            </w:pPr>
          </w:p>
          <w:p w14:paraId="1256CB96">
            <w:pPr>
              <w:adjustRightInd w:val="0"/>
              <w:snapToGrid w:val="0"/>
              <w:spacing w:line="360" w:lineRule="auto"/>
              <w:ind w:firstLine="480" w:firstLineChars="200"/>
              <w:jc w:val="both"/>
              <w:rPr>
                <w:rFonts w:hint="eastAsia" w:ascii="Times New Roman" w:hAnsi="Times New Roman" w:eastAsia="宋体" w:cs="Times New Roman"/>
                <w:iCs/>
                <w:color w:val="FF0000"/>
                <w:sz w:val="24"/>
                <w:szCs w:val="24"/>
                <w:highlight w:val="none"/>
                <w:u w:val="single" w:color="auto"/>
                <w:lang w:eastAsia="zh-CN"/>
              </w:rPr>
            </w:pPr>
          </w:p>
          <w:p w14:paraId="5DF759DA">
            <w:pPr>
              <w:adjustRightInd w:val="0"/>
              <w:snapToGrid w:val="0"/>
              <w:spacing w:line="360" w:lineRule="auto"/>
              <w:ind w:firstLine="480" w:firstLineChars="200"/>
              <w:jc w:val="both"/>
              <w:rPr>
                <w:rFonts w:hint="eastAsia" w:ascii="Times New Roman" w:hAnsi="Times New Roman" w:eastAsia="宋体" w:cs="Times New Roman"/>
                <w:iCs/>
                <w:color w:val="FF0000"/>
                <w:sz w:val="24"/>
                <w:szCs w:val="24"/>
                <w:highlight w:val="none"/>
                <w:u w:val="single" w:color="auto"/>
                <w:lang w:eastAsia="zh-CN"/>
              </w:rPr>
            </w:pPr>
          </w:p>
          <w:p w14:paraId="5404546E">
            <w:pPr>
              <w:adjustRightInd w:val="0"/>
              <w:snapToGrid w:val="0"/>
              <w:spacing w:line="360" w:lineRule="auto"/>
              <w:ind w:firstLine="480" w:firstLineChars="200"/>
              <w:jc w:val="both"/>
              <w:rPr>
                <w:rFonts w:hint="eastAsia" w:ascii="Times New Roman" w:hAnsi="Times New Roman" w:eastAsia="宋体" w:cs="Times New Roman"/>
                <w:iCs/>
                <w:color w:val="FF0000"/>
                <w:sz w:val="24"/>
                <w:szCs w:val="24"/>
                <w:highlight w:val="none"/>
                <w:u w:val="single" w:color="auto"/>
                <w:lang w:eastAsia="zh-CN"/>
              </w:rPr>
            </w:pPr>
          </w:p>
          <w:p w14:paraId="1F918ABB">
            <w:pPr>
              <w:adjustRightInd w:val="0"/>
              <w:snapToGrid w:val="0"/>
              <w:spacing w:line="360" w:lineRule="auto"/>
              <w:ind w:firstLine="480" w:firstLineChars="200"/>
              <w:jc w:val="both"/>
              <w:rPr>
                <w:rFonts w:hint="eastAsia" w:ascii="Times New Roman" w:hAnsi="Times New Roman" w:eastAsia="宋体" w:cs="Times New Roman"/>
                <w:iCs/>
                <w:color w:val="FF0000"/>
                <w:sz w:val="24"/>
                <w:szCs w:val="24"/>
                <w:highlight w:val="none"/>
                <w:u w:val="single" w:color="auto"/>
                <w:lang w:eastAsia="zh-CN"/>
              </w:rPr>
            </w:pPr>
          </w:p>
          <w:p w14:paraId="5E673792">
            <w:pPr>
              <w:adjustRightInd w:val="0"/>
              <w:snapToGrid w:val="0"/>
              <w:spacing w:line="360" w:lineRule="auto"/>
              <w:ind w:firstLine="480" w:firstLineChars="200"/>
              <w:jc w:val="both"/>
              <w:rPr>
                <w:rFonts w:hint="eastAsia" w:ascii="Times New Roman" w:hAnsi="Times New Roman" w:eastAsia="宋体" w:cs="Times New Roman"/>
                <w:iCs/>
                <w:color w:val="FF0000"/>
                <w:sz w:val="24"/>
                <w:szCs w:val="24"/>
                <w:highlight w:val="none"/>
                <w:u w:val="single" w:color="auto"/>
                <w:lang w:eastAsia="zh-CN"/>
              </w:rPr>
            </w:pPr>
          </w:p>
          <w:p w14:paraId="1256EEF1">
            <w:pPr>
              <w:adjustRightInd w:val="0"/>
              <w:snapToGrid w:val="0"/>
              <w:spacing w:line="360" w:lineRule="auto"/>
              <w:ind w:firstLine="480" w:firstLineChars="200"/>
              <w:jc w:val="both"/>
              <w:rPr>
                <w:rFonts w:hint="eastAsia" w:ascii="Times New Roman" w:hAnsi="Times New Roman" w:eastAsia="宋体" w:cs="Times New Roman"/>
                <w:iCs/>
                <w:color w:val="FF0000"/>
                <w:sz w:val="24"/>
                <w:szCs w:val="24"/>
                <w:highlight w:val="none"/>
                <w:u w:val="single" w:color="auto"/>
                <w:lang w:eastAsia="zh-CN"/>
              </w:rPr>
            </w:pPr>
          </w:p>
          <w:p w14:paraId="18441083">
            <w:pPr>
              <w:adjustRightInd w:val="0"/>
              <w:snapToGrid w:val="0"/>
              <w:spacing w:line="360" w:lineRule="auto"/>
              <w:ind w:firstLine="480" w:firstLineChars="200"/>
              <w:jc w:val="both"/>
              <w:rPr>
                <w:rFonts w:hint="eastAsia" w:ascii="Times New Roman" w:hAnsi="Times New Roman" w:eastAsia="宋体" w:cs="Times New Roman"/>
                <w:iCs/>
                <w:color w:val="FF0000"/>
                <w:sz w:val="24"/>
                <w:szCs w:val="24"/>
                <w:highlight w:val="none"/>
                <w:u w:val="single" w:color="auto"/>
                <w:lang w:eastAsia="zh-CN"/>
              </w:rPr>
            </w:pPr>
          </w:p>
          <w:p w14:paraId="615626AE">
            <w:pPr>
              <w:adjustRightInd w:val="0"/>
              <w:snapToGrid w:val="0"/>
              <w:spacing w:line="360" w:lineRule="auto"/>
              <w:ind w:firstLine="480" w:firstLineChars="200"/>
              <w:jc w:val="both"/>
              <w:rPr>
                <w:rFonts w:ascii="宋体" w:hAnsi="宋体"/>
                <w:bCs/>
                <w:sz w:val="24"/>
                <w:szCs w:val="24"/>
                <w:highlight w:val="none"/>
              </w:rPr>
            </w:pPr>
          </w:p>
        </w:tc>
      </w:tr>
    </w:tbl>
    <w:p w14:paraId="501B9194">
      <w:pPr>
        <w:pStyle w:val="21"/>
        <w:jc w:val="center"/>
        <w:rPr>
          <w:rFonts w:ascii="黑体" w:hAnsi="黑体" w:eastAsia="黑体"/>
          <w:snapToGrid w:val="0"/>
          <w:sz w:val="36"/>
          <w:szCs w:val="36"/>
          <w:highlight w:val="cyan"/>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69B66168">
      <w:pPr>
        <w:pStyle w:val="21"/>
        <w:adjustRightInd w:val="0"/>
        <w:snapToGrid w:val="0"/>
        <w:spacing w:before="0" w:beforeAutospacing="0" w:after="0" w:afterAutospacing="0" w:line="14" w:lineRule="auto"/>
        <w:jc w:val="center"/>
        <w:outlineLvl w:val="9"/>
        <w:rPr>
          <w:rFonts w:hint="eastAsia" w:ascii="黑体" w:hAnsi="黑体" w:eastAsia="黑体"/>
          <w:snapToGrid w:val="0"/>
          <w:sz w:val="30"/>
          <w:szCs w:val="30"/>
          <w:highlight w:val="cyan"/>
        </w:rPr>
      </w:pPr>
    </w:p>
    <w:p w14:paraId="489D6738">
      <w:pPr>
        <w:pStyle w:val="21"/>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outlineLvl w:val="0"/>
        <w:rPr>
          <w:rFonts w:hint="eastAsia" w:ascii="黑体" w:hAnsi="黑体" w:eastAsia="黑体" w:cs="Times New Roman"/>
          <w:snapToGrid w:val="0"/>
          <w:color w:val="auto"/>
          <w:sz w:val="30"/>
          <w:szCs w:val="30"/>
          <w:highlight w:val="none"/>
          <w:u w:val="none" w:color="auto"/>
        </w:rPr>
      </w:pPr>
      <w:r>
        <w:rPr>
          <w:rFonts w:hint="eastAsia" w:ascii="黑体" w:hAnsi="黑体" w:eastAsia="黑体" w:cs="Times New Roman"/>
          <w:snapToGrid w:val="0"/>
          <w:color w:val="auto"/>
          <w:sz w:val="30"/>
          <w:szCs w:val="30"/>
          <w:highlight w:val="none"/>
          <w:u w:val="none" w:color="auto"/>
        </w:rPr>
        <w:t>三、区域环境质量现状、环境保护目标及评价标准</w:t>
      </w:r>
    </w:p>
    <w:tbl>
      <w:tblPr>
        <w:tblStyle w:val="2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8311"/>
      </w:tblGrid>
      <w:tr w14:paraId="23472B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0" w:type="dxa"/>
            <w:noWrap w:val="0"/>
            <w:vAlign w:val="center"/>
          </w:tcPr>
          <w:p w14:paraId="17A32370">
            <w:pPr>
              <w:adjustRightInd w:val="0"/>
              <w:snapToGrid w:val="0"/>
              <w:jc w:val="center"/>
              <w:rPr>
                <w:rFonts w:hint="eastAsia" w:ascii="宋体" w:hAnsi="宋体" w:cs="宋体"/>
                <w:b/>
                <w:bCs/>
                <w:kern w:val="0"/>
                <w:sz w:val="24"/>
                <w:szCs w:val="24"/>
                <w:highlight w:val="none"/>
              </w:rPr>
            </w:pPr>
            <w:r>
              <w:rPr>
                <w:rFonts w:hint="eastAsia" w:ascii="宋体" w:hAnsi="宋体" w:cs="宋体"/>
                <w:b/>
                <w:bCs/>
                <w:kern w:val="0"/>
                <w:sz w:val="24"/>
                <w:szCs w:val="24"/>
                <w:highlight w:val="none"/>
              </w:rPr>
              <w:t>区域</w:t>
            </w:r>
          </w:p>
          <w:p w14:paraId="20FF0CC3">
            <w:pPr>
              <w:adjustRightInd w:val="0"/>
              <w:snapToGrid w:val="0"/>
              <w:jc w:val="center"/>
              <w:rPr>
                <w:rFonts w:hint="eastAsia" w:ascii="宋体" w:hAnsi="宋体" w:cs="宋体"/>
                <w:b/>
                <w:bCs/>
                <w:kern w:val="0"/>
                <w:sz w:val="24"/>
                <w:szCs w:val="24"/>
                <w:highlight w:val="none"/>
              </w:rPr>
            </w:pPr>
            <w:r>
              <w:rPr>
                <w:rFonts w:hint="eastAsia" w:ascii="宋体" w:hAnsi="宋体" w:cs="宋体"/>
                <w:b/>
                <w:bCs/>
                <w:kern w:val="0"/>
                <w:sz w:val="24"/>
                <w:szCs w:val="24"/>
                <w:highlight w:val="none"/>
              </w:rPr>
              <w:t>环境</w:t>
            </w:r>
          </w:p>
          <w:p w14:paraId="3C4A0427">
            <w:pPr>
              <w:adjustRightInd w:val="0"/>
              <w:snapToGrid w:val="0"/>
              <w:jc w:val="center"/>
              <w:rPr>
                <w:rFonts w:hint="eastAsia" w:ascii="宋体" w:hAnsi="宋体" w:cs="宋体"/>
                <w:b/>
                <w:bCs/>
                <w:kern w:val="0"/>
                <w:sz w:val="24"/>
                <w:szCs w:val="24"/>
                <w:highlight w:val="none"/>
              </w:rPr>
            </w:pPr>
            <w:r>
              <w:rPr>
                <w:rFonts w:hint="eastAsia" w:ascii="宋体" w:hAnsi="宋体" w:cs="宋体"/>
                <w:b/>
                <w:bCs/>
                <w:kern w:val="0"/>
                <w:sz w:val="24"/>
                <w:szCs w:val="24"/>
                <w:highlight w:val="none"/>
              </w:rPr>
              <w:t>质量</w:t>
            </w:r>
          </w:p>
          <w:p w14:paraId="63F22262">
            <w:pPr>
              <w:adjustRightInd w:val="0"/>
              <w:snapToGrid w:val="0"/>
              <w:jc w:val="center"/>
              <w:rPr>
                <w:rFonts w:ascii="宋体" w:hAnsi="宋体" w:cs="宋体"/>
                <w:kern w:val="0"/>
                <w:sz w:val="24"/>
                <w:szCs w:val="24"/>
                <w:highlight w:val="none"/>
              </w:rPr>
            </w:pPr>
            <w:r>
              <w:rPr>
                <w:rFonts w:hint="eastAsia" w:ascii="宋体" w:hAnsi="宋体" w:cs="宋体"/>
                <w:b/>
                <w:bCs/>
                <w:kern w:val="0"/>
                <w:sz w:val="24"/>
                <w:szCs w:val="24"/>
                <w:highlight w:val="none"/>
              </w:rPr>
              <w:t>现状</w:t>
            </w:r>
          </w:p>
        </w:tc>
        <w:tc>
          <w:tcPr>
            <w:tcW w:w="8311" w:type="dxa"/>
            <w:noWrap w:val="0"/>
            <w:vAlign w:val="top"/>
          </w:tcPr>
          <w:p w14:paraId="506D7250">
            <w:pPr>
              <w:keepNext w:val="0"/>
              <w:keepLines w:val="0"/>
              <w:pageBreakBefore w:val="0"/>
              <w:widowControl w:val="0"/>
              <w:kinsoku/>
              <w:wordWrap/>
              <w:overflowPunct/>
              <w:topLinePunct w:val="0"/>
              <w:autoSpaceDE/>
              <w:autoSpaceDN/>
              <w:bidi w:val="0"/>
              <w:adjustRightInd/>
              <w:snapToGrid/>
              <w:spacing w:before="313" w:beforeLines="100" w:line="360" w:lineRule="auto"/>
              <w:ind w:firstLine="482" w:firstLineChars="200"/>
              <w:jc w:val="both"/>
              <w:textAlignment w:val="auto"/>
              <w:rPr>
                <w:rFonts w:hint="eastAsia" w:ascii="Times New Roman" w:hAnsi="Times New Roman" w:eastAsia="宋体" w:cs="宋体"/>
                <w:b/>
                <w:bCs/>
                <w:color w:val="auto"/>
                <w:sz w:val="24"/>
                <w:highlight w:val="none"/>
                <w:u w:val="none" w:color="auto"/>
              </w:rPr>
            </w:pPr>
            <w:r>
              <w:rPr>
                <w:rFonts w:hint="eastAsia" w:ascii="Times New Roman" w:hAnsi="Times New Roman" w:eastAsia="宋体" w:cs="宋体"/>
                <w:b/>
                <w:bCs/>
                <w:color w:val="auto"/>
                <w:sz w:val="24"/>
                <w:highlight w:val="none"/>
                <w:u w:val="none" w:color="auto"/>
              </w:rPr>
              <w:t>1</w:t>
            </w:r>
            <w:r>
              <w:rPr>
                <w:rFonts w:hint="eastAsia" w:cs="宋体"/>
                <w:b/>
                <w:bCs/>
                <w:color w:val="auto"/>
                <w:sz w:val="24"/>
                <w:highlight w:val="none"/>
                <w:u w:val="none" w:color="auto"/>
                <w:lang w:val="en-US" w:eastAsia="zh-CN"/>
              </w:rPr>
              <w:t>、</w:t>
            </w:r>
            <w:r>
              <w:rPr>
                <w:rFonts w:hint="eastAsia" w:ascii="Times New Roman" w:hAnsi="Times New Roman" w:eastAsia="宋体" w:cs="宋体"/>
                <w:b/>
                <w:bCs/>
                <w:color w:val="auto"/>
                <w:sz w:val="24"/>
                <w:highlight w:val="none"/>
                <w:u w:val="none" w:color="auto"/>
              </w:rPr>
              <w:t>空气环境质量现状评价</w:t>
            </w:r>
          </w:p>
          <w:p w14:paraId="1F41C0B2">
            <w:pPr>
              <w:spacing w:line="360" w:lineRule="auto"/>
              <w:ind w:firstLine="482" w:firstLineChars="200"/>
              <w:rPr>
                <w:rFonts w:hint="eastAsia" w:ascii="Times New Roman" w:hAnsi="Times New Roman" w:eastAsia="宋体" w:cs="宋体"/>
                <w:color w:val="auto"/>
                <w:sz w:val="24"/>
                <w:highlight w:val="none"/>
                <w:u w:val="none" w:color="auto"/>
              </w:rPr>
            </w:pPr>
            <w:r>
              <w:rPr>
                <w:rFonts w:hint="eastAsia" w:ascii="Times New Roman" w:hAnsi="Times New Roman" w:eastAsia="宋体" w:cs="Times New Roman"/>
                <w:b/>
                <w:bCs/>
                <w:color w:val="auto"/>
                <w:sz w:val="24"/>
                <w:highlight w:val="none"/>
                <w:u w:val="none" w:color="auto"/>
                <w:lang w:val="en-US" w:eastAsia="zh-CN"/>
              </w:rPr>
              <w:t>1.1</w:t>
            </w:r>
            <w:r>
              <w:rPr>
                <w:rFonts w:hint="default" w:ascii="Times New Roman" w:hAnsi="Times New Roman" w:eastAsia="宋体" w:cs="Times New Roman"/>
                <w:b/>
                <w:bCs/>
                <w:color w:val="auto"/>
                <w:sz w:val="24"/>
                <w:highlight w:val="none"/>
                <w:u w:val="none" w:color="auto"/>
                <w:lang w:val="zh-CN"/>
              </w:rPr>
              <w:t>空气质量达标区判定及基本污染物环境质量现状评价</w:t>
            </w:r>
          </w:p>
          <w:p w14:paraId="27283638">
            <w:pPr>
              <w:adjustRightInd w:val="0"/>
              <w:snapToGrid w:val="0"/>
              <w:spacing w:line="360" w:lineRule="auto"/>
              <w:ind w:firstLine="480" w:firstLineChars="200"/>
              <w:jc w:val="both"/>
              <w:rPr>
                <w:rFonts w:hint="eastAsia" w:ascii="Times New Roman" w:hAnsi="Times New Roman" w:eastAsia="宋体" w:cs="宋体"/>
                <w:color w:val="auto"/>
                <w:sz w:val="24"/>
                <w:highlight w:val="none"/>
                <w:u w:val="none" w:color="auto"/>
              </w:rPr>
            </w:pPr>
            <w:r>
              <w:rPr>
                <w:rFonts w:hint="eastAsia"/>
                <w:color w:val="auto"/>
                <w:sz w:val="24"/>
                <w:szCs w:val="32"/>
                <w:highlight w:val="none"/>
                <w:u w:val="none" w:color="auto"/>
                <w:lang w:val="en-US" w:eastAsia="zh-CN" w:bidi="ar"/>
              </w:rPr>
              <w:t>本项目位于临江市桦树镇西大川村，隶属白山市，</w:t>
            </w:r>
            <w:r>
              <w:rPr>
                <w:color w:val="auto"/>
                <w:sz w:val="24"/>
                <w:szCs w:val="32"/>
                <w:highlight w:val="none"/>
                <w:u w:val="none" w:color="auto"/>
                <w:lang w:bidi="ar"/>
              </w:rPr>
              <w:t>根据</w:t>
            </w:r>
            <w:r>
              <w:rPr>
                <w:rFonts w:hint="eastAsia"/>
                <w:color w:val="auto"/>
                <w:sz w:val="24"/>
                <w:szCs w:val="20"/>
                <w:highlight w:val="none"/>
                <w:u w:val="none" w:color="auto"/>
              </w:rPr>
              <w:t>吉林省生态环境厅公布的</w:t>
            </w:r>
            <w:r>
              <w:rPr>
                <w:color w:val="auto"/>
                <w:sz w:val="24"/>
                <w:szCs w:val="32"/>
                <w:highlight w:val="none"/>
                <w:u w:val="none" w:color="auto"/>
                <w:lang w:bidi="ar"/>
              </w:rPr>
              <w:t>《</w:t>
            </w:r>
            <w:r>
              <w:rPr>
                <w:rFonts w:hint="eastAsia"/>
                <w:color w:val="auto"/>
                <w:sz w:val="24"/>
                <w:szCs w:val="32"/>
                <w:highlight w:val="none"/>
                <w:u w:val="none" w:color="auto"/>
                <w:lang w:bidi="ar"/>
              </w:rPr>
              <w:t>吉林省202</w:t>
            </w:r>
            <w:r>
              <w:rPr>
                <w:rFonts w:hint="eastAsia"/>
                <w:color w:val="auto"/>
                <w:sz w:val="24"/>
                <w:szCs w:val="32"/>
                <w:highlight w:val="none"/>
                <w:u w:val="none" w:color="auto"/>
                <w:lang w:val="en-US" w:eastAsia="zh-CN" w:bidi="ar"/>
              </w:rPr>
              <w:t>5</w:t>
            </w:r>
            <w:r>
              <w:rPr>
                <w:rFonts w:hint="eastAsia"/>
                <w:color w:val="auto"/>
                <w:sz w:val="24"/>
                <w:szCs w:val="32"/>
                <w:highlight w:val="none"/>
                <w:u w:val="none" w:color="auto"/>
                <w:lang w:bidi="ar"/>
              </w:rPr>
              <w:t>年生态环境状况公报</w:t>
            </w:r>
            <w:r>
              <w:rPr>
                <w:color w:val="auto"/>
                <w:sz w:val="24"/>
                <w:szCs w:val="32"/>
                <w:highlight w:val="none"/>
                <w:u w:val="none" w:color="auto"/>
                <w:lang w:bidi="ar"/>
              </w:rPr>
              <w:t>》进行空气质量达标区判定及环境质量现状评价，详见下表。</w:t>
            </w:r>
          </w:p>
          <w:p w14:paraId="13EB361C">
            <w:pPr>
              <w:pStyle w:val="11"/>
              <w:widowControl w:val="0"/>
              <w:snapToGrid w:val="0"/>
              <w:spacing w:before="0" w:beforeAutospacing="0" w:after="0" w:afterAutospacing="0"/>
              <w:jc w:val="center"/>
              <w:rPr>
                <w:rFonts w:hint="default" w:ascii="Times New Roman" w:hAnsi="Times New Roman" w:eastAsia="宋体" w:cs="Times New Roman"/>
                <w:b/>
                <w:color w:val="auto"/>
                <w:kern w:val="2"/>
                <w:sz w:val="24"/>
                <w:szCs w:val="21"/>
                <w:highlight w:val="none"/>
                <w:u w:val="none" w:color="auto"/>
                <w:lang w:bidi="ar"/>
              </w:rPr>
            </w:pPr>
            <w:r>
              <w:rPr>
                <w:rFonts w:hint="default" w:ascii="Times New Roman" w:hAnsi="Times New Roman" w:eastAsia="宋体" w:cs="Times New Roman"/>
                <w:b/>
                <w:color w:val="auto"/>
                <w:kern w:val="2"/>
                <w:sz w:val="24"/>
                <w:szCs w:val="21"/>
                <w:highlight w:val="none"/>
                <w:u w:val="none" w:color="auto"/>
                <w:lang w:bidi="ar"/>
              </w:rPr>
              <w:t xml:space="preserve">表3-1 </w:t>
            </w:r>
            <w:r>
              <w:rPr>
                <w:rFonts w:hint="default" w:ascii="Times New Roman" w:hAnsi="Times New Roman" w:eastAsia="宋体" w:cs="Times New Roman"/>
                <w:b/>
                <w:color w:val="auto"/>
                <w:kern w:val="2"/>
                <w:sz w:val="24"/>
                <w:szCs w:val="21"/>
                <w:highlight w:val="none"/>
                <w:u w:val="none" w:color="auto"/>
                <w:lang w:val="en-US" w:eastAsia="zh-CN" w:bidi="ar"/>
              </w:rPr>
              <w:t xml:space="preserve"> </w:t>
            </w:r>
            <w:r>
              <w:rPr>
                <w:rFonts w:hint="eastAsia" w:ascii="Times New Roman" w:hAnsi="Times New Roman" w:cs="Times New Roman"/>
                <w:b/>
                <w:color w:val="auto"/>
                <w:kern w:val="2"/>
                <w:sz w:val="24"/>
                <w:szCs w:val="21"/>
                <w:highlight w:val="none"/>
                <w:u w:val="none" w:color="auto"/>
                <w:lang w:val="en-US" w:eastAsia="zh-CN" w:bidi="ar"/>
              </w:rPr>
              <w:t>2025年</w:t>
            </w:r>
            <w:r>
              <w:rPr>
                <w:rFonts w:hint="eastAsia" w:ascii="Times New Roman" w:hAnsi="Times New Roman" w:eastAsia="宋体" w:cs="Times New Roman"/>
                <w:b/>
                <w:color w:val="auto"/>
                <w:kern w:val="2"/>
                <w:sz w:val="24"/>
                <w:szCs w:val="21"/>
                <w:highlight w:val="none"/>
                <w:u w:val="none" w:color="auto"/>
                <w:lang w:val="en-US" w:eastAsia="zh-CN" w:bidi="ar"/>
              </w:rPr>
              <w:t>白山</w:t>
            </w:r>
            <w:r>
              <w:rPr>
                <w:rFonts w:hint="default" w:ascii="Times New Roman" w:hAnsi="Times New Roman" w:eastAsia="宋体" w:cs="Times New Roman"/>
                <w:b/>
                <w:color w:val="auto"/>
                <w:kern w:val="2"/>
                <w:sz w:val="24"/>
                <w:szCs w:val="21"/>
                <w:highlight w:val="none"/>
                <w:u w:val="none" w:color="auto"/>
                <w:lang w:val="en-US" w:eastAsia="zh-CN" w:bidi="ar"/>
              </w:rPr>
              <w:t>市</w:t>
            </w:r>
            <w:r>
              <w:rPr>
                <w:rFonts w:hint="default" w:ascii="Times New Roman" w:hAnsi="Times New Roman" w:eastAsia="宋体" w:cs="Times New Roman"/>
                <w:b/>
                <w:color w:val="auto"/>
                <w:kern w:val="2"/>
                <w:sz w:val="24"/>
                <w:szCs w:val="21"/>
                <w:highlight w:val="none"/>
                <w:u w:val="none" w:color="auto"/>
                <w:lang w:bidi="ar"/>
              </w:rPr>
              <w:t>环境空气基本污染物质量现状评价表  单位：μg/m</w:t>
            </w:r>
            <w:r>
              <w:rPr>
                <w:rFonts w:hint="default" w:ascii="Times New Roman" w:hAnsi="Times New Roman" w:eastAsia="宋体" w:cs="Times New Roman"/>
                <w:b/>
                <w:color w:val="auto"/>
                <w:kern w:val="2"/>
                <w:sz w:val="24"/>
                <w:szCs w:val="21"/>
                <w:highlight w:val="none"/>
                <w:u w:val="none" w:color="auto"/>
                <w:vertAlign w:val="superscript"/>
                <w:lang w:bidi="ar"/>
              </w:rPr>
              <w:t>3</w:t>
            </w:r>
          </w:p>
          <w:tbl>
            <w:tblPr>
              <w:tblStyle w:val="25"/>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851"/>
              <w:gridCol w:w="3311"/>
              <w:gridCol w:w="829"/>
              <w:gridCol w:w="892"/>
              <w:gridCol w:w="1072"/>
              <w:gridCol w:w="1137"/>
            </w:tblGrid>
            <w:tr w14:paraId="11BA6CD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526" w:type="pct"/>
                  <w:noWrap w:val="0"/>
                  <w:vAlign w:val="center"/>
                </w:tcPr>
                <w:p w14:paraId="5F1F7151">
                  <w:pPr>
                    <w:jc w:val="center"/>
                    <w:rPr>
                      <w:color w:val="auto"/>
                      <w:szCs w:val="21"/>
                      <w:highlight w:val="none"/>
                      <w:u w:val="none" w:color="auto"/>
                    </w:rPr>
                  </w:pPr>
                  <w:r>
                    <w:rPr>
                      <w:color w:val="auto"/>
                      <w:szCs w:val="21"/>
                      <w:highlight w:val="none"/>
                      <w:u w:val="none" w:color="auto"/>
                    </w:rPr>
                    <w:t>污染物</w:t>
                  </w:r>
                </w:p>
              </w:tc>
              <w:tc>
                <w:tcPr>
                  <w:tcW w:w="2045" w:type="pct"/>
                  <w:noWrap w:val="0"/>
                  <w:vAlign w:val="center"/>
                </w:tcPr>
                <w:p w14:paraId="27596949">
                  <w:pPr>
                    <w:jc w:val="center"/>
                    <w:rPr>
                      <w:color w:val="auto"/>
                      <w:szCs w:val="21"/>
                      <w:highlight w:val="none"/>
                      <w:u w:val="none" w:color="auto"/>
                    </w:rPr>
                  </w:pPr>
                  <w:r>
                    <w:rPr>
                      <w:color w:val="auto"/>
                      <w:szCs w:val="21"/>
                      <w:highlight w:val="none"/>
                      <w:u w:val="none" w:color="auto"/>
                    </w:rPr>
                    <w:t>年评价指标</w:t>
                  </w:r>
                </w:p>
              </w:tc>
              <w:tc>
                <w:tcPr>
                  <w:tcW w:w="512" w:type="pct"/>
                  <w:noWrap w:val="0"/>
                  <w:vAlign w:val="center"/>
                </w:tcPr>
                <w:p w14:paraId="4E4C18C0">
                  <w:pPr>
                    <w:jc w:val="center"/>
                    <w:rPr>
                      <w:color w:val="auto"/>
                      <w:szCs w:val="21"/>
                      <w:highlight w:val="none"/>
                      <w:u w:val="none" w:color="auto"/>
                    </w:rPr>
                  </w:pPr>
                  <w:r>
                    <w:rPr>
                      <w:color w:val="auto"/>
                      <w:szCs w:val="21"/>
                      <w:highlight w:val="none"/>
                      <w:u w:val="none" w:color="auto"/>
                    </w:rPr>
                    <w:t>现状浓度</w:t>
                  </w:r>
                </w:p>
              </w:tc>
              <w:tc>
                <w:tcPr>
                  <w:tcW w:w="551" w:type="pct"/>
                  <w:noWrap w:val="0"/>
                  <w:vAlign w:val="center"/>
                </w:tcPr>
                <w:p w14:paraId="33066AAD">
                  <w:pPr>
                    <w:jc w:val="center"/>
                    <w:rPr>
                      <w:color w:val="auto"/>
                      <w:szCs w:val="21"/>
                      <w:highlight w:val="none"/>
                      <w:u w:val="none" w:color="auto"/>
                    </w:rPr>
                  </w:pPr>
                  <w:r>
                    <w:rPr>
                      <w:color w:val="auto"/>
                      <w:szCs w:val="21"/>
                      <w:highlight w:val="none"/>
                      <w:u w:val="none" w:color="auto"/>
                    </w:rPr>
                    <w:t>标准值</w:t>
                  </w:r>
                </w:p>
              </w:tc>
              <w:tc>
                <w:tcPr>
                  <w:tcW w:w="662" w:type="pct"/>
                  <w:noWrap w:val="0"/>
                  <w:vAlign w:val="center"/>
                </w:tcPr>
                <w:p w14:paraId="0CE11B14">
                  <w:pPr>
                    <w:jc w:val="center"/>
                    <w:rPr>
                      <w:color w:val="auto"/>
                      <w:szCs w:val="21"/>
                      <w:highlight w:val="none"/>
                      <w:u w:val="none" w:color="auto"/>
                    </w:rPr>
                  </w:pPr>
                  <w:r>
                    <w:rPr>
                      <w:color w:val="auto"/>
                      <w:szCs w:val="21"/>
                      <w:highlight w:val="none"/>
                      <w:u w:val="none" w:color="auto"/>
                    </w:rPr>
                    <w:t>占标率（%）</w:t>
                  </w:r>
                </w:p>
              </w:tc>
              <w:tc>
                <w:tcPr>
                  <w:tcW w:w="702" w:type="pct"/>
                  <w:noWrap w:val="0"/>
                  <w:vAlign w:val="center"/>
                </w:tcPr>
                <w:p w14:paraId="538151A1">
                  <w:pPr>
                    <w:jc w:val="center"/>
                    <w:rPr>
                      <w:color w:val="auto"/>
                      <w:szCs w:val="21"/>
                      <w:highlight w:val="none"/>
                      <w:u w:val="none" w:color="auto"/>
                    </w:rPr>
                  </w:pPr>
                  <w:r>
                    <w:rPr>
                      <w:color w:val="auto"/>
                      <w:szCs w:val="21"/>
                      <w:highlight w:val="none"/>
                      <w:u w:val="none" w:color="auto"/>
                    </w:rPr>
                    <w:t>达标情况</w:t>
                  </w:r>
                </w:p>
              </w:tc>
            </w:tr>
            <w:tr w14:paraId="6F20A81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26" w:type="pct"/>
                  <w:noWrap w:val="0"/>
                  <w:vAlign w:val="center"/>
                </w:tcPr>
                <w:p w14:paraId="6B6F1EDF">
                  <w:pPr>
                    <w:jc w:val="center"/>
                    <w:rPr>
                      <w:color w:val="auto"/>
                      <w:szCs w:val="21"/>
                      <w:highlight w:val="none"/>
                      <w:u w:val="none" w:color="auto"/>
                    </w:rPr>
                  </w:pPr>
                  <w:r>
                    <w:rPr>
                      <w:color w:val="auto"/>
                      <w:szCs w:val="21"/>
                      <w:highlight w:val="none"/>
                      <w:u w:val="none" w:color="auto"/>
                    </w:rPr>
                    <w:t>PM</w:t>
                  </w:r>
                  <w:r>
                    <w:rPr>
                      <w:color w:val="auto"/>
                      <w:szCs w:val="21"/>
                      <w:highlight w:val="none"/>
                      <w:u w:val="none" w:color="auto"/>
                      <w:vertAlign w:val="subscript"/>
                    </w:rPr>
                    <w:t>2.5</w:t>
                  </w:r>
                </w:p>
              </w:tc>
              <w:tc>
                <w:tcPr>
                  <w:tcW w:w="2045" w:type="pct"/>
                  <w:noWrap w:val="0"/>
                  <w:vAlign w:val="center"/>
                </w:tcPr>
                <w:p w14:paraId="768D8674">
                  <w:pPr>
                    <w:jc w:val="center"/>
                    <w:rPr>
                      <w:color w:val="auto"/>
                      <w:szCs w:val="21"/>
                      <w:highlight w:val="none"/>
                      <w:u w:val="none" w:color="auto"/>
                    </w:rPr>
                  </w:pPr>
                  <w:r>
                    <w:rPr>
                      <w:color w:val="auto"/>
                      <w:szCs w:val="21"/>
                      <w:highlight w:val="none"/>
                      <w:u w:val="none" w:color="auto"/>
                    </w:rPr>
                    <w:t>年平均质量浓度</w:t>
                  </w:r>
                </w:p>
              </w:tc>
              <w:tc>
                <w:tcPr>
                  <w:tcW w:w="512" w:type="pct"/>
                  <w:noWrap w:val="0"/>
                  <w:vAlign w:val="center"/>
                </w:tcPr>
                <w:p w14:paraId="14C1DBC5">
                  <w:pPr>
                    <w:jc w:val="center"/>
                    <w:rPr>
                      <w:rFonts w:hint="default" w:eastAsia="宋体"/>
                      <w:color w:val="auto"/>
                      <w:szCs w:val="21"/>
                      <w:highlight w:val="none"/>
                      <w:u w:val="none" w:color="auto"/>
                      <w:lang w:val="en-US" w:eastAsia="zh-CN"/>
                    </w:rPr>
                  </w:pPr>
                  <w:r>
                    <w:rPr>
                      <w:rFonts w:hint="eastAsia"/>
                      <w:color w:val="auto"/>
                      <w:szCs w:val="21"/>
                      <w:highlight w:val="none"/>
                      <w:u w:val="none" w:color="auto"/>
                      <w:lang w:val="en-US" w:eastAsia="zh-CN"/>
                    </w:rPr>
                    <w:t>22.8</w:t>
                  </w:r>
                </w:p>
              </w:tc>
              <w:tc>
                <w:tcPr>
                  <w:tcW w:w="551" w:type="pct"/>
                  <w:noWrap w:val="0"/>
                  <w:vAlign w:val="center"/>
                </w:tcPr>
                <w:p w14:paraId="72D3A69C">
                  <w:pPr>
                    <w:jc w:val="center"/>
                    <w:rPr>
                      <w:color w:val="auto"/>
                      <w:szCs w:val="21"/>
                      <w:highlight w:val="none"/>
                      <w:u w:val="none" w:color="auto"/>
                    </w:rPr>
                  </w:pPr>
                  <w:r>
                    <w:rPr>
                      <w:color w:val="auto"/>
                      <w:szCs w:val="21"/>
                      <w:highlight w:val="none"/>
                      <w:u w:val="none" w:color="auto"/>
                    </w:rPr>
                    <w:t>35</w:t>
                  </w:r>
                </w:p>
              </w:tc>
              <w:tc>
                <w:tcPr>
                  <w:tcW w:w="1106" w:type="dxa"/>
                  <w:noWrap w:val="0"/>
                  <w:vAlign w:val="center"/>
                </w:tcPr>
                <w:p w14:paraId="571337EE">
                  <w:pPr>
                    <w:jc w:val="center"/>
                    <w:rPr>
                      <w:rFonts w:ascii="Times New Roman" w:hAnsi="Times New Roman" w:eastAsia="宋体" w:cs="Times New Roman"/>
                      <w:color w:val="auto"/>
                      <w:szCs w:val="21"/>
                      <w:highlight w:val="none"/>
                      <w:u w:val="none" w:color="auto"/>
                    </w:rPr>
                  </w:pPr>
                  <w:r>
                    <w:rPr>
                      <w:rFonts w:hint="eastAsia" w:ascii="Times New Roman" w:hAnsi="Times New Roman" w:eastAsia="宋体" w:cs="Times New Roman"/>
                      <w:color w:val="auto"/>
                      <w:szCs w:val="21"/>
                      <w:highlight w:val="none"/>
                      <w:u w:val="none" w:color="auto"/>
                      <w:lang w:val="en-US" w:eastAsia="zh-CN"/>
                    </w:rPr>
                    <w:t>65.1</w:t>
                  </w:r>
                </w:p>
              </w:tc>
              <w:tc>
                <w:tcPr>
                  <w:tcW w:w="702" w:type="pct"/>
                  <w:noWrap w:val="0"/>
                  <w:vAlign w:val="center"/>
                </w:tcPr>
                <w:p w14:paraId="365AB11B">
                  <w:pPr>
                    <w:jc w:val="center"/>
                    <w:rPr>
                      <w:color w:val="auto"/>
                      <w:szCs w:val="21"/>
                      <w:highlight w:val="none"/>
                      <w:u w:val="none" w:color="auto"/>
                    </w:rPr>
                  </w:pPr>
                  <w:r>
                    <w:rPr>
                      <w:color w:val="auto"/>
                      <w:szCs w:val="21"/>
                      <w:highlight w:val="none"/>
                      <w:u w:val="none" w:color="auto"/>
                    </w:rPr>
                    <w:t>达标</w:t>
                  </w:r>
                </w:p>
              </w:tc>
            </w:tr>
            <w:tr w14:paraId="2195A11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26" w:type="pct"/>
                  <w:noWrap w:val="0"/>
                  <w:vAlign w:val="center"/>
                </w:tcPr>
                <w:p w14:paraId="0291143D">
                  <w:pPr>
                    <w:jc w:val="center"/>
                    <w:rPr>
                      <w:color w:val="auto"/>
                      <w:szCs w:val="21"/>
                      <w:highlight w:val="none"/>
                      <w:u w:val="none" w:color="auto"/>
                    </w:rPr>
                  </w:pPr>
                  <w:r>
                    <w:rPr>
                      <w:color w:val="auto"/>
                      <w:szCs w:val="21"/>
                      <w:highlight w:val="none"/>
                      <w:u w:val="none" w:color="auto"/>
                    </w:rPr>
                    <w:t>PM</w:t>
                  </w:r>
                  <w:r>
                    <w:rPr>
                      <w:color w:val="auto"/>
                      <w:szCs w:val="21"/>
                      <w:highlight w:val="none"/>
                      <w:u w:val="none" w:color="auto"/>
                      <w:vertAlign w:val="subscript"/>
                    </w:rPr>
                    <w:t>10</w:t>
                  </w:r>
                </w:p>
              </w:tc>
              <w:tc>
                <w:tcPr>
                  <w:tcW w:w="2045" w:type="pct"/>
                  <w:noWrap w:val="0"/>
                  <w:vAlign w:val="center"/>
                </w:tcPr>
                <w:p w14:paraId="2C671507">
                  <w:pPr>
                    <w:jc w:val="center"/>
                    <w:rPr>
                      <w:color w:val="auto"/>
                      <w:szCs w:val="21"/>
                      <w:highlight w:val="none"/>
                      <w:u w:val="none" w:color="auto"/>
                    </w:rPr>
                  </w:pPr>
                  <w:r>
                    <w:rPr>
                      <w:color w:val="auto"/>
                      <w:szCs w:val="21"/>
                      <w:highlight w:val="none"/>
                      <w:u w:val="none" w:color="auto"/>
                    </w:rPr>
                    <w:t>年平均质量浓度</w:t>
                  </w:r>
                </w:p>
              </w:tc>
              <w:tc>
                <w:tcPr>
                  <w:tcW w:w="512" w:type="pct"/>
                  <w:noWrap w:val="0"/>
                  <w:vAlign w:val="center"/>
                </w:tcPr>
                <w:p w14:paraId="00A76894">
                  <w:pPr>
                    <w:jc w:val="center"/>
                    <w:rPr>
                      <w:rFonts w:hint="default" w:eastAsia="宋体"/>
                      <w:color w:val="auto"/>
                      <w:szCs w:val="21"/>
                      <w:highlight w:val="none"/>
                      <w:u w:val="none" w:color="auto"/>
                      <w:lang w:val="en-US" w:eastAsia="zh-CN"/>
                    </w:rPr>
                  </w:pPr>
                  <w:r>
                    <w:rPr>
                      <w:rFonts w:hint="eastAsia"/>
                      <w:color w:val="auto"/>
                      <w:szCs w:val="21"/>
                      <w:highlight w:val="none"/>
                      <w:u w:val="none" w:color="auto"/>
                      <w:lang w:val="en-US" w:eastAsia="zh-CN"/>
                    </w:rPr>
                    <w:t>48</w:t>
                  </w:r>
                </w:p>
              </w:tc>
              <w:tc>
                <w:tcPr>
                  <w:tcW w:w="551" w:type="pct"/>
                  <w:noWrap w:val="0"/>
                  <w:vAlign w:val="center"/>
                </w:tcPr>
                <w:p w14:paraId="1D8E07F8">
                  <w:pPr>
                    <w:jc w:val="center"/>
                    <w:rPr>
                      <w:color w:val="auto"/>
                      <w:szCs w:val="21"/>
                      <w:highlight w:val="none"/>
                      <w:u w:val="none" w:color="auto"/>
                    </w:rPr>
                  </w:pPr>
                  <w:r>
                    <w:rPr>
                      <w:color w:val="auto"/>
                      <w:szCs w:val="21"/>
                      <w:highlight w:val="none"/>
                      <w:u w:val="none" w:color="auto"/>
                    </w:rPr>
                    <w:t>70</w:t>
                  </w:r>
                </w:p>
              </w:tc>
              <w:tc>
                <w:tcPr>
                  <w:tcW w:w="1106" w:type="dxa"/>
                  <w:noWrap w:val="0"/>
                  <w:vAlign w:val="center"/>
                </w:tcPr>
                <w:p w14:paraId="19C63457">
                  <w:pPr>
                    <w:jc w:val="center"/>
                    <w:rPr>
                      <w:rFonts w:hint="default" w:ascii="Times New Roman" w:hAnsi="Times New Roman" w:eastAsia="宋体" w:cs="Times New Roman"/>
                      <w:color w:val="auto"/>
                      <w:szCs w:val="21"/>
                      <w:highlight w:val="none"/>
                      <w:u w:val="none" w:color="auto"/>
                      <w:lang w:val="en-US"/>
                    </w:rPr>
                  </w:pPr>
                  <w:r>
                    <w:rPr>
                      <w:rFonts w:hint="eastAsia" w:ascii="Times New Roman" w:hAnsi="Times New Roman" w:eastAsia="宋体" w:cs="Times New Roman"/>
                      <w:color w:val="auto"/>
                      <w:szCs w:val="21"/>
                      <w:highlight w:val="none"/>
                      <w:u w:val="none" w:color="auto"/>
                      <w:lang w:val="en-US" w:eastAsia="zh-CN"/>
                    </w:rPr>
                    <w:t>68.6</w:t>
                  </w:r>
                </w:p>
              </w:tc>
              <w:tc>
                <w:tcPr>
                  <w:tcW w:w="702" w:type="pct"/>
                  <w:noWrap w:val="0"/>
                  <w:vAlign w:val="center"/>
                </w:tcPr>
                <w:p w14:paraId="422B59FC">
                  <w:pPr>
                    <w:jc w:val="center"/>
                    <w:rPr>
                      <w:color w:val="auto"/>
                      <w:szCs w:val="21"/>
                      <w:highlight w:val="none"/>
                      <w:u w:val="none" w:color="auto"/>
                    </w:rPr>
                  </w:pPr>
                  <w:r>
                    <w:rPr>
                      <w:color w:val="auto"/>
                      <w:szCs w:val="21"/>
                      <w:highlight w:val="none"/>
                      <w:u w:val="none" w:color="auto"/>
                    </w:rPr>
                    <w:t>达标</w:t>
                  </w:r>
                </w:p>
              </w:tc>
            </w:tr>
            <w:tr w14:paraId="376676C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26" w:type="pct"/>
                  <w:noWrap w:val="0"/>
                  <w:vAlign w:val="center"/>
                </w:tcPr>
                <w:p w14:paraId="22C64392">
                  <w:pPr>
                    <w:jc w:val="center"/>
                    <w:rPr>
                      <w:color w:val="auto"/>
                      <w:szCs w:val="21"/>
                      <w:highlight w:val="none"/>
                      <w:u w:val="none" w:color="auto"/>
                    </w:rPr>
                  </w:pPr>
                  <w:r>
                    <w:rPr>
                      <w:color w:val="auto"/>
                      <w:szCs w:val="21"/>
                      <w:highlight w:val="none"/>
                      <w:u w:val="none" w:color="auto"/>
                    </w:rPr>
                    <w:t>SO</w:t>
                  </w:r>
                  <w:r>
                    <w:rPr>
                      <w:color w:val="auto"/>
                      <w:szCs w:val="21"/>
                      <w:highlight w:val="none"/>
                      <w:u w:val="none" w:color="auto"/>
                      <w:vertAlign w:val="subscript"/>
                    </w:rPr>
                    <w:t>2</w:t>
                  </w:r>
                </w:p>
              </w:tc>
              <w:tc>
                <w:tcPr>
                  <w:tcW w:w="2045" w:type="pct"/>
                  <w:noWrap w:val="0"/>
                  <w:vAlign w:val="center"/>
                </w:tcPr>
                <w:p w14:paraId="2E22FA14">
                  <w:pPr>
                    <w:jc w:val="center"/>
                    <w:rPr>
                      <w:color w:val="auto"/>
                      <w:szCs w:val="21"/>
                      <w:highlight w:val="none"/>
                      <w:u w:val="none" w:color="auto"/>
                    </w:rPr>
                  </w:pPr>
                  <w:r>
                    <w:rPr>
                      <w:color w:val="auto"/>
                      <w:szCs w:val="21"/>
                      <w:highlight w:val="none"/>
                      <w:u w:val="none" w:color="auto"/>
                    </w:rPr>
                    <w:t>年平均质量浓度</w:t>
                  </w:r>
                </w:p>
              </w:tc>
              <w:tc>
                <w:tcPr>
                  <w:tcW w:w="512" w:type="pct"/>
                  <w:noWrap w:val="0"/>
                  <w:vAlign w:val="center"/>
                </w:tcPr>
                <w:p w14:paraId="0F64892B">
                  <w:pPr>
                    <w:jc w:val="center"/>
                    <w:rPr>
                      <w:rFonts w:hint="default" w:eastAsia="宋体"/>
                      <w:color w:val="auto"/>
                      <w:szCs w:val="21"/>
                      <w:highlight w:val="none"/>
                      <w:u w:val="none" w:color="auto"/>
                      <w:lang w:val="en-US" w:eastAsia="zh-CN"/>
                    </w:rPr>
                  </w:pPr>
                  <w:r>
                    <w:rPr>
                      <w:rFonts w:hint="eastAsia"/>
                      <w:color w:val="auto"/>
                      <w:szCs w:val="21"/>
                      <w:highlight w:val="none"/>
                      <w:u w:val="none" w:color="auto"/>
                      <w:lang w:val="en-US" w:eastAsia="zh-CN"/>
                    </w:rPr>
                    <w:t>10</w:t>
                  </w:r>
                </w:p>
              </w:tc>
              <w:tc>
                <w:tcPr>
                  <w:tcW w:w="551" w:type="pct"/>
                  <w:noWrap w:val="0"/>
                  <w:vAlign w:val="center"/>
                </w:tcPr>
                <w:p w14:paraId="45AEEB13">
                  <w:pPr>
                    <w:jc w:val="center"/>
                    <w:rPr>
                      <w:color w:val="auto"/>
                      <w:szCs w:val="21"/>
                      <w:highlight w:val="none"/>
                      <w:u w:val="none" w:color="auto"/>
                    </w:rPr>
                  </w:pPr>
                  <w:r>
                    <w:rPr>
                      <w:color w:val="auto"/>
                      <w:szCs w:val="21"/>
                      <w:highlight w:val="none"/>
                      <w:u w:val="none" w:color="auto"/>
                    </w:rPr>
                    <w:t>60</w:t>
                  </w:r>
                </w:p>
              </w:tc>
              <w:tc>
                <w:tcPr>
                  <w:tcW w:w="1106" w:type="dxa"/>
                  <w:noWrap w:val="0"/>
                  <w:vAlign w:val="center"/>
                </w:tcPr>
                <w:p w14:paraId="7BE500C5">
                  <w:pPr>
                    <w:jc w:val="center"/>
                    <w:rPr>
                      <w:rFonts w:hint="default" w:ascii="Times New Roman" w:hAnsi="Times New Roman" w:eastAsia="宋体" w:cs="Times New Roman"/>
                      <w:color w:val="auto"/>
                      <w:szCs w:val="21"/>
                      <w:highlight w:val="none"/>
                      <w:u w:val="none" w:color="auto"/>
                      <w:lang w:val="en-US"/>
                    </w:rPr>
                  </w:pPr>
                  <w:r>
                    <w:rPr>
                      <w:rFonts w:hint="eastAsia" w:ascii="Times New Roman" w:hAnsi="Times New Roman" w:eastAsia="宋体" w:cs="Times New Roman"/>
                      <w:color w:val="auto"/>
                      <w:szCs w:val="21"/>
                      <w:highlight w:val="none"/>
                      <w:u w:val="none" w:color="auto"/>
                      <w:lang w:val="en-US" w:eastAsia="zh-CN"/>
                    </w:rPr>
                    <w:t>16.7</w:t>
                  </w:r>
                </w:p>
              </w:tc>
              <w:tc>
                <w:tcPr>
                  <w:tcW w:w="702" w:type="pct"/>
                  <w:noWrap w:val="0"/>
                  <w:vAlign w:val="center"/>
                </w:tcPr>
                <w:p w14:paraId="4FE3237A">
                  <w:pPr>
                    <w:jc w:val="center"/>
                    <w:rPr>
                      <w:color w:val="auto"/>
                      <w:szCs w:val="21"/>
                      <w:highlight w:val="none"/>
                      <w:u w:val="none" w:color="auto"/>
                    </w:rPr>
                  </w:pPr>
                  <w:r>
                    <w:rPr>
                      <w:color w:val="auto"/>
                      <w:szCs w:val="21"/>
                      <w:highlight w:val="none"/>
                      <w:u w:val="none" w:color="auto"/>
                    </w:rPr>
                    <w:t>达标</w:t>
                  </w:r>
                </w:p>
              </w:tc>
            </w:tr>
            <w:tr w14:paraId="5D3E151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26" w:type="pct"/>
                  <w:noWrap w:val="0"/>
                  <w:vAlign w:val="center"/>
                </w:tcPr>
                <w:p w14:paraId="4D91B4C2">
                  <w:pPr>
                    <w:jc w:val="center"/>
                    <w:rPr>
                      <w:color w:val="auto"/>
                      <w:szCs w:val="21"/>
                      <w:highlight w:val="none"/>
                      <w:u w:val="none" w:color="auto"/>
                    </w:rPr>
                  </w:pPr>
                  <w:r>
                    <w:rPr>
                      <w:color w:val="auto"/>
                      <w:szCs w:val="21"/>
                      <w:highlight w:val="none"/>
                      <w:u w:val="none" w:color="auto"/>
                    </w:rPr>
                    <w:t>NO</w:t>
                  </w:r>
                  <w:r>
                    <w:rPr>
                      <w:color w:val="auto"/>
                      <w:szCs w:val="21"/>
                      <w:highlight w:val="none"/>
                      <w:u w:val="none" w:color="auto"/>
                      <w:vertAlign w:val="subscript"/>
                    </w:rPr>
                    <w:t>2</w:t>
                  </w:r>
                </w:p>
              </w:tc>
              <w:tc>
                <w:tcPr>
                  <w:tcW w:w="2045" w:type="pct"/>
                  <w:noWrap w:val="0"/>
                  <w:vAlign w:val="center"/>
                </w:tcPr>
                <w:p w14:paraId="6AC0054B">
                  <w:pPr>
                    <w:jc w:val="center"/>
                    <w:rPr>
                      <w:color w:val="auto"/>
                      <w:szCs w:val="21"/>
                      <w:highlight w:val="none"/>
                      <w:u w:val="none" w:color="auto"/>
                    </w:rPr>
                  </w:pPr>
                  <w:r>
                    <w:rPr>
                      <w:color w:val="auto"/>
                      <w:szCs w:val="21"/>
                      <w:highlight w:val="none"/>
                      <w:u w:val="none" w:color="auto"/>
                    </w:rPr>
                    <w:t>年平均质量浓度</w:t>
                  </w:r>
                </w:p>
              </w:tc>
              <w:tc>
                <w:tcPr>
                  <w:tcW w:w="512" w:type="pct"/>
                  <w:noWrap w:val="0"/>
                  <w:vAlign w:val="center"/>
                </w:tcPr>
                <w:p w14:paraId="022C12B0">
                  <w:pPr>
                    <w:jc w:val="center"/>
                    <w:rPr>
                      <w:rFonts w:hint="default" w:eastAsia="宋体"/>
                      <w:color w:val="auto"/>
                      <w:szCs w:val="21"/>
                      <w:highlight w:val="none"/>
                      <w:u w:val="none" w:color="auto"/>
                      <w:lang w:val="en-US" w:eastAsia="zh-CN"/>
                    </w:rPr>
                  </w:pPr>
                  <w:r>
                    <w:rPr>
                      <w:rFonts w:hint="eastAsia"/>
                      <w:color w:val="auto"/>
                      <w:szCs w:val="21"/>
                      <w:highlight w:val="none"/>
                      <w:u w:val="none" w:color="auto"/>
                      <w:lang w:val="en-US" w:eastAsia="zh-CN"/>
                    </w:rPr>
                    <w:t>18</w:t>
                  </w:r>
                </w:p>
              </w:tc>
              <w:tc>
                <w:tcPr>
                  <w:tcW w:w="551" w:type="pct"/>
                  <w:noWrap w:val="0"/>
                  <w:vAlign w:val="center"/>
                </w:tcPr>
                <w:p w14:paraId="4B3C5FC6">
                  <w:pPr>
                    <w:jc w:val="center"/>
                    <w:rPr>
                      <w:color w:val="auto"/>
                      <w:szCs w:val="21"/>
                      <w:highlight w:val="none"/>
                      <w:u w:val="none" w:color="auto"/>
                    </w:rPr>
                  </w:pPr>
                  <w:r>
                    <w:rPr>
                      <w:color w:val="auto"/>
                      <w:szCs w:val="21"/>
                      <w:highlight w:val="none"/>
                      <w:u w:val="none" w:color="auto"/>
                    </w:rPr>
                    <w:t>40</w:t>
                  </w:r>
                </w:p>
              </w:tc>
              <w:tc>
                <w:tcPr>
                  <w:tcW w:w="1106" w:type="dxa"/>
                  <w:noWrap w:val="0"/>
                  <w:vAlign w:val="center"/>
                </w:tcPr>
                <w:p w14:paraId="6B381DF1">
                  <w:pPr>
                    <w:jc w:val="center"/>
                    <w:rPr>
                      <w:rFonts w:hint="default" w:ascii="Times New Roman" w:hAnsi="Times New Roman" w:eastAsia="宋体" w:cs="Times New Roman"/>
                      <w:color w:val="auto"/>
                      <w:szCs w:val="21"/>
                      <w:highlight w:val="none"/>
                      <w:u w:val="none" w:color="auto"/>
                      <w:lang w:val="en-US"/>
                    </w:rPr>
                  </w:pPr>
                  <w:r>
                    <w:rPr>
                      <w:rFonts w:hint="eastAsia" w:ascii="Times New Roman" w:hAnsi="Times New Roman" w:eastAsia="宋体" w:cs="Times New Roman"/>
                      <w:color w:val="auto"/>
                      <w:szCs w:val="21"/>
                      <w:highlight w:val="none"/>
                      <w:u w:val="none" w:color="auto"/>
                      <w:lang w:val="en-US" w:eastAsia="zh-CN"/>
                    </w:rPr>
                    <w:t>45.0</w:t>
                  </w:r>
                </w:p>
              </w:tc>
              <w:tc>
                <w:tcPr>
                  <w:tcW w:w="702" w:type="pct"/>
                  <w:noWrap w:val="0"/>
                  <w:vAlign w:val="center"/>
                </w:tcPr>
                <w:p w14:paraId="0D00C7C4">
                  <w:pPr>
                    <w:jc w:val="center"/>
                    <w:rPr>
                      <w:color w:val="auto"/>
                      <w:szCs w:val="21"/>
                      <w:highlight w:val="none"/>
                      <w:u w:val="none" w:color="auto"/>
                    </w:rPr>
                  </w:pPr>
                  <w:r>
                    <w:rPr>
                      <w:color w:val="auto"/>
                      <w:szCs w:val="21"/>
                      <w:highlight w:val="none"/>
                      <w:u w:val="none" w:color="auto"/>
                    </w:rPr>
                    <w:t>达标</w:t>
                  </w:r>
                </w:p>
              </w:tc>
            </w:tr>
            <w:tr w14:paraId="63CBD6B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26" w:type="pct"/>
                  <w:noWrap w:val="0"/>
                  <w:vAlign w:val="center"/>
                </w:tcPr>
                <w:p w14:paraId="2B15E83E">
                  <w:pPr>
                    <w:jc w:val="center"/>
                    <w:rPr>
                      <w:color w:val="auto"/>
                      <w:szCs w:val="21"/>
                      <w:highlight w:val="none"/>
                      <w:u w:val="none" w:color="auto"/>
                    </w:rPr>
                  </w:pPr>
                  <w:r>
                    <w:rPr>
                      <w:color w:val="auto"/>
                      <w:szCs w:val="21"/>
                      <w:highlight w:val="none"/>
                      <w:u w:val="none" w:color="auto"/>
                    </w:rPr>
                    <w:t>CO</w:t>
                  </w:r>
                </w:p>
              </w:tc>
              <w:tc>
                <w:tcPr>
                  <w:tcW w:w="2045" w:type="pct"/>
                  <w:noWrap w:val="0"/>
                  <w:vAlign w:val="center"/>
                </w:tcPr>
                <w:p w14:paraId="60E9EC14">
                  <w:pPr>
                    <w:jc w:val="center"/>
                    <w:rPr>
                      <w:color w:val="auto"/>
                      <w:szCs w:val="21"/>
                      <w:highlight w:val="none"/>
                      <w:u w:val="none" w:color="auto"/>
                    </w:rPr>
                  </w:pPr>
                  <w:r>
                    <w:rPr>
                      <w:color w:val="auto"/>
                      <w:szCs w:val="21"/>
                      <w:highlight w:val="none"/>
                      <w:u w:val="none" w:color="auto"/>
                    </w:rPr>
                    <w:t>年24h平均第95百分位数</w:t>
                  </w:r>
                </w:p>
              </w:tc>
              <w:tc>
                <w:tcPr>
                  <w:tcW w:w="512" w:type="pct"/>
                  <w:noWrap w:val="0"/>
                  <w:vAlign w:val="center"/>
                </w:tcPr>
                <w:p w14:paraId="2BA2EDF7">
                  <w:pPr>
                    <w:jc w:val="center"/>
                    <w:rPr>
                      <w:rFonts w:hint="default" w:eastAsia="宋体"/>
                      <w:color w:val="auto"/>
                      <w:szCs w:val="21"/>
                      <w:highlight w:val="none"/>
                      <w:u w:val="none" w:color="auto"/>
                      <w:lang w:val="en-US" w:eastAsia="zh-CN"/>
                    </w:rPr>
                  </w:pPr>
                  <w:r>
                    <w:rPr>
                      <w:rFonts w:hint="eastAsia"/>
                      <w:color w:val="auto"/>
                      <w:szCs w:val="21"/>
                      <w:highlight w:val="none"/>
                      <w:u w:val="none" w:color="auto"/>
                      <w:lang w:val="en-US" w:eastAsia="zh-CN"/>
                    </w:rPr>
                    <w:t>1200</w:t>
                  </w:r>
                </w:p>
              </w:tc>
              <w:tc>
                <w:tcPr>
                  <w:tcW w:w="551" w:type="pct"/>
                  <w:noWrap w:val="0"/>
                  <w:vAlign w:val="center"/>
                </w:tcPr>
                <w:p w14:paraId="3FA1790E">
                  <w:pPr>
                    <w:jc w:val="center"/>
                    <w:rPr>
                      <w:color w:val="auto"/>
                      <w:szCs w:val="21"/>
                      <w:highlight w:val="none"/>
                      <w:u w:val="none" w:color="auto"/>
                    </w:rPr>
                  </w:pPr>
                  <w:r>
                    <w:rPr>
                      <w:color w:val="auto"/>
                      <w:szCs w:val="21"/>
                      <w:highlight w:val="none"/>
                      <w:u w:val="none" w:color="auto"/>
                    </w:rPr>
                    <w:t>4000</w:t>
                  </w:r>
                </w:p>
              </w:tc>
              <w:tc>
                <w:tcPr>
                  <w:tcW w:w="1106" w:type="dxa"/>
                  <w:noWrap w:val="0"/>
                  <w:vAlign w:val="center"/>
                </w:tcPr>
                <w:p w14:paraId="15660326">
                  <w:pPr>
                    <w:jc w:val="center"/>
                    <w:rPr>
                      <w:rFonts w:hint="default" w:ascii="Times New Roman" w:hAnsi="Times New Roman" w:eastAsia="宋体" w:cs="Times New Roman"/>
                      <w:color w:val="auto"/>
                      <w:szCs w:val="21"/>
                      <w:highlight w:val="none"/>
                      <w:u w:val="none" w:color="auto"/>
                      <w:lang w:val="en-US"/>
                    </w:rPr>
                  </w:pPr>
                  <w:r>
                    <w:rPr>
                      <w:rFonts w:hint="eastAsia" w:ascii="Times New Roman" w:hAnsi="Times New Roman" w:eastAsia="宋体" w:cs="Times New Roman"/>
                      <w:color w:val="auto"/>
                      <w:szCs w:val="21"/>
                      <w:highlight w:val="none"/>
                      <w:u w:val="none" w:color="auto"/>
                      <w:lang w:val="en-US" w:eastAsia="zh-CN"/>
                    </w:rPr>
                    <w:t>30.0</w:t>
                  </w:r>
                </w:p>
              </w:tc>
              <w:tc>
                <w:tcPr>
                  <w:tcW w:w="702" w:type="pct"/>
                  <w:noWrap w:val="0"/>
                  <w:vAlign w:val="center"/>
                </w:tcPr>
                <w:p w14:paraId="3366EBF1">
                  <w:pPr>
                    <w:jc w:val="center"/>
                    <w:rPr>
                      <w:color w:val="auto"/>
                      <w:szCs w:val="21"/>
                      <w:highlight w:val="none"/>
                      <w:u w:val="none" w:color="auto"/>
                    </w:rPr>
                  </w:pPr>
                  <w:r>
                    <w:rPr>
                      <w:color w:val="auto"/>
                      <w:szCs w:val="21"/>
                      <w:highlight w:val="none"/>
                      <w:u w:val="none" w:color="auto"/>
                    </w:rPr>
                    <w:t>达标</w:t>
                  </w:r>
                </w:p>
              </w:tc>
            </w:tr>
            <w:tr w14:paraId="7927CDE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81" w:hRule="atLeast"/>
                <w:jc w:val="center"/>
              </w:trPr>
              <w:tc>
                <w:tcPr>
                  <w:tcW w:w="526" w:type="pct"/>
                  <w:noWrap w:val="0"/>
                  <w:vAlign w:val="center"/>
                </w:tcPr>
                <w:p w14:paraId="4A01B05B">
                  <w:pPr>
                    <w:jc w:val="center"/>
                    <w:rPr>
                      <w:color w:val="auto"/>
                      <w:szCs w:val="21"/>
                      <w:highlight w:val="none"/>
                      <w:u w:val="none" w:color="auto"/>
                    </w:rPr>
                  </w:pPr>
                  <w:r>
                    <w:rPr>
                      <w:color w:val="auto"/>
                      <w:szCs w:val="21"/>
                      <w:highlight w:val="none"/>
                      <w:u w:val="none" w:color="auto"/>
                    </w:rPr>
                    <w:t>O</w:t>
                  </w:r>
                  <w:r>
                    <w:rPr>
                      <w:color w:val="auto"/>
                      <w:szCs w:val="21"/>
                      <w:highlight w:val="none"/>
                      <w:u w:val="none" w:color="auto"/>
                      <w:vertAlign w:val="subscript"/>
                    </w:rPr>
                    <w:t>3</w:t>
                  </w:r>
                </w:p>
              </w:tc>
              <w:tc>
                <w:tcPr>
                  <w:tcW w:w="2045" w:type="pct"/>
                  <w:noWrap w:val="0"/>
                  <w:vAlign w:val="center"/>
                </w:tcPr>
                <w:p w14:paraId="169FCEAC">
                  <w:pPr>
                    <w:jc w:val="center"/>
                    <w:rPr>
                      <w:color w:val="auto"/>
                      <w:szCs w:val="21"/>
                      <w:highlight w:val="none"/>
                      <w:u w:val="none" w:color="auto"/>
                    </w:rPr>
                  </w:pPr>
                  <w:r>
                    <w:rPr>
                      <w:color w:val="auto"/>
                      <w:szCs w:val="21"/>
                      <w:highlight w:val="none"/>
                      <w:u w:val="none" w:color="auto"/>
                    </w:rPr>
                    <w:t>年日最大8h平均第90百分位数</w:t>
                  </w:r>
                </w:p>
              </w:tc>
              <w:tc>
                <w:tcPr>
                  <w:tcW w:w="512" w:type="pct"/>
                  <w:noWrap w:val="0"/>
                  <w:vAlign w:val="center"/>
                </w:tcPr>
                <w:p w14:paraId="08A7930C">
                  <w:pPr>
                    <w:jc w:val="center"/>
                    <w:rPr>
                      <w:rFonts w:hint="default" w:eastAsia="宋体"/>
                      <w:color w:val="auto"/>
                      <w:szCs w:val="21"/>
                      <w:highlight w:val="none"/>
                      <w:u w:val="none" w:color="auto"/>
                      <w:lang w:val="en-US" w:eastAsia="zh-CN"/>
                    </w:rPr>
                  </w:pPr>
                  <w:r>
                    <w:rPr>
                      <w:rFonts w:hint="eastAsia"/>
                      <w:color w:val="auto"/>
                      <w:szCs w:val="21"/>
                      <w:highlight w:val="none"/>
                      <w:u w:val="none" w:color="auto"/>
                      <w:lang w:val="en-US" w:eastAsia="zh-CN"/>
                    </w:rPr>
                    <w:t>122</w:t>
                  </w:r>
                </w:p>
              </w:tc>
              <w:tc>
                <w:tcPr>
                  <w:tcW w:w="551" w:type="pct"/>
                  <w:noWrap w:val="0"/>
                  <w:vAlign w:val="center"/>
                </w:tcPr>
                <w:p w14:paraId="45C96B98">
                  <w:pPr>
                    <w:jc w:val="center"/>
                    <w:rPr>
                      <w:color w:val="auto"/>
                      <w:szCs w:val="21"/>
                      <w:highlight w:val="none"/>
                      <w:u w:val="none" w:color="auto"/>
                    </w:rPr>
                  </w:pPr>
                  <w:r>
                    <w:rPr>
                      <w:color w:val="auto"/>
                      <w:szCs w:val="21"/>
                      <w:highlight w:val="none"/>
                      <w:u w:val="none" w:color="auto"/>
                    </w:rPr>
                    <w:t>160</w:t>
                  </w:r>
                </w:p>
              </w:tc>
              <w:tc>
                <w:tcPr>
                  <w:tcW w:w="1106" w:type="dxa"/>
                  <w:noWrap w:val="0"/>
                  <w:vAlign w:val="center"/>
                </w:tcPr>
                <w:p w14:paraId="6E5D4580">
                  <w:pPr>
                    <w:jc w:val="center"/>
                    <w:rPr>
                      <w:rFonts w:hint="default" w:ascii="Times New Roman" w:hAnsi="Times New Roman" w:eastAsia="宋体" w:cs="Times New Roman"/>
                      <w:color w:val="auto"/>
                      <w:szCs w:val="21"/>
                      <w:highlight w:val="none"/>
                      <w:u w:val="none" w:color="auto"/>
                      <w:lang w:val="en-US"/>
                    </w:rPr>
                  </w:pPr>
                  <w:r>
                    <w:rPr>
                      <w:rFonts w:hint="eastAsia" w:ascii="Times New Roman" w:hAnsi="Times New Roman" w:eastAsia="宋体" w:cs="Times New Roman"/>
                      <w:color w:val="auto"/>
                      <w:szCs w:val="21"/>
                      <w:highlight w:val="none"/>
                      <w:u w:val="none" w:color="auto"/>
                      <w:lang w:val="en-US" w:eastAsia="zh-CN"/>
                    </w:rPr>
                    <w:t>76.3</w:t>
                  </w:r>
                </w:p>
              </w:tc>
              <w:tc>
                <w:tcPr>
                  <w:tcW w:w="702" w:type="pct"/>
                  <w:noWrap w:val="0"/>
                  <w:vAlign w:val="center"/>
                </w:tcPr>
                <w:p w14:paraId="6F33AC38">
                  <w:pPr>
                    <w:jc w:val="center"/>
                    <w:rPr>
                      <w:color w:val="auto"/>
                      <w:szCs w:val="21"/>
                      <w:highlight w:val="none"/>
                      <w:u w:val="none" w:color="auto"/>
                    </w:rPr>
                  </w:pPr>
                  <w:r>
                    <w:rPr>
                      <w:color w:val="auto"/>
                      <w:szCs w:val="21"/>
                      <w:highlight w:val="none"/>
                      <w:u w:val="none" w:color="auto"/>
                    </w:rPr>
                    <w:t>达标</w:t>
                  </w:r>
                </w:p>
              </w:tc>
            </w:tr>
          </w:tbl>
          <w:p w14:paraId="23F7E06A">
            <w:pPr>
              <w:adjustRightInd w:val="0"/>
              <w:snapToGrid w:val="0"/>
              <w:spacing w:line="360" w:lineRule="auto"/>
              <w:jc w:val="center"/>
              <w:rPr>
                <w:rFonts w:hint="eastAsia" w:ascii="Times New Roman" w:hAnsi="Times New Roman" w:eastAsia="宋体" w:cs="Times New Roman"/>
                <w:color w:val="auto"/>
                <w:sz w:val="24"/>
                <w:highlight w:val="none"/>
                <w:u w:val="none" w:color="auto"/>
              </w:rPr>
            </w:pPr>
          </w:p>
          <w:p w14:paraId="35E421CA">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ascii="Times New Roman" w:hAnsi="Times New Roman" w:cs="Times New Roman"/>
                <w:b/>
                <w:bCs/>
                <w:color w:val="auto"/>
                <w:kern w:val="0"/>
                <w:sz w:val="24"/>
                <w:szCs w:val="24"/>
                <w:highlight w:val="cyan"/>
                <w:lang w:bidi="ar"/>
              </w:rPr>
            </w:pPr>
            <w:r>
              <w:rPr>
                <w:rFonts w:hint="default" w:ascii="Times New Roman" w:hAnsi="Times New Roman" w:eastAsia="宋体" w:cs="Times New Roman"/>
                <w:color w:val="auto"/>
                <w:sz w:val="24"/>
                <w:highlight w:val="none"/>
                <w:u w:val="none" w:color="auto"/>
              </w:rPr>
              <w:t>由表3-1可知</w:t>
            </w:r>
            <w:r>
              <w:rPr>
                <w:rFonts w:hint="default" w:ascii="Times New Roman" w:hAnsi="Times New Roman" w:eastAsia="宋体" w:cs="Times New Roman"/>
                <w:color w:val="auto"/>
                <w:sz w:val="24"/>
                <w:highlight w:val="none"/>
                <w:u w:val="none" w:color="auto"/>
                <w:lang w:eastAsia="zh-CN"/>
              </w:rPr>
              <w:t>，</w:t>
            </w:r>
            <w:r>
              <w:rPr>
                <w:rFonts w:hint="default" w:ascii="Times New Roman" w:hAnsi="Times New Roman" w:cs="Times New Roman"/>
                <w:color w:val="auto"/>
                <w:sz w:val="24"/>
                <w:highlight w:val="none"/>
                <w:u w:val="none" w:color="auto"/>
              </w:rPr>
              <w:t>202</w:t>
            </w:r>
            <w:r>
              <w:rPr>
                <w:rFonts w:hint="eastAsia" w:ascii="Times New Roman" w:hAnsi="Times New Roman" w:cs="Times New Roman"/>
                <w:color w:val="auto"/>
                <w:sz w:val="24"/>
                <w:highlight w:val="none"/>
                <w:u w:val="none" w:color="auto"/>
                <w:lang w:val="en-US" w:eastAsia="zh-CN"/>
              </w:rPr>
              <w:t>5</w:t>
            </w:r>
            <w:r>
              <w:rPr>
                <w:rFonts w:hint="default" w:ascii="Times New Roman" w:hAnsi="Times New Roman" w:cs="Times New Roman"/>
                <w:color w:val="auto"/>
                <w:sz w:val="24"/>
                <w:highlight w:val="none"/>
                <w:u w:val="none" w:color="auto"/>
              </w:rPr>
              <w:t>年</w:t>
            </w:r>
            <w:r>
              <w:rPr>
                <w:rFonts w:hint="eastAsia" w:ascii="Times New Roman" w:hAnsi="Times New Roman" w:cs="Times New Roman"/>
                <w:color w:val="auto"/>
                <w:sz w:val="24"/>
                <w:highlight w:val="none"/>
                <w:u w:val="none" w:color="auto"/>
                <w:lang w:eastAsia="zh-CN"/>
              </w:rPr>
              <w:t>白山</w:t>
            </w:r>
            <w:r>
              <w:rPr>
                <w:rFonts w:hint="default" w:ascii="Times New Roman" w:hAnsi="Times New Roman" w:cs="Times New Roman"/>
                <w:color w:val="auto"/>
                <w:sz w:val="24"/>
                <w:highlight w:val="none"/>
                <w:u w:val="none" w:color="auto"/>
              </w:rPr>
              <w:t>市空气环境中PM</w:t>
            </w:r>
            <w:r>
              <w:rPr>
                <w:rFonts w:hint="default" w:ascii="Times New Roman" w:hAnsi="Times New Roman" w:cs="Times New Roman"/>
                <w:color w:val="auto"/>
                <w:sz w:val="24"/>
                <w:highlight w:val="none"/>
                <w:u w:val="none" w:color="auto"/>
                <w:vertAlign w:val="subscript"/>
              </w:rPr>
              <w:t>2.5</w:t>
            </w:r>
            <w:r>
              <w:rPr>
                <w:rFonts w:hint="default" w:ascii="Times New Roman" w:hAnsi="Times New Roman" w:cs="Times New Roman"/>
                <w:color w:val="auto"/>
                <w:sz w:val="24"/>
                <w:highlight w:val="none"/>
                <w:u w:val="none" w:color="auto"/>
              </w:rPr>
              <w:t>、PM</w:t>
            </w:r>
            <w:r>
              <w:rPr>
                <w:rFonts w:hint="default" w:ascii="Times New Roman" w:hAnsi="Times New Roman" w:cs="Times New Roman"/>
                <w:color w:val="auto"/>
                <w:sz w:val="24"/>
                <w:highlight w:val="none"/>
                <w:u w:val="none" w:color="auto"/>
                <w:vertAlign w:val="subscript"/>
              </w:rPr>
              <w:t>10</w:t>
            </w:r>
            <w:r>
              <w:rPr>
                <w:rFonts w:hint="default" w:ascii="Times New Roman" w:hAnsi="Times New Roman" w:cs="Times New Roman"/>
                <w:color w:val="auto"/>
                <w:sz w:val="24"/>
                <w:highlight w:val="none"/>
                <w:u w:val="none" w:color="auto"/>
              </w:rPr>
              <w:t>、SO</w:t>
            </w:r>
            <w:r>
              <w:rPr>
                <w:rFonts w:hint="default" w:ascii="Times New Roman" w:hAnsi="Times New Roman" w:cs="Times New Roman"/>
                <w:color w:val="auto"/>
                <w:sz w:val="24"/>
                <w:highlight w:val="none"/>
                <w:u w:val="none" w:color="auto"/>
                <w:vertAlign w:val="subscript"/>
              </w:rPr>
              <w:t>2</w:t>
            </w:r>
            <w:r>
              <w:rPr>
                <w:rFonts w:hint="default" w:ascii="Times New Roman" w:hAnsi="Times New Roman" w:cs="Times New Roman"/>
                <w:color w:val="auto"/>
                <w:sz w:val="24"/>
                <w:highlight w:val="none"/>
                <w:u w:val="none" w:color="auto"/>
              </w:rPr>
              <w:t>和NO</w:t>
            </w:r>
            <w:r>
              <w:rPr>
                <w:rFonts w:hint="default" w:ascii="Times New Roman" w:hAnsi="Times New Roman" w:cs="Times New Roman"/>
                <w:color w:val="auto"/>
                <w:sz w:val="24"/>
                <w:highlight w:val="none"/>
                <w:u w:val="none" w:color="auto"/>
                <w:vertAlign w:val="subscript"/>
              </w:rPr>
              <w:t>2</w:t>
            </w:r>
            <w:r>
              <w:rPr>
                <w:rFonts w:hint="default" w:ascii="Times New Roman" w:hAnsi="Times New Roman" w:cs="Times New Roman"/>
                <w:color w:val="auto"/>
                <w:sz w:val="24"/>
                <w:highlight w:val="none"/>
                <w:u w:val="none" w:color="auto"/>
              </w:rPr>
              <w:t>四项主要污染物年均值分别为</w:t>
            </w:r>
            <w:r>
              <w:rPr>
                <w:rFonts w:hint="eastAsia" w:ascii="Times New Roman" w:hAnsi="Times New Roman" w:cs="Times New Roman"/>
                <w:color w:val="auto"/>
                <w:sz w:val="24"/>
                <w:highlight w:val="none"/>
                <w:u w:val="none" w:color="auto"/>
                <w:lang w:val="en-US" w:eastAsia="zh-CN"/>
              </w:rPr>
              <w:t>22.8</w:t>
            </w:r>
            <w:r>
              <w:rPr>
                <w:rFonts w:hint="default" w:ascii="Times New Roman" w:hAnsi="Times New Roman" w:cs="Times New Roman"/>
                <w:color w:val="auto"/>
                <w:sz w:val="24"/>
                <w:highlight w:val="none"/>
                <w:u w:val="none" w:color="auto"/>
              </w:rPr>
              <w:t>μg/m</w:t>
            </w:r>
            <w:r>
              <w:rPr>
                <w:rFonts w:hint="default" w:ascii="Times New Roman" w:hAnsi="Times New Roman" w:cs="Times New Roman"/>
                <w:color w:val="auto"/>
                <w:sz w:val="24"/>
                <w:highlight w:val="none"/>
                <w:u w:val="none" w:color="auto"/>
                <w:vertAlign w:val="superscript"/>
              </w:rPr>
              <w:t>3</w:t>
            </w:r>
            <w:r>
              <w:rPr>
                <w:rFonts w:hint="default" w:ascii="Times New Roman" w:hAnsi="Times New Roman" w:cs="Times New Roman"/>
                <w:color w:val="auto"/>
                <w:sz w:val="24"/>
                <w:highlight w:val="none"/>
                <w:u w:val="none" w:color="auto"/>
              </w:rPr>
              <w:t>、</w:t>
            </w:r>
            <w:r>
              <w:rPr>
                <w:rFonts w:hint="eastAsia" w:ascii="Times New Roman" w:hAnsi="Times New Roman" w:cs="Times New Roman"/>
                <w:color w:val="auto"/>
                <w:sz w:val="24"/>
                <w:highlight w:val="none"/>
                <w:u w:val="none" w:color="auto"/>
                <w:lang w:val="en-US" w:eastAsia="zh-CN"/>
              </w:rPr>
              <w:t>48</w:t>
            </w:r>
            <w:r>
              <w:rPr>
                <w:rFonts w:hint="default" w:ascii="Times New Roman" w:hAnsi="Times New Roman" w:cs="Times New Roman"/>
                <w:color w:val="auto"/>
                <w:sz w:val="24"/>
                <w:highlight w:val="none"/>
                <w:u w:val="none" w:color="auto"/>
              </w:rPr>
              <w:t>μg/m</w:t>
            </w:r>
            <w:r>
              <w:rPr>
                <w:rFonts w:hint="default" w:ascii="Times New Roman" w:hAnsi="Times New Roman" w:cs="Times New Roman"/>
                <w:color w:val="auto"/>
                <w:sz w:val="24"/>
                <w:highlight w:val="none"/>
                <w:u w:val="none" w:color="auto"/>
                <w:vertAlign w:val="superscript"/>
              </w:rPr>
              <w:t>3</w:t>
            </w:r>
            <w:r>
              <w:rPr>
                <w:rFonts w:hint="default" w:ascii="Times New Roman" w:hAnsi="Times New Roman" w:cs="Times New Roman"/>
                <w:color w:val="auto"/>
                <w:sz w:val="24"/>
                <w:highlight w:val="none"/>
                <w:u w:val="none" w:color="auto"/>
              </w:rPr>
              <w:t>、</w:t>
            </w:r>
            <w:r>
              <w:rPr>
                <w:rFonts w:hint="eastAsia" w:ascii="Times New Roman" w:hAnsi="Times New Roman" w:cs="Times New Roman"/>
                <w:color w:val="auto"/>
                <w:sz w:val="24"/>
                <w:highlight w:val="none"/>
                <w:u w:val="none" w:color="auto"/>
                <w:lang w:val="en-US" w:eastAsia="zh-CN"/>
              </w:rPr>
              <w:t>10</w:t>
            </w:r>
            <w:r>
              <w:rPr>
                <w:rFonts w:hint="default" w:ascii="Times New Roman" w:hAnsi="Times New Roman" w:cs="Times New Roman"/>
                <w:color w:val="auto"/>
                <w:sz w:val="24"/>
                <w:highlight w:val="none"/>
                <w:u w:val="none" w:color="auto"/>
              </w:rPr>
              <w:t>μg/m</w:t>
            </w:r>
            <w:r>
              <w:rPr>
                <w:rFonts w:hint="default" w:ascii="Times New Roman" w:hAnsi="Times New Roman" w:cs="Times New Roman"/>
                <w:color w:val="auto"/>
                <w:sz w:val="24"/>
                <w:highlight w:val="none"/>
                <w:u w:val="none" w:color="auto"/>
                <w:vertAlign w:val="superscript"/>
              </w:rPr>
              <w:t>3</w:t>
            </w:r>
            <w:r>
              <w:rPr>
                <w:rFonts w:hint="default" w:ascii="Times New Roman" w:hAnsi="Times New Roman" w:cs="Times New Roman"/>
                <w:color w:val="auto"/>
                <w:sz w:val="24"/>
                <w:highlight w:val="none"/>
                <w:u w:val="none" w:color="auto"/>
              </w:rPr>
              <w:t>和</w:t>
            </w:r>
            <w:r>
              <w:rPr>
                <w:rFonts w:hint="eastAsia" w:ascii="Times New Roman" w:hAnsi="Times New Roman" w:cs="Times New Roman"/>
                <w:color w:val="auto"/>
                <w:sz w:val="24"/>
                <w:highlight w:val="none"/>
                <w:u w:val="none" w:color="auto"/>
                <w:lang w:val="en-US" w:eastAsia="zh-CN"/>
              </w:rPr>
              <w:t>18</w:t>
            </w:r>
            <w:r>
              <w:rPr>
                <w:rFonts w:hint="default" w:ascii="Times New Roman" w:hAnsi="Times New Roman" w:cs="Times New Roman"/>
                <w:color w:val="auto"/>
                <w:sz w:val="24"/>
                <w:highlight w:val="none"/>
                <w:u w:val="none" w:color="auto"/>
              </w:rPr>
              <w:t>μg/m</w:t>
            </w:r>
            <w:r>
              <w:rPr>
                <w:rFonts w:hint="default" w:ascii="Times New Roman" w:hAnsi="Times New Roman" w:cs="Times New Roman"/>
                <w:color w:val="auto"/>
                <w:sz w:val="24"/>
                <w:highlight w:val="none"/>
                <w:u w:val="none" w:color="auto"/>
                <w:vertAlign w:val="superscript"/>
              </w:rPr>
              <w:t>3</w:t>
            </w:r>
            <w:r>
              <w:rPr>
                <w:rFonts w:hint="default" w:ascii="Times New Roman" w:hAnsi="Times New Roman" w:cs="Times New Roman"/>
                <w:color w:val="auto"/>
                <w:sz w:val="24"/>
                <w:highlight w:val="none"/>
                <w:u w:val="none" w:color="auto"/>
              </w:rPr>
              <w:t>；CO年24h平均第95百分位数为</w:t>
            </w:r>
            <w:r>
              <w:rPr>
                <w:rFonts w:hint="eastAsia" w:ascii="Times New Roman" w:hAnsi="Times New Roman" w:cs="Times New Roman"/>
                <w:color w:val="auto"/>
                <w:sz w:val="24"/>
                <w:highlight w:val="none"/>
                <w:u w:val="none" w:color="auto"/>
                <w:lang w:val="en-US" w:eastAsia="zh-CN"/>
              </w:rPr>
              <w:t>1.2</w:t>
            </w:r>
            <w:r>
              <w:rPr>
                <w:rFonts w:hint="default" w:ascii="Times New Roman" w:hAnsi="Times New Roman" w:cs="Times New Roman"/>
                <w:color w:val="auto"/>
                <w:sz w:val="24"/>
                <w:highlight w:val="none"/>
                <w:u w:val="none" w:color="auto"/>
              </w:rPr>
              <w:t>mg/m</w:t>
            </w:r>
            <w:r>
              <w:rPr>
                <w:rFonts w:hint="default" w:ascii="Times New Roman" w:hAnsi="Times New Roman" w:cs="Times New Roman"/>
                <w:color w:val="auto"/>
                <w:sz w:val="24"/>
                <w:highlight w:val="none"/>
                <w:u w:val="none" w:color="auto"/>
                <w:vertAlign w:val="superscript"/>
              </w:rPr>
              <w:t>3</w:t>
            </w:r>
            <w:r>
              <w:rPr>
                <w:rFonts w:hint="default" w:ascii="Times New Roman" w:hAnsi="Times New Roman" w:cs="Times New Roman"/>
                <w:color w:val="auto"/>
                <w:sz w:val="24"/>
                <w:highlight w:val="none"/>
                <w:u w:val="none" w:color="auto"/>
              </w:rPr>
              <w:t>；O</w:t>
            </w:r>
            <w:r>
              <w:rPr>
                <w:rFonts w:hint="default" w:ascii="Times New Roman" w:hAnsi="Times New Roman" w:cs="Times New Roman"/>
                <w:color w:val="auto"/>
                <w:sz w:val="24"/>
                <w:highlight w:val="none"/>
                <w:u w:val="none" w:color="auto"/>
                <w:vertAlign w:val="subscript"/>
              </w:rPr>
              <w:t>3</w:t>
            </w:r>
            <w:r>
              <w:rPr>
                <w:rFonts w:hint="default" w:ascii="Times New Roman" w:hAnsi="Times New Roman" w:cs="Times New Roman"/>
                <w:color w:val="auto"/>
                <w:sz w:val="24"/>
                <w:highlight w:val="none"/>
                <w:u w:val="none" w:color="auto"/>
              </w:rPr>
              <w:t>年日最大8h平均第90百分位数为</w:t>
            </w:r>
            <w:r>
              <w:rPr>
                <w:rFonts w:hint="eastAsia" w:ascii="Times New Roman" w:hAnsi="Times New Roman" w:cs="Times New Roman"/>
                <w:color w:val="auto"/>
                <w:sz w:val="24"/>
                <w:highlight w:val="none"/>
                <w:u w:val="none" w:color="auto"/>
                <w:lang w:val="en-US" w:eastAsia="zh-CN"/>
              </w:rPr>
              <w:t>122</w:t>
            </w:r>
            <w:r>
              <w:rPr>
                <w:rFonts w:hint="default" w:ascii="Times New Roman" w:hAnsi="Times New Roman" w:cs="Times New Roman"/>
                <w:color w:val="auto"/>
                <w:sz w:val="24"/>
                <w:highlight w:val="none"/>
                <w:u w:val="none" w:color="auto"/>
              </w:rPr>
              <w:t>μg/m</w:t>
            </w:r>
            <w:r>
              <w:rPr>
                <w:rFonts w:hint="default" w:ascii="Times New Roman" w:hAnsi="Times New Roman" w:cs="Times New Roman"/>
                <w:color w:val="auto"/>
                <w:sz w:val="24"/>
                <w:highlight w:val="none"/>
                <w:u w:val="none" w:color="auto"/>
                <w:vertAlign w:val="superscript"/>
              </w:rPr>
              <w:t>3</w:t>
            </w:r>
            <w:r>
              <w:rPr>
                <w:rFonts w:hint="default" w:ascii="Times New Roman" w:hAnsi="Times New Roman" w:cs="Times New Roman"/>
                <w:color w:val="auto"/>
                <w:sz w:val="24"/>
                <w:highlight w:val="none"/>
                <w:u w:val="none" w:color="auto"/>
              </w:rPr>
              <w:t>。六项指标中PM</w:t>
            </w:r>
            <w:r>
              <w:rPr>
                <w:rFonts w:hint="default" w:ascii="Times New Roman" w:hAnsi="Times New Roman" w:cs="Times New Roman"/>
                <w:color w:val="auto"/>
                <w:sz w:val="24"/>
                <w:highlight w:val="none"/>
                <w:u w:val="none" w:color="auto"/>
                <w:vertAlign w:val="subscript"/>
              </w:rPr>
              <w:t>2.5</w:t>
            </w:r>
            <w:r>
              <w:rPr>
                <w:rFonts w:hint="default" w:ascii="Times New Roman" w:hAnsi="Times New Roman" w:cs="Times New Roman"/>
                <w:color w:val="auto"/>
                <w:sz w:val="24"/>
                <w:highlight w:val="none"/>
                <w:u w:val="none" w:color="auto"/>
              </w:rPr>
              <w:t>、PM</w:t>
            </w:r>
            <w:r>
              <w:rPr>
                <w:rFonts w:hint="default" w:ascii="Times New Roman" w:hAnsi="Times New Roman" w:cs="Times New Roman"/>
                <w:color w:val="auto"/>
                <w:sz w:val="24"/>
                <w:highlight w:val="none"/>
                <w:u w:val="none" w:color="auto"/>
                <w:vertAlign w:val="subscript"/>
              </w:rPr>
              <w:t>10</w:t>
            </w:r>
            <w:r>
              <w:rPr>
                <w:rFonts w:hint="default" w:ascii="Times New Roman" w:hAnsi="Times New Roman" w:cs="Times New Roman"/>
                <w:color w:val="auto"/>
                <w:sz w:val="24"/>
                <w:highlight w:val="none"/>
                <w:u w:val="none" w:color="auto"/>
              </w:rPr>
              <w:t>、NO</w:t>
            </w:r>
            <w:r>
              <w:rPr>
                <w:rFonts w:hint="default" w:ascii="Times New Roman" w:hAnsi="Times New Roman" w:cs="Times New Roman"/>
                <w:color w:val="auto"/>
                <w:sz w:val="24"/>
                <w:highlight w:val="none"/>
                <w:u w:val="none" w:color="auto"/>
                <w:vertAlign w:val="subscript"/>
              </w:rPr>
              <w:t>2</w:t>
            </w:r>
            <w:r>
              <w:rPr>
                <w:rFonts w:hint="default" w:ascii="Times New Roman" w:hAnsi="Times New Roman" w:cs="Times New Roman"/>
                <w:color w:val="auto"/>
                <w:sz w:val="24"/>
                <w:highlight w:val="none"/>
                <w:u w:val="none" w:color="auto"/>
              </w:rPr>
              <w:t>和SO</w:t>
            </w:r>
            <w:r>
              <w:rPr>
                <w:rFonts w:hint="default" w:ascii="Times New Roman" w:hAnsi="Times New Roman" w:cs="Times New Roman"/>
                <w:color w:val="auto"/>
                <w:sz w:val="24"/>
                <w:highlight w:val="none"/>
                <w:u w:val="none" w:color="auto"/>
                <w:vertAlign w:val="subscript"/>
              </w:rPr>
              <w:t>2</w:t>
            </w:r>
            <w:r>
              <w:rPr>
                <w:rFonts w:hint="default" w:ascii="Times New Roman" w:hAnsi="Times New Roman" w:cs="Times New Roman"/>
                <w:color w:val="auto"/>
                <w:sz w:val="24"/>
                <w:highlight w:val="none"/>
                <w:u w:val="none" w:color="auto"/>
              </w:rPr>
              <w:t>年均值符合《环境空气质量标准》（GB3095-20</w:t>
            </w:r>
            <w:r>
              <w:rPr>
                <w:rFonts w:hint="eastAsia" w:ascii="Times New Roman" w:hAnsi="Times New Roman" w:cs="Times New Roman"/>
                <w:color w:val="auto"/>
                <w:sz w:val="24"/>
                <w:highlight w:val="none"/>
                <w:u w:val="none" w:color="auto"/>
                <w:lang w:val="en-US" w:eastAsia="zh-CN"/>
              </w:rPr>
              <w:t>26</w:t>
            </w:r>
            <w:r>
              <w:rPr>
                <w:rFonts w:hint="default" w:ascii="Times New Roman" w:hAnsi="Times New Roman" w:cs="Times New Roman"/>
                <w:color w:val="auto"/>
                <w:sz w:val="24"/>
                <w:highlight w:val="none"/>
                <w:u w:val="none" w:color="auto"/>
              </w:rPr>
              <w:t>）中年均二级标准的要求；CO年24h平均第95百分位数符合24h平均的二级标准要求；O</w:t>
            </w:r>
            <w:r>
              <w:rPr>
                <w:rFonts w:hint="default" w:ascii="Times New Roman" w:hAnsi="Times New Roman" w:cs="Times New Roman"/>
                <w:color w:val="auto"/>
                <w:sz w:val="24"/>
                <w:highlight w:val="none"/>
                <w:u w:val="none" w:color="auto"/>
                <w:vertAlign w:val="subscript"/>
              </w:rPr>
              <w:t>3</w:t>
            </w:r>
            <w:r>
              <w:rPr>
                <w:rFonts w:hint="default" w:ascii="Times New Roman" w:hAnsi="Times New Roman" w:cs="Times New Roman"/>
                <w:color w:val="auto"/>
                <w:sz w:val="24"/>
                <w:highlight w:val="none"/>
                <w:u w:val="none" w:color="auto"/>
              </w:rPr>
              <w:t>年日最大8h平均第90百分位数符合日最大8h平均的二级标准要求，综上</w:t>
            </w:r>
            <w:r>
              <w:rPr>
                <w:rFonts w:hint="eastAsia" w:ascii="Times New Roman" w:hAnsi="Times New Roman" w:cs="Times New Roman"/>
                <w:color w:val="auto"/>
                <w:sz w:val="24"/>
                <w:highlight w:val="none"/>
                <w:u w:val="none" w:color="auto"/>
                <w:lang w:eastAsia="zh-CN"/>
              </w:rPr>
              <w:t>白山</w:t>
            </w:r>
            <w:r>
              <w:rPr>
                <w:rFonts w:hint="default" w:ascii="Times New Roman" w:hAnsi="Times New Roman" w:cs="Times New Roman"/>
                <w:color w:val="auto"/>
                <w:sz w:val="24"/>
                <w:highlight w:val="none"/>
                <w:u w:val="none" w:color="auto"/>
              </w:rPr>
              <w:t>市环境空气质量属于达标区。</w:t>
            </w:r>
          </w:p>
          <w:p w14:paraId="16B2A36E">
            <w:pPr>
              <w:pStyle w:val="24"/>
              <w:ind w:left="0" w:leftChars="0" w:firstLine="482" w:firstLineChars="200"/>
              <w:rPr>
                <w:rFonts w:hint="eastAsia" w:ascii="Times New Roman" w:hAnsi="Times New Roman" w:eastAsia="宋体" w:cs="宋体"/>
                <w:bCs/>
                <w:color w:val="auto"/>
                <w:kern w:val="2"/>
                <w:sz w:val="24"/>
                <w:szCs w:val="24"/>
                <w:highlight w:val="none"/>
                <w:u w:val="none" w:color="auto"/>
                <w:lang w:val="en-US" w:eastAsia="zh-CN" w:bidi="ar-SA"/>
              </w:rPr>
            </w:pPr>
            <w:r>
              <w:rPr>
                <w:rFonts w:hint="eastAsia" w:ascii="Times New Roman" w:hAnsi="Times New Roman" w:eastAsia="宋体" w:cs="Times New Roman"/>
                <w:b/>
                <w:bCs/>
                <w:color w:val="auto"/>
                <w:sz w:val="24"/>
                <w:highlight w:val="none"/>
                <w:u w:val="none"/>
                <w:lang w:val="en-US" w:eastAsia="zh-CN" w:bidi="ar"/>
              </w:rPr>
              <w:t>1.2</w:t>
            </w:r>
            <w:r>
              <w:rPr>
                <w:rFonts w:hint="eastAsia" w:ascii="Times New Roman" w:hAnsi="Times New Roman" w:eastAsia="宋体" w:cs="Times New Roman"/>
                <w:b/>
                <w:bCs/>
                <w:color w:val="auto"/>
                <w:sz w:val="24"/>
                <w:highlight w:val="none"/>
              </w:rPr>
              <w:t>其他污染物环境质量现状</w:t>
            </w:r>
          </w:p>
          <w:p w14:paraId="3CE8A00C">
            <w:pPr>
              <w:spacing w:line="360" w:lineRule="auto"/>
              <w:ind w:firstLine="480" w:firstLineChars="200"/>
              <w:rPr>
                <w:color w:val="auto"/>
                <w:kern w:val="11"/>
                <w:sz w:val="24"/>
                <w:highlight w:val="none"/>
              </w:rPr>
            </w:pPr>
            <w:r>
              <w:rPr>
                <w:color w:val="auto"/>
                <w:kern w:val="11"/>
                <w:sz w:val="24"/>
                <w:highlight w:val="none"/>
              </w:rPr>
              <w:t>1）监测点位布设</w:t>
            </w:r>
          </w:p>
          <w:p w14:paraId="2DCE4311">
            <w:pPr>
              <w:adjustRightInd w:val="0"/>
              <w:snapToGrid w:val="0"/>
              <w:spacing w:line="360" w:lineRule="auto"/>
              <w:ind w:firstLine="482"/>
              <w:rPr>
                <w:rFonts w:hint="default" w:ascii="Times New Roman" w:hAnsi="Times New Roman" w:cs="Times New Roman"/>
                <w:i w:val="0"/>
                <w:iCs w:val="0"/>
                <w:color w:val="auto"/>
                <w:kern w:val="0"/>
                <w:sz w:val="24"/>
                <w:szCs w:val="24"/>
                <w:highlight w:val="none"/>
                <w:u w:val="none" w:color="auto"/>
                <w:lang w:val="en-US" w:eastAsia="zh-CN" w:bidi="ar"/>
              </w:rPr>
            </w:pPr>
            <w:r>
              <w:rPr>
                <w:rFonts w:hint="eastAsia" w:ascii="宋体" w:hAnsi="宋体" w:cs="宋体"/>
                <w:bCs/>
                <w:color w:val="000000"/>
                <w:sz w:val="24"/>
                <w:highlight w:val="none"/>
              </w:rPr>
              <w:t>本次环评</w:t>
            </w:r>
            <w:r>
              <w:rPr>
                <w:rFonts w:hint="default" w:ascii="Times New Roman" w:hAnsi="Times New Roman" w:cs="Times New Roman"/>
                <w:bCs/>
                <w:color w:val="000000"/>
                <w:sz w:val="24"/>
                <w:highlight w:val="none"/>
              </w:rPr>
              <w:t>布设1个</w:t>
            </w:r>
            <w:r>
              <w:rPr>
                <w:rFonts w:hint="eastAsia" w:ascii="Times New Roman" w:hAnsi="Times New Roman" w:cs="Times New Roman"/>
                <w:bCs/>
                <w:color w:val="000000"/>
                <w:sz w:val="24"/>
                <w:highlight w:val="none"/>
                <w:lang w:val="en-US" w:eastAsia="zh-CN"/>
              </w:rPr>
              <w:t>环境空气</w:t>
            </w:r>
            <w:r>
              <w:rPr>
                <w:rFonts w:hint="default" w:ascii="Times New Roman" w:hAnsi="Times New Roman" w:cs="Times New Roman"/>
                <w:bCs/>
                <w:color w:val="000000"/>
                <w:sz w:val="24"/>
                <w:highlight w:val="none"/>
              </w:rPr>
              <w:t>监测</w:t>
            </w:r>
            <w:r>
              <w:rPr>
                <w:rFonts w:hint="eastAsia" w:ascii="Times New Roman" w:hAnsi="Times New Roman" w:cs="Times New Roman"/>
                <w:bCs/>
                <w:color w:val="000000"/>
                <w:sz w:val="24"/>
                <w:highlight w:val="none"/>
                <w:lang w:eastAsia="zh-CN"/>
              </w:rPr>
              <w:t>点位</w:t>
            </w:r>
            <w:r>
              <w:rPr>
                <w:rFonts w:hint="default" w:ascii="Times New Roman" w:hAnsi="Times New Roman" w:cs="Times New Roman"/>
                <w:bCs/>
                <w:color w:val="000000"/>
                <w:sz w:val="24"/>
                <w:highlight w:val="none"/>
              </w:rPr>
              <w:t>，</w:t>
            </w:r>
            <w:r>
              <w:rPr>
                <w:rFonts w:hint="default" w:ascii="Times New Roman" w:hAnsi="Times New Roman" w:eastAsia="宋体" w:cs="Times New Roman"/>
                <w:i w:val="0"/>
                <w:iCs w:val="0"/>
                <w:color w:val="auto"/>
                <w:kern w:val="0"/>
                <w:sz w:val="24"/>
                <w:szCs w:val="24"/>
                <w:highlight w:val="none"/>
                <w:u w:val="none" w:color="auto"/>
                <w:lang w:val="en-US" w:eastAsia="zh-CN" w:bidi="ar"/>
              </w:rPr>
              <w:t>监测点布设情况详见下表及附图。</w:t>
            </w:r>
          </w:p>
          <w:p w14:paraId="13190B64">
            <w:pPr>
              <w:pStyle w:val="64"/>
              <w:numPr>
                <w:ilvl w:val="0"/>
                <w:numId w:val="0"/>
              </w:numPr>
              <w:adjustRightInd/>
              <w:snapToGrid/>
              <w:spacing w:line="240" w:lineRule="auto"/>
              <w:ind w:leftChars="0"/>
              <w:jc w:val="center"/>
              <w:rPr>
                <w:rFonts w:hint="eastAsia"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表3-2  其他污染物补充监测点位基本信息表</w:t>
            </w:r>
          </w:p>
          <w:tbl>
            <w:tblPr>
              <w:tblStyle w:val="25"/>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94"/>
              <w:gridCol w:w="1815"/>
              <w:gridCol w:w="1591"/>
              <w:gridCol w:w="1457"/>
              <w:gridCol w:w="710"/>
              <w:gridCol w:w="620"/>
              <w:gridCol w:w="580"/>
              <w:gridCol w:w="822"/>
            </w:tblGrid>
            <w:tr w14:paraId="2526BD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296" w:type="pct"/>
                  <w:vMerge w:val="restart"/>
                  <w:noWrap w:val="0"/>
                  <w:vAlign w:val="center"/>
                </w:tcPr>
                <w:p w14:paraId="0CF7B4DE">
                  <w:pPr>
                    <w:jc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sz w:val="21"/>
                      <w:szCs w:val="21"/>
                      <w:highlight w:val="none"/>
                      <w:u w:val="none"/>
                    </w:rPr>
                    <w:t>序号</w:t>
                  </w:r>
                </w:p>
              </w:tc>
              <w:tc>
                <w:tcPr>
                  <w:tcW w:w="1185" w:type="pct"/>
                  <w:vMerge w:val="restart"/>
                  <w:noWrap w:val="0"/>
                  <w:vAlign w:val="center"/>
                </w:tcPr>
                <w:p w14:paraId="0140CF3B">
                  <w:pPr>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rPr>
                    <w:t>监测点</w:t>
                  </w:r>
                  <w:r>
                    <w:rPr>
                      <w:rFonts w:hint="default" w:ascii="Times New Roman" w:hAnsi="Times New Roman" w:eastAsia="宋体" w:cs="Times New Roman"/>
                      <w:b w:val="0"/>
                      <w:bCs w:val="0"/>
                      <w:i w:val="0"/>
                      <w:iCs w:val="0"/>
                      <w:color w:val="auto"/>
                      <w:sz w:val="21"/>
                      <w:szCs w:val="21"/>
                      <w:highlight w:val="none"/>
                      <w:u w:val="none"/>
                      <w:lang w:val="en-US" w:eastAsia="zh-CN"/>
                    </w:rPr>
                    <w:t>位名称</w:t>
                  </w:r>
                </w:p>
              </w:tc>
              <w:tc>
                <w:tcPr>
                  <w:tcW w:w="1613" w:type="pct"/>
                  <w:gridSpan w:val="2"/>
                  <w:noWrap w:val="0"/>
                  <w:vAlign w:val="center"/>
                </w:tcPr>
                <w:p w14:paraId="69CCC2E3">
                  <w:pPr>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监测点位坐标</w:t>
                  </w:r>
                </w:p>
              </w:tc>
              <w:tc>
                <w:tcPr>
                  <w:tcW w:w="502" w:type="pct"/>
                  <w:vMerge w:val="restart"/>
                  <w:noWrap w:val="0"/>
                  <w:vAlign w:val="center"/>
                </w:tcPr>
                <w:p w14:paraId="465FFAAD">
                  <w:pPr>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监测因子</w:t>
                  </w:r>
                </w:p>
              </w:tc>
              <w:tc>
                <w:tcPr>
                  <w:tcW w:w="446" w:type="pct"/>
                  <w:vMerge w:val="restart"/>
                  <w:noWrap w:val="0"/>
                  <w:vAlign w:val="center"/>
                </w:tcPr>
                <w:p w14:paraId="7A35636C">
                  <w:pPr>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监测时段</w:t>
                  </w:r>
                </w:p>
              </w:tc>
              <w:tc>
                <w:tcPr>
                  <w:tcW w:w="421" w:type="pct"/>
                  <w:vMerge w:val="restart"/>
                  <w:noWrap w:val="0"/>
                  <w:vAlign w:val="center"/>
                </w:tcPr>
                <w:p w14:paraId="0A735D39">
                  <w:pPr>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相对厂址方位</w:t>
                  </w:r>
                </w:p>
              </w:tc>
              <w:tc>
                <w:tcPr>
                  <w:tcW w:w="534" w:type="pct"/>
                  <w:vMerge w:val="restart"/>
                  <w:noWrap w:val="0"/>
                  <w:vAlign w:val="center"/>
                </w:tcPr>
                <w:p w14:paraId="7252AA11">
                  <w:pPr>
                    <w:jc w:val="center"/>
                    <w:rPr>
                      <w:rFonts w:hint="default" w:ascii="Times New Roman" w:hAnsi="Times New Roman" w:eastAsia="宋体" w:cs="Times New Roman"/>
                      <w:b w:val="0"/>
                      <w:bCs w:val="0"/>
                      <w:i w:val="0"/>
                      <w:iCs w:val="0"/>
                      <w:color w:val="auto"/>
                      <w:sz w:val="21"/>
                      <w:szCs w:val="21"/>
                      <w:highlight w:val="none"/>
                      <w:u w:val="none"/>
                      <w:lang w:val="en-US"/>
                    </w:rPr>
                  </w:pPr>
                  <w:r>
                    <w:rPr>
                      <w:rFonts w:hint="default" w:ascii="Times New Roman" w:hAnsi="Times New Roman" w:eastAsia="宋体" w:cs="Times New Roman"/>
                      <w:b w:val="0"/>
                      <w:bCs w:val="0"/>
                      <w:i w:val="0"/>
                      <w:iCs w:val="0"/>
                      <w:color w:val="auto"/>
                      <w:sz w:val="21"/>
                      <w:szCs w:val="21"/>
                      <w:highlight w:val="none"/>
                      <w:u w:val="none"/>
                      <w:lang w:val="en-US" w:eastAsia="zh-CN"/>
                    </w:rPr>
                    <w:t>相对厂界距离</w:t>
                  </w:r>
                </w:p>
              </w:tc>
            </w:tr>
            <w:tr w14:paraId="74DCE9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296" w:type="pct"/>
                  <w:vMerge w:val="continue"/>
                  <w:noWrap w:val="0"/>
                  <w:vAlign w:val="center"/>
                </w:tcPr>
                <w:p w14:paraId="00573DEB">
                  <w:pPr>
                    <w:jc w:val="center"/>
                    <w:rPr>
                      <w:rFonts w:hint="default" w:ascii="Times New Roman" w:hAnsi="Times New Roman" w:eastAsia="宋体" w:cs="Times New Roman"/>
                      <w:b w:val="0"/>
                      <w:bCs w:val="0"/>
                      <w:i w:val="0"/>
                      <w:iCs w:val="0"/>
                      <w:color w:val="auto"/>
                      <w:sz w:val="21"/>
                      <w:szCs w:val="21"/>
                      <w:highlight w:val="none"/>
                      <w:u w:val="none"/>
                    </w:rPr>
                  </w:pPr>
                </w:p>
              </w:tc>
              <w:tc>
                <w:tcPr>
                  <w:tcW w:w="1185" w:type="pct"/>
                  <w:vMerge w:val="continue"/>
                  <w:noWrap w:val="0"/>
                  <w:vAlign w:val="center"/>
                </w:tcPr>
                <w:p w14:paraId="00A78878">
                  <w:pPr>
                    <w:jc w:val="center"/>
                    <w:rPr>
                      <w:rFonts w:hint="default" w:ascii="Times New Roman" w:hAnsi="Times New Roman" w:eastAsia="宋体" w:cs="Times New Roman"/>
                      <w:b w:val="0"/>
                      <w:bCs w:val="0"/>
                      <w:i w:val="0"/>
                      <w:iCs w:val="0"/>
                      <w:color w:val="auto"/>
                      <w:sz w:val="21"/>
                      <w:szCs w:val="21"/>
                      <w:highlight w:val="none"/>
                      <w:u w:val="none"/>
                    </w:rPr>
                  </w:pPr>
                </w:p>
              </w:tc>
              <w:tc>
                <w:tcPr>
                  <w:tcW w:w="855" w:type="pct"/>
                  <w:noWrap w:val="0"/>
                  <w:vAlign w:val="center"/>
                </w:tcPr>
                <w:p w14:paraId="0077AF57">
                  <w:pPr>
                    <w:pStyle w:val="8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Cs/>
                      <w:i w:val="0"/>
                      <w:iCs w:val="0"/>
                      <w:color w:val="auto"/>
                      <w:kern w:val="0"/>
                      <w:sz w:val="21"/>
                      <w:szCs w:val="21"/>
                      <w:highlight w:val="none"/>
                      <w:u w:val="none" w:color="auto"/>
                      <w:lang w:val="en-US" w:eastAsia="zh-CN" w:bidi="ar"/>
                    </w:rPr>
                    <w:t>E</w:t>
                  </w:r>
                </w:p>
              </w:tc>
              <w:tc>
                <w:tcPr>
                  <w:tcW w:w="758" w:type="pct"/>
                  <w:noWrap w:val="0"/>
                  <w:vAlign w:val="center"/>
                </w:tcPr>
                <w:p w14:paraId="3B9ADE8A">
                  <w:pPr>
                    <w:pStyle w:val="8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Cs/>
                      <w:i w:val="0"/>
                      <w:iCs w:val="0"/>
                      <w:color w:val="auto"/>
                      <w:kern w:val="0"/>
                      <w:sz w:val="21"/>
                      <w:szCs w:val="21"/>
                      <w:highlight w:val="none"/>
                      <w:u w:val="none" w:color="auto"/>
                      <w:lang w:val="en-US" w:eastAsia="zh-CN" w:bidi="ar"/>
                    </w:rPr>
                    <w:t>N</w:t>
                  </w:r>
                </w:p>
              </w:tc>
              <w:tc>
                <w:tcPr>
                  <w:tcW w:w="502" w:type="pct"/>
                  <w:vMerge w:val="continue"/>
                  <w:noWrap w:val="0"/>
                  <w:vAlign w:val="center"/>
                </w:tcPr>
                <w:p w14:paraId="156D4E40">
                  <w:pPr>
                    <w:jc w:val="center"/>
                    <w:rPr>
                      <w:rFonts w:hint="default" w:ascii="Times New Roman" w:hAnsi="Times New Roman" w:eastAsia="宋体" w:cs="Times New Roman"/>
                      <w:b w:val="0"/>
                      <w:bCs w:val="0"/>
                      <w:i w:val="0"/>
                      <w:iCs w:val="0"/>
                      <w:color w:val="auto"/>
                      <w:sz w:val="21"/>
                      <w:szCs w:val="21"/>
                      <w:highlight w:val="none"/>
                      <w:u w:val="none"/>
                      <w:lang w:val="en-US" w:eastAsia="zh-CN"/>
                    </w:rPr>
                  </w:pPr>
                </w:p>
              </w:tc>
              <w:tc>
                <w:tcPr>
                  <w:tcW w:w="446" w:type="pct"/>
                  <w:vMerge w:val="continue"/>
                  <w:noWrap w:val="0"/>
                  <w:vAlign w:val="center"/>
                </w:tcPr>
                <w:p w14:paraId="6B1CBB4A">
                  <w:pPr>
                    <w:jc w:val="center"/>
                    <w:rPr>
                      <w:rFonts w:hint="default" w:ascii="Times New Roman" w:hAnsi="Times New Roman" w:eastAsia="宋体" w:cs="Times New Roman"/>
                      <w:b w:val="0"/>
                      <w:bCs w:val="0"/>
                      <w:i w:val="0"/>
                      <w:iCs w:val="0"/>
                      <w:color w:val="auto"/>
                      <w:sz w:val="21"/>
                      <w:szCs w:val="21"/>
                      <w:highlight w:val="none"/>
                      <w:u w:val="none"/>
                      <w:lang w:val="en-US" w:eastAsia="zh-CN"/>
                    </w:rPr>
                  </w:pPr>
                </w:p>
              </w:tc>
              <w:tc>
                <w:tcPr>
                  <w:tcW w:w="421" w:type="pct"/>
                  <w:vMerge w:val="continue"/>
                  <w:noWrap w:val="0"/>
                  <w:vAlign w:val="center"/>
                </w:tcPr>
                <w:p w14:paraId="75DA0513">
                  <w:pPr>
                    <w:jc w:val="center"/>
                    <w:rPr>
                      <w:rFonts w:hint="default" w:ascii="Times New Roman" w:hAnsi="Times New Roman" w:eastAsia="宋体" w:cs="Times New Roman"/>
                      <w:b w:val="0"/>
                      <w:bCs w:val="0"/>
                      <w:i w:val="0"/>
                      <w:iCs w:val="0"/>
                      <w:color w:val="auto"/>
                      <w:sz w:val="21"/>
                      <w:szCs w:val="21"/>
                      <w:highlight w:val="none"/>
                      <w:u w:val="none"/>
                      <w:lang w:val="en-US" w:eastAsia="zh-CN"/>
                    </w:rPr>
                  </w:pPr>
                </w:p>
              </w:tc>
              <w:tc>
                <w:tcPr>
                  <w:tcW w:w="534" w:type="pct"/>
                  <w:vMerge w:val="continue"/>
                  <w:noWrap w:val="0"/>
                  <w:vAlign w:val="center"/>
                </w:tcPr>
                <w:p w14:paraId="2FDF8733">
                  <w:pPr>
                    <w:jc w:val="center"/>
                    <w:rPr>
                      <w:rFonts w:hint="default" w:ascii="Times New Roman" w:hAnsi="Times New Roman" w:eastAsia="宋体" w:cs="Times New Roman"/>
                      <w:b w:val="0"/>
                      <w:bCs w:val="0"/>
                      <w:i w:val="0"/>
                      <w:iCs w:val="0"/>
                      <w:color w:val="auto"/>
                      <w:sz w:val="21"/>
                      <w:szCs w:val="21"/>
                      <w:highlight w:val="none"/>
                      <w:u w:val="none"/>
                      <w:lang w:val="en-US" w:eastAsia="zh-CN"/>
                    </w:rPr>
                  </w:pPr>
                </w:p>
              </w:tc>
            </w:tr>
            <w:tr w14:paraId="47FDDF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296" w:type="pct"/>
                  <w:noWrap w:val="0"/>
                  <w:vAlign w:val="center"/>
                </w:tcPr>
                <w:p w14:paraId="60202300">
                  <w:pPr>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rPr>
                    <w:t>A</w:t>
                  </w:r>
                  <w:r>
                    <w:rPr>
                      <w:rFonts w:hint="eastAsia" w:ascii="Times New Roman" w:hAnsi="Times New Roman" w:eastAsia="宋体" w:cs="Times New Roman"/>
                      <w:b w:val="0"/>
                      <w:bCs w:val="0"/>
                      <w:i w:val="0"/>
                      <w:iCs w:val="0"/>
                      <w:color w:val="auto"/>
                      <w:sz w:val="21"/>
                      <w:szCs w:val="21"/>
                      <w:highlight w:val="none"/>
                      <w:u w:val="none"/>
                      <w:lang w:val="en-US" w:eastAsia="zh-CN"/>
                    </w:rPr>
                    <w:t>1</w:t>
                  </w:r>
                </w:p>
              </w:tc>
              <w:tc>
                <w:tcPr>
                  <w:tcW w:w="1185" w:type="pct"/>
                  <w:noWrap w:val="0"/>
                  <w:vAlign w:val="center"/>
                </w:tcPr>
                <w:p w14:paraId="37521C80">
                  <w:pPr>
                    <w:pStyle w:val="81"/>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eastAsia" w:ascii="Times New Roman" w:hAnsi="Times New Roman" w:eastAsia="宋体" w:cs="Times New Roman"/>
                      <w:highlight w:val="none"/>
                      <w:lang w:val="en-US" w:eastAsia="zh-CN"/>
                    </w:rPr>
                    <w:t>大西社区</w:t>
                  </w:r>
                </w:p>
              </w:tc>
              <w:tc>
                <w:tcPr>
                  <w:tcW w:w="855" w:type="pct"/>
                  <w:noWrap w:val="0"/>
                  <w:vAlign w:val="center"/>
                </w:tcPr>
                <w:p w14:paraId="56EB03F0">
                  <w:pPr>
                    <w:pStyle w:val="8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eastAsia" w:ascii="Times New Roman" w:hAnsi="Times New Roman" w:eastAsia="宋体" w:cs="Times New Roman"/>
                      <w:bCs/>
                      <w:i w:val="0"/>
                      <w:iCs w:val="0"/>
                      <w:color w:val="auto"/>
                      <w:kern w:val="0"/>
                      <w:sz w:val="21"/>
                      <w:szCs w:val="21"/>
                      <w:highlight w:val="none"/>
                      <w:u w:val="none" w:color="auto"/>
                      <w:lang w:val="en-US" w:eastAsia="zh-CN" w:bidi="ar"/>
                    </w:rPr>
                    <w:t>127.222909</w:t>
                  </w:r>
                  <w:r>
                    <w:rPr>
                      <w:rFonts w:hint="default" w:ascii="Times New Roman" w:hAnsi="Times New Roman" w:eastAsia="宋体" w:cs="Times New Roman"/>
                      <w:bCs/>
                      <w:i w:val="0"/>
                      <w:iCs w:val="0"/>
                      <w:color w:val="auto"/>
                      <w:kern w:val="0"/>
                      <w:sz w:val="21"/>
                      <w:szCs w:val="21"/>
                      <w:highlight w:val="none"/>
                      <w:u w:val="none" w:color="auto"/>
                      <w:lang w:val="en-US" w:eastAsia="zh-CN" w:bidi="ar"/>
                    </w:rPr>
                    <w:t>°</w:t>
                  </w:r>
                </w:p>
              </w:tc>
              <w:tc>
                <w:tcPr>
                  <w:tcW w:w="758" w:type="pct"/>
                  <w:noWrap w:val="0"/>
                  <w:vAlign w:val="center"/>
                </w:tcPr>
                <w:p w14:paraId="76828D26">
                  <w:pPr>
                    <w:pStyle w:val="8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eastAsia" w:ascii="Times New Roman" w:hAnsi="Times New Roman" w:eastAsia="宋体" w:cs="Times New Roman"/>
                      <w:bCs/>
                      <w:i w:val="0"/>
                      <w:iCs w:val="0"/>
                      <w:color w:val="auto"/>
                      <w:kern w:val="0"/>
                      <w:sz w:val="21"/>
                      <w:szCs w:val="21"/>
                      <w:highlight w:val="none"/>
                      <w:u w:val="none" w:color="auto"/>
                      <w:lang w:val="en-US" w:eastAsia="zh-CN" w:bidi="ar"/>
                    </w:rPr>
                    <w:t>41.984428</w:t>
                  </w:r>
                  <w:r>
                    <w:rPr>
                      <w:rFonts w:hint="default" w:ascii="Times New Roman" w:hAnsi="Times New Roman" w:eastAsia="宋体" w:cs="Times New Roman"/>
                      <w:bCs/>
                      <w:i w:val="0"/>
                      <w:iCs w:val="0"/>
                      <w:color w:val="auto"/>
                      <w:kern w:val="0"/>
                      <w:sz w:val="21"/>
                      <w:szCs w:val="21"/>
                      <w:highlight w:val="none"/>
                      <w:u w:val="none" w:color="auto"/>
                      <w:lang w:val="en-US" w:eastAsia="zh-CN" w:bidi="ar"/>
                    </w:rPr>
                    <w:t>°</w:t>
                  </w:r>
                </w:p>
              </w:tc>
              <w:tc>
                <w:tcPr>
                  <w:tcW w:w="502" w:type="pct"/>
                  <w:noWrap w:val="0"/>
                  <w:vAlign w:val="center"/>
                </w:tcPr>
                <w:p w14:paraId="2023FB53">
                  <w:pPr>
                    <w:pStyle w:val="80"/>
                    <w:kinsoku w:val="0"/>
                    <w:overflowPunct w:val="0"/>
                    <w:spacing w:line="239" w:lineRule="exact"/>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i w:val="0"/>
                      <w:iCs w:val="0"/>
                      <w:color w:val="auto"/>
                      <w:sz w:val="21"/>
                      <w:szCs w:val="21"/>
                      <w:highlight w:val="none"/>
                      <w:u w:val="none" w:color="auto"/>
                    </w:rPr>
                    <w:t>TSP</w:t>
                  </w:r>
                </w:p>
              </w:tc>
              <w:tc>
                <w:tcPr>
                  <w:tcW w:w="446" w:type="pct"/>
                  <w:noWrap w:val="0"/>
                  <w:vAlign w:val="center"/>
                </w:tcPr>
                <w:p w14:paraId="2D680973">
                  <w:pPr>
                    <w:pStyle w:val="80"/>
                    <w:kinsoku w:val="0"/>
                    <w:overflowPunct w:val="0"/>
                    <w:spacing w:line="239" w:lineRule="exact"/>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连续</w:t>
                  </w:r>
                  <w:r>
                    <w:rPr>
                      <w:rFonts w:hint="eastAsia" w:ascii="Times New Roman" w:hAnsi="Times New Roman" w:eastAsia="宋体" w:cs="Times New Roman"/>
                      <w:b w:val="0"/>
                      <w:bCs w:val="0"/>
                      <w:i w:val="0"/>
                      <w:iCs w:val="0"/>
                      <w:color w:val="auto"/>
                      <w:sz w:val="21"/>
                      <w:szCs w:val="21"/>
                      <w:highlight w:val="none"/>
                      <w:u w:val="none"/>
                      <w:lang w:val="en-US" w:eastAsia="zh-CN"/>
                    </w:rPr>
                    <w:t>3</w:t>
                  </w:r>
                  <w:r>
                    <w:rPr>
                      <w:rFonts w:hint="default" w:ascii="Times New Roman" w:hAnsi="Times New Roman" w:eastAsia="宋体" w:cs="Times New Roman"/>
                      <w:b w:val="0"/>
                      <w:bCs w:val="0"/>
                      <w:i w:val="0"/>
                      <w:iCs w:val="0"/>
                      <w:color w:val="auto"/>
                      <w:sz w:val="21"/>
                      <w:szCs w:val="21"/>
                      <w:highlight w:val="none"/>
                      <w:u w:val="none"/>
                      <w:lang w:val="en-US" w:eastAsia="zh-CN"/>
                    </w:rPr>
                    <w:t>d</w:t>
                  </w:r>
                </w:p>
              </w:tc>
              <w:tc>
                <w:tcPr>
                  <w:tcW w:w="421" w:type="pct"/>
                  <w:noWrap w:val="0"/>
                  <w:vAlign w:val="center"/>
                </w:tcPr>
                <w:p w14:paraId="4C317821">
                  <w:pPr>
                    <w:pStyle w:val="80"/>
                    <w:kinsoku w:val="0"/>
                    <w:overflowPunct w:val="0"/>
                    <w:spacing w:line="241" w:lineRule="exact"/>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东北偏东</w:t>
                  </w:r>
                </w:p>
              </w:tc>
              <w:tc>
                <w:tcPr>
                  <w:tcW w:w="534" w:type="pct"/>
                  <w:noWrap w:val="0"/>
                  <w:vAlign w:val="center"/>
                </w:tcPr>
                <w:p w14:paraId="5EB8B1CC">
                  <w:pPr>
                    <w:pStyle w:val="80"/>
                    <w:kinsoku w:val="0"/>
                    <w:overflowPunct w:val="0"/>
                    <w:spacing w:before="15"/>
                    <w:jc w:val="center"/>
                    <w:rPr>
                      <w:rFonts w:hint="default" w:ascii="Times New Roman" w:hAnsi="Times New Roman" w:eastAsia="宋体" w:cs="Times New Roman"/>
                      <w:b w:val="0"/>
                      <w:bCs w:val="0"/>
                      <w:i w:val="0"/>
                      <w:iCs w:val="0"/>
                      <w:color w:val="auto"/>
                      <w:sz w:val="21"/>
                      <w:szCs w:val="21"/>
                      <w:highlight w:val="none"/>
                      <w:u w:val="none"/>
                    </w:rPr>
                  </w:pPr>
                  <w:r>
                    <w:rPr>
                      <w:rFonts w:hint="eastAsia" w:ascii="Times New Roman" w:hAnsi="Times New Roman" w:eastAsia="宋体" w:cs="Times New Roman"/>
                      <w:b w:val="0"/>
                      <w:bCs w:val="0"/>
                      <w:i w:val="0"/>
                      <w:iCs w:val="0"/>
                      <w:color w:val="auto"/>
                      <w:sz w:val="21"/>
                      <w:szCs w:val="21"/>
                      <w:highlight w:val="none"/>
                      <w:u w:val="none"/>
                      <w:lang w:val="en-US" w:eastAsia="zh-CN"/>
                    </w:rPr>
                    <w:t>660</w:t>
                  </w:r>
                  <w:r>
                    <w:rPr>
                      <w:rFonts w:hint="default" w:ascii="Times New Roman" w:hAnsi="Times New Roman" w:eastAsia="宋体" w:cs="Times New Roman"/>
                      <w:b w:val="0"/>
                      <w:bCs w:val="0"/>
                      <w:i w:val="0"/>
                      <w:iCs w:val="0"/>
                      <w:color w:val="auto"/>
                      <w:sz w:val="21"/>
                      <w:szCs w:val="21"/>
                      <w:highlight w:val="none"/>
                      <w:u w:val="none"/>
                    </w:rPr>
                    <w:t>m</w:t>
                  </w:r>
                </w:p>
              </w:tc>
            </w:tr>
          </w:tbl>
          <w:p w14:paraId="75615CB7">
            <w:pPr>
              <w:pStyle w:val="82"/>
              <w:adjustRightInd w:val="0"/>
              <w:snapToGrid w:val="0"/>
              <w:spacing w:line="360" w:lineRule="auto"/>
              <w:ind w:left="0" w:leftChars="0" w:firstLine="0" w:firstLineChars="0"/>
              <w:jc w:val="center"/>
              <w:rPr>
                <w:rFonts w:ascii="Times New Roman" w:hAnsi="Times New Roman"/>
                <w:color w:val="auto"/>
                <w:sz w:val="24"/>
                <w:highlight w:val="none"/>
              </w:rPr>
            </w:pPr>
          </w:p>
          <w:p w14:paraId="2AAE0D20">
            <w:pPr>
              <w:pStyle w:val="82"/>
              <w:adjustRightInd w:val="0"/>
              <w:snapToGrid w:val="0"/>
              <w:spacing w:line="360" w:lineRule="auto"/>
              <w:ind w:firstLine="480" w:firstLineChars="200"/>
              <w:rPr>
                <w:rFonts w:ascii="Times New Roman" w:hAnsi="Times New Roman"/>
                <w:color w:val="auto"/>
                <w:sz w:val="24"/>
                <w:szCs w:val="24"/>
                <w:highlight w:val="none"/>
              </w:rPr>
            </w:pPr>
            <w:r>
              <w:rPr>
                <w:rFonts w:hint="eastAsia" w:ascii="Times New Roman" w:hAnsi="Times New Roman"/>
                <w:color w:val="auto"/>
                <w:sz w:val="24"/>
                <w:highlight w:val="none"/>
                <w:lang w:val="en-US" w:eastAsia="zh-CN"/>
              </w:rPr>
              <w:t>2</w:t>
            </w:r>
            <w:r>
              <w:rPr>
                <w:rFonts w:ascii="Times New Roman" w:hAnsi="Times New Roman"/>
                <w:color w:val="auto"/>
                <w:sz w:val="24"/>
                <w:highlight w:val="none"/>
              </w:rPr>
              <w:t>）</w:t>
            </w:r>
            <w:r>
              <w:rPr>
                <w:rFonts w:ascii="Times New Roman" w:hAnsi="Times New Roman"/>
                <w:color w:val="auto"/>
                <w:sz w:val="24"/>
                <w:szCs w:val="24"/>
                <w:highlight w:val="none"/>
              </w:rPr>
              <w:t>监测单位及时间</w:t>
            </w:r>
          </w:p>
          <w:p w14:paraId="51814A22">
            <w:pPr>
              <w:pStyle w:val="82"/>
              <w:adjustRightInd w:val="0"/>
              <w:snapToGrid w:val="0"/>
              <w:spacing w:line="360" w:lineRule="auto"/>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lang w:eastAsia="zh-CN"/>
              </w:rPr>
              <w:t>吉林省世翔环境科技有限公司于</w:t>
            </w:r>
            <w:r>
              <w:rPr>
                <w:rFonts w:ascii="Times New Roman" w:hAnsi="Times New Roman"/>
                <w:color w:val="auto"/>
                <w:sz w:val="24"/>
                <w:szCs w:val="24"/>
                <w:highlight w:val="none"/>
              </w:rPr>
              <w:t>202</w:t>
            </w:r>
            <w:r>
              <w:rPr>
                <w:rFonts w:hint="eastAsia" w:ascii="Times New Roman" w:hAnsi="Times New Roman"/>
                <w:color w:val="auto"/>
                <w:sz w:val="24"/>
                <w:szCs w:val="24"/>
                <w:highlight w:val="none"/>
                <w:lang w:val="en-US" w:eastAsia="zh-CN"/>
              </w:rPr>
              <w:t>6</w:t>
            </w:r>
            <w:r>
              <w:rPr>
                <w:rFonts w:ascii="Times New Roman" w:hAnsi="Times New Roman"/>
                <w:color w:val="auto"/>
                <w:sz w:val="24"/>
                <w:szCs w:val="24"/>
                <w:highlight w:val="none"/>
              </w:rPr>
              <w:t>年</w:t>
            </w:r>
            <w:r>
              <w:rPr>
                <w:rFonts w:hint="eastAsia" w:ascii="Times New Roman" w:hAnsi="Times New Roman"/>
                <w:color w:val="auto"/>
                <w:sz w:val="24"/>
                <w:szCs w:val="24"/>
                <w:highlight w:val="none"/>
                <w:lang w:val="en-US" w:eastAsia="zh-CN"/>
              </w:rPr>
              <w:t>6</w:t>
            </w:r>
            <w:r>
              <w:rPr>
                <w:rFonts w:ascii="Times New Roman" w:hAnsi="Times New Roman"/>
                <w:color w:val="auto"/>
                <w:sz w:val="24"/>
                <w:szCs w:val="24"/>
                <w:highlight w:val="none"/>
              </w:rPr>
              <w:t>月</w:t>
            </w:r>
            <w:r>
              <w:rPr>
                <w:rFonts w:hint="eastAsia" w:ascii="Times New Roman" w:hAnsi="Times New Roman"/>
                <w:color w:val="auto"/>
                <w:sz w:val="24"/>
                <w:szCs w:val="24"/>
                <w:highlight w:val="none"/>
                <w:lang w:val="en-US" w:eastAsia="zh-CN"/>
              </w:rPr>
              <w:t>10</w:t>
            </w:r>
            <w:r>
              <w:rPr>
                <w:rFonts w:ascii="Times New Roman" w:hAnsi="Times New Roman"/>
                <w:color w:val="auto"/>
                <w:sz w:val="24"/>
                <w:szCs w:val="24"/>
                <w:highlight w:val="none"/>
              </w:rPr>
              <w:t>日—</w:t>
            </w:r>
            <w:r>
              <w:rPr>
                <w:rFonts w:hint="eastAsia" w:ascii="Times New Roman" w:hAnsi="Times New Roman"/>
                <w:color w:val="auto"/>
                <w:sz w:val="24"/>
                <w:szCs w:val="24"/>
                <w:highlight w:val="none"/>
                <w:lang w:val="en-US" w:eastAsia="zh-CN"/>
              </w:rPr>
              <w:t>6</w:t>
            </w:r>
            <w:r>
              <w:rPr>
                <w:rFonts w:ascii="Times New Roman" w:hAnsi="Times New Roman"/>
                <w:color w:val="auto"/>
                <w:sz w:val="24"/>
                <w:szCs w:val="24"/>
                <w:highlight w:val="none"/>
              </w:rPr>
              <w:t>月</w:t>
            </w:r>
            <w:r>
              <w:rPr>
                <w:rFonts w:hint="eastAsia" w:ascii="Times New Roman" w:hAnsi="Times New Roman"/>
                <w:color w:val="auto"/>
                <w:sz w:val="24"/>
                <w:szCs w:val="24"/>
                <w:highlight w:val="none"/>
                <w:lang w:val="en-US" w:eastAsia="zh-CN"/>
              </w:rPr>
              <w:t>12</w:t>
            </w:r>
            <w:r>
              <w:rPr>
                <w:rFonts w:ascii="Times New Roman" w:hAnsi="Times New Roman"/>
                <w:color w:val="auto"/>
                <w:sz w:val="24"/>
                <w:szCs w:val="24"/>
                <w:highlight w:val="none"/>
              </w:rPr>
              <w:t>日连续3d进行现状监测。</w:t>
            </w:r>
          </w:p>
          <w:p w14:paraId="2050D2AD">
            <w:pPr>
              <w:pStyle w:val="82"/>
              <w:adjustRightInd w:val="0"/>
              <w:snapToGrid w:val="0"/>
              <w:spacing w:line="360" w:lineRule="auto"/>
              <w:ind w:firstLine="480" w:firstLineChars="200"/>
              <w:rPr>
                <w:rFonts w:ascii="Times New Roman" w:hAnsi="Times New Roman"/>
                <w:color w:val="auto"/>
                <w:sz w:val="24"/>
                <w:szCs w:val="24"/>
                <w:highlight w:val="none"/>
              </w:rPr>
            </w:pPr>
            <w:r>
              <w:rPr>
                <w:rFonts w:hint="eastAsia" w:ascii="Times New Roman" w:hAnsi="Times New Roman"/>
                <w:color w:val="auto"/>
                <w:sz w:val="24"/>
                <w:highlight w:val="none"/>
                <w:lang w:val="en-US" w:eastAsia="zh-CN"/>
              </w:rPr>
              <w:t>3</w:t>
            </w:r>
            <w:r>
              <w:rPr>
                <w:rFonts w:ascii="Times New Roman" w:hAnsi="Times New Roman"/>
                <w:color w:val="auto"/>
                <w:sz w:val="24"/>
                <w:highlight w:val="none"/>
              </w:rPr>
              <w:t>）评价标准</w:t>
            </w:r>
          </w:p>
          <w:p w14:paraId="2D6A183A">
            <w:pPr>
              <w:pStyle w:val="82"/>
              <w:adjustRightInd w:val="0"/>
              <w:snapToGrid w:val="0"/>
              <w:spacing w:line="360" w:lineRule="auto"/>
              <w:ind w:firstLine="480" w:firstLineChars="200"/>
              <w:rPr>
                <w:rFonts w:ascii="Times New Roman" w:hAnsi="Times New Roman"/>
                <w:color w:val="auto"/>
                <w:sz w:val="24"/>
                <w:szCs w:val="24"/>
                <w:highlight w:val="none"/>
                <w:u w:val="none" w:color="auto"/>
              </w:rPr>
            </w:pPr>
            <w:r>
              <w:rPr>
                <w:rFonts w:ascii="Times New Roman" w:hAnsi="Times New Roman"/>
                <w:color w:val="auto"/>
                <w:sz w:val="24"/>
                <w:szCs w:val="24"/>
                <w:highlight w:val="none"/>
                <w:u w:val="none" w:color="auto"/>
              </w:rPr>
              <w:t>TSP选用《环境空气质量标准》（GB3095-20</w:t>
            </w:r>
            <w:r>
              <w:rPr>
                <w:rFonts w:hint="eastAsia" w:ascii="Times New Roman" w:hAnsi="Times New Roman"/>
                <w:color w:val="auto"/>
                <w:sz w:val="24"/>
                <w:szCs w:val="24"/>
                <w:highlight w:val="none"/>
                <w:u w:val="none" w:color="auto"/>
                <w:lang w:val="en-US" w:eastAsia="zh-CN"/>
              </w:rPr>
              <w:t>26</w:t>
            </w:r>
            <w:r>
              <w:rPr>
                <w:rFonts w:ascii="Times New Roman" w:hAnsi="Times New Roman"/>
                <w:color w:val="auto"/>
                <w:sz w:val="24"/>
                <w:szCs w:val="24"/>
                <w:highlight w:val="none"/>
                <w:u w:val="none" w:color="auto"/>
              </w:rPr>
              <w:t>）中的二级标准</w:t>
            </w:r>
            <w:r>
              <w:rPr>
                <w:rFonts w:hint="eastAsia" w:ascii="Times New Roman" w:hAnsi="Times New Roman"/>
                <w:color w:val="auto"/>
                <w:sz w:val="24"/>
                <w:szCs w:val="24"/>
                <w:highlight w:val="none"/>
                <w:u w:val="none" w:color="auto"/>
              </w:rPr>
              <w:t>。</w:t>
            </w:r>
          </w:p>
          <w:p w14:paraId="005F3FCE">
            <w:pPr>
              <w:adjustRightInd w:val="0"/>
              <w:snapToGrid w:val="0"/>
              <w:spacing w:line="360" w:lineRule="auto"/>
              <w:ind w:firstLine="480" w:firstLineChars="200"/>
              <w:rPr>
                <w:color w:val="auto"/>
                <w:sz w:val="24"/>
                <w:highlight w:val="none"/>
                <w:u w:val="none" w:color="auto"/>
              </w:rPr>
            </w:pPr>
            <w:r>
              <w:rPr>
                <w:rFonts w:hint="eastAsia"/>
                <w:color w:val="auto"/>
                <w:sz w:val="24"/>
                <w:highlight w:val="none"/>
                <w:u w:val="none" w:color="auto"/>
                <w:lang w:val="en-US" w:eastAsia="zh-CN"/>
              </w:rPr>
              <w:t>4</w:t>
            </w:r>
            <w:r>
              <w:rPr>
                <w:color w:val="auto"/>
                <w:sz w:val="24"/>
                <w:highlight w:val="none"/>
                <w:u w:val="none" w:color="auto"/>
              </w:rPr>
              <w:t>）监测结果及评价</w:t>
            </w:r>
          </w:p>
          <w:p w14:paraId="6D1CD35F">
            <w:pPr>
              <w:adjustRightInd w:val="0"/>
              <w:snapToGrid w:val="0"/>
              <w:spacing w:line="360" w:lineRule="auto"/>
              <w:ind w:firstLine="480" w:firstLineChars="200"/>
              <w:rPr>
                <w:color w:val="auto"/>
                <w:sz w:val="24"/>
                <w:highlight w:val="none"/>
                <w:u w:val="none" w:color="auto"/>
              </w:rPr>
            </w:pPr>
            <w:r>
              <w:rPr>
                <w:color w:val="auto"/>
                <w:sz w:val="24"/>
                <w:highlight w:val="none"/>
                <w:u w:val="none" w:color="auto"/>
              </w:rPr>
              <w:t>环境空气质量现状监测与评价统计结果见下表。</w:t>
            </w:r>
          </w:p>
          <w:p w14:paraId="7451E439">
            <w:pPr>
              <w:pStyle w:val="64"/>
              <w:numPr>
                <w:ilvl w:val="0"/>
                <w:numId w:val="0"/>
              </w:numPr>
              <w:adjustRightInd/>
              <w:snapToGrid/>
              <w:spacing w:line="240" w:lineRule="auto"/>
              <w:ind w:leftChars="0"/>
              <w:jc w:val="center"/>
              <w:rPr>
                <w:rFonts w:hint="eastAsia" w:ascii="Times New Roman" w:hAnsi="Times New Roman" w:eastAsia="宋体" w:cs="Times New Roman"/>
                <w:b/>
                <w:bCs/>
                <w:color w:val="auto"/>
                <w:kern w:val="2"/>
                <w:sz w:val="24"/>
                <w:szCs w:val="24"/>
                <w:highlight w:val="none"/>
                <w:u w:val="none" w:color="auto"/>
                <w:lang w:val="en-US" w:eastAsia="zh-CN" w:bidi="ar-SA"/>
              </w:rPr>
            </w:pPr>
            <w:r>
              <w:rPr>
                <w:rFonts w:hint="eastAsia" w:ascii="Times New Roman" w:hAnsi="Times New Roman" w:eastAsia="宋体" w:cs="Times New Roman"/>
                <w:b/>
                <w:bCs/>
                <w:color w:val="auto"/>
                <w:kern w:val="2"/>
                <w:sz w:val="24"/>
                <w:szCs w:val="24"/>
                <w:highlight w:val="none"/>
                <w:u w:val="none" w:color="auto"/>
                <w:lang w:val="en-US" w:eastAsia="zh-CN" w:bidi="ar-SA"/>
              </w:rPr>
              <w:t>表3-3  环境空气现状质量评价结果统计表</w:t>
            </w:r>
          </w:p>
          <w:tbl>
            <w:tblPr>
              <w:tblStyle w:val="25"/>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1335"/>
              <w:gridCol w:w="2049"/>
              <w:gridCol w:w="1759"/>
              <w:gridCol w:w="1128"/>
              <w:gridCol w:w="1178"/>
            </w:tblGrid>
            <w:tr w14:paraId="6AB5BD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399" w:type="pct"/>
                  <w:tcBorders>
                    <w:bottom w:val="single" w:color="auto" w:sz="4" w:space="0"/>
                  </w:tcBorders>
                  <w:noWrap w:val="0"/>
                  <w:vAlign w:val="center"/>
                </w:tcPr>
                <w:p w14:paraId="51FCDBF5">
                  <w:pPr>
                    <w:jc w:val="center"/>
                    <w:rPr>
                      <w:snapToGrid w:val="0"/>
                      <w:color w:val="auto"/>
                      <w:highlight w:val="none"/>
                      <w:u w:val="none" w:color="auto"/>
                    </w:rPr>
                  </w:pPr>
                  <w:r>
                    <w:rPr>
                      <w:snapToGrid w:val="0"/>
                      <w:color w:val="auto"/>
                      <w:highlight w:val="none"/>
                      <w:u w:val="none" w:color="auto"/>
                    </w:rPr>
                    <w:t>监测</w:t>
                  </w:r>
                </w:p>
                <w:p w14:paraId="4EF9FD9D">
                  <w:pPr>
                    <w:jc w:val="center"/>
                    <w:rPr>
                      <w:snapToGrid w:val="0"/>
                      <w:color w:val="auto"/>
                      <w:highlight w:val="none"/>
                      <w:u w:val="none" w:color="auto"/>
                    </w:rPr>
                  </w:pPr>
                  <w:r>
                    <w:rPr>
                      <w:snapToGrid w:val="0"/>
                      <w:color w:val="auto"/>
                      <w:highlight w:val="none"/>
                      <w:u w:val="none" w:color="auto"/>
                    </w:rPr>
                    <w:t>点位</w:t>
                  </w:r>
                </w:p>
              </w:tc>
              <w:tc>
                <w:tcPr>
                  <w:tcW w:w="824" w:type="pct"/>
                  <w:tcBorders>
                    <w:bottom w:val="single" w:color="auto" w:sz="4" w:space="0"/>
                  </w:tcBorders>
                  <w:noWrap w:val="0"/>
                  <w:vAlign w:val="center"/>
                </w:tcPr>
                <w:p w14:paraId="495988A8">
                  <w:pPr>
                    <w:jc w:val="center"/>
                    <w:rPr>
                      <w:snapToGrid w:val="0"/>
                      <w:color w:val="auto"/>
                      <w:highlight w:val="none"/>
                      <w:u w:val="none" w:color="auto"/>
                    </w:rPr>
                  </w:pPr>
                  <w:r>
                    <w:rPr>
                      <w:snapToGrid w:val="0"/>
                      <w:color w:val="auto"/>
                      <w:highlight w:val="none"/>
                      <w:u w:val="none" w:color="auto"/>
                    </w:rPr>
                    <w:t>污染物</w:t>
                  </w:r>
                </w:p>
              </w:tc>
              <w:tc>
                <w:tcPr>
                  <w:tcW w:w="1265" w:type="pct"/>
                  <w:tcBorders>
                    <w:bottom w:val="single" w:color="auto" w:sz="4" w:space="0"/>
                    <w:right w:val="single" w:color="auto" w:sz="2" w:space="0"/>
                  </w:tcBorders>
                  <w:noWrap w:val="0"/>
                  <w:vAlign w:val="center"/>
                </w:tcPr>
                <w:p w14:paraId="4B6EAF51">
                  <w:pPr>
                    <w:jc w:val="center"/>
                    <w:rPr>
                      <w:color w:val="auto"/>
                      <w:highlight w:val="none"/>
                      <w:u w:val="none" w:color="auto"/>
                    </w:rPr>
                  </w:pPr>
                  <w:r>
                    <w:rPr>
                      <w:snapToGrid w:val="0"/>
                      <w:color w:val="auto"/>
                      <w:highlight w:val="none"/>
                      <w:u w:val="none" w:color="auto"/>
                    </w:rPr>
                    <w:t>监测浓度范围m</w:t>
                  </w:r>
                  <w:r>
                    <w:rPr>
                      <w:color w:val="auto"/>
                      <w:highlight w:val="none"/>
                      <w:u w:val="none" w:color="auto"/>
                    </w:rPr>
                    <w:t>g</w:t>
                  </w:r>
                  <w:r>
                    <w:rPr>
                      <w:snapToGrid w:val="0"/>
                      <w:color w:val="auto"/>
                      <w:highlight w:val="none"/>
                      <w:u w:val="none" w:color="auto"/>
                    </w:rPr>
                    <w:t>/m</w:t>
                  </w:r>
                  <w:r>
                    <w:rPr>
                      <w:snapToGrid w:val="0"/>
                      <w:color w:val="auto"/>
                      <w:highlight w:val="none"/>
                      <w:u w:val="none" w:color="auto"/>
                      <w:vertAlign w:val="superscript"/>
                    </w:rPr>
                    <w:t>3</w:t>
                  </w:r>
                </w:p>
              </w:tc>
              <w:tc>
                <w:tcPr>
                  <w:tcW w:w="1086" w:type="pct"/>
                  <w:tcBorders>
                    <w:bottom w:val="single" w:color="auto" w:sz="4" w:space="0"/>
                    <w:right w:val="single" w:color="auto" w:sz="2" w:space="0"/>
                  </w:tcBorders>
                  <w:noWrap w:val="0"/>
                  <w:vAlign w:val="center"/>
                </w:tcPr>
                <w:p w14:paraId="60D5B2A4">
                  <w:pPr>
                    <w:jc w:val="center"/>
                    <w:rPr>
                      <w:snapToGrid w:val="0"/>
                      <w:color w:val="auto"/>
                      <w:highlight w:val="none"/>
                      <w:u w:val="none" w:color="auto"/>
                    </w:rPr>
                  </w:pPr>
                  <w:r>
                    <w:rPr>
                      <w:snapToGrid w:val="0"/>
                      <w:color w:val="auto"/>
                      <w:highlight w:val="none"/>
                      <w:u w:val="none" w:color="auto"/>
                    </w:rPr>
                    <w:t>最大浓度占标率/%</w:t>
                  </w:r>
                </w:p>
              </w:tc>
              <w:tc>
                <w:tcPr>
                  <w:tcW w:w="696" w:type="pct"/>
                  <w:tcBorders>
                    <w:left w:val="single" w:color="auto" w:sz="2" w:space="0"/>
                    <w:bottom w:val="single" w:color="auto" w:sz="4" w:space="0"/>
                  </w:tcBorders>
                  <w:noWrap w:val="0"/>
                  <w:vAlign w:val="center"/>
                </w:tcPr>
                <w:p w14:paraId="0A9B8A00">
                  <w:pPr>
                    <w:jc w:val="center"/>
                    <w:rPr>
                      <w:snapToGrid w:val="0"/>
                      <w:color w:val="auto"/>
                      <w:highlight w:val="none"/>
                      <w:u w:val="none" w:color="auto"/>
                    </w:rPr>
                  </w:pPr>
                  <w:r>
                    <w:rPr>
                      <w:snapToGrid w:val="0"/>
                      <w:color w:val="auto"/>
                      <w:highlight w:val="none"/>
                      <w:u w:val="none" w:color="auto"/>
                    </w:rPr>
                    <w:t>超标率/%</w:t>
                  </w:r>
                </w:p>
              </w:tc>
              <w:tc>
                <w:tcPr>
                  <w:tcW w:w="727" w:type="pct"/>
                  <w:tcBorders>
                    <w:left w:val="single" w:color="auto" w:sz="2" w:space="0"/>
                    <w:bottom w:val="single" w:color="auto" w:sz="4" w:space="0"/>
                  </w:tcBorders>
                  <w:noWrap w:val="0"/>
                  <w:vAlign w:val="center"/>
                </w:tcPr>
                <w:p w14:paraId="3BF1450E">
                  <w:pPr>
                    <w:jc w:val="center"/>
                    <w:rPr>
                      <w:snapToGrid w:val="0"/>
                      <w:color w:val="auto"/>
                      <w:highlight w:val="none"/>
                      <w:u w:val="none" w:color="auto"/>
                    </w:rPr>
                  </w:pPr>
                  <w:r>
                    <w:rPr>
                      <w:snapToGrid w:val="0"/>
                      <w:color w:val="auto"/>
                      <w:highlight w:val="none"/>
                      <w:u w:val="none" w:color="auto"/>
                    </w:rPr>
                    <w:t>达标情况</w:t>
                  </w:r>
                </w:p>
              </w:tc>
            </w:tr>
            <w:tr w14:paraId="459E0A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27" w:hRule="atLeast"/>
              </w:trPr>
              <w:tc>
                <w:tcPr>
                  <w:tcW w:w="399" w:type="pct"/>
                  <w:noWrap w:val="0"/>
                  <w:vAlign w:val="center"/>
                </w:tcPr>
                <w:p w14:paraId="402BA2DD">
                  <w:pPr>
                    <w:jc w:val="center"/>
                    <w:rPr>
                      <w:snapToGrid w:val="0"/>
                      <w:color w:val="auto"/>
                      <w:highlight w:val="none"/>
                      <w:u w:val="none" w:color="auto"/>
                    </w:rPr>
                  </w:pPr>
                  <w:r>
                    <w:rPr>
                      <w:snapToGrid w:val="0"/>
                      <w:color w:val="auto"/>
                      <w:highlight w:val="none"/>
                      <w:u w:val="none" w:color="auto"/>
                    </w:rPr>
                    <w:t>A1</w:t>
                  </w:r>
                </w:p>
              </w:tc>
              <w:tc>
                <w:tcPr>
                  <w:tcW w:w="824" w:type="pct"/>
                  <w:noWrap w:val="0"/>
                  <w:vAlign w:val="center"/>
                </w:tcPr>
                <w:p w14:paraId="76CB6714">
                  <w:pPr>
                    <w:jc w:val="center"/>
                    <w:rPr>
                      <w:color w:val="auto"/>
                      <w:highlight w:val="none"/>
                      <w:u w:val="none" w:color="auto"/>
                    </w:rPr>
                  </w:pPr>
                  <w:r>
                    <w:rPr>
                      <w:color w:val="auto"/>
                      <w:highlight w:val="none"/>
                      <w:u w:val="none" w:color="auto"/>
                    </w:rPr>
                    <w:t>TSP</w:t>
                  </w:r>
                </w:p>
              </w:tc>
              <w:tc>
                <w:tcPr>
                  <w:tcW w:w="1265" w:type="pct"/>
                  <w:tcBorders>
                    <w:right w:val="single" w:color="auto" w:sz="2" w:space="0"/>
                  </w:tcBorders>
                  <w:noWrap w:val="0"/>
                  <w:vAlign w:val="center"/>
                </w:tcPr>
                <w:p w14:paraId="3F2E456E">
                  <w:pPr>
                    <w:jc w:val="center"/>
                    <w:rPr>
                      <w:rFonts w:hint="default" w:eastAsia="宋体"/>
                      <w:color w:val="auto"/>
                      <w:highlight w:val="none"/>
                      <w:u w:val="none" w:color="auto"/>
                      <w:lang w:val="en-US" w:eastAsia="zh-CN"/>
                    </w:rPr>
                  </w:pPr>
                  <w:r>
                    <w:rPr>
                      <w:rFonts w:hint="eastAsia"/>
                      <w:color w:val="auto"/>
                      <w:highlight w:val="none"/>
                      <w:u w:val="none" w:color="auto"/>
                      <w:lang w:val="en-US" w:eastAsia="zh-CN"/>
                    </w:rPr>
                    <w:t>0.214-0.226</w:t>
                  </w:r>
                </w:p>
              </w:tc>
              <w:tc>
                <w:tcPr>
                  <w:tcW w:w="1086" w:type="pct"/>
                  <w:tcBorders>
                    <w:right w:val="single" w:color="auto" w:sz="2" w:space="0"/>
                  </w:tcBorders>
                  <w:noWrap w:val="0"/>
                  <w:vAlign w:val="center"/>
                </w:tcPr>
                <w:p w14:paraId="16EED1C6">
                  <w:pPr>
                    <w:jc w:val="center"/>
                    <w:rPr>
                      <w:rFonts w:hint="default" w:eastAsia="宋体"/>
                      <w:color w:val="auto"/>
                      <w:highlight w:val="none"/>
                      <w:u w:val="none" w:color="auto"/>
                      <w:lang w:val="en-US" w:eastAsia="zh-CN"/>
                    </w:rPr>
                  </w:pPr>
                  <w:r>
                    <w:rPr>
                      <w:rFonts w:hint="eastAsia"/>
                      <w:color w:val="auto"/>
                      <w:highlight w:val="none"/>
                      <w:u w:val="none" w:color="auto"/>
                      <w:lang w:val="en-US" w:eastAsia="zh-CN"/>
                    </w:rPr>
                    <w:t>75.3</w:t>
                  </w:r>
                </w:p>
              </w:tc>
              <w:tc>
                <w:tcPr>
                  <w:tcW w:w="696" w:type="pct"/>
                  <w:tcBorders>
                    <w:left w:val="single" w:color="auto" w:sz="2" w:space="0"/>
                  </w:tcBorders>
                  <w:noWrap w:val="0"/>
                  <w:vAlign w:val="center"/>
                </w:tcPr>
                <w:p w14:paraId="619AA6F1">
                  <w:pPr>
                    <w:jc w:val="center"/>
                    <w:rPr>
                      <w:color w:val="auto"/>
                      <w:highlight w:val="none"/>
                      <w:u w:val="none" w:color="auto"/>
                    </w:rPr>
                  </w:pPr>
                  <w:r>
                    <w:rPr>
                      <w:color w:val="auto"/>
                      <w:highlight w:val="none"/>
                      <w:u w:val="none" w:color="auto"/>
                    </w:rPr>
                    <w:t>0</w:t>
                  </w:r>
                </w:p>
              </w:tc>
              <w:tc>
                <w:tcPr>
                  <w:tcW w:w="727" w:type="pct"/>
                  <w:tcBorders>
                    <w:left w:val="single" w:color="auto" w:sz="2" w:space="0"/>
                  </w:tcBorders>
                  <w:noWrap w:val="0"/>
                  <w:vAlign w:val="center"/>
                </w:tcPr>
                <w:p w14:paraId="5B3759BD">
                  <w:pPr>
                    <w:jc w:val="center"/>
                    <w:rPr>
                      <w:color w:val="auto"/>
                      <w:highlight w:val="none"/>
                      <w:u w:val="none" w:color="auto"/>
                    </w:rPr>
                  </w:pPr>
                  <w:r>
                    <w:rPr>
                      <w:color w:val="auto"/>
                      <w:highlight w:val="none"/>
                      <w:u w:val="none" w:color="auto"/>
                    </w:rPr>
                    <w:t>达标</w:t>
                  </w:r>
                </w:p>
              </w:tc>
            </w:tr>
          </w:tbl>
          <w:p w14:paraId="57B8573F">
            <w:pPr>
              <w:spacing w:line="360" w:lineRule="auto"/>
              <w:jc w:val="center"/>
              <w:rPr>
                <w:color w:val="FF0000"/>
                <w:sz w:val="24"/>
                <w:highlight w:val="none"/>
                <w:u w:val="none" w:color="auto"/>
              </w:rPr>
            </w:pPr>
          </w:p>
          <w:p w14:paraId="5875FFE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Times New Roman" w:hAnsi="Times New Roman" w:eastAsia="宋体" w:cs="Times New Roman"/>
                <w:color w:val="auto"/>
                <w:sz w:val="24"/>
                <w:highlight w:val="none"/>
                <w:u w:val="none" w:color="auto"/>
                <w:lang w:val="en-US" w:eastAsia="zh-CN"/>
              </w:rPr>
            </w:pPr>
            <w:r>
              <w:rPr>
                <w:rFonts w:hint="eastAsia"/>
                <w:color w:val="auto"/>
                <w:sz w:val="24"/>
                <w:highlight w:val="none"/>
                <w:u w:val="none" w:color="auto"/>
              </w:rPr>
              <w:t>监测结果显示，TSP最大浓度占标率</w:t>
            </w:r>
            <w:r>
              <w:rPr>
                <w:rFonts w:hint="eastAsia"/>
                <w:color w:val="auto"/>
                <w:sz w:val="24"/>
                <w:highlight w:val="none"/>
                <w:u w:val="none" w:color="auto"/>
                <w:lang w:eastAsia="zh-CN"/>
              </w:rPr>
              <w:t>为</w:t>
            </w:r>
            <w:r>
              <w:rPr>
                <w:rFonts w:hint="eastAsia"/>
                <w:color w:val="auto"/>
                <w:sz w:val="24"/>
                <w:highlight w:val="none"/>
                <w:u w:val="none" w:color="auto"/>
                <w:lang w:val="en-US" w:eastAsia="zh-CN"/>
              </w:rPr>
              <w:t>75.3</w:t>
            </w:r>
            <w:r>
              <w:rPr>
                <w:rFonts w:hint="eastAsia"/>
                <w:color w:val="auto"/>
                <w:sz w:val="24"/>
                <w:highlight w:val="none"/>
                <w:u w:val="none" w:color="auto"/>
              </w:rPr>
              <w:t>%，低于</w:t>
            </w:r>
            <w:r>
              <w:rPr>
                <w:rFonts w:hint="eastAsia" w:ascii="Times New Roman" w:hAnsi="Times New Roman" w:eastAsia="宋体" w:cs="Times New Roman"/>
                <w:i w:val="0"/>
                <w:iCs w:val="0"/>
                <w:color w:val="auto"/>
                <w:kern w:val="8"/>
                <w:sz w:val="24"/>
                <w:szCs w:val="24"/>
                <w:highlight w:val="none"/>
                <w:u w:val="none" w:color="auto"/>
                <w:lang w:val="en-US" w:eastAsia="zh-CN" w:bidi="ar-SA"/>
              </w:rPr>
              <w:t>《环境空气质量标准》（GB3095-2026）</w:t>
            </w:r>
            <w:r>
              <w:rPr>
                <w:rFonts w:hint="eastAsia"/>
                <w:color w:val="auto"/>
                <w:sz w:val="24"/>
                <w:highlight w:val="none"/>
                <w:u w:val="none" w:color="auto"/>
              </w:rPr>
              <w:t>二级标准限值，</w:t>
            </w:r>
            <w:r>
              <w:rPr>
                <w:color w:val="auto"/>
                <w:sz w:val="24"/>
                <w:highlight w:val="none"/>
                <w:u w:val="none" w:color="auto"/>
              </w:rPr>
              <w:t>区域环境空气质量较好，具有一定环境容量。</w:t>
            </w:r>
          </w:p>
          <w:p w14:paraId="4B36D827">
            <w:pPr>
              <w:spacing w:line="360" w:lineRule="auto"/>
              <w:ind w:firstLine="482" w:firstLineChars="200"/>
              <w:rPr>
                <w:rFonts w:hint="eastAsia" w:ascii="Times New Roman" w:hAnsi="Times New Roman" w:eastAsia="宋体" w:cs="Times New Roman"/>
                <w:b/>
                <w:bCs/>
                <w:kern w:val="0"/>
                <w:sz w:val="24"/>
                <w:highlight w:val="none"/>
                <w:lang w:val="en-US" w:eastAsia="zh-CN" w:bidi="ar"/>
              </w:rPr>
            </w:pPr>
            <w:r>
              <w:rPr>
                <w:rFonts w:hint="eastAsia" w:ascii="Times New Roman" w:hAnsi="Times New Roman" w:eastAsia="宋体" w:cs="Times New Roman"/>
                <w:b/>
                <w:bCs/>
                <w:kern w:val="0"/>
                <w:sz w:val="24"/>
                <w:highlight w:val="none"/>
                <w:lang w:val="en-US" w:eastAsia="zh-CN" w:bidi="ar"/>
              </w:rPr>
              <w:t>2、</w:t>
            </w:r>
            <w:r>
              <w:rPr>
                <w:rFonts w:hint="eastAsia" w:ascii="Times New Roman" w:hAnsi="Times New Roman" w:eastAsia="宋体" w:cs="宋体"/>
                <w:b/>
                <w:bCs/>
                <w:color w:val="auto"/>
                <w:sz w:val="24"/>
                <w:highlight w:val="none"/>
                <w:u w:val="none" w:color="auto"/>
                <w:lang w:val="zh-CN"/>
              </w:rPr>
              <w:t>地表水环境质量</w:t>
            </w:r>
            <w:r>
              <w:rPr>
                <w:rFonts w:hint="eastAsia" w:ascii="Times New Roman" w:hAnsi="Times New Roman" w:eastAsia="宋体" w:cs="宋体"/>
                <w:b/>
                <w:bCs/>
                <w:color w:val="auto"/>
                <w:sz w:val="24"/>
                <w:highlight w:val="none"/>
                <w:u w:val="none" w:color="auto"/>
              </w:rPr>
              <w:t>现状与评价</w:t>
            </w:r>
          </w:p>
          <w:p w14:paraId="2AF4DE65">
            <w:pPr>
              <w:autoSpaceDE w:val="0"/>
              <w:spacing w:line="360" w:lineRule="auto"/>
              <w:ind w:firstLine="480" w:firstLineChars="200"/>
              <w:rPr>
                <w:rFonts w:hint="eastAsia"/>
                <w:color w:val="auto"/>
                <w:kern w:val="0"/>
                <w:sz w:val="24"/>
                <w:szCs w:val="20"/>
                <w:highlight w:val="none"/>
                <w:u w:val="none"/>
              </w:rPr>
            </w:pPr>
            <w:r>
              <w:rPr>
                <w:rFonts w:hint="eastAsia"/>
                <w:color w:val="auto"/>
                <w:kern w:val="0"/>
                <w:sz w:val="24"/>
                <w:szCs w:val="20"/>
                <w:highlight w:val="none"/>
                <w:u w:val="none"/>
                <w:lang w:eastAsia="zh-CN"/>
              </w:rPr>
              <w:t>区域受纳水体为鸭绿江，</w:t>
            </w:r>
            <w:r>
              <w:rPr>
                <w:rFonts w:hint="eastAsia"/>
                <w:color w:val="auto"/>
                <w:kern w:val="0"/>
                <w:sz w:val="24"/>
                <w:szCs w:val="20"/>
                <w:highlight w:val="none"/>
                <w:u w:val="none"/>
              </w:rPr>
              <w:t>《吉林省地表水功能区划》（DB22/388-2004）未规定鸭绿江水质目标</w:t>
            </w:r>
            <w:r>
              <w:rPr>
                <w:rFonts w:hint="eastAsia"/>
                <w:color w:val="auto"/>
                <w:kern w:val="0"/>
                <w:sz w:val="24"/>
                <w:szCs w:val="20"/>
                <w:highlight w:val="none"/>
                <w:u w:val="none"/>
                <w:lang w:eastAsia="zh-CN"/>
              </w:rPr>
              <w:t>。</w:t>
            </w:r>
            <w:r>
              <w:rPr>
                <w:rFonts w:hint="eastAsia"/>
                <w:color w:val="auto"/>
                <w:kern w:val="0"/>
                <w:sz w:val="24"/>
                <w:szCs w:val="20"/>
                <w:highlight w:val="none"/>
                <w:u w:val="none"/>
                <w:lang w:val="en-US" w:eastAsia="zh-CN"/>
              </w:rPr>
              <w:t>根据</w:t>
            </w:r>
            <w:r>
              <w:rPr>
                <w:rFonts w:hint="eastAsia"/>
                <w:color w:val="auto"/>
                <w:kern w:val="0"/>
                <w:sz w:val="24"/>
                <w:szCs w:val="20"/>
                <w:highlight w:val="none"/>
                <w:u w:val="none"/>
              </w:rPr>
              <w:t>吉林省生态环境厅公布的202</w:t>
            </w:r>
            <w:r>
              <w:rPr>
                <w:rFonts w:hint="eastAsia"/>
                <w:color w:val="auto"/>
                <w:kern w:val="0"/>
                <w:sz w:val="24"/>
                <w:szCs w:val="20"/>
                <w:highlight w:val="none"/>
                <w:u w:val="none"/>
                <w:lang w:val="en-US" w:eastAsia="zh-CN"/>
              </w:rPr>
              <w:t>5</w:t>
            </w:r>
            <w:r>
              <w:rPr>
                <w:rFonts w:hint="eastAsia"/>
                <w:color w:val="auto"/>
                <w:kern w:val="0"/>
                <w:sz w:val="24"/>
                <w:szCs w:val="20"/>
                <w:highlight w:val="none"/>
                <w:u w:val="none"/>
              </w:rPr>
              <w:t>年</w:t>
            </w:r>
            <w:r>
              <w:rPr>
                <w:rFonts w:hint="eastAsia"/>
                <w:color w:val="auto"/>
                <w:kern w:val="0"/>
                <w:sz w:val="24"/>
                <w:szCs w:val="20"/>
                <w:highlight w:val="none"/>
                <w:u w:val="none"/>
                <w:lang w:val="en-US" w:eastAsia="zh-CN"/>
              </w:rPr>
              <w:t>1月-12月</w:t>
            </w:r>
            <w:r>
              <w:rPr>
                <w:rFonts w:hint="eastAsia"/>
                <w:color w:val="auto"/>
                <w:kern w:val="0"/>
                <w:sz w:val="24"/>
                <w:szCs w:val="20"/>
                <w:highlight w:val="none"/>
                <w:u w:val="none"/>
              </w:rPr>
              <w:t>《吉林省地表水国控断面水质月报》</w:t>
            </w:r>
            <w:r>
              <w:rPr>
                <w:rFonts w:hint="eastAsia"/>
                <w:color w:val="auto"/>
                <w:kern w:val="0"/>
                <w:sz w:val="24"/>
                <w:szCs w:val="20"/>
                <w:highlight w:val="none"/>
                <w:u w:val="none"/>
                <w:lang w:eastAsia="zh-CN"/>
              </w:rPr>
              <w:t>，葫芦套断面</w:t>
            </w:r>
            <w:r>
              <w:rPr>
                <w:rFonts w:hint="eastAsia"/>
                <w:color w:val="auto"/>
                <w:kern w:val="0"/>
                <w:sz w:val="24"/>
                <w:szCs w:val="20"/>
                <w:highlight w:val="none"/>
                <w:u w:val="none"/>
                <w:lang w:val="en-US" w:eastAsia="zh-CN"/>
              </w:rPr>
              <w:t>各月</w:t>
            </w:r>
            <w:r>
              <w:rPr>
                <w:rFonts w:hint="eastAsia"/>
                <w:color w:val="auto"/>
                <w:kern w:val="0"/>
                <w:sz w:val="24"/>
                <w:szCs w:val="20"/>
                <w:highlight w:val="none"/>
                <w:u w:val="none"/>
              </w:rPr>
              <w:t>水质见下表。</w:t>
            </w:r>
          </w:p>
          <w:p w14:paraId="6977752B">
            <w:pPr>
              <w:jc w:val="center"/>
              <w:rPr>
                <w:b/>
                <w:bCs/>
                <w:color w:val="auto"/>
                <w:sz w:val="24"/>
                <w:highlight w:val="none"/>
                <w:u w:val="none"/>
              </w:rPr>
            </w:pPr>
            <w:r>
              <w:rPr>
                <w:rFonts w:hint="eastAsia"/>
                <w:b/>
                <w:bCs/>
                <w:color w:val="auto"/>
                <w:sz w:val="24"/>
                <w:highlight w:val="none"/>
                <w:u w:val="none"/>
              </w:rPr>
              <w:t>表</w:t>
            </w:r>
            <w:r>
              <w:rPr>
                <w:rFonts w:hint="eastAsia"/>
                <w:b/>
                <w:bCs/>
                <w:color w:val="auto"/>
                <w:sz w:val="24"/>
                <w:highlight w:val="none"/>
                <w:u w:val="none"/>
                <w:lang w:val="en-US" w:eastAsia="zh-CN"/>
              </w:rPr>
              <w:t>3-4</w:t>
            </w:r>
            <w:r>
              <w:rPr>
                <w:rFonts w:hint="eastAsia"/>
                <w:b/>
                <w:bCs/>
                <w:color w:val="auto"/>
                <w:sz w:val="24"/>
                <w:highlight w:val="none"/>
                <w:u w:val="none"/>
              </w:rPr>
              <w:t xml:space="preserve"> </w:t>
            </w:r>
            <w:r>
              <w:rPr>
                <w:b/>
                <w:bCs/>
                <w:color w:val="auto"/>
                <w:sz w:val="24"/>
                <w:highlight w:val="none"/>
                <w:u w:val="none"/>
              </w:rPr>
              <w:t xml:space="preserve"> 202</w:t>
            </w:r>
            <w:r>
              <w:rPr>
                <w:rFonts w:hint="eastAsia"/>
                <w:b/>
                <w:bCs/>
                <w:color w:val="auto"/>
                <w:sz w:val="24"/>
                <w:highlight w:val="none"/>
                <w:u w:val="none"/>
                <w:lang w:val="en-US" w:eastAsia="zh-CN"/>
              </w:rPr>
              <w:t>5</w:t>
            </w:r>
            <w:r>
              <w:rPr>
                <w:rFonts w:hint="eastAsia"/>
                <w:b/>
                <w:bCs/>
                <w:color w:val="auto"/>
                <w:sz w:val="24"/>
                <w:highlight w:val="none"/>
                <w:u w:val="none"/>
              </w:rPr>
              <w:t>年</w:t>
            </w:r>
            <w:r>
              <w:rPr>
                <w:rFonts w:hint="eastAsia"/>
                <w:b/>
                <w:bCs/>
                <w:color w:val="auto"/>
                <w:sz w:val="24"/>
                <w:highlight w:val="none"/>
                <w:u w:val="none"/>
                <w:lang w:eastAsia="zh-CN"/>
              </w:rPr>
              <w:t>鸭绿江</w:t>
            </w:r>
            <w:r>
              <w:rPr>
                <w:rFonts w:hint="eastAsia"/>
                <w:b/>
                <w:bCs/>
                <w:color w:val="auto"/>
                <w:sz w:val="24"/>
                <w:highlight w:val="none"/>
                <w:u w:val="none"/>
              </w:rPr>
              <w:t>河流水质现状状况评价结果</w:t>
            </w:r>
          </w:p>
          <w:tbl>
            <w:tblPr>
              <w:tblStyle w:val="25"/>
              <w:tblW w:w="4998" w:type="pct"/>
              <w:jc w:val="center"/>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1"/>
              <w:gridCol w:w="2184"/>
              <w:gridCol w:w="1530"/>
              <w:gridCol w:w="3057"/>
            </w:tblGrid>
            <w:tr w14:paraId="3F215BCB">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pct"/>
                  <w:tcBorders>
                    <w:top w:val="single" w:color="auto" w:sz="12" w:space="0"/>
                    <w:left w:val="nil"/>
                    <w:bottom w:val="single" w:color="auto" w:sz="4" w:space="0"/>
                    <w:right w:val="single" w:color="auto" w:sz="4" w:space="0"/>
                  </w:tcBorders>
                  <w:noWrap w:val="0"/>
                  <w:vAlign w:val="center"/>
                </w:tcPr>
                <w:p w14:paraId="4BA581DE">
                  <w:pPr>
                    <w:widowControl/>
                    <w:autoSpaceDE w:val="0"/>
                    <w:snapToGrid w:val="0"/>
                    <w:jc w:val="center"/>
                    <w:rPr>
                      <w:rFonts w:hint="default" w:ascii="Times New Roman" w:hAnsi="Times New Roman" w:cs="Times New Roman"/>
                      <w:color w:val="auto"/>
                      <w:highlight w:val="none"/>
                      <w:u w:val="none"/>
                    </w:rPr>
                  </w:pPr>
                  <w:r>
                    <w:rPr>
                      <w:rFonts w:hint="default" w:ascii="Times New Roman" w:hAnsi="Times New Roman" w:cs="Times New Roman"/>
                      <w:color w:val="auto"/>
                      <w:highlight w:val="none"/>
                      <w:u w:val="none"/>
                    </w:rPr>
                    <w:t>河流名称</w:t>
                  </w:r>
                </w:p>
              </w:tc>
              <w:tc>
                <w:tcPr>
                  <w:tcW w:w="1349" w:type="pct"/>
                  <w:tcBorders>
                    <w:top w:val="single" w:color="auto" w:sz="12" w:space="0"/>
                    <w:left w:val="single" w:color="auto" w:sz="4" w:space="0"/>
                    <w:bottom w:val="single" w:color="auto" w:sz="4" w:space="0"/>
                    <w:right w:val="single" w:color="auto" w:sz="4" w:space="0"/>
                  </w:tcBorders>
                  <w:noWrap w:val="0"/>
                  <w:vAlign w:val="center"/>
                </w:tcPr>
                <w:p w14:paraId="71945099">
                  <w:pPr>
                    <w:widowControl/>
                    <w:autoSpaceDE w:val="0"/>
                    <w:snapToGrid w:val="0"/>
                    <w:jc w:val="center"/>
                    <w:rPr>
                      <w:rFonts w:hint="default" w:ascii="Times New Roman" w:hAnsi="Times New Roman" w:cs="Times New Roman"/>
                      <w:color w:val="auto"/>
                      <w:highlight w:val="none"/>
                      <w:u w:val="none"/>
                    </w:rPr>
                  </w:pPr>
                  <w:r>
                    <w:rPr>
                      <w:rFonts w:hint="default" w:ascii="Times New Roman" w:hAnsi="Times New Roman" w:cs="Times New Roman"/>
                      <w:color w:val="auto"/>
                      <w:highlight w:val="none"/>
                      <w:u w:val="none"/>
                    </w:rPr>
                    <w:t>断面名称</w:t>
                  </w:r>
                </w:p>
              </w:tc>
              <w:tc>
                <w:tcPr>
                  <w:tcW w:w="945" w:type="pct"/>
                  <w:tcBorders>
                    <w:top w:val="single" w:color="auto" w:sz="12" w:space="0"/>
                    <w:left w:val="single" w:color="auto" w:sz="4" w:space="0"/>
                    <w:bottom w:val="single" w:color="auto" w:sz="4" w:space="0"/>
                    <w:right w:val="single" w:color="auto" w:sz="4" w:space="0"/>
                  </w:tcBorders>
                  <w:noWrap w:val="0"/>
                  <w:vAlign w:val="center"/>
                </w:tcPr>
                <w:p w14:paraId="6AA8B850">
                  <w:pPr>
                    <w:widowControl/>
                    <w:autoSpaceDE w:val="0"/>
                    <w:snapToGrid w:val="0"/>
                    <w:jc w:val="center"/>
                    <w:rPr>
                      <w:rFonts w:hint="default" w:ascii="Times New Roman" w:hAnsi="Times New Roman" w:eastAsia="宋体" w:cs="Times New Roman"/>
                      <w:color w:val="auto"/>
                      <w:highlight w:val="none"/>
                      <w:u w:val="none"/>
                      <w:lang w:eastAsia="zh-CN"/>
                    </w:rPr>
                  </w:pPr>
                  <w:r>
                    <w:rPr>
                      <w:rFonts w:hint="default" w:ascii="Times New Roman" w:hAnsi="Times New Roman" w:cs="Times New Roman"/>
                      <w:color w:val="auto"/>
                      <w:highlight w:val="none"/>
                      <w:u w:val="none"/>
                      <w:lang w:eastAsia="zh-CN"/>
                    </w:rPr>
                    <w:t>水质状况</w:t>
                  </w:r>
                </w:p>
              </w:tc>
              <w:tc>
                <w:tcPr>
                  <w:tcW w:w="1888" w:type="pct"/>
                  <w:tcBorders>
                    <w:top w:val="single" w:color="auto" w:sz="12" w:space="0"/>
                    <w:left w:val="single" w:color="auto" w:sz="4" w:space="0"/>
                    <w:right w:val="nil"/>
                  </w:tcBorders>
                  <w:noWrap w:val="0"/>
                  <w:vAlign w:val="center"/>
                </w:tcPr>
                <w:p w14:paraId="56054E51">
                  <w:pPr>
                    <w:widowControl/>
                    <w:autoSpaceDE w:val="0"/>
                    <w:snapToGrid w:val="0"/>
                    <w:jc w:val="center"/>
                    <w:rPr>
                      <w:rFonts w:hint="default" w:ascii="Times New Roman" w:hAnsi="Times New Roman" w:cs="Times New Roman"/>
                      <w:color w:val="auto"/>
                      <w:highlight w:val="none"/>
                      <w:u w:val="none"/>
                    </w:rPr>
                  </w:pPr>
                  <w:r>
                    <w:rPr>
                      <w:rFonts w:hint="default" w:ascii="Times New Roman" w:hAnsi="Times New Roman" w:cs="Times New Roman"/>
                      <w:color w:val="auto"/>
                      <w:highlight w:val="none"/>
                      <w:u w:val="none"/>
                      <w:lang w:eastAsia="zh-CN"/>
                    </w:rPr>
                    <w:t>月份</w:t>
                  </w:r>
                </w:p>
              </w:tc>
            </w:tr>
            <w:tr w14:paraId="770B1259">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16" w:type="pct"/>
                  <w:vMerge w:val="restart"/>
                  <w:tcBorders>
                    <w:top w:val="single" w:color="auto" w:sz="4" w:space="0"/>
                    <w:left w:val="nil"/>
                    <w:bottom w:val="single" w:color="auto" w:sz="4" w:space="0"/>
                    <w:right w:val="single" w:color="auto" w:sz="4" w:space="0"/>
                  </w:tcBorders>
                  <w:noWrap w:val="0"/>
                  <w:vAlign w:val="center"/>
                </w:tcPr>
                <w:p w14:paraId="662093D4">
                  <w:pPr>
                    <w:widowControl/>
                    <w:autoSpaceDE w:val="0"/>
                    <w:snapToGrid w:val="0"/>
                    <w:jc w:val="center"/>
                    <w:rPr>
                      <w:rFonts w:hint="eastAsia" w:ascii="Times New Roman" w:hAnsi="Times New Roman" w:eastAsia="宋体" w:cs="Times New Roman"/>
                      <w:color w:val="auto"/>
                      <w:highlight w:val="none"/>
                      <w:u w:val="none"/>
                      <w:lang w:eastAsia="zh-CN"/>
                    </w:rPr>
                  </w:pPr>
                  <w:r>
                    <w:rPr>
                      <w:rFonts w:hint="eastAsia" w:ascii="Times New Roman" w:hAnsi="Times New Roman" w:cs="Times New Roman"/>
                      <w:color w:val="auto"/>
                      <w:highlight w:val="none"/>
                      <w:u w:val="none"/>
                      <w:lang w:eastAsia="zh-CN"/>
                    </w:rPr>
                    <w:t>鸭绿江</w:t>
                  </w:r>
                </w:p>
              </w:tc>
              <w:tc>
                <w:tcPr>
                  <w:tcW w:w="1349" w:type="pct"/>
                  <w:vMerge w:val="restart"/>
                  <w:tcBorders>
                    <w:top w:val="single" w:color="auto" w:sz="4" w:space="0"/>
                    <w:left w:val="single" w:color="auto" w:sz="4" w:space="0"/>
                    <w:right w:val="single" w:color="auto" w:sz="4" w:space="0"/>
                  </w:tcBorders>
                  <w:noWrap w:val="0"/>
                  <w:vAlign w:val="center"/>
                </w:tcPr>
                <w:p w14:paraId="716C5911">
                  <w:pPr>
                    <w:widowControl/>
                    <w:autoSpaceDE w:val="0"/>
                    <w:snapToGrid w:val="0"/>
                    <w:jc w:val="center"/>
                    <w:rPr>
                      <w:rFonts w:hint="eastAsia" w:ascii="Times New Roman" w:hAnsi="Times New Roman" w:eastAsia="宋体" w:cs="Times New Roman"/>
                      <w:color w:val="auto"/>
                      <w:highlight w:val="none"/>
                      <w:u w:val="none"/>
                      <w:lang w:eastAsia="zh-CN"/>
                    </w:rPr>
                  </w:pPr>
                  <w:r>
                    <w:rPr>
                      <w:rFonts w:hint="eastAsia" w:ascii="Times New Roman" w:hAnsi="Times New Roman" w:cs="Times New Roman"/>
                      <w:color w:val="auto"/>
                      <w:highlight w:val="none"/>
                      <w:u w:val="none"/>
                      <w:lang w:eastAsia="zh-CN"/>
                    </w:rPr>
                    <w:t>葫芦套</w:t>
                  </w:r>
                </w:p>
              </w:tc>
              <w:tc>
                <w:tcPr>
                  <w:tcW w:w="945" w:type="pct"/>
                  <w:tcBorders>
                    <w:top w:val="single" w:color="auto" w:sz="4" w:space="0"/>
                    <w:left w:val="single" w:color="auto" w:sz="4" w:space="0"/>
                    <w:bottom w:val="single" w:color="auto" w:sz="4" w:space="0"/>
                    <w:right w:val="single" w:color="auto" w:sz="4" w:space="0"/>
                  </w:tcBorders>
                  <w:noWrap w:val="0"/>
                  <w:vAlign w:val="center"/>
                </w:tcPr>
                <w:p w14:paraId="00D7A482">
                  <w:pPr>
                    <w:widowControl/>
                    <w:autoSpaceDE w:val="0"/>
                    <w:snapToGrid w:val="0"/>
                    <w:jc w:val="center"/>
                    <w:rPr>
                      <w:rFonts w:hint="default" w:ascii="Times New Roman" w:hAnsi="Times New Roman" w:eastAsia="宋体" w:cs="Times New Roman"/>
                      <w:color w:val="auto"/>
                      <w:highlight w:val="none"/>
                      <w:u w:val="none"/>
                      <w:lang w:eastAsia="zh-CN"/>
                    </w:rPr>
                  </w:pPr>
                  <w:r>
                    <w:rPr>
                      <w:rFonts w:hint="eastAsia" w:ascii="宋体" w:hAnsi="宋体" w:eastAsia="宋体" w:cs="宋体"/>
                      <w:color w:val="auto"/>
                      <w:highlight w:val="none"/>
                      <w:u w:val="none"/>
                      <w:lang w:eastAsia="zh-CN"/>
                    </w:rPr>
                    <w:t>Ⅱ</w:t>
                  </w:r>
                  <w:r>
                    <w:rPr>
                      <w:rFonts w:hint="default" w:ascii="Times New Roman" w:hAnsi="Times New Roman" w:eastAsia="宋体" w:cs="Times New Roman"/>
                      <w:color w:val="auto"/>
                      <w:highlight w:val="none"/>
                      <w:u w:val="none"/>
                      <w:lang w:eastAsia="zh-CN"/>
                    </w:rPr>
                    <w:t>类</w:t>
                  </w:r>
                </w:p>
              </w:tc>
              <w:tc>
                <w:tcPr>
                  <w:tcW w:w="1888" w:type="pct"/>
                  <w:tcBorders>
                    <w:left w:val="single" w:color="auto" w:sz="4" w:space="0"/>
                    <w:bottom w:val="single" w:color="auto" w:sz="4" w:space="0"/>
                    <w:right w:val="nil"/>
                  </w:tcBorders>
                  <w:noWrap w:val="0"/>
                  <w:vAlign w:val="center"/>
                </w:tcPr>
                <w:p w14:paraId="04F7F4B4">
                  <w:pPr>
                    <w:widowControl/>
                    <w:autoSpaceDE w:val="0"/>
                    <w:snapToGrid w:val="0"/>
                    <w:jc w:val="center"/>
                    <w:rPr>
                      <w:rFonts w:hint="default" w:ascii="Times New Roman" w:hAnsi="Times New Roman" w:eastAsia="宋体" w:cs="Times New Roman"/>
                      <w:color w:val="auto"/>
                      <w:highlight w:val="none"/>
                      <w:u w:val="none"/>
                      <w:lang w:val="en-US" w:eastAsia="zh-CN"/>
                    </w:rPr>
                  </w:pPr>
                  <w:r>
                    <w:rPr>
                      <w:rFonts w:hint="eastAsia" w:ascii="Times New Roman" w:hAnsi="Times New Roman" w:cs="Times New Roman"/>
                      <w:color w:val="auto"/>
                      <w:highlight w:val="none"/>
                      <w:u w:val="none"/>
                      <w:lang w:val="en-US" w:eastAsia="zh-CN"/>
                    </w:rPr>
                    <w:t>1-3、5-12</w:t>
                  </w:r>
                </w:p>
              </w:tc>
            </w:tr>
            <w:tr w14:paraId="69800E93">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pct"/>
                  <w:vMerge w:val="continue"/>
                  <w:tcBorders>
                    <w:top w:val="single" w:color="auto" w:sz="4" w:space="0"/>
                    <w:left w:val="nil"/>
                    <w:bottom w:val="single" w:color="auto" w:sz="12" w:space="0"/>
                    <w:right w:val="single" w:color="auto" w:sz="4" w:space="0"/>
                  </w:tcBorders>
                  <w:noWrap w:val="0"/>
                  <w:vAlign w:val="center"/>
                </w:tcPr>
                <w:p w14:paraId="2A4B672D">
                  <w:pPr>
                    <w:jc w:val="center"/>
                    <w:rPr>
                      <w:rFonts w:hint="default" w:ascii="Times New Roman" w:hAnsi="Times New Roman" w:cs="Times New Roman"/>
                      <w:color w:val="auto"/>
                      <w:highlight w:val="none"/>
                      <w:u w:val="none"/>
                    </w:rPr>
                  </w:pPr>
                </w:p>
              </w:tc>
              <w:tc>
                <w:tcPr>
                  <w:tcW w:w="1349" w:type="pct"/>
                  <w:vMerge w:val="continue"/>
                  <w:tcBorders>
                    <w:left w:val="single" w:color="auto" w:sz="4" w:space="0"/>
                    <w:bottom w:val="single" w:color="auto" w:sz="12" w:space="0"/>
                    <w:right w:val="single" w:color="auto" w:sz="4" w:space="0"/>
                  </w:tcBorders>
                  <w:noWrap w:val="0"/>
                  <w:vAlign w:val="center"/>
                </w:tcPr>
                <w:p w14:paraId="2E3183FC">
                  <w:pPr>
                    <w:widowControl/>
                    <w:autoSpaceDE w:val="0"/>
                    <w:snapToGrid w:val="0"/>
                    <w:jc w:val="center"/>
                    <w:rPr>
                      <w:rFonts w:hint="default" w:ascii="Times New Roman" w:hAnsi="Times New Roman" w:cs="Times New Roman"/>
                      <w:color w:val="auto"/>
                      <w:highlight w:val="none"/>
                      <w:u w:val="none"/>
                    </w:rPr>
                  </w:pPr>
                </w:p>
              </w:tc>
              <w:tc>
                <w:tcPr>
                  <w:tcW w:w="945" w:type="pct"/>
                  <w:tcBorders>
                    <w:top w:val="single" w:color="auto" w:sz="4" w:space="0"/>
                    <w:left w:val="single" w:color="auto" w:sz="4" w:space="0"/>
                    <w:bottom w:val="single" w:color="auto" w:sz="12" w:space="0"/>
                    <w:right w:val="single" w:color="auto" w:sz="4" w:space="0"/>
                  </w:tcBorders>
                  <w:noWrap w:val="0"/>
                  <w:vAlign w:val="center"/>
                </w:tcPr>
                <w:p w14:paraId="6CE0E932">
                  <w:pPr>
                    <w:widowControl/>
                    <w:autoSpaceDE w:val="0"/>
                    <w:snapToGrid w:val="0"/>
                    <w:jc w:val="center"/>
                    <w:rPr>
                      <w:rFonts w:hint="default" w:ascii="Times New Roman" w:hAnsi="Times New Roman" w:eastAsia="宋体" w:cs="Times New Roman"/>
                      <w:color w:val="auto"/>
                      <w:highlight w:val="none"/>
                      <w:u w:val="none"/>
                      <w:lang w:eastAsia="zh-CN"/>
                    </w:rPr>
                  </w:pPr>
                  <w:r>
                    <w:rPr>
                      <w:rFonts w:hint="eastAsia" w:ascii="宋体" w:hAnsi="宋体" w:eastAsia="宋体" w:cs="宋体"/>
                      <w:color w:val="auto"/>
                      <w:highlight w:val="none"/>
                      <w:u w:val="none"/>
                    </w:rPr>
                    <w:t>Ⅲ</w:t>
                  </w:r>
                  <w:r>
                    <w:rPr>
                      <w:rFonts w:hint="default" w:ascii="Times New Roman" w:hAnsi="Times New Roman" w:eastAsia="宋体" w:cs="Times New Roman"/>
                      <w:color w:val="auto"/>
                      <w:highlight w:val="none"/>
                      <w:u w:val="none"/>
                      <w:lang w:eastAsia="zh-CN"/>
                    </w:rPr>
                    <w:t>类</w:t>
                  </w:r>
                </w:p>
              </w:tc>
              <w:tc>
                <w:tcPr>
                  <w:tcW w:w="1888" w:type="pct"/>
                  <w:tcBorders>
                    <w:top w:val="single" w:color="auto" w:sz="4" w:space="0"/>
                    <w:left w:val="single" w:color="auto" w:sz="4" w:space="0"/>
                    <w:bottom w:val="single" w:color="auto" w:sz="12" w:space="0"/>
                    <w:right w:val="nil"/>
                  </w:tcBorders>
                  <w:noWrap w:val="0"/>
                  <w:vAlign w:val="center"/>
                </w:tcPr>
                <w:p w14:paraId="4D689FBC">
                  <w:pPr>
                    <w:widowControl/>
                    <w:autoSpaceDE w:val="0"/>
                    <w:snapToGrid w:val="0"/>
                    <w:jc w:val="center"/>
                    <w:rPr>
                      <w:rFonts w:hint="default" w:ascii="Times New Roman" w:hAnsi="Times New Roman" w:eastAsia="宋体" w:cs="Times New Roman"/>
                      <w:color w:val="auto"/>
                      <w:highlight w:val="none"/>
                      <w:u w:val="none"/>
                      <w:lang w:val="en-US" w:eastAsia="zh-CN"/>
                    </w:rPr>
                  </w:pPr>
                  <w:r>
                    <w:rPr>
                      <w:rFonts w:hint="eastAsia" w:ascii="Times New Roman" w:hAnsi="Times New Roman" w:eastAsia="宋体" w:cs="Times New Roman"/>
                      <w:color w:val="auto"/>
                      <w:highlight w:val="none"/>
                      <w:u w:val="none"/>
                      <w:lang w:val="en-US" w:eastAsia="zh-CN"/>
                    </w:rPr>
                    <w:t>4</w:t>
                  </w:r>
                </w:p>
              </w:tc>
            </w:tr>
          </w:tbl>
          <w:p w14:paraId="31E74447">
            <w:pPr>
              <w:keepNext w:val="0"/>
              <w:keepLines w:val="0"/>
              <w:widowControl w:val="0"/>
              <w:suppressLineNumbers w:val="0"/>
              <w:autoSpaceDE w:val="0"/>
              <w:autoSpaceDN/>
              <w:spacing w:before="0" w:beforeAutospacing="0" w:after="0" w:afterAutospacing="0" w:line="360" w:lineRule="auto"/>
              <w:ind w:right="0"/>
              <w:jc w:val="center"/>
              <w:rPr>
                <w:rFonts w:hint="eastAsia"/>
                <w:color w:val="auto"/>
                <w:sz w:val="24"/>
                <w:highlight w:val="green"/>
                <w:u w:val="none"/>
              </w:rPr>
            </w:pPr>
          </w:p>
          <w:p w14:paraId="551D83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cyan"/>
                <w:u w:val="none"/>
              </w:rPr>
            </w:pPr>
            <w:r>
              <w:rPr>
                <w:rFonts w:hint="eastAsia"/>
                <w:color w:val="auto"/>
                <w:sz w:val="24"/>
                <w:highlight w:val="none"/>
                <w:u w:val="none"/>
              </w:rPr>
              <w:t>根据评价结果可知，202</w:t>
            </w:r>
            <w:r>
              <w:rPr>
                <w:rFonts w:hint="eastAsia"/>
                <w:color w:val="auto"/>
                <w:sz w:val="24"/>
                <w:highlight w:val="none"/>
                <w:u w:val="none"/>
                <w:lang w:val="en-US" w:eastAsia="zh-CN"/>
              </w:rPr>
              <w:t>5</w:t>
            </w:r>
            <w:r>
              <w:rPr>
                <w:rFonts w:hint="eastAsia"/>
                <w:color w:val="auto"/>
                <w:sz w:val="24"/>
                <w:highlight w:val="none"/>
                <w:u w:val="none"/>
              </w:rPr>
              <w:t>年</w:t>
            </w:r>
            <w:r>
              <w:rPr>
                <w:rFonts w:hint="eastAsia"/>
                <w:color w:val="auto"/>
                <w:kern w:val="0"/>
                <w:sz w:val="24"/>
                <w:szCs w:val="20"/>
                <w:highlight w:val="none"/>
                <w:u w:val="none"/>
                <w:lang w:eastAsia="zh-CN"/>
              </w:rPr>
              <w:t>鸭绿江-葫芦套断面</w:t>
            </w:r>
            <w:r>
              <w:rPr>
                <w:rFonts w:hint="eastAsia"/>
                <w:color w:val="auto"/>
                <w:sz w:val="24"/>
                <w:highlight w:val="none"/>
                <w:u w:val="none"/>
              </w:rPr>
              <w:t>1-</w:t>
            </w:r>
            <w:r>
              <w:rPr>
                <w:rFonts w:hint="eastAsia"/>
                <w:color w:val="auto"/>
                <w:sz w:val="24"/>
                <w:highlight w:val="none"/>
                <w:u w:val="none"/>
                <w:lang w:val="en-US" w:eastAsia="zh-CN"/>
              </w:rPr>
              <w:t>3</w:t>
            </w:r>
            <w:r>
              <w:rPr>
                <w:rFonts w:hint="eastAsia"/>
                <w:color w:val="auto"/>
                <w:sz w:val="24"/>
                <w:highlight w:val="none"/>
                <w:u w:val="none"/>
                <w:lang w:eastAsia="zh-CN"/>
              </w:rPr>
              <w:t>月</w:t>
            </w:r>
            <w:r>
              <w:rPr>
                <w:rFonts w:hint="eastAsia"/>
                <w:color w:val="auto"/>
                <w:sz w:val="24"/>
                <w:highlight w:val="none"/>
                <w:u w:val="none"/>
              </w:rPr>
              <w:t>、</w:t>
            </w:r>
            <w:r>
              <w:rPr>
                <w:rFonts w:hint="eastAsia"/>
                <w:color w:val="auto"/>
                <w:sz w:val="24"/>
                <w:highlight w:val="none"/>
                <w:u w:val="none"/>
                <w:lang w:val="en-US" w:eastAsia="zh-CN"/>
              </w:rPr>
              <w:t>5</w:t>
            </w:r>
            <w:r>
              <w:rPr>
                <w:rFonts w:hint="eastAsia"/>
                <w:color w:val="auto"/>
                <w:sz w:val="24"/>
                <w:highlight w:val="none"/>
                <w:u w:val="none"/>
              </w:rPr>
              <w:t>-12</w:t>
            </w:r>
            <w:r>
              <w:rPr>
                <w:rFonts w:hint="eastAsia"/>
                <w:color w:val="auto"/>
                <w:sz w:val="24"/>
                <w:highlight w:val="none"/>
                <w:u w:val="none"/>
                <w:lang w:eastAsia="zh-CN"/>
              </w:rPr>
              <w:t>月份</w:t>
            </w:r>
            <w:r>
              <w:rPr>
                <w:rFonts w:hint="eastAsia"/>
                <w:color w:val="auto"/>
                <w:sz w:val="24"/>
                <w:highlight w:val="none"/>
                <w:u w:val="none"/>
              </w:rPr>
              <w:t>水质为Ⅱ类</w:t>
            </w:r>
            <w:r>
              <w:rPr>
                <w:rFonts w:hint="eastAsia"/>
                <w:color w:val="auto"/>
                <w:sz w:val="24"/>
                <w:highlight w:val="none"/>
                <w:u w:val="none"/>
                <w:lang w:eastAsia="zh-CN"/>
              </w:rPr>
              <w:t>，</w:t>
            </w:r>
            <w:r>
              <w:rPr>
                <w:rFonts w:hint="eastAsia"/>
                <w:color w:val="auto"/>
                <w:sz w:val="24"/>
                <w:highlight w:val="none"/>
                <w:u w:val="none"/>
                <w:lang w:val="en-US" w:eastAsia="zh-CN"/>
              </w:rPr>
              <w:t>4</w:t>
            </w:r>
            <w:r>
              <w:rPr>
                <w:rFonts w:hint="eastAsia"/>
                <w:color w:val="auto"/>
                <w:sz w:val="24"/>
                <w:highlight w:val="none"/>
                <w:u w:val="none"/>
                <w:lang w:eastAsia="zh-CN"/>
              </w:rPr>
              <w:t>月份水质为Ⅲ</w:t>
            </w:r>
            <w:r>
              <w:rPr>
                <w:rFonts w:hint="eastAsia"/>
                <w:color w:val="auto"/>
                <w:kern w:val="0"/>
                <w:sz w:val="24"/>
                <w:szCs w:val="20"/>
                <w:highlight w:val="none"/>
                <w:u w:val="none"/>
              </w:rPr>
              <w:t>类</w:t>
            </w:r>
            <w:r>
              <w:rPr>
                <w:rFonts w:hint="eastAsia"/>
                <w:color w:val="auto"/>
                <w:kern w:val="0"/>
                <w:sz w:val="24"/>
                <w:szCs w:val="20"/>
                <w:highlight w:val="none"/>
                <w:u w:val="none"/>
                <w:lang w:eastAsia="zh-CN"/>
              </w:rPr>
              <w:t>，全年水质整体稳定，</w:t>
            </w:r>
            <w:r>
              <w:rPr>
                <w:rFonts w:hint="eastAsia"/>
                <w:color w:val="auto"/>
                <w:kern w:val="0"/>
                <w:sz w:val="24"/>
                <w:szCs w:val="20"/>
                <w:highlight w:val="none"/>
                <w:u w:val="none"/>
                <w:lang w:val="en-US" w:eastAsia="zh-CN"/>
              </w:rPr>
              <w:t>水质良好</w:t>
            </w:r>
            <w:r>
              <w:rPr>
                <w:rFonts w:hint="eastAsia"/>
                <w:color w:val="auto"/>
                <w:kern w:val="0"/>
                <w:sz w:val="24"/>
                <w:szCs w:val="20"/>
                <w:highlight w:val="none"/>
                <w:u w:val="none"/>
                <w:lang w:eastAsia="zh-CN"/>
              </w:rPr>
              <w:t>。</w:t>
            </w:r>
          </w:p>
          <w:p w14:paraId="09911A8A">
            <w:pPr>
              <w:spacing w:line="360" w:lineRule="auto"/>
              <w:ind w:firstLine="482" w:firstLineChars="200"/>
              <w:rPr>
                <w:b/>
                <w:color w:val="000000"/>
                <w:sz w:val="24"/>
                <w:highlight w:val="none"/>
              </w:rPr>
            </w:pPr>
            <w:r>
              <w:rPr>
                <w:b/>
                <w:color w:val="000000"/>
                <w:sz w:val="24"/>
                <w:highlight w:val="none"/>
              </w:rPr>
              <w:t>3</w:t>
            </w:r>
            <w:r>
              <w:rPr>
                <w:rFonts w:hint="eastAsia"/>
                <w:b/>
                <w:color w:val="000000"/>
                <w:sz w:val="24"/>
                <w:highlight w:val="none"/>
                <w:lang w:eastAsia="zh-CN"/>
              </w:rPr>
              <w:t>、</w:t>
            </w:r>
            <w:r>
              <w:rPr>
                <w:b/>
                <w:color w:val="000000"/>
                <w:sz w:val="24"/>
                <w:highlight w:val="none"/>
              </w:rPr>
              <w:t>声环境质量现状</w:t>
            </w:r>
          </w:p>
          <w:p w14:paraId="6E12E52D">
            <w:pPr>
              <w:spacing w:line="360" w:lineRule="auto"/>
              <w:ind w:firstLine="470" w:firstLineChars="196"/>
              <w:rPr>
                <w:rFonts w:hint="default" w:ascii="Times New Roman" w:hAnsi="Times New Roman" w:eastAsia="宋体" w:cs="Times New Roman"/>
                <w:i w:val="0"/>
                <w:iCs w:val="0"/>
                <w:color w:val="000000"/>
                <w:sz w:val="24"/>
                <w:highlight w:val="none"/>
                <w:u w:val="none" w:color="auto"/>
                <w:lang w:val="en-US" w:eastAsia="zh-CN"/>
              </w:rPr>
            </w:pPr>
            <w:r>
              <w:rPr>
                <w:rFonts w:hint="eastAsia" w:ascii="Times New Roman" w:hAnsi="Times New Roman" w:eastAsia="宋体" w:cs="Times New Roman"/>
                <w:bCs/>
                <w:i w:val="0"/>
                <w:iCs w:val="0"/>
                <w:color w:val="auto"/>
                <w:sz w:val="24"/>
                <w:highlight w:val="none"/>
                <w:u w:val="none" w:color="auto"/>
                <w:lang w:eastAsia="zh-CN"/>
              </w:rPr>
              <w:t>依据《建设项目环境影响报告表编制技术指南（污染影响类）》要求，本项目50m范围内无声环境保护目标，所以本次不进行声环境质量现状评价。</w:t>
            </w:r>
          </w:p>
          <w:p w14:paraId="12D3258B">
            <w:pPr>
              <w:spacing w:line="360" w:lineRule="auto"/>
              <w:ind w:firstLine="482" w:firstLineChars="200"/>
              <w:rPr>
                <w:b/>
                <w:color w:val="000000"/>
                <w:sz w:val="24"/>
                <w:highlight w:val="none"/>
                <w:u w:val="none"/>
              </w:rPr>
            </w:pPr>
            <w:r>
              <w:rPr>
                <w:b/>
                <w:color w:val="000000"/>
                <w:sz w:val="24"/>
                <w:highlight w:val="none"/>
                <w:u w:val="none"/>
              </w:rPr>
              <w:t>4、地下水环境质量现状</w:t>
            </w:r>
          </w:p>
          <w:p w14:paraId="73F64E02">
            <w:pPr>
              <w:spacing w:line="360" w:lineRule="auto"/>
              <w:ind w:firstLine="470" w:firstLineChars="196"/>
              <w:rPr>
                <w:rFonts w:hint="eastAsia" w:ascii="Times New Roman" w:hAnsi="Times New Roman" w:cs="Times New Roman" w:eastAsiaTheme="minorEastAsia"/>
                <w:i w:val="0"/>
                <w:iCs w:val="0"/>
                <w:color w:val="auto"/>
                <w:sz w:val="24"/>
                <w:highlight w:val="none"/>
                <w:u w:val="none" w:color="auto"/>
                <w:lang w:val="en-US" w:eastAsia="zh-CN"/>
              </w:rPr>
            </w:pPr>
            <w:r>
              <w:rPr>
                <w:rFonts w:ascii="宋体" w:hAnsi="宋体" w:eastAsia="宋体" w:cs="宋体"/>
                <w:sz w:val="24"/>
                <w:szCs w:val="24"/>
              </w:rPr>
              <w:t>依据《建设项目环境影响报告表编制技术指南（污染影响类）》要求</w:t>
            </w:r>
            <w:r>
              <w:rPr>
                <w:rFonts w:hint="eastAsia" w:cs="Times New Roman"/>
                <w:i w:val="0"/>
                <w:iCs w:val="0"/>
                <w:color w:val="auto"/>
                <w:sz w:val="24"/>
                <w:highlight w:val="none"/>
                <w:u w:val="none" w:color="auto"/>
                <w:lang w:val="en-US" w:eastAsia="zh-CN"/>
              </w:rPr>
              <w:t>，</w:t>
            </w:r>
            <w:r>
              <w:rPr>
                <w:rFonts w:hint="default" w:ascii="Times New Roman" w:hAnsi="Times New Roman" w:cs="Times New Roman"/>
                <w:i w:val="0"/>
                <w:iCs w:val="0"/>
                <w:color w:val="auto"/>
                <w:sz w:val="24"/>
                <w:highlight w:val="none"/>
                <w:u w:val="none" w:color="auto"/>
                <w:lang w:val="en-US" w:eastAsia="zh-CN"/>
              </w:rPr>
              <w:t>原则上不开展</w:t>
            </w:r>
            <w:r>
              <w:rPr>
                <w:rFonts w:hint="eastAsia" w:ascii="Times New Roman" w:hAnsi="Times New Roman" w:cs="Times New Roman"/>
                <w:i w:val="0"/>
                <w:iCs w:val="0"/>
                <w:color w:val="auto"/>
                <w:sz w:val="24"/>
                <w:highlight w:val="none"/>
                <w:u w:val="none" w:color="auto"/>
                <w:lang w:val="en-US" w:eastAsia="zh-CN"/>
              </w:rPr>
              <w:t>地下水</w:t>
            </w:r>
            <w:r>
              <w:rPr>
                <w:rFonts w:hint="default" w:ascii="Times New Roman" w:hAnsi="Times New Roman" w:cs="Times New Roman"/>
                <w:i w:val="0"/>
                <w:iCs w:val="0"/>
                <w:color w:val="auto"/>
                <w:sz w:val="24"/>
                <w:highlight w:val="none"/>
                <w:u w:val="none" w:color="auto"/>
                <w:lang w:val="en-US" w:eastAsia="zh-CN"/>
              </w:rPr>
              <w:t>环境质量现状调查。建设项目存在地下水环境污染途径的，应结合污染源、保护目标分布情况开展现状调查以留作背景值。项目厂界外500m范围内无集中式地下水饮用水源、温泉等特殊地下水资源，无地下水环境保护目标。本项目运行过程</w:t>
            </w:r>
            <w:r>
              <w:rPr>
                <w:rFonts w:hint="eastAsia" w:ascii="Times New Roman" w:hAnsi="Times New Roman" w:cs="Times New Roman"/>
                <w:i w:val="0"/>
                <w:iCs w:val="0"/>
                <w:color w:val="auto"/>
                <w:sz w:val="24"/>
                <w:highlight w:val="none"/>
                <w:u w:val="none" w:color="auto"/>
                <w:lang w:val="en-US" w:eastAsia="zh-CN"/>
              </w:rPr>
              <w:t>生活污水</w:t>
            </w:r>
            <w:r>
              <w:rPr>
                <w:rFonts w:hint="eastAsia" w:cs="Times New Roman"/>
                <w:i w:val="0"/>
                <w:iCs w:val="0"/>
                <w:color w:val="auto"/>
                <w:sz w:val="24"/>
                <w:highlight w:val="none"/>
                <w:u w:val="none" w:color="auto"/>
                <w:lang w:val="en-US" w:eastAsia="zh-CN"/>
              </w:rPr>
              <w:t>排入防渗旱厕，定期清掏作农肥</w:t>
            </w:r>
            <w:r>
              <w:rPr>
                <w:rFonts w:hint="default" w:ascii="Times New Roman" w:hAnsi="Times New Roman" w:cs="Times New Roman"/>
                <w:i w:val="0"/>
                <w:iCs w:val="0"/>
                <w:color w:val="auto"/>
                <w:sz w:val="24"/>
                <w:highlight w:val="none"/>
                <w:u w:val="none" w:color="auto"/>
                <w:lang w:val="en-US" w:eastAsia="zh-CN"/>
              </w:rPr>
              <w:t>，</w:t>
            </w:r>
            <w:r>
              <w:rPr>
                <w:rFonts w:hint="eastAsia" w:cs="Times New Roman"/>
                <w:i w:val="0"/>
                <w:iCs w:val="0"/>
                <w:color w:val="auto"/>
                <w:sz w:val="24"/>
                <w:highlight w:val="none"/>
                <w:u w:val="none" w:color="auto"/>
                <w:lang w:val="en-US" w:eastAsia="zh-CN"/>
              </w:rPr>
              <w:t>罐车清洗废水、设备清洗废水经三级沉淀池处理后回用于生产，</w:t>
            </w:r>
            <w:r>
              <w:rPr>
                <w:rFonts w:hint="eastAsia" w:ascii="Times New Roman" w:hAnsi="Times New Roman" w:cs="Times New Roman"/>
                <w:i w:val="0"/>
                <w:iCs w:val="0"/>
                <w:color w:val="auto"/>
                <w:sz w:val="24"/>
                <w:highlight w:val="none"/>
                <w:u w:val="none" w:color="auto"/>
                <w:lang w:val="en-US" w:eastAsia="zh-CN"/>
              </w:rPr>
              <w:t>厂区按照要求进行分区防渗，</w:t>
            </w:r>
            <w:r>
              <w:rPr>
                <w:rFonts w:hint="eastAsia" w:ascii="Times New Roman" w:hAnsi="Times New Roman" w:eastAsia="宋体" w:cs="Times New Roman"/>
                <w:color w:val="auto"/>
                <w:kern w:val="0"/>
                <w:sz w:val="24"/>
                <w:szCs w:val="20"/>
                <w:highlight w:val="none"/>
                <w:lang w:val="en-US" w:eastAsia="zh-CN"/>
              </w:rPr>
              <w:t>分区防渗</w:t>
            </w:r>
            <w:r>
              <w:rPr>
                <w:rFonts w:hint="default" w:ascii="Times New Roman" w:hAnsi="Times New Roman" w:eastAsia="宋体" w:cs="Times New Roman"/>
                <w:sz w:val="24"/>
                <w:highlight w:val="none"/>
                <w:u w:val="none"/>
              </w:rPr>
              <w:t>隔断了本项目建</w:t>
            </w:r>
            <w:r>
              <w:rPr>
                <w:rFonts w:hint="default" w:ascii="Times New Roman" w:hAnsi="Times New Roman" w:eastAsia="宋体" w:cs="Times New Roman"/>
                <w:sz w:val="24"/>
                <w:highlight w:val="none"/>
                <w:u w:val="none"/>
                <w:lang w:eastAsia="zh-CN"/>
              </w:rPr>
              <w:t>构</w:t>
            </w:r>
            <w:r>
              <w:rPr>
                <w:rFonts w:hint="default" w:ascii="Times New Roman" w:hAnsi="Times New Roman" w:eastAsia="宋体" w:cs="Times New Roman"/>
                <w:sz w:val="24"/>
                <w:highlight w:val="none"/>
                <w:u w:val="none"/>
              </w:rPr>
              <w:t>筑</w:t>
            </w:r>
            <w:r>
              <w:rPr>
                <w:rFonts w:hint="default" w:ascii="Times New Roman" w:hAnsi="Times New Roman" w:eastAsia="宋体" w:cs="Times New Roman"/>
                <w:sz w:val="24"/>
                <w:highlight w:val="none"/>
                <w:u w:val="none"/>
                <w:lang w:eastAsia="zh-CN"/>
              </w:rPr>
              <w:t>物</w:t>
            </w:r>
            <w:r>
              <w:rPr>
                <w:rFonts w:hint="default" w:ascii="Times New Roman" w:hAnsi="Times New Roman" w:eastAsia="宋体" w:cs="Times New Roman"/>
                <w:sz w:val="24"/>
                <w:highlight w:val="none"/>
                <w:u w:val="none"/>
              </w:rPr>
              <w:t>与地下水的联系途径，</w:t>
            </w:r>
            <w:r>
              <w:rPr>
                <w:rFonts w:hint="default" w:ascii="Times New Roman" w:hAnsi="Times New Roman" w:eastAsia="宋体" w:cs="Times New Roman"/>
                <w:bCs/>
                <w:sz w:val="24"/>
                <w:highlight w:val="none"/>
                <w:u w:val="none"/>
              </w:rPr>
              <w:t>在确保防渗措施得以落实，并加强维护和厂区环境管理的前提，</w:t>
            </w:r>
            <w:r>
              <w:rPr>
                <w:rFonts w:hint="default" w:ascii="Times New Roman" w:hAnsi="Times New Roman" w:eastAsia="宋体" w:cs="Times New Roman"/>
                <w:bCs/>
                <w:sz w:val="24"/>
                <w:highlight w:val="none"/>
                <w:u w:val="none"/>
                <w:lang w:val="en-US" w:eastAsia="zh-CN"/>
              </w:rPr>
              <w:t>几乎</w:t>
            </w:r>
            <w:r>
              <w:rPr>
                <w:rFonts w:hint="default" w:ascii="Times New Roman" w:hAnsi="Times New Roman" w:eastAsia="宋体" w:cs="Times New Roman"/>
                <w:bCs/>
                <w:sz w:val="24"/>
                <w:highlight w:val="none"/>
                <w:u w:val="none"/>
              </w:rPr>
              <w:t>不会对区域地下水环境产生影响</w:t>
            </w:r>
            <w:r>
              <w:rPr>
                <w:rFonts w:hint="default" w:ascii="Times New Roman" w:hAnsi="Times New Roman" w:cs="Times New Roman"/>
                <w:i w:val="0"/>
                <w:iCs w:val="0"/>
                <w:color w:val="auto"/>
                <w:sz w:val="24"/>
                <w:highlight w:val="none"/>
                <w:u w:val="none" w:color="auto"/>
                <w:lang w:val="en-US" w:eastAsia="zh-CN"/>
              </w:rPr>
              <w:t>，</w:t>
            </w:r>
            <w:r>
              <w:rPr>
                <w:rFonts w:hint="eastAsia" w:cs="Times New Roman"/>
                <w:i w:val="0"/>
                <w:iCs w:val="0"/>
                <w:color w:val="auto"/>
                <w:sz w:val="24"/>
                <w:highlight w:val="none"/>
                <w:u w:val="none" w:color="auto"/>
                <w:lang w:val="en-US" w:eastAsia="zh-CN"/>
              </w:rPr>
              <w:t>本次评价</w:t>
            </w:r>
            <w:r>
              <w:rPr>
                <w:rFonts w:hint="default" w:ascii="Times New Roman" w:hAnsi="Times New Roman" w:cs="Times New Roman"/>
                <w:i w:val="0"/>
                <w:iCs w:val="0"/>
                <w:color w:val="auto"/>
                <w:sz w:val="24"/>
                <w:highlight w:val="none"/>
                <w:u w:val="none" w:color="auto"/>
                <w:lang w:val="en-US" w:eastAsia="zh-CN"/>
              </w:rPr>
              <w:t>不开展</w:t>
            </w:r>
            <w:r>
              <w:rPr>
                <w:rFonts w:hint="eastAsia" w:ascii="Times New Roman" w:hAnsi="Times New Roman" w:cs="Times New Roman"/>
                <w:i w:val="0"/>
                <w:iCs w:val="0"/>
                <w:color w:val="auto"/>
                <w:sz w:val="24"/>
                <w:highlight w:val="none"/>
                <w:u w:val="none" w:color="auto"/>
                <w:lang w:val="en-US" w:eastAsia="zh-CN"/>
              </w:rPr>
              <w:t>地下水</w:t>
            </w:r>
            <w:r>
              <w:rPr>
                <w:rFonts w:hint="default" w:ascii="Times New Roman" w:hAnsi="Times New Roman" w:cs="Times New Roman"/>
                <w:i w:val="0"/>
                <w:iCs w:val="0"/>
                <w:color w:val="auto"/>
                <w:sz w:val="24"/>
                <w:highlight w:val="none"/>
                <w:u w:val="none" w:color="auto"/>
                <w:lang w:val="en-US" w:eastAsia="zh-CN"/>
              </w:rPr>
              <w:t>环境质量现状调查。</w:t>
            </w:r>
          </w:p>
          <w:p w14:paraId="7041B9C7">
            <w:pPr>
              <w:spacing w:line="360" w:lineRule="auto"/>
              <w:ind w:firstLine="482" w:firstLineChars="200"/>
              <w:rPr>
                <w:rFonts w:hint="eastAsia"/>
                <w:sz w:val="24"/>
                <w:szCs w:val="24"/>
                <w:highlight w:val="none"/>
                <w:u w:val="none"/>
                <w:lang w:val="en-US" w:eastAsia="zh-CN"/>
              </w:rPr>
            </w:pPr>
            <w:r>
              <w:rPr>
                <w:b/>
                <w:color w:val="000000"/>
                <w:sz w:val="24"/>
                <w:highlight w:val="none"/>
                <w:u w:val="none"/>
              </w:rPr>
              <w:t>5、土壤环境现状与评价</w:t>
            </w:r>
          </w:p>
          <w:p w14:paraId="14DA4ED9">
            <w:pPr>
              <w:spacing w:line="360" w:lineRule="auto"/>
              <w:ind w:firstLine="480" w:firstLineChars="200"/>
              <w:rPr>
                <w:sz w:val="24"/>
                <w:highlight w:val="none"/>
              </w:rPr>
            </w:pPr>
            <w:r>
              <w:rPr>
                <w:rFonts w:ascii="宋体" w:hAnsi="宋体" w:eastAsia="宋体" w:cs="宋体"/>
                <w:sz w:val="24"/>
                <w:szCs w:val="24"/>
              </w:rPr>
              <w:t>依据《建设项目环境影响报告表编制技术指南（污染影响类）》要求</w:t>
            </w:r>
            <w:r>
              <w:rPr>
                <w:rFonts w:hint="eastAsia"/>
                <w:sz w:val="24"/>
                <w:highlight w:val="none"/>
                <w:lang w:eastAsia="zh-CN"/>
              </w:rPr>
              <w:t>，</w:t>
            </w:r>
            <w:r>
              <w:rPr>
                <w:sz w:val="24"/>
                <w:highlight w:val="none"/>
              </w:rPr>
              <w:t>原则上不开展</w:t>
            </w:r>
            <w:r>
              <w:rPr>
                <w:rFonts w:hint="eastAsia"/>
                <w:sz w:val="24"/>
                <w:highlight w:val="none"/>
                <w:lang w:eastAsia="zh-CN"/>
              </w:rPr>
              <w:t>土壤</w:t>
            </w:r>
            <w:r>
              <w:rPr>
                <w:sz w:val="24"/>
                <w:highlight w:val="none"/>
              </w:rPr>
              <w:t>环境质量现状调查。建设项目存在土壤环境污染途径的，应结合污染源、保护目标分布情况开展现状调查以留作背景值</w:t>
            </w:r>
            <w:r>
              <w:rPr>
                <w:rFonts w:hint="default" w:ascii="Times New Roman" w:hAnsi="Times New Roman" w:cs="Times New Roman" w:eastAsiaTheme="minorEastAsia"/>
                <w:i w:val="0"/>
                <w:iCs w:val="0"/>
                <w:color w:val="auto"/>
                <w:sz w:val="24"/>
                <w:highlight w:val="none"/>
                <w:u w:val="none" w:color="auto"/>
                <w:lang w:val="en-US" w:eastAsia="zh-CN"/>
              </w:rPr>
              <w:t>。项目</w:t>
            </w:r>
            <w:r>
              <w:rPr>
                <w:rFonts w:hint="eastAsia" w:cs="Times New Roman" w:eastAsiaTheme="minorEastAsia"/>
                <w:i w:val="0"/>
                <w:iCs w:val="0"/>
                <w:color w:val="auto"/>
                <w:sz w:val="24"/>
                <w:highlight w:val="none"/>
                <w:u w:val="none" w:color="auto"/>
                <w:lang w:val="en-US" w:eastAsia="zh-CN"/>
              </w:rPr>
              <w:t>厂区地面全部硬化处理，</w:t>
            </w:r>
            <w:r>
              <w:rPr>
                <w:rFonts w:hint="default" w:ascii="Times New Roman" w:hAnsi="Times New Roman" w:cs="Times New Roman" w:eastAsiaTheme="minorEastAsia"/>
                <w:i w:val="0"/>
                <w:iCs w:val="0"/>
                <w:color w:val="auto"/>
                <w:sz w:val="24"/>
                <w:highlight w:val="none"/>
                <w:u w:val="none" w:color="auto"/>
                <w:lang w:val="en-US" w:eastAsia="zh-CN"/>
              </w:rPr>
              <w:t>生产过程中产生的粉尘量较小，均已采取治理措施，</w:t>
            </w:r>
            <w:r>
              <w:rPr>
                <w:rFonts w:hint="default" w:ascii="Times New Roman" w:hAnsi="Times New Roman" w:eastAsia="宋体" w:cs="Times New Roman"/>
                <w:color w:val="000000"/>
                <w:kern w:val="0"/>
                <w:sz w:val="24"/>
                <w:szCs w:val="24"/>
                <w:highlight w:val="none"/>
                <w:u w:val="none"/>
                <w:lang w:val="en-US" w:eastAsia="zh-CN" w:bidi="ar"/>
              </w:rPr>
              <w:t>废气中污染物浓度较低，无重金属等沉降型污染，所以基本不会通过大气沉降对区域土壤造成影响。</w:t>
            </w:r>
            <w:r>
              <w:rPr>
                <w:rFonts w:hint="eastAsia"/>
                <w:sz w:val="24"/>
                <w:highlight w:val="none"/>
                <w:lang w:eastAsia="zh-CN"/>
              </w:rPr>
              <w:t>本项目</w:t>
            </w:r>
            <w:r>
              <w:rPr>
                <w:rFonts w:hint="default" w:ascii="Times New Roman" w:hAnsi="Times New Roman" w:eastAsia="宋体" w:cs="Times New Roman"/>
                <w:sz w:val="24"/>
                <w:szCs w:val="24"/>
                <w:highlight w:val="none"/>
                <w:u w:val="none"/>
                <w:lang w:val="en-US" w:eastAsia="zh-CN"/>
              </w:rPr>
              <w:t>厂区按照要求采取分区防渗措施，做好厂内各区域的防渗工作，加强设施运行维护管理，杜绝项目污染物直接进入土壤的可能性，正常运营情况下几乎</w:t>
            </w:r>
            <w:r>
              <w:rPr>
                <w:rFonts w:hint="default" w:ascii="Times New Roman" w:hAnsi="Times New Roman" w:eastAsia="宋体" w:cs="Times New Roman"/>
                <w:bCs/>
                <w:sz w:val="24"/>
                <w:highlight w:val="none"/>
                <w:u w:val="none"/>
              </w:rPr>
              <w:t>不会对区域</w:t>
            </w:r>
            <w:r>
              <w:rPr>
                <w:rFonts w:hint="default" w:ascii="Times New Roman" w:hAnsi="Times New Roman" w:eastAsia="宋体" w:cs="Times New Roman"/>
                <w:bCs/>
                <w:sz w:val="24"/>
                <w:highlight w:val="none"/>
                <w:u w:val="none"/>
                <w:lang w:val="en-US" w:eastAsia="zh-CN"/>
              </w:rPr>
              <w:t>土壤</w:t>
            </w:r>
            <w:r>
              <w:rPr>
                <w:rFonts w:hint="default" w:ascii="Times New Roman" w:hAnsi="Times New Roman" w:eastAsia="宋体" w:cs="Times New Roman"/>
                <w:bCs/>
                <w:sz w:val="24"/>
                <w:highlight w:val="none"/>
                <w:u w:val="none"/>
              </w:rPr>
              <w:t>环境产生影响</w:t>
            </w:r>
            <w:r>
              <w:rPr>
                <w:rFonts w:hint="eastAsia" w:ascii="Times New Roman" w:hAnsi="Times New Roman" w:eastAsia="宋体" w:cs="Times New Roman"/>
                <w:bCs/>
                <w:sz w:val="24"/>
                <w:highlight w:val="none"/>
                <w:u w:val="none"/>
                <w:lang w:eastAsia="zh-CN"/>
              </w:rPr>
              <w:t>，</w:t>
            </w:r>
            <w:r>
              <w:rPr>
                <w:rFonts w:hint="eastAsia" w:cs="Times New Roman"/>
                <w:i w:val="0"/>
                <w:iCs w:val="0"/>
                <w:color w:val="auto"/>
                <w:sz w:val="24"/>
                <w:highlight w:val="none"/>
                <w:u w:val="none" w:color="auto"/>
                <w:lang w:val="en-US" w:eastAsia="zh-CN"/>
              </w:rPr>
              <w:t>本次评价</w:t>
            </w:r>
            <w:r>
              <w:rPr>
                <w:rFonts w:hint="default" w:ascii="Times New Roman" w:hAnsi="Times New Roman" w:cs="Times New Roman"/>
                <w:i w:val="0"/>
                <w:iCs w:val="0"/>
                <w:color w:val="auto"/>
                <w:sz w:val="24"/>
                <w:highlight w:val="none"/>
                <w:u w:val="none" w:color="auto"/>
                <w:lang w:val="en-US" w:eastAsia="zh-CN"/>
              </w:rPr>
              <w:t>不开展</w:t>
            </w:r>
            <w:r>
              <w:rPr>
                <w:rFonts w:hint="eastAsia" w:cs="Times New Roman"/>
                <w:i w:val="0"/>
                <w:iCs w:val="0"/>
                <w:color w:val="auto"/>
                <w:sz w:val="24"/>
                <w:highlight w:val="none"/>
                <w:u w:val="none" w:color="auto"/>
                <w:lang w:val="en-US" w:eastAsia="zh-CN"/>
              </w:rPr>
              <w:t>土壤</w:t>
            </w:r>
            <w:r>
              <w:rPr>
                <w:rFonts w:hint="default" w:ascii="Times New Roman" w:hAnsi="Times New Roman" w:cs="Times New Roman"/>
                <w:i w:val="0"/>
                <w:iCs w:val="0"/>
                <w:color w:val="auto"/>
                <w:sz w:val="24"/>
                <w:highlight w:val="none"/>
                <w:u w:val="none" w:color="auto"/>
                <w:lang w:val="en-US" w:eastAsia="zh-CN"/>
              </w:rPr>
              <w:t>环境质量现状调查</w:t>
            </w:r>
            <w:r>
              <w:rPr>
                <w:rFonts w:hint="eastAsia"/>
                <w:sz w:val="24"/>
                <w:highlight w:val="none"/>
                <w:lang w:eastAsia="zh-CN"/>
              </w:rPr>
              <w:t>。</w:t>
            </w:r>
          </w:p>
          <w:p w14:paraId="6CB12AA9">
            <w:pPr>
              <w:spacing w:line="360" w:lineRule="auto"/>
              <w:ind w:firstLine="482" w:firstLineChars="200"/>
              <w:rPr>
                <w:rFonts w:hint="eastAsia" w:ascii="Times New Roman" w:hAnsi="Times New Roman" w:eastAsia="宋体" w:cs="宋体"/>
                <w:b/>
                <w:bCs/>
                <w:color w:val="auto"/>
                <w:sz w:val="24"/>
                <w:highlight w:val="none"/>
                <w:u w:val="none" w:color="auto"/>
              </w:rPr>
            </w:pPr>
            <w:r>
              <w:rPr>
                <w:rFonts w:hint="eastAsia" w:ascii="Times New Roman" w:hAnsi="Times New Roman" w:eastAsia="宋体" w:cs="宋体"/>
                <w:b/>
                <w:bCs/>
                <w:color w:val="auto"/>
                <w:sz w:val="24"/>
                <w:highlight w:val="none"/>
                <w:u w:val="none" w:color="auto"/>
                <w:lang w:val="en-US" w:eastAsia="zh-CN"/>
              </w:rPr>
              <w:t>6</w:t>
            </w:r>
            <w:r>
              <w:rPr>
                <w:rFonts w:hint="eastAsia" w:ascii="Times New Roman" w:hAnsi="Times New Roman" w:eastAsia="宋体" w:cs="宋体"/>
                <w:b/>
                <w:bCs/>
                <w:color w:val="auto"/>
                <w:sz w:val="24"/>
                <w:highlight w:val="none"/>
                <w:u w:val="none" w:color="auto"/>
              </w:rPr>
              <w:t>、生态环境质量现状</w:t>
            </w:r>
          </w:p>
          <w:p w14:paraId="296E0003">
            <w:pPr>
              <w:spacing w:line="360" w:lineRule="auto"/>
              <w:ind w:firstLine="480" w:firstLineChars="200"/>
              <w:rPr>
                <w:rFonts w:hint="default" w:eastAsia="仿宋_GB2312"/>
                <w:highlight w:val="cyan"/>
                <w:lang w:val="en-US" w:eastAsia="zh-CN"/>
              </w:rPr>
            </w:pPr>
            <w:r>
              <w:rPr>
                <w:rFonts w:hint="default" w:ascii="Times New Roman" w:hAnsi="Times New Roman" w:eastAsia="宋体" w:cs="Times New Roman"/>
                <w:i w:val="0"/>
                <w:iCs w:val="0"/>
                <w:color w:val="auto"/>
                <w:sz w:val="24"/>
                <w:szCs w:val="24"/>
                <w:highlight w:val="none"/>
                <w:u w:val="none" w:color="auto"/>
                <w:lang w:val="en-US" w:eastAsia="zh-CN"/>
              </w:rPr>
              <w:t>根据《建设项目环境影响报告表编制技术指南（污染影响类）（试行）》中的规定：产业园区外建设项目新增用地且用地范围内含有生态环境保护目标时，应进行生态现状调查。本项目位于产业园区</w:t>
            </w:r>
            <w:r>
              <w:rPr>
                <w:rFonts w:hint="eastAsia" w:ascii="Times New Roman" w:hAnsi="Times New Roman" w:eastAsia="宋体" w:cs="Times New Roman"/>
                <w:i w:val="0"/>
                <w:iCs w:val="0"/>
                <w:color w:val="auto"/>
                <w:sz w:val="24"/>
                <w:szCs w:val="24"/>
                <w:highlight w:val="none"/>
                <w:u w:val="none" w:color="auto"/>
                <w:lang w:val="en-US" w:eastAsia="zh-CN"/>
              </w:rPr>
              <w:t>外</w:t>
            </w:r>
            <w:r>
              <w:rPr>
                <w:rFonts w:hint="default" w:ascii="Times New Roman" w:hAnsi="Times New Roman" w:eastAsia="宋体" w:cs="Times New Roman"/>
                <w:i w:val="0"/>
                <w:iCs w:val="0"/>
                <w:color w:val="auto"/>
                <w:sz w:val="24"/>
                <w:szCs w:val="24"/>
                <w:highlight w:val="none"/>
                <w:u w:val="none" w:color="auto"/>
                <w:lang w:val="en-US" w:eastAsia="zh-CN"/>
              </w:rPr>
              <w:t>，</w:t>
            </w:r>
            <w:r>
              <w:rPr>
                <w:rFonts w:hint="eastAsia" w:ascii="Times New Roman" w:hAnsi="Times New Roman" w:eastAsia="宋体" w:cs="Times New Roman"/>
                <w:color w:val="auto"/>
                <w:kern w:val="2"/>
                <w:sz w:val="24"/>
                <w:szCs w:val="24"/>
                <w:highlight w:val="none"/>
                <w:lang w:val="en-US" w:eastAsia="zh-CN" w:bidi="ar-SA"/>
              </w:rPr>
              <w:t>用地性质为临时建设用地，</w:t>
            </w:r>
            <w:r>
              <w:rPr>
                <w:rFonts w:hint="eastAsia" w:ascii="Times New Roman" w:hAnsi="Times New Roman" w:eastAsia="宋体" w:cs="Times New Roman"/>
                <w:i w:val="0"/>
                <w:iCs w:val="0"/>
                <w:color w:val="auto"/>
                <w:sz w:val="24"/>
                <w:szCs w:val="24"/>
                <w:highlight w:val="none"/>
                <w:u w:val="none" w:color="auto"/>
                <w:lang w:val="en-US" w:eastAsia="zh-CN"/>
              </w:rPr>
              <w:t>本项目用地范围内没有生态环境保护目标，</w:t>
            </w:r>
            <w:r>
              <w:rPr>
                <w:rFonts w:hint="default" w:ascii="Times New Roman" w:hAnsi="Times New Roman" w:eastAsia="宋体" w:cs="Times New Roman"/>
                <w:i w:val="0"/>
                <w:iCs w:val="0"/>
                <w:color w:val="auto"/>
                <w:sz w:val="24"/>
                <w:szCs w:val="24"/>
                <w:highlight w:val="none"/>
                <w:u w:val="none" w:color="auto"/>
                <w:lang w:val="en-US" w:eastAsia="zh-CN"/>
              </w:rPr>
              <w:t>因此不对生态现状进行调查。</w:t>
            </w:r>
          </w:p>
        </w:tc>
      </w:tr>
      <w:tr w14:paraId="06CFFB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05" w:hRule="atLeast"/>
          <w:jc w:val="center"/>
        </w:trPr>
        <w:tc>
          <w:tcPr>
            <w:tcW w:w="750" w:type="dxa"/>
            <w:noWrap w:val="0"/>
            <w:vAlign w:val="center"/>
          </w:tcPr>
          <w:p w14:paraId="1B5758C5">
            <w:pPr>
              <w:adjustRightInd w:val="0"/>
              <w:snapToGrid w:val="0"/>
              <w:jc w:val="center"/>
              <w:rPr>
                <w:rFonts w:hint="eastAsia" w:ascii="宋体" w:hAnsi="宋体" w:cs="宋体"/>
                <w:b/>
                <w:bCs/>
                <w:kern w:val="0"/>
                <w:sz w:val="24"/>
                <w:szCs w:val="24"/>
                <w:highlight w:val="none"/>
              </w:rPr>
            </w:pPr>
            <w:r>
              <w:rPr>
                <w:rFonts w:hint="eastAsia" w:ascii="宋体" w:hAnsi="宋体" w:cs="宋体"/>
                <w:b/>
                <w:bCs/>
                <w:kern w:val="0"/>
                <w:sz w:val="24"/>
                <w:szCs w:val="24"/>
                <w:highlight w:val="none"/>
              </w:rPr>
              <w:t>环境</w:t>
            </w:r>
          </w:p>
          <w:p w14:paraId="125DFC92">
            <w:pPr>
              <w:adjustRightInd w:val="0"/>
              <w:snapToGrid w:val="0"/>
              <w:jc w:val="center"/>
              <w:rPr>
                <w:rFonts w:hint="eastAsia" w:ascii="宋体" w:hAnsi="宋体" w:cs="宋体"/>
                <w:b/>
                <w:bCs/>
                <w:kern w:val="0"/>
                <w:sz w:val="24"/>
                <w:szCs w:val="24"/>
                <w:highlight w:val="none"/>
              </w:rPr>
            </w:pPr>
            <w:r>
              <w:rPr>
                <w:rFonts w:hint="eastAsia" w:ascii="宋体" w:hAnsi="宋体" w:cs="宋体"/>
                <w:b/>
                <w:bCs/>
                <w:kern w:val="0"/>
                <w:sz w:val="24"/>
                <w:szCs w:val="24"/>
                <w:highlight w:val="none"/>
              </w:rPr>
              <w:t>保护</w:t>
            </w:r>
          </w:p>
          <w:p w14:paraId="362E5865">
            <w:pPr>
              <w:adjustRightInd w:val="0"/>
              <w:snapToGrid w:val="0"/>
              <w:jc w:val="center"/>
              <w:rPr>
                <w:rFonts w:hint="eastAsia" w:ascii="宋体" w:hAnsi="宋体" w:cs="宋体"/>
                <w:kern w:val="0"/>
                <w:sz w:val="24"/>
                <w:szCs w:val="24"/>
                <w:highlight w:val="none"/>
              </w:rPr>
            </w:pPr>
            <w:r>
              <w:rPr>
                <w:rFonts w:hint="eastAsia" w:ascii="宋体" w:hAnsi="宋体" w:cs="宋体"/>
                <w:b/>
                <w:bCs/>
                <w:kern w:val="0"/>
                <w:sz w:val="24"/>
                <w:szCs w:val="24"/>
                <w:highlight w:val="none"/>
              </w:rPr>
              <w:t>目标</w:t>
            </w:r>
          </w:p>
        </w:tc>
        <w:tc>
          <w:tcPr>
            <w:tcW w:w="8311" w:type="dxa"/>
            <w:noWrap w:val="0"/>
            <w:vAlign w:val="top"/>
          </w:tcPr>
          <w:p w14:paraId="22AC9980">
            <w:pPr>
              <w:adjustRightInd w:val="0"/>
              <w:snapToGrid w:val="0"/>
              <w:spacing w:line="360" w:lineRule="auto"/>
              <w:ind w:firstLine="480" w:firstLineChars="200"/>
              <w:jc w:val="both"/>
              <w:rPr>
                <w:rFonts w:ascii="宋体" w:hAnsi="宋体" w:cs="宋体"/>
                <w:kern w:val="0"/>
                <w:sz w:val="24"/>
                <w:szCs w:val="24"/>
                <w:highlight w:val="cyan"/>
              </w:rPr>
            </w:pPr>
            <w:r>
              <w:rPr>
                <w:rFonts w:hint="eastAsia" w:ascii="Times New Roman" w:hAnsi="Times New Roman" w:eastAsia="宋体" w:cs="Times New Roman"/>
                <w:b w:val="0"/>
                <w:bCs w:val="0"/>
                <w:color w:val="auto"/>
                <w:sz w:val="24"/>
                <w:szCs w:val="24"/>
                <w:highlight w:val="none"/>
                <w:u w:val="none" w:color="auto"/>
                <w:shd w:val="clear" w:color="auto" w:fill="auto"/>
                <w:lang w:val="en-US" w:eastAsia="zh-CN"/>
              </w:rPr>
              <w:t>项目厂界外500</w:t>
            </w:r>
            <w:r>
              <w:rPr>
                <w:rFonts w:hint="eastAsia" w:cs="Times New Roman"/>
                <w:b w:val="0"/>
                <w:bCs w:val="0"/>
                <w:color w:val="auto"/>
                <w:sz w:val="24"/>
                <w:szCs w:val="24"/>
                <w:highlight w:val="none"/>
                <w:u w:val="none" w:color="auto"/>
                <w:shd w:val="clear"/>
                <w:lang w:val="en-US" w:eastAsia="zh-CN"/>
              </w:rPr>
              <w:t>m</w:t>
            </w:r>
            <w:r>
              <w:rPr>
                <w:rFonts w:hint="eastAsia" w:ascii="Times New Roman" w:hAnsi="Times New Roman" w:eastAsia="宋体" w:cs="Times New Roman"/>
                <w:b w:val="0"/>
                <w:bCs w:val="0"/>
                <w:color w:val="auto"/>
                <w:sz w:val="24"/>
                <w:szCs w:val="24"/>
                <w:highlight w:val="none"/>
                <w:u w:val="none" w:color="auto"/>
                <w:shd w:val="clear" w:color="auto" w:fill="auto"/>
                <w:lang w:val="en-US" w:eastAsia="zh-CN"/>
              </w:rPr>
              <w:t>范围内不涉及自然保护区、风景名胜区、文化区等</w:t>
            </w:r>
            <w:r>
              <w:rPr>
                <w:rFonts w:hint="eastAsia" w:cs="Times New Roman"/>
                <w:b w:val="0"/>
                <w:bCs w:val="0"/>
                <w:color w:val="auto"/>
                <w:sz w:val="24"/>
                <w:szCs w:val="24"/>
                <w:highlight w:val="none"/>
                <w:u w:val="none" w:color="auto"/>
                <w:shd w:val="clear"/>
                <w:lang w:val="en-US" w:eastAsia="zh-CN"/>
              </w:rPr>
              <w:t>大气环境</w:t>
            </w:r>
            <w:r>
              <w:rPr>
                <w:rFonts w:hint="eastAsia" w:ascii="Times New Roman" w:hAnsi="Times New Roman" w:eastAsia="宋体" w:cs="Times New Roman"/>
                <w:b w:val="0"/>
                <w:bCs w:val="0"/>
                <w:color w:val="auto"/>
                <w:sz w:val="24"/>
                <w:szCs w:val="24"/>
                <w:highlight w:val="none"/>
                <w:u w:val="none" w:color="auto"/>
                <w:shd w:val="clear" w:color="auto" w:fill="auto"/>
                <w:lang w:val="en-US" w:eastAsia="zh-CN"/>
              </w:rPr>
              <w:t>保护目标</w:t>
            </w:r>
            <w:r>
              <w:rPr>
                <w:rFonts w:hint="eastAsia" w:cs="Times New Roman"/>
                <w:b w:val="0"/>
                <w:bCs w:val="0"/>
                <w:color w:val="auto"/>
                <w:sz w:val="24"/>
                <w:szCs w:val="24"/>
                <w:highlight w:val="none"/>
                <w:u w:val="none" w:color="auto"/>
                <w:shd w:val="clear"/>
                <w:lang w:val="en-US" w:eastAsia="zh-CN"/>
              </w:rPr>
              <w:t>，无地下水集中式饮用水水源和热水、矿泉水、温泉等特殊地下水资源；厂界50m范围内无居民、医院、学校等声环境敏感目标；厂界外500m范围内；用地范围内及周边不涉及生态环境保护目标。</w:t>
            </w:r>
          </w:p>
        </w:tc>
      </w:tr>
      <w:tr w14:paraId="037A3D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50" w:type="dxa"/>
            <w:noWrap w:val="0"/>
            <w:tcMar>
              <w:left w:w="28" w:type="dxa"/>
              <w:right w:w="28" w:type="dxa"/>
            </w:tcMar>
            <w:vAlign w:val="center"/>
          </w:tcPr>
          <w:p w14:paraId="2F825DB1">
            <w:pPr>
              <w:adjustRightInd w:val="0"/>
              <w:snapToGrid w:val="0"/>
              <w:jc w:val="center"/>
              <w:rPr>
                <w:rFonts w:hint="eastAsia" w:ascii="宋体" w:hAnsi="宋体" w:cs="宋体"/>
                <w:b/>
                <w:bCs/>
                <w:kern w:val="0"/>
                <w:sz w:val="24"/>
                <w:szCs w:val="24"/>
                <w:highlight w:val="none"/>
              </w:rPr>
            </w:pPr>
            <w:r>
              <w:rPr>
                <w:rFonts w:hint="eastAsia" w:ascii="宋体" w:hAnsi="宋体" w:cs="宋体"/>
                <w:b/>
                <w:bCs/>
                <w:kern w:val="0"/>
                <w:sz w:val="24"/>
                <w:szCs w:val="24"/>
                <w:highlight w:val="none"/>
              </w:rPr>
              <w:t>污染</w:t>
            </w:r>
          </w:p>
          <w:p w14:paraId="7C5A392B">
            <w:pPr>
              <w:adjustRightInd w:val="0"/>
              <w:snapToGrid w:val="0"/>
              <w:jc w:val="center"/>
              <w:rPr>
                <w:rFonts w:hint="eastAsia" w:ascii="宋体" w:hAnsi="宋体" w:cs="宋体"/>
                <w:b/>
                <w:bCs/>
                <w:kern w:val="0"/>
                <w:sz w:val="24"/>
                <w:szCs w:val="24"/>
                <w:highlight w:val="none"/>
              </w:rPr>
            </w:pPr>
            <w:r>
              <w:rPr>
                <w:rFonts w:hint="eastAsia" w:ascii="宋体" w:hAnsi="宋体" w:cs="宋体"/>
                <w:b/>
                <w:bCs/>
                <w:kern w:val="0"/>
                <w:sz w:val="24"/>
                <w:szCs w:val="24"/>
                <w:highlight w:val="none"/>
              </w:rPr>
              <w:t>物排</w:t>
            </w:r>
          </w:p>
          <w:p w14:paraId="33CEFBB5">
            <w:pPr>
              <w:adjustRightInd w:val="0"/>
              <w:snapToGrid w:val="0"/>
              <w:jc w:val="center"/>
              <w:rPr>
                <w:rFonts w:hint="eastAsia" w:ascii="宋体" w:hAnsi="宋体" w:cs="宋体"/>
                <w:b/>
                <w:bCs/>
                <w:kern w:val="0"/>
                <w:sz w:val="24"/>
                <w:szCs w:val="24"/>
                <w:highlight w:val="none"/>
              </w:rPr>
            </w:pPr>
            <w:r>
              <w:rPr>
                <w:rFonts w:hint="eastAsia" w:ascii="宋体" w:hAnsi="宋体" w:cs="宋体"/>
                <w:b/>
                <w:bCs/>
                <w:kern w:val="0"/>
                <w:sz w:val="24"/>
                <w:szCs w:val="24"/>
                <w:highlight w:val="none"/>
              </w:rPr>
              <w:t>放控</w:t>
            </w:r>
          </w:p>
          <w:p w14:paraId="40D40240">
            <w:pPr>
              <w:adjustRightInd w:val="0"/>
              <w:snapToGrid w:val="0"/>
              <w:jc w:val="center"/>
              <w:rPr>
                <w:rFonts w:hint="eastAsia" w:ascii="宋体" w:hAnsi="宋体" w:cs="宋体"/>
                <w:b/>
                <w:bCs/>
                <w:kern w:val="0"/>
                <w:sz w:val="24"/>
                <w:szCs w:val="24"/>
                <w:highlight w:val="none"/>
              </w:rPr>
            </w:pPr>
            <w:r>
              <w:rPr>
                <w:rFonts w:hint="eastAsia" w:ascii="宋体" w:hAnsi="宋体" w:cs="宋体"/>
                <w:b/>
                <w:bCs/>
                <w:kern w:val="0"/>
                <w:sz w:val="24"/>
                <w:szCs w:val="24"/>
                <w:highlight w:val="none"/>
              </w:rPr>
              <w:t>制标</w:t>
            </w:r>
          </w:p>
          <w:p w14:paraId="51AA7B8A">
            <w:pPr>
              <w:adjustRightInd w:val="0"/>
              <w:snapToGrid w:val="0"/>
              <w:jc w:val="center"/>
              <w:rPr>
                <w:rFonts w:ascii="宋体" w:hAnsi="宋体" w:cs="宋体"/>
                <w:kern w:val="0"/>
                <w:sz w:val="24"/>
                <w:szCs w:val="24"/>
                <w:highlight w:val="none"/>
              </w:rPr>
            </w:pPr>
            <w:r>
              <w:rPr>
                <w:rFonts w:hint="eastAsia" w:ascii="宋体" w:hAnsi="宋体" w:cs="宋体"/>
                <w:b/>
                <w:bCs/>
                <w:kern w:val="0"/>
                <w:sz w:val="24"/>
                <w:szCs w:val="24"/>
                <w:highlight w:val="none"/>
              </w:rPr>
              <w:t>准</w:t>
            </w:r>
          </w:p>
        </w:tc>
        <w:tc>
          <w:tcPr>
            <w:tcW w:w="8311" w:type="dxa"/>
            <w:noWrap w:val="0"/>
            <w:vAlign w:val="top"/>
          </w:tcPr>
          <w:p w14:paraId="0FCA0B1E">
            <w:pPr>
              <w:adjustRightInd w:val="0"/>
              <w:spacing w:line="360" w:lineRule="auto"/>
              <w:ind w:firstLine="482" w:firstLineChars="200"/>
              <w:rPr>
                <w:rFonts w:hint="default" w:ascii="Times New Roman" w:hAnsi="Times New Roman" w:cs="Times New Roman" w:eastAsiaTheme="minorEastAsia"/>
                <w:b/>
                <w:bCs/>
                <w:i w:val="0"/>
                <w:iCs w:val="0"/>
                <w:sz w:val="24"/>
                <w:szCs w:val="24"/>
                <w:highlight w:val="none"/>
                <w:u w:val="none"/>
              </w:rPr>
            </w:pPr>
            <w:r>
              <w:rPr>
                <w:rFonts w:hint="eastAsia" w:ascii="Times New Roman" w:hAnsi="Times New Roman" w:cs="Times New Roman" w:eastAsiaTheme="minorEastAsia"/>
                <w:b/>
                <w:bCs/>
                <w:i w:val="0"/>
                <w:iCs w:val="0"/>
                <w:sz w:val="24"/>
                <w:szCs w:val="24"/>
                <w:highlight w:val="none"/>
                <w:u w:val="none"/>
                <w:lang w:val="en-US" w:eastAsia="zh-CN"/>
              </w:rPr>
              <w:t>1</w:t>
            </w:r>
            <w:r>
              <w:rPr>
                <w:rFonts w:hint="default" w:ascii="Times New Roman" w:hAnsi="Times New Roman" w:cs="Times New Roman" w:eastAsiaTheme="minorEastAsia"/>
                <w:b/>
                <w:bCs/>
                <w:i w:val="0"/>
                <w:iCs w:val="0"/>
                <w:sz w:val="24"/>
                <w:szCs w:val="24"/>
                <w:highlight w:val="none"/>
                <w:u w:val="none"/>
              </w:rPr>
              <w:t>、废气</w:t>
            </w:r>
          </w:p>
          <w:p w14:paraId="0522824C">
            <w:pPr>
              <w:keepNext w:val="0"/>
              <w:keepLines w:val="0"/>
              <w:widowControl/>
              <w:suppressLineNumbers w:val="0"/>
              <w:spacing w:line="360" w:lineRule="auto"/>
              <w:ind w:firstLine="480" w:firstLineChars="200"/>
              <w:jc w:val="both"/>
              <w:rPr>
                <w:rFonts w:hint="eastAsia" w:cs="Times New Roman" w:eastAsiaTheme="minorEastAsia"/>
                <w:i w:val="0"/>
                <w:iCs w:val="0"/>
                <w:sz w:val="24"/>
                <w:szCs w:val="24"/>
                <w:highlight w:val="none"/>
                <w:u w:val="none"/>
                <w:lang w:eastAsia="zh-CN"/>
              </w:rPr>
            </w:pPr>
            <w:r>
              <w:rPr>
                <w:rFonts w:hint="default" w:ascii="Times New Roman" w:hAnsi="Times New Roman" w:cs="Times New Roman" w:eastAsiaTheme="minorEastAsia"/>
                <w:i w:val="0"/>
                <w:iCs w:val="0"/>
                <w:sz w:val="24"/>
                <w:szCs w:val="24"/>
                <w:highlight w:val="none"/>
                <w:u w:val="none"/>
              </w:rPr>
              <w:t>根据《水泥工业大气污染物排放标准》（GB 4915-2013）的标准适用范围的规定</w:t>
            </w:r>
            <w:r>
              <w:rPr>
                <w:rFonts w:hint="eastAsia" w:ascii="宋体" w:hAnsi="宋体" w:eastAsia="宋体" w:cs="宋体"/>
                <w:i w:val="0"/>
                <w:iCs w:val="0"/>
                <w:sz w:val="24"/>
                <w:szCs w:val="24"/>
                <w:highlight w:val="none"/>
                <w:u w:val="none"/>
              </w:rPr>
              <w:t>“</w:t>
            </w:r>
            <w:r>
              <w:rPr>
                <w:rFonts w:hint="default" w:ascii="Times New Roman" w:hAnsi="Times New Roman" w:cs="Times New Roman" w:eastAsiaTheme="minorEastAsia"/>
                <w:i w:val="0"/>
                <w:iCs w:val="0"/>
                <w:sz w:val="24"/>
                <w:szCs w:val="24"/>
                <w:highlight w:val="none"/>
                <w:u w:val="none"/>
              </w:rPr>
              <w:t>本标准规定了水泥制品企业（含独立粉磨站）、水泥原料矿山、散装水泥中转站、水泥制品企业及其生产设施的大气污染物排放限值、监测和监督管理要求。</w:t>
            </w:r>
            <w:r>
              <w:rPr>
                <w:rFonts w:hint="eastAsia" w:ascii="宋体" w:hAnsi="宋体" w:eastAsia="宋体" w:cs="宋体"/>
                <w:i w:val="0"/>
                <w:iCs w:val="0"/>
                <w:sz w:val="24"/>
                <w:szCs w:val="24"/>
                <w:highlight w:val="none"/>
                <w:u w:val="none"/>
              </w:rPr>
              <w:t>”</w:t>
            </w:r>
            <w:r>
              <w:rPr>
                <w:rFonts w:hint="default" w:ascii="Times New Roman" w:hAnsi="Times New Roman" w:cs="Times New Roman" w:eastAsiaTheme="minorEastAsia"/>
                <w:i w:val="0"/>
                <w:iCs w:val="0"/>
                <w:sz w:val="24"/>
                <w:szCs w:val="24"/>
                <w:highlight w:val="none"/>
                <w:u w:val="none"/>
              </w:rPr>
              <w:t>本项目是</w:t>
            </w:r>
            <w:r>
              <w:rPr>
                <w:rFonts w:hint="eastAsia" w:cs="Times New Roman" w:eastAsiaTheme="minorEastAsia"/>
                <w:i w:val="0"/>
                <w:iCs w:val="0"/>
                <w:sz w:val="24"/>
                <w:szCs w:val="24"/>
                <w:highlight w:val="none"/>
                <w:u w:val="none"/>
                <w:lang w:eastAsia="zh-CN"/>
              </w:rPr>
              <w:t>商品</w:t>
            </w:r>
            <w:r>
              <w:rPr>
                <w:rFonts w:hint="default" w:ascii="Times New Roman" w:hAnsi="Times New Roman" w:cs="Times New Roman" w:eastAsiaTheme="minorEastAsia"/>
                <w:i w:val="0"/>
                <w:iCs w:val="0"/>
                <w:sz w:val="24"/>
                <w:szCs w:val="24"/>
                <w:highlight w:val="none"/>
                <w:u w:val="none"/>
              </w:rPr>
              <w:t>混凝土搅拌生产行业，属于水泥制品</w:t>
            </w:r>
            <w:r>
              <w:rPr>
                <w:rFonts w:hint="eastAsia" w:cs="Times New Roman" w:eastAsiaTheme="minorEastAsia"/>
                <w:i w:val="0"/>
                <w:iCs w:val="0"/>
                <w:sz w:val="24"/>
                <w:szCs w:val="24"/>
                <w:highlight w:val="none"/>
                <w:u w:val="none"/>
                <w:lang w:eastAsia="zh-CN"/>
              </w:rPr>
              <w:t>企业。</w:t>
            </w:r>
          </w:p>
          <w:p w14:paraId="376449D8">
            <w:pPr>
              <w:keepNext w:val="0"/>
              <w:keepLines w:val="0"/>
              <w:widowControl/>
              <w:suppressLineNumbers w:val="0"/>
              <w:spacing w:line="360" w:lineRule="auto"/>
              <w:ind w:firstLine="480" w:firstLineChars="200"/>
              <w:jc w:val="both"/>
              <w:rPr>
                <w:rFonts w:hint="default" w:cs="Times New Roman" w:eastAsiaTheme="minorEastAsia"/>
                <w:i w:val="0"/>
                <w:iCs w:val="0"/>
                <w:color w:val="auto"/>
                <w:sz w:val="24"/>
                <w:szCs w:val="24"/>
                <w:highlight w:val="none"/>
                <w:u w:val="none"/>
                <w:lang w:val="en-US" w:eastAsia="zh-CN"/>
              </w:rPr>
            </w:pPr>
            <w:r>
              <w:rPr>
                <w:rFonts w:hint="eastAsia" w:cs="Times New Roman" w:eastAsiaTheme="minorEastAsia"/>
                <w:i w:val="0"/>
                <w:iCs w:val="0"/>
                <w:color w:val="auto"/>
                <w:sz w:val="24"/>
                <w:szCs w:val="24"/>
                <w:highlight w:val="none"/>
                <w:u w:val="none"/>
                <w:lang w:eastAsia="zh-CN"/>
              </w:rPr>
              <w:t>项目有组织排放口处颗粒物排放浓度执行《水泥工业大气污染物排放标准》（GB 4915-2013）中表</w:t>
            </w:r>
            <w:r>
              <w:rPr>
                <w:rFonts w:hint="eastAsia" w:cs="Times New Roman" w:eastAsiaTheme="minorEastAsia"/>
                <w:i w:val="0"/>
                <w:iCs w:val="0"/>
                <w:color w:val="auto"/>
                <w:sz w:val="24"/>
                <w:szCs w:val="24"/>
                <w:highlight w:val="none"/>
                <w:u w:val="none"/>
                <w:lang w:val="en-US" w:eastAsia="zh-CN"/>
              </w:rPr>
              <w:t>1新建企业大气污染物排放限值；厂界无组织颗粒物浓度执行</w:t>
            </w:r>
            <w:r>
              <w:rPr>
                <w:rFonts w:hint="eastAsia" w:cs="Times New Roman" w:eastAsiaTheme="minorEastAsia"/>
                <w:i w:val="0"/>
                <w:iCs w:val="0"/>
                <w:color w:val="auto"/>
                <w:sz w:val="24"/>
                <w:szCs w:val="24"/>
                <w:highlight w:val="none"/>
                <w:u w:val="none"/>
                <w:lang w:eastAsia="zh-CN"/>
              </w:rPr>
              <w:t>《水泥工业大气污染物排放标准》（GB 4915-2013）中表</w:t>
            </w:r>
            <w:r>
              <w:rPr>
                <w:rFonts w:hint="eastAsia" w:cs="Times New Roman" w:eastAsiaTheme="minorEastAsia"/>
                <w:i w:val="0"/>
                <w:iCs w:val="0"/>
                <w:color w:val="auto"/>
                <w:sz w:val="24"/>
                <w:szCs w:val="24"/>
                <w:highlight w:val="none"/>
                <w:u w:val="none"/>
                <w:lang w:val="en-US" w:eastAsia="zh-CN"/>
              </w:rPr>
              <w:t>3大气污染物无组织排放限值，</w:t>
            </w:r>
            <w:r>
              <w:rPr>
                <w:rFonts w:hint="default" w:ascii="Times New Roman" w:hAnsi="Times New Roman" w:cs="Times New Roman" w:eastAsiaTheme="minorEastAsia"/>
                <w:i w:val="0"/>
                <w:iCs w:val="0"/>
                <w:color w:val="auto"/>
                <w:sz w:val="24"/>
                <w:szCs w:val="24"/>
                <w:highlight w:val="none"/>
                <w:u w:val="none"/>
              </w:rPr>
              <w:t>详见下表。</w:t>
            </w:r>
          </w:p>
          <w:p w14:paraId="18B09A9D">
            <w:pPr>
              <w:pStyle w:val="7"/>
              <w:keepNext/>
              <w:adjustRightInd w:val="0"/>
              <w:snapToGrid w:val="0"/>
              <w:spacing w:beforeLines="0" w:afterLines="0"/>
              <w:rPr>
                <w:rFonts w:hint="eastAsia" w:ascii="Times New Roman" w:hAnsi="Times New Roman" w:cs="Times New Roman" w:eastAsiaTheme="minorEastAsia"/>
                <w:b/>
                <w:bCs w:val="0"/>
                <w:i w:val="0"/>
                <w:iCs w:val="0"/>
                <w:color w:val="auto"/>
                <w:sz w:val="24"/>
                <w:szCs w:val="24"/>
                <w:highlight w:val="none"/>
                <w:u w:val="none"/>
                <w:lang w:eastAsia="zh-CN"/>
              </w:rPr>
            </w:pPr>
            <w:r>
              <w:rPr>
                <w:rFonts w:hint="default" w:ascii="Times New Roman" w:hAnsi="Times New Roman" w:cs="Times New Roman" w:eastAsiaTheme="minorEastAsia"/>
                <w:b/>
                <w:bCs w:val="0"/>
                <w:i w:val="0"/>
                <w:iCs w:val="0"/>
                <w:color w:val="auto"/>
                <w:sz w:val="24"/>
                <w:szCs w:val="24"/>
                <w:highlight w:val="none"/>
                <w:u w:val="none"/>
              </w:rPr>
              <w:t>表</w:t>
            </w:r>
            <w:r>
              <w:rPr>
                <w:rFonts w:hint="eastAsia" w:ascii="Times New Roman" w:hAnsi="Times New Roman" w:cs="Times New Roman" w:eastAsiaTheme="minorEastAsia"/>
                <w:b/>
                <w:bCs w:val="0"/>
                <w:i w:val="0"/>
                <w:iCs w:val="0"/>
                <w:color w:val="auto"/>
                <w:sz w:val="24"/>
                <w:szCs w:val="24"/>
                <w:highlight w:val="none"/>
                <w:u w:val="none"/>
                <w:lang w:val="en-US" w:eastAsia="zh-CN"/>
              </w:rPr>
              <w:t>3-5</w:t>
            </w:r>
            <w:r>
              <w:rPr>
                <w:rFonts w:hint="default" w:ascii="Times New Roman" w:hAnsi="Times New Roman" w:cs="Times New Roman" w:eastAsiaTheme="minorEastAsia"/>
                <w:b/>
                <w:bCs w:val="0"/>
                <w:i w:val="0"/>
                <w:iCs w:val="0"/>
                <w:color w:val="auto"/>
                <w:sz w:val="24"/>
                <w:szCs w:val="24"/>
                <w:highlight w:val="none"/>
                <w:u w:val="none"/>
              </w:rPr>
              <w:t xml:space="preserve">  </w:t>
            </w:r>
            <w:r>
              <w:rPr>
                <w:rFonts w:hint="eastAsia" w:ascii="Times New Roman" w:hAnsi="Times New Roman" w:cs="Times New Roman" w:eastAsiaTheme="minorEastAsia"/>
                <w:b/>
                <w:bCs w:val="0"/>
                <w:i w:val="0"/>
                <w:iCs w:val="0"/>
                <w:color w:val="auto"/>
                <w:sz w:val="24"/>
                <w:szCs w:val="24"/>
                <w:highlight w:val="none"/>
                <w:u w:val="none"/>
                <w:lang w:eastAsia="zh-CN"/>
              </w:rPr>
              <w:t>《</w:t>
            </w:r>
            <w:r>
              <w:rPr>
                <w:rFonts w:hint="default" w:ascii="Times New Roman" w:hAnsi="Times New Roman" w:cs="Times New Roman" w:eastAsiaTheme="minorEastAsia"/>
                <w:b/>
                <w:bCs w:val="0"/>
                <w:i w:val="0"/>
                <w:iCs w:val="0"/>
                <w:color w:val="auto"/>
                <w:sz w:val="24"/>
                <w:szCs w:val="24"/>
                <w:highlight w:val="none"/>
                <w:u w:val="none"/>
              </w:rPr>
              <w:t>水泥工业大气污染物排放标准</w:t>
            </w:r>
            <w:r>
              <w:rPr>
                <w:rFonts w:hint="eastAsia" w:ascii="Times New Roman" w:hAnsi="Times New Roman" w:cs="Times New Roman" w:eastAsiaTheme="minorEastAsia"/>
                <w:b/>
                <w:bCs w:val="0"/>
                <w:i w:val="0"/>
                <w:iCs w:val="0"/>
                <w:color w:val="auto"/>
                <w:sz w:val="24"/>
                <w:szCs w:val="24"/>
                <w:highlight w:val="none"/>
                <w:u w:val="none"/>
                <w:lang w:eastAsia="zh-CN"/>
              </w:rPr>
              <w:t>》</w:t>
            </w:r>
          </w:p>
          <w:tbl>
            <w:tblPr>
              <w:tblStyle w:val="25"/>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821"/>
              <w:gridCol w:w="2397"/>
              <w:gridCol w:w="1257"/>
              <w:gridCol w:w="2602"/>
            </w:tblGrid>
            <w:tr w14:paraId="60D127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0" w:type="auto"/>
                  <w:tcBorders>
                    <w:tl2br w:val="nil"/>
                    <w:tr2bl w:val="nil"/>
                  </w:tcBorders>
                  <w:vAlign w:val="center"/>
                </w:tcPr>
                <w:p w14:paraId="32377004">
                  <w:pPr>
                    <w:jc w:val="center"/>
                    <w:rPr>
                      <w:rFonts w:ascii="Times New Roman" w:hAnsi="Times New Roman" w:eastAsia="宋体" w:cs="Times New Roman"/>
                      <w:color w:val="auto"/>
                      <w:sz w:val="21"/>
                      <w:highlight w:val="none"/>
                    </w:rPr>
                  </w:pPr>
                  <w:r>
                    <w:rPr>
                      <w:rFonts w:ascii="Times New Roman" w:hAnsi="Times New Roman" w:eastAsia="宋体" w:cs="Times New Roman"/>
                      <w:b/>
                      <w:color w:val="auto"/>
                      <w:sz w:val="21"/>
                      <w:szCs w:val="21"/>
                      <w:highlight w:val="none"/>
                    </w:rPr>
                    <w:t>污染物排放形式</w:t>
                  </w:r>
                </w:p>
              </w:tc>
              <w:tc>
                <w:tcPr>
                  <w:tcW w:w="0" w:type="auto"/>
                  <w:tcBorders>
                    <w:tl2br w:val="nil"/>
                    <w:tr2bl w:val="nil"/>
                  </w:tcBorders>
                  <w:vAlign w:val="center"/>
                </w:tcPr>
                <w:p w14:paraId="13D10CF7">
                  <w:pPr>
                    <w:jc w:val="center"/>
                    <w:rPr>
                      <w:rFonts w:ascii="Times New Roman" w:hAnsi="Times New Roman" w:eastAsia="宋体" w:cs="Times New Roman"/>
                      <w:color w:val="auto"/>
                      <w:sz w:val="21"/>
                      <w:highlight w:val="none"/>
                    </w:rPr>
                  </w:pPr>
                  <w:r>
                    <w:rPr>
                      <w:rFonts w:ascii="Times New Roman" w:hAnsi="Times New Roman" w:eastAsia="宋体" w:cs="Times New Roman"/>
                      <w:b/>
                      <w:color w:val="auto"/>
                      <w:sz w:val="21"/>
                      <w:szCs w:val="21"/>
                      <w:highlight w:val="none"/>
                    </w:rPr>
                    <w:t>污染物名称</w:t>
                  </w:r>
                </w:p>
              </w:tc>
              <w:tc>
                <w:tcPr>
                  <w:tcW w:w="0" w:type="auto"/>
                  <w:tcBorders>
                    <w:tl2br w:val="nil"/>
                    <w:tr2bl w:val="nil"/>
                  </w:tcBorders>
                  <w:vAlign w:val="center"/>
                </w:tcPr>
                <w:p w14:paraId="55EB2C75">
                  <w:pPr>
                    <w:jc w:val="center"/>
                    <w:rPr>
                      <w:rFonts w:ascii="Times New Roman" w:hAnsi="Times New Roman" w:eastAsia="宋体" w:cs="Times New Roman"/>
                      <w:color w:val="auto"/>
                      <w:sz w:val="21"/>
                      <w:highlight w:val="none"/>
                    </w:rPr>
                  </w:pPr>
                  <w:r>
                    <w:rPr>
                      <w:rFonts w:hint="eastAsia" w:ascii="Times New Roman" w:hAnsi="Times New Roman" w:eastAsia="宋体" w:cs="Times New Roman"/>
                      <w:b/>
                      <w:bCs/>
                      <w:color w:val="auto"/>
                      <w:sz w:val="21"/>
                      <w:highlight w:val="none"/>
                    </w:rPr>
                    <w:t>限值含义</w:t>
                  </w:r>
                </w:p>
              </w:tc>
              <w:tc>
                <w:tcPr>
                  <w:tcW w:w="0" w:type="auto"/>
                  <w:tcBorders>
                    <w:tl2br w:val="nil"/>
                    <w:tr2bl w:val="nil"/>
                  </w:tcBorders>
                  <w:vAlign w:val="center"/>
                </w:tcPr>
                <w:p w14:paraId="2191823B">
                  <w:pPr>
                    <w:jc w:val="center"/>
                    <w:rPr>
                      <w:rFonts w:ascii="Times New Roman" w:hAnsi="Times New Roman" w:eastAsia="宋体" w:cs="Times New Roman"/>
                      <w:b/>
                      <w:color w:val="auto"/>
                      <w:sz w:val="21"/>
                      <w:szCs w:val="21"/>
                      <w:highlight w:val="none"/>
                    </w:rPr>
                  </w:pPr>
                  <w:r>
                    <w:rPr>
                      <w:rFonts w:ascii="Times New Roman" w:hAnsi="Times New Roman" w:eastAsia="宋体" w:cs="Times New Roman"/>
                      <w:b/>
                      <w:color w:val="auto"/>
                      <w:sz w:val="21"/>
                      <w:szCs w:val="21"/>
                      <w:highlight w:val="none"/>
                    </w:rPr>
                    <w:t>标准值</w:t>
                  </w:r>
                </w:p>
              </w:tc>
              <w:tc>
                <w:tcPr>
                  <w:tcW w:w="0" w:type="auto"/>
                  <w:tcBorders>
                    <w:tl2br w:val="nil"/>
                    <w:tr2bl w:val="nil"/>
                  </w:tcBorders>
                  <w:vAlign w:val="center"/>
                </w:tcPr>
                <w:p w14:paraId="3A155E58">
                  <w:pPr>
                    <w:jc w:val="center"/>
                    <w:rPr>
                      <w:rFonts w:ascii="Times New Roman" w:hAnsi="Times New Roman" w:eastAsia="宋体" w:cs="Times New Roman"/>
                      <w:color w:val="auto"/>
                      <w:sz w:val="21"/>
                      <w:highlight w:val="none"/>
                    </w:rPr>
                  </w:pPr>
                  <w:r>
                    <w:rPr>
                      <w:rFonts w:ascii="Times New Roman" w:hAnsi="Times New Roman" w:eastAsia="宋体" w:cs="Times New Roman"/>
                      <w:b/>
                      <w:color w:val="auto"/>
                      <w:sz w:val="21"/>
                      <w:szCs w:val="21"/>
                      <w:highlight w:val="none"/>
                    </w:rPr>
                    <w:t>备注</w:t>
                  </w:r>
                </w:p>
              </w:tc>
            </w:tr>
            <w:tr w14:paraId="79CE12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0" w:type="auto"/>
                  <w:tcBorders>
                    <w:tl2br w:val="nil"/>
                    <w:tr2bl w:val="nil"/>
                  </w:tcBorders>
                  <w:shd w:val="clear" w:color="auto" w:fill="auto"/>
                  <w:vAlign w:val="center"/>
                </w:tcPr>
                <w:p w14:paraId="0CD4D353">
                  <w:pPr>
                    <w:topLinePunct/>
                    <w:adjustRightInd w:val="0"/>
                    <w:jc w:val="center"/>
                    <w:textAlignment w:val="center"/>
                    <w:rPr>
                      <w:rFonts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除尘器排气筒</w:t>
                  </w:r>
                </w:p>
              </w:tc>
              <w:tc>
                <w:tcPr>
                  <w:tcW w:w="0" w:type="auto"/>
                  <w:tcBorders>
                    <w:tl2br w:val="nil"/>
                    <w:tr2bl w:val="nil"/>
                  </w:tcBorders>
                  <w:shd w:val="clear" w:color="auto" w:fill="auto"/>
                  <w:vAlign w:val="center"/>
                </w:tcPr>
                <w:p w14:paraId="5BBBBC8A">
                  <w:pPr>
                    <w:topLinePunct/>
                    <w:adjustRightInd w:val="0"/>
                    <w:jc w:val="center"/>
                    <w:textAlignment w:val="center"/>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颗粒物</w:t>
                  </w:r>
                </w:p>
              </w:tc>
              <w:tc>
                <w:tcPr>
                  <w:tcW w:w="0" w:type="auto"/>
                  <w:tcBorders>
                    <w:tl2br w:val="nil"/>
                    <w:tr2bl w:val="nil"/>
                  </w:tcBorders>
                  <w:shd w:val="clear" w:color="auto" w:fill="auto"/>
                  <w:vAlign w:val="center"/>
                </w:tcPr>
                <w:p w14:paraId="4C3CEC79">
                  <w:pPr>
                    <w:topLinePunct/>
                    <w:adjustRightInd w:val="0"/>
                    <w:snapToGrid w:val="0"/>
                    <w:jc w:val="center"/>
                    <w:textAlignment w:val="center"/>
                    <w:rPr>
                      <w:rFonts w:ascii="Times New Roman" w:hAnsi="Times New Roman" w:eastAsia="宋体" w:cs="Times New Roman"/>
                      <w:color w:val="auto"/>
                      <w:kern w:val="2"/>
                      <w:sz w:val="21"/>
                      <w:szCs w:val="20"/>
                      <w:lang w:val="en-US" w:eastAsia="zh-CN" w:bidi="ar-SA"/>
                    </w:rPr>
                  </w:pPr>
                  <w:r>
                    <w:rPr>
                      <w:rFonts w:hint="eastAsia" w:eastAsia="宋体" w:cs="Times New Roman"/>
                      <w:color w:val="auto"/>
                      <w:kern w:val="2"/>
                      <w:sz w:val="21"/>
                      <w:szCs w:val="20"/>
                      <w:lang w:val="en-US" w:eastAsia="zh-CN" w:bidi="ar-SA"/>
                    </w:rPr>
                    <w:t>/</w:t>
                  </w:r>
                </w:p>
              </w:tc>
              <w:tc>
                <w:tcPr>
                  <w:tcW w:w="0" w:type="auto"/>
                  <w:tcBorders>
                    <w:tl2br w:val="nil"/>
                    <w:tr2bl w:val="nil"/>
                  </w:tcBorders>
                  <w:shd w:val="clear" w:color="auto" w:fill="auto"/>
                  <w:vAlign w:val="center"/>
                </w:tcPr>
                <w:p w14:paraId="276F020D">
                  <w:pPr>
                    <w:topLinePunct/>
                    <w:adjustRightInd w:val="0"/>
                    <w:snapToGrid w:val="0"/>
                    <w:jc w:val="center"/>
                    <w:textAlignment w:val="center"/>
                    <w:rPr>
                      <w:rFonts w:ascii="Times New Roman" w:hAnsi="Times New Roman" w:eastAsia="宋体" w:cs="Times New Roman"/>
                      <w:color w:val="auto"/>
                      <w:sz w:val="21"/>
                      <w:szCs w:val="21"/>
                    </w:rPr>
                  </w:pPr>
                  <w:r>
                    <w:rPr>
                      <w:rFonts w:hint="eastAsia" w:eastAsia="宋体" w:cs="Times New Roman"/>
                      <w:color w:val="auto"/>
                      <w:sz w:val="21"/>
                      <w:szCs w:val="21"/>
                      <w:lang w:val="en-US" w:eastAsia="zh-CN"/>
                    </w:rPr>
                    <w:t>2</w:t>
                  </w:r>
                  <w:r>
                    <w:rPr>
                      <w:rFonts w:ascii="Times New Roman" w:hAnsi="Times New Roman" w:eastAsia="宋体" w:cs="Times New Roman"/>
                      <w:color w:val="auto"/>
                      <w:sz w:val="21"/>
                      <w:szCs w:val="21"/>
                    </w:rPr>
                    <w:t>0mg/m</w:t>
                  </w:r>
                  <w:r>
                    <w:rPr>
                      <w:rFonts w:ascii="Times New Roman" w:hAnsi="Times New Roman" w:eastAsia="宋体" w:cs="Times New Roman"/>
                      <w:color w:val="auto"/>
                      <w:sz w:val="21"/>
                      <w:szCs w:val="21"/>
                      <w:vertAlign w:val="superscript"/>
                    </w:rPr>
                    <w:t>3</w:t>
                  </w:r>
                </w:p>
              </w:tc>
              <w:tc>
                <w:tcPr>
                  <w:tcW w:w="0" w:type="auto"/>
                  <w:tcBorders>
                    <w:tl2br w:val="nil"/>
                    <w:tr2bl w:val="nil"/>
                  </w:tcBorders>
                  <w:shd w:val="clear" w:color="auto" w:fill="auto"/>
                  <w:vAlign w:val="center"/>
                </w:tcPr>
                <w:p w14:paraId="5848BED7">
                  <w:pPr>
                    <w:topLinePunct/>
                    <w:adjustRightInd w:val="0"/>
                    <w:snapToGrid w:val="0"/>
                    <w:jc w:val="center"/>
                    <w:textAlignment w:val="center"/>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水泥仓及其他通风生产设备</w:t>
                  </w:r>
                  <w:r>
                    <w:rPr>
                      <w:rFonts w:hint="eastAsia" w:cs="Times New Roman"/>
                      <w:color w:val="auto"/>
                      <w:sz w:val="21"/>
                      <w:szCs w:val="21"/>
                      <w:lang w:eastAsia="zh-CN"/>
                    </w:rPr>
                    <w:t>”</w:t>
                  </w:r>
                  <w:r>
                    <w:rPr>
                      <w:rFonts w:ascii="Times New Roman" w:hAnsi="Times New Roman" w:eastAsia="宋体" w:cs="Times New Roman"/>
                      <w:color w:val="auto"/>
                      <w:sz w:val="21"/>
                      <w:szCs w:val="21"/>
                    </w:rPr>
                    <w:t>颗粒物的浓度限值</w:t>
                  </w:r>
                </w:p>
              </w:tc>
            </w:tr>
            <w:tr w14:paraId="344DDB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0" w:type="auto"/>
                  <w:tcBorders>
                    <w:tl2br w:val="nil"/>
                    <w:tr2bl w:val="nil"/>
                  </w:tcBorders>
                  <w:shd w:val="clear" w:color="auto" w:fill="auto"/>
                  <w:vAlign w:val="center"/>
                </w:tcPr>
                <w:p w14:paraId="2259A5B9">
                  <w:pPr>
                    <w:topLinePunct/>
                    <w:adjustRightInd w:val="0"/>
                    <w:jc w:val="center"/>
                    <w:textAlignment w:val="center"/>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无组织排放</w:t>
                  </w:r>
                </w:p>
              </w:tc>
              <w:tc>
                <w:tcPr>
                  <w:tcW w:w="0" w:type="auto"/>
                  <w:tcBorders>
                    <w:tl2br w:val="nil"/>
                    <w:tr2bl w:val="nil"/>
                  </w:tcBorders>
                  <w:shd w:val="clear" w:color="auto" w:fill="auto"/>
                  <w:vAlign w:val="center"/>
                </w:tcPr>
                <w:p w14:paraId="643764E0">
                  <w:pPr>
                    <w:topLinePunct/>
                    <w:adjustRightInd w:val="0"/>
                    <w:jc w:val="center"/>
                    <w:textAlignment w:val="center"/>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颗粒物</w:t>
                  </w:r>
                </w:p>
              </w:tc>
              <w:tc>
                <w:tcPr>
                  <w:tcW w:w="0" w:type="auto"/>
                  <w:tcBorders>
                    <w:tl2br w:val="nil"/>
                    <w:tr2bl w:val="nil"/>
                  </w:tcBorders>
                  <w:shd w:val="clear" w:color="auto" w:fill="auto"/>
                  <w:vAlign w:val="center"/>
                </w:tcPr>
                <w:p w14:paraId="3C25C7D5">
                  <w:pPr>
                    <w:topLinePunct/>
                    <w:adjustRightInd w:val="0"/>
                    <w:jc w:val="center"/>
                    <w:textAlignment w:val="center"/>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监控点与参照点总悬浮颗粒物1h浓度值的差值</w:t>
                  </w:r>
                </w:p>
              </w:tc>
              <w:tc>
                <w:tcPr>
                  <w:tcW w:w="0" w:type="auto"/>
                  <w:tcBorders>
                    <w:tl2br w:val="nil"/>
                    <w:tr2bl w:val="nil"/>
                  </w:tcBorders>
                  <w:shd w:val="clear" w:color="auto" w:fill="auto"/>
                  <w:vAlign w:val="center"/>
                </w:tcPr>
                <w:p w14:paraId="6BF5CB5A">
                  <w:pPr>
                    <w:topLinePunct/>
                    <w:adjustRightInd w:val="0"/>
                    <w:jc w:val="center"/>
                    <w:textAlignment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0.5mg/m</w:t>
                  </w:r>
                  <w:r>
                    <w:rPr>
                      <w:rFonts w:ascii="Times New Roman" w:hAnsi="Times New Roman" w:eastAsia="宋体" w:cs="Times New Roman"/>
                      <w:color w:val="auto"/>
                      <w:sz w:val="21"/>
                      <w:szCs w:val="21"/>
                      <w:vertAlign w:val="superscript"/>
                    </w:rPr>
                    <w:t>3</w:t>
                  </w:r>
                </w:p>
              </w:tc>
              <w:tc>
                <w:tcPr>
                  <w:tcW w:w="0" w:type="auto"/>
                  <w:tcBorders>
                    <w:tl2br w:val="nil"/>
                    <w:tr2bl w:val="nil"/>
                  </w:tcBorders>
                  <w:shd w:val="clear" w:color="auto" w:fill="auto"/>
                  <w:vAlign w:val="center"/>
                </w:tcPr>
                <w:p w14:paraId="107003C8">
                  <w:pPr>
                    <w:topLinePunct/>
                    <w:adjustRightInd w:val="0"/>
                    <w:jc w:val="center"/>
                    <w:textAlignment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厂界外20m处上风向设参照点，下风向设监控点</w:t>
                  </w:r>
                </w:p>
              </w:tc>
            </w:tr>
          </w:tbl>
          <w:p w14:paraId="39641F28">
            <w:pPr>
              <w:jc w:val="center"/>
              <w:rPr>
                <w:rFonts w:hint="eastAsia" w:ascii="Times New Roman" w:hAnsi="Times New Roman" w:cs="Times New Roman" w:eastAsiaTheme="minorEastAsia"/>
                <w:b w:val="0"/>
                <w:bCs/>
                <w:i w:val="0"/>
                <w:iCs w:val="0"/>
                <w:sz w:val="24"/>
                <w:szCs w:val="24"/>
                <w:highlight w:val="green"/>
                <w:u w:val="none"/>
                <w:lang w:eastAsia="zh-CN"/>
              </w:rPr>
            </w:pPr>
          </w:p>
          <w:p w14:paraId="0B1FC86D">
            <w:pPr>
              <w:adjustRightInd w:val="0"/>
              <w:spacing w:before="120" w:beforeLines="50" w:line="360" w:lineRule="auto"/>
              <w:ind w:firstLine="482" w:firstLineChars="200"/>
              <w:rPr>
                <w:rFonts w:hint="default" w:ascii="Times New Roman" w:hAnsi="Times New Roman" w:cs="Times New Roman" w:eastAsiaTheme="minorEastAsia"/>
                <w:b/>
                <w:bCs/>
                <w:i w:val="0"/>
                <w:iCs w:val="0"/>
                <w:sz w:val="24"/>
                <w:szCs w:val="24"/>
                <w:highlight w:val="none"/>
                <w:u w:val="none"/>
              </w:rPr>
            </w:pPr>
            <w:r>
              <w:rPr>
                <w:rFonts w:hint="eastAsia" w:ascii="Times New Roman" w:hAnsi="Times New Roman" w:cs="Times New Roman" w:eastAsiaTheme="minorEastAsia"/>
                <w:b/>
                <w:bCs/>
                <w:i w:val="0"/>
                <w:iCs w:val="0"/>
                <w:sz w:val="24"/>
                <w:szCs w:val="24"/>
                <w:highlight w:val="none"/>
                <w:u w:val="none"/>
                <w:lang w:val="en-US" w:eastAsia="zh-CN"/>
              </w:rPr>
              <w:t>2</w:t>
            </w:r>
            <w:r>
              <w:rPr>
                <w:rFonts w:hint="default" w:ascii="Times New Roman" w:hAnsi="Times New Roman" w:cs="Times New Roman" w:eastAsiaTheme="minorEastAsia"/>
                <w:b/>
                <w:bCs/>
                <w:i w:val="0"/>
                <w:iCs w:val="0"/>
                <w:sz w:val="24"/>
                <w:szCs w:val="24"/>
                <w:highlight w:val="none"/>
                <w:u w:val="none"/>
              </w:rPr>
              <w:t>、噪声</w:t>
            </w:r>
          </w:p>
          <w:p w14:paraId="4C4D0100">
            <w:pPr>
              <w:spacing w:line="360" w:lineRule="auto"/>
              <w:ind w:firstLine="480" w:firstLineChars="200"/>
              <w:rPr>
                <w:rFonts w:hint="eastAsia"/>
                <w:color w:val="auto"/>
                <w:sz w:val="24"/>
                <w:highlight w:val="none"/>
              </w:rPr>
            </w:pPr>
            <w:r>
              <w:rPr>
                <w:rFonts w:hint="eastAsia"/>
                <w:color w:val="auto"/>
                <w:sz w:val="24"/>
                <w:highlight w:val="none"/>
              </w:rPr>
              <w:t>施工期间噪声执行《建筑施工噪声排放标准》（GB12523-2025），即昼间≤70dB(A)、夜间≤55dB(A)。</w:t>
            </w:r>
          </w:p>
          <w:p w14:paraId="3362087B">
            <w:pPr>
              <w:spacing w:line="360" w:lineRule="auto"/>
              <w:ind w:firstLine="480" w:firstLineChars="200"/>
              <w:rPr>
                <w:rFonts w:hint="default" w:ascii="Times New Roman" w:hAnsi="Times New Roman" w:eastAsia="宋体" w:cs="Times New Roman"/>
                <w:color w:val="auto"/>
                <w:kern w:val="0"/>
                <w:sz w:val="24"/>
                <w:szCs w:val="24"/>
                <w:highlight w:val="none"/>
                <w:u w:val="single" w:color="auto"/>
                <w:lang w:val="en-US" w:eastAsia="zh-CN" w:bidi="ar"/>
              </w:rPr>
            </w:pPr>
            <w:r>
              <w:rPr>
                <w:rFonts w:hint="default" w:ascii="Times New Roman" w:hAnsi="Times New Roman" w:eastAsia="宋体" w:cs="Times New Roman"/>
                <w:color w:val="auto"/>
                <w:kern w:val="0"/>
                <w:sz w:val="24"/>
                <w:szCs w:val="24"/>
                <w:highlight w:val="none"/>
                <w:u w:val="single" w:color="auto"/>
                <w:lang w:val="en-US" w:eastAsia="zh-CN" w:bidi="ar"/>
              </w:rPr>
              <w:t>本项目位于</w:t>
            </w:r>
            <w:r>
              <w:rPr>
                <w:rFonts w:hint="default" w:ascii="Times New Roman" w:hAnsi="Times New Roman" w:eastAsia="新宋体" w:cs="Times New Roman"/>
                <w:color w:val="auto"/>
                <w:sz w:val="24"/>
                <w:szCs w:val="32"/>
                <w:highlight w:val="none"/>
                <w:u w:val="single" w:color="auto"/>
                <w:lang w:val="en-US" w:eastAsia="zh-CN"/>
              </w:rPr>
              <w:t>临江市桦树镇西大川村</w:t>
            </w:r>
            <w:r>
              <w:rPr>
                <w:rFonts w:hint="default" w:ascii="Times New Roman" w:hAnsi="Times New Roman" w:eastAsia="宋体" w:cs="Times New Roman"/>
                <w:color w:val="auto"/>
                <w:kern w:val="0"/>
                <w:sz w:val="24"/>
                <w:szCs w:val="24"/>
                <w:highlight w:val="none"/>
                <w:u w:val="single" w:color="auto"/>
                <w:lang w:val="en-US" w:eastAsia="zh-CN" w:bidi="ar"/>
              </w:rPr>
              <w:t>，用地性质为</w:t>
            </w:r>
            <w:r>
              <w:rPr>
                <w:rFonts w:hint="eastAsia" w:ascii="Times New Roman" w:hAnsi="Times New Roman" w:eastAsia="宋体" w:cs="Times New Roman"/>
                <w:color w:val="auto"/>
                <w:kern w:val="0"/>
                <w:sz w:val="24"/>
                <w:szCs w:val="24"/>
                <w:highlight w:val="none"/>
                <w:u w:val="single" w:color="auto"/>
                <w:lang w:val="en-US" w:eastAsia="zh-CN" w:bidi="ar"/>
              </w:rPr>
              <w:t>临时</w:t>
            </w:r>
            <w:r>
              <w:rPr>
                <w:rFonts w:hint="default" w:ascii="Times New Roman" w:hAnsi="Times New Roman" w:eastAsia="宋体" w:cs="Times New Roman"/>
                <w:color w:val="auto"/>
                <w:kern w:val="0"/>
                <w:sz w:val="24"/>
                <w:szCs w:val="24"/>
                <w:highlight w:val="none"/>
                <w:u w:val="single" w:color="auto"/>
                <w:lang w:val="en-US" w:eastAsia="zh-CN" w:bidi="ar"/>
              </w:rPr>
              <w:t>用地，项目厂界东北侧为临江市长白山生态产业园（工业类园区），东南侧为预制梁场预留场地，周边存在工业活动，500m范围内无声环境敏感目标。</w:t>
            </w:r>
            <w:r>
              <w:rPr>
                <w:rFonts w:hint="eastAsia" w:ascii="Times New Roman" w:hAnsi="Times New Roman" w:eastAsia="宋体" w:cs="Times New Roman"/>
                <w:color w:val="auto"/>
                <w:kern w:val="0"/>
                <w:sz w:val="24"/>
                <w:szCs w:val="24"/>
                <w:highlight w:val="none"/>
                <w:u w:val="single" w:color="auto"/>
                <w:lang w:val="en-US" w:eastAsia="zh-CN" w:bidi="ar"/>
              </w:rPr>
              <w:t>由于项目所在区域无声环境功能区划文件，因此</w:t>
            </w:r>
            <w:r>
              <w:rPr>
                <w:rFonts w:hint="default" w:ascii="Times New Roman" w:hAnsi="Times New Roman" w:eastAsia="宋体" w:cs="Times New Roman"/>
                <w:color w:val="auto"/>
                <w:kern w:val="0"/>
                <w:sz w:val="24"/>
                <w:szCs w:val="24"/>
                <w:highlight w:val="none"/>
                <w:u w:val="single" w:color="auto"/>
                <w:lang w:val="en-US" w:eastAsia="zh-CN" w:bidi="ar"/>
              </w:rPr>
              <w:t>根据《声环境质量标准》（GB 3096-2008）、《声环境功能区划分技术规范》（GB/T 15190-2014），项目所在区域</w:t>
            </w:r>
            <w:r>
              <w:rPr>
                <w:rFonts w:hint="eastAsia" w:ascii="Times New Roman" w:hAnsi="Times New Roman" w:eastAsia="宋体" w:cs="Times New Roman"/>
                <w:color w:val="auto"/>
                <w:kern w:val="0"/>
                <w:sz w:val="24"/>
                <w:szCs w:val="24"/>
                <w:highlight w:val="none"/>
                <w:u w:val="single" w:color="auto"/>
                <w:lang w:val="en-US" w:eastAsia="zh-CN" w:bidi="ar"/>
              </w:rPr>
              <w:t>属于</w:t>
            </w:r>
            <w:r>
              <w:rPr>
                <w:rFonts w:hint="default" w:ascii="Times New Roman" w:hAnsi="Times New Roman" w:eastAsia="宋体" w:cs="Times New Roman"/>
                <w:color w:val="auto"/>
                <w:kern w:val="0"/>
                <w:sz w:val="24"/>
                <w:szCs w:val="24"/>
                <w:highlight w:val="none"/>
                <w:u w:val="single" w:color="auto"/>
                <w:lang w:val="en-US" w:eastAsia="zh-CN" w:bidi="ar"/>
              </w:rPr>
              <w:t>工业用地与居住、商业等混合区</w:t>
            </w:r>
            <w:r>
              <w:rPr>
                <w:rFonts w:hint="eastAsia" w:ascii="Times New Roman" w:hAnsi="Times New Roman" w:eastAsia="宋体" w:cs="Times New Roman"/>
                <w:color w:val="auto"/>
                <w:kern w:val="0"/>
                <w:sz w:val="24"/>
                <w:szCs w:val="24"/>
                <w:highlight w:val="none"/>
                <w:u w:val="single" w:color="auto"/>
                <w:lang w:val="en-US" w:eastAsia="zh-CN" w:bidi="ar"/>
              </w:rPr>
              <w:t>，</w:t>
            </w:r>
            <w:r>
              <w:rPr>
                <w:rFonts w:hint="default" w:ascii="Times New Roman" w:hAnsi="Times New Roman" w:eastAsia="宋体" w:cs="Times New Roman"/>
                <w:color w:val="auto"/>
                <w:kern w:val="0"/>
                <w:sz w:val="24"/>
                <w:szCs w:val="24"/>
                <w:highlight w:val="none"/>
                <w:u w:val="single" w:color="auto"/>
                <w:lang w:val="en-US" w:eastAsia="zh-CN" w:bidi="ar"/>
              </w:rPr>
              <w:t>划定为</w:t>
            </w:r>
            <w:r>
              <w:rPr>
                <w:rFonts w:hint="eastAsia" w:ascii="Times New Roman" w:hAnsi="Times New Roman" w:eastAsia="宋体" w:cs="Times New Roman"/>
                <w:color w:val="auto"/>
                <w:kern w:val="0"/>
                <w:sz w:val="24"/>
                <w:szCs w:val="24"/>
                <w:highlight w:val="none"/>
                <w:u w:val="single" w:color="auto"/>
                <w:lang w:val="en-US" w:eastAsia="zh-CN" w:bidi="ar"/>
              </w:rPr>
              <w:t>2</w:t>
            </w:r>
            <w:r>
              <w:rPr>
                <w:rFonts w:hint="default" w:ascii="Times New Roman" w:hAnsi="Times New Roman" w:eastAsia="宋体" w:cs="Times New Roman"/>
                <w:color w:val="auto"/>
                <w:kern w:val="0"/>
                <w:sz w:val="24"/>
                <w:szCs w:val="24"/>
                <w:highlight w:val="none"/>
                <w:u w:val="single" w:color="auto"/>
                <w:lang w:val="en-US" w:eastAsia="zh-CN" w:bidi="ar"/>
              </w:rPr>
              <w:t>类声环境功能区。</w:t>
            </w:r>
            <w:r>
              <w:rPr>
                <w:rFonts w:hint="eastAsia" w:ascii="Times New Roman" w:hAnsi="Times New Roman" w:eastAsia="宋体" w:cs="宋体"/>
                <w:b w:val="0"/>
                <w:bCs w:val="0"/>
                <w:color w:val="auto"/>
                <w:sz w:val="24"/>
                <w:szCs w:val="24"/>
                <w:highlight w:val="none"/>
                <w:u w:val="single" w:color="auto"/>
              </w:rPr>
              <w:t>本项目运营期排放噪声执行《工业企业厂界环境噪声排放标准》（GB12348-2008）中</w:t>
            </w:r>
            <w:r>
              <w:rPr>
                <w:rFonts w:hint="eastAsia" w:cs="宋体"/>
                <w:b w:val="0"/>
                <w:bCs w:val="0"/>
                <w:color w:val="auto"/>
                <w:sz w:val="24"/>
                <w:szCs w:val="24"/>
                <w:highlight w:val="none"/>
                <w:u w:val="single" w:color="auto"/>
                <w:lang w:val="en-US" w:eastAsia="zh-CN"/>
              </w:rPr>
              <w:t>2</w:t>
            </w:r>
            <w:r>
              <w:rPr>
                <w:rFonts w:hint="eastAsia" w:ascii="Times New Roman" w:hAnsi="Times New Roman" w:eastAsia="宋体" w:cs="宋体"/>
                <w:b w:val="0"/>
                <w:bCs w:val="0"/>
                <w:color w:val="auto"/>
                <w:sz w:val="24"/>
                <w:szCs w:val="24"/>
                <w:highlight w:val="none"/>
                <w:u w:val="single" w:color="auto"/>
              </w:rPr>
              <w:t>类标准要求</w:t>
            </w:r>
            <w:r>
              <w:rPr>
                <w:rFonts w:hint="eastAsia" w:cs="宋体"/>
                <w:b w:val="0"/>
                <w:bCs w:val="0"/>
                <w:color w:val="auto"/>
                <w:sz w:val="24"/>
                <w:szCs w:val="24"/>
                <w:highlight w:val="none"/>
                <w:u w:val="single" w:color="auto"/>
                <w:lang w:eastAsia="zh-CN"/>
              </w:rPr>
              <w:t>。本项目为季节性生产，仅昼间生产加工，夜间不生产。</w:t>
            </w:r>
            <w:r>
              <w:rPr>
                <w:rFonts w:hint="eastAsia" w:ascii="Times New Roman" w:hAnsi="Times New Roman" w:eastAsia="宋体" w:cs="宋体"/>
                <w:b w:val="0"/>
                <w:bCs w:val="0"/>
                <w:color w:val="auto"/>
                <w:sz w:val="24"/>
                <w:szCs w:val="24"/>
                <w:highlight w:val="none"/>
                <w:u w:val="single" w:color="auto"/>
              </w:rPr>
              <w:t>详见下表。</w:t>
            </w:r>
          </w:p>
          <w:p w14:paraId="1FC60DDB">
            <w:pPr>
              <w:spacing w:line="240" w:lineRule="auto"/>
              <w:jc w:val="center"/>
              <w:rPr>
                <w:rFonts w:hint="eastAsia" w:ascii="Times New Roman" w:hAnsi="Times New Roman" w:eastAsia="宋体" w:cs="Times New Roman"/>
                <w:b/>
                <w:bCs/>
                <w:color w:val="auto"/>
                <w:sz w:val="24"/>
                <w:highlight w:val="none"/>
                <w:u w:val="single" w:color="auto"/>
                <w:lang w:val="en-US" w:eastAsia="zh-CN"/>
              </w:rPr>
            </w:pPr>
            <w:r>
              <w:rPr>
                <w:rFonts w:hint="eastAsia" w:ascii="Times New Roman" w:hAnsi="Times New Roman" w:eastAsia="宋体" w:cs="Times New Roman"/>
                <w:b/>
                <w:bCs/>
                <w:color w:val="auto"/>
                <w:sz w:val="24"/>
                <w:highlight w:val="none"/>
                <w:u w:val="single" w:color="auto"/>
                <w:lang w:val="en-US" w:eastAsia="zh-CN"/>
              </w:rPr>
              <w:t>表3-6  工业企业厂界环境噪声排放标准  单位：dB（A）</w:t>
            </w:r>
          </w:p>
          <w:tbl>
            <w:tblPr>
              <w:tblStyle w:val="25"/>
              <w:tblW w:w="4999" w:type="pct"/>
              <w:tblInd w:w="0" w:type="dxa"/>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8"/>
              <w:gridCol w:w="1751"/>
              <w:gridCol w:w="1754"/>
              <w:gridCol w:w="2550"/>
            </w:tblGrid>
            <w:tr w14:paraId="76665C4D">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 w:hRule="atLeast"/>
              </w:trPr>
              <w:tc>
                <w:tcPr>
                  <w:tcW w:w="1254" w:type="pct"/>
                  <w:vMerge w:val="restart"/>
                  <w:tcBorders>
                    <w:top w:val="single" w:color="auto" w:sz="12" w:space="0"/>
                    <w:left w:val="nil"/>
                  </w:tcBorders>
                  <w:noWrap w:val="0"/>
                  <w:vAlign w:val="center"/>
                </w:tcPr>
                <w:p w14:paraId="4BCB7904">
                  <w:pPr>
                    <w:jc w:val="center"/>
                    <w:rPr>
                      <w:rFonts w:ascii="Times New Roman" w:hAnsi="Times New Roman" w:eastAsia="宋体" w:cs="宋体"/>
                      <w:b w:val="0"/>
                      <w:bCs w:val="0"/>
                      <w:color w:val="auto"/>
                      <w:szCs w:val="21"/>
                      <w:highlight w:val="none"/>
                      <w:u w:val="single" w:color="auto"/>
                    </w:rPr>
                  </w:pPr>
                  <w:r>
                    <w:rPr>
                      <w:rFonts w:hint="eastAsia" w:ascii="Times New Roman" w:hAnsi="Times New Roman" w:eastAsia="宋体" w:cs="宋体"/>
                      <w:b w:val="0"/>
                      <w:bCs w:val="0"/>
                      <w:color w:val="auto"/>
                      <w:szCs w:val="21"/>
                      <w:highlight w:val="none"/>
                      <w:u w:val="single" w:color="auto"/>
                    </w:rPr>
                    <w:t>类别</w:t>
                  </w:r>
                </w:p>
              </w:tc>
              <w:tc>
                <w:tcPr>
                  <w:tcW w:w="2168" w:type="pct"/>
                  <w:gridSpan w:val="2"/>
                  <w:tcBorders>
                    <w:top w:val="single" w:color="auto" w:sz="12" w:space="0"/>
                    <w:right w:val="single" w:color="auto" w:sz="2" w:space="0"/>
                  </w:tcBorders>
                  <w:noWrap w:val="0"/>
                  <w:vAlign w:val="center"/>
                </w:tcPr>
                <w:p w14:paraId="790926DD">
                  <w:pPr>
                    <w:jc w:val="center"/>
                    <w:rPr>
                      <w:rFonts w:ascii="Times New Roman" w:hAnsi="Times New Roman" w:eastAsia="宋体" w:cs="宋体"/>
                      <w:b w:val="0"/>
                      <w:bCs w:val="0"/>
                      <w:color w:val="auto"/>
                      <w:szCs w:val="21"/>
                      <w:highlight w:val="none"/>
                      <w:u w:val="single" w:color="auto"/>
                    </w:rPr>
                  </w:pPr>
                  <w:r>
                    <w:rPr>
                      <w:rFonts w:hint="eastAsia" w:ascii="Times New Roman" w:hAnsi="Times New Roman" w:eastAsia="宋体" w:cs="宋体"/>
                      <w:b w:val="0"/>
                      <w:bCs w:val="0"/>
                      <w:color w:val="auto"/>
                      <w:szCs w:val="21"/>
                      <w:highlight w:val="none"/>
                      <w:u w:val="single" w:color="auto"/>
                    </w:rPr>
                    <w:t>标准值</w:t>
                  </w:r>
                </w:p>
              </w:tc>
              <w:tc>
                <w:tcPr>
                  <w:tcW w:w="1577" w:type="pct"/>
                  <w:vMerge w:val="restart"/>
                  <w:tcBorders>
                    <w:top w:val="single" w:color="auto" w:sz="12" w:space="0"/>
                    <w:left w:val="single" w:color="auto" w:sz="2" w:space="0"/>
                    <w:right w:val="nil"/>
                  </w:tcBorders>
                  <w:noWrap w:val="0"/>
                  <w:vAlign w:val="center"/>
                </w:tcPr>
                <w:p w14:paraId="70986119">
                  <w:pPr>
                    <w:jc w:val="center"/>
                    <w:rPr>
                      <w:rFonts w:ascii="Times New Roman" w:hAnsi="Times New Roman" w:eastAsia="宋体" w:cs="宋体"/>
                      <w:b w:val="0"/>
                      <w:bCs w:val="0"/>
                      <w:color w:val="auto"/>
                      <w:szCs w:val="21"/>
                      <w:highlight w:val="none"/>
                      <w:u w:val="single" w:color="auto"/>
                    </w:rPr>
                  </w:pPr>
                  <w:r>
                    <w:rPr>
                      <w:rFonts w:hint="eastAsia" w:ascii="Times New Roman" w:hAnsi="Times New Roman" w:eastAsia="宋体" w:cs="宋体"/>
                      <w:b w:val="0"/>
                      <w:bCs w:val="0"/>
                      <w:color w:val="auto"/>
                      <w:szCs w:val="21"/>
                      <w:highlight w:val="none"/>
                      <w:u w:val="single" w:color="auto"/>
                    </w:rPr>
                    <w:t>标准来源</w:t>
                  </w:r>
                </w:p>
              </w:tc>
            </w:tr>
            <w:tr w14:paraId="5E76CF9A">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1254" w:type="pct"/>
                  <w:vMerge w:val="continue"/>
                  <w:tcBorders>
                    <w:left w:val="nil"/>
                  </w:tcBorders>
                  <w:noWrap w:val="0"/>
                  <w:vAlign w:val="center"/>
                </w:tcPr>
                <w:p w14:paraId="286A9D2B">
                  <w:pPr>
                    <w:jc w:val="center"/>
                    <w:rPr>
                      <w:rFonts w:ascii="Times New Roman" w:hAnsi="Times New Roman" w:eastAsia="宋体" w:cs="宋体"/>
                      <w:b w:val="0"/>
                      <w:bCs w:val="0"/>
                      <w:color w:val="auto"/>
                      <w:szCs w:val="21"/>
                      <w:highlight w:val="none"/>
                      <w:u w:val="single" w:color="auto"/>
                    </w:rPr>
                  </w:pPr>
                </w:p>
              </w:tc>
              <w:tc>
                <w:tcPr>
                  <w:tcW w:w="1083" w:type="pct"/>
                  <w:noWrap w:val="0"/>
                  <w:vAlign w:val="center"/>
                </w:tcPr>
                <w:p w14:paraId="6B3D9C6D">
                  <w:pPr>
                    <w:jc w:val="center"/>
                    <w:rPr>
                      <w:rFonts w:ascii="Times New Roman" w:hAnsi="Times New Roman" w:eastAsia="宋体" w:cs="宋体"/>
                      <w:b w:val="0"/>
                      <w:bCs w:val="0"/>
                      <w:color w:val="auto"/>
                      <w:szCs w:val="21"/>
                      <w:highlight w:val="none"/>
                      <w:u w:val="single" w:color="auto"/>
                    </w:rPr>
                  </w:pPr>
                  <w:r>
                    <w:rPr>
                      <w:rFonts w:hint="eastAsia" w:ascii="Times New Roman" w:hAnsi="Times New Roman" w:eastAsia="宋体" w:cs="宋体"/>
                      <w:b w:val="0"/>
                      <w:bCs w:val="0"/>
                      <w:color w:val="auto"/>
                      <w:szCs w:val="21"/>
                      <w:highlight w:val="none"/>
                      <w:u w:val="single" w:color="auto"/>
                    </w:rPr>
                    <w:t>昼间</w:t>
                  </w:r>
                </w:p>
              </w:tc>
              <w:tc>
                <w:tcPr>
                  <w:tcW w:w="1084" w:type="pct"/>
                  <w:tcBorders>
                    <w:right w:val="single" w:color="auto" w:sz="2" w:space="0"/>
                  </w:tcBorders>
                  <w:noWrap w:val="0"/>
                  <w:vAlign w:val="center"/>
                </w:tcPr>
                <w:p w14:paraId="73202111">
                  <w:pPr>
                    <w:spacing w:line="280" w:lineRule="exact"/>
                    <w:jc w:val="center"/>
                    <w:rPr>
                      <w:rFonts w:ascii="Times New Roman" w:hAnsi="Times New Roman" w:eastAsia="宋体" w:cs="宋体"/>
                      <w:b w:val="0"/>
                      <w:bCs w:val="0"/>
                      <w:color w:val="auto"/>
                      <w:szCs w:val="21"/>
                      <w:highlight w:val="none"/>
                      <w:u w:val="single" w:color="auto"/>
                    </w:rPr>
                  </w:pPr>
                  <w:r>
                    <w:rPr>
                      <w:rFonts w:hint="eastAsia" w:ascii="Times New Roman" w:hAnsi="Times New Roman" w:eastAsia="宋体" w:cs="宋体"/>
                      <w:b w:val="0"/>
                      <w:bCs w:val="0"/>
                      <w:color w:val="auto"/>
                      <w:szCs w:val="21"/>
                      <w:highlight w:val="none"/>
                      <w:u w:val="single" w:color="auto"/>
                    </w:rPr>
                    <w:t>夜间</w:t>
                  </w:r>
                </w:p>
              </w:tc>
              <w:tc>
                <w:tcPr>
                  <w:tcW w:w="1577" w:type="pct"/>
                  <w:vMerge w:val="continue"/>
                  <w:tcBorders>
                    <w:left w:val="single" w:color="auto" w:sz="2" w:space="0"/>
                    <w:right w:val="nil"/>
                  </w:tcBorders>
                  <w:noWrap w:val="0"/>
                  <w:vAlign w:val="center"/>
                </w:tcPr>
                <w:p w14:paraId="3993ADF9">
                  <w:pPr>
                    <w:jc w:val="center"/>
                    <w:rPr>
                      <w:rFonts w:ascii="Times New Roman" w:hAnsi="Times New Roman" w:eastAsia="宋体" w:cs="宋体"/>
                      <w:b w:val="0"/>
                      <w:bCs w:val="0"/>
                      <w:color w:val="auto"/>
                      <w:szCs w:val="21"/>
                      <w:highlight w:val="none"/>
                      <w:u w:val="single" w:color="auto"/>
                    </w:rPr>
                  </w:pPr>
                </w:p>
              </w:tc>
            </w:tr>
            <w:tr w14:paraId="29D322D6">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 w:hRule="atLeast"/>
              </w:trPr>
              <w:tc>
                <w:tcPr>
                  <w:tcW w:w="1254" w:type="pct"/>
                  <w:tcBorders>
                    <w:left w:val="nil"/>
                  </w:tcBorders>
                  <w:noWrap w:val="0"/>
                  <w:vAlign w:val="center"/>
                </w:tcPr>
                <w:p w14:paraId="5B4F8E55">
                  <w:pPr>
                    <w:spacing w:line="280" w:lineRule="exact"/>
                    <w:jc w:val="center"/>
                    <w:rPr>
                      <w:rFonts w:ascii="Times New Roman" w:hAnsi="Times New Roman" w:eastAsia="宋体" w:cs="宋体"/>
                      <w:b w:val="0"/>
                      <w:bCs w:val="0"/>
                      <w:color w:val="auto"/>
                      <w:szCs w:val="21"/>
                      <w:highlight w:val="none"/>
                      <w:u w:val="single" w:color="auto"/>
                    </w:rPr>
                  </w:pPr>
                  <w:r>
                    <w:rPr>
                      <w:rFonts w:hint="eastAsia" w:cs="宋体"/>
                      <w:b w:val="0"/>
                      <w:bCs w:val="0"/>
                      <w:color w:val="auto"/>
                      <w:szCs w:val="21"/>
                      <w:highlight w:val="none"/>
                      <w:u w:val="single" w:color="auto"/>
                      <w:lang w:val="en-US" w:eastAsia="zh-CN"/>
                    </w:rPr>
                    <w:t>2</w:t>
                  </w:r>
                  <w:r>
                    <w:rPr>
                      <w:rFonts w:hint="eastAsia" w:ascii="Times New Roman" w:hAnsi="Times New Roman" w:eastAsia="宋体" w:cs="宋体"/>
                      <w:b w:val="0"/>
                      <w:bCs w:val="0"/>
                      <w:color w:val="auto"/>
                      <w:szCs w:val="21"/>
                      <w:highlight w:val="none"/>
                      <w:u w:val="single" w:color="auto"/>
                    </w:rPr>
                    <w:t>类</w:t>
                  </w:r>
                </w:p>
              </w:tc>
              <w:tc>
                <w:tcPr>
                  <w:tcW w:w="1083" w:type="pct"/>
                  <w:noWrap w:val="0"/>
                  <w:vAlign w:val="center"/>
                </w:tcPr>
                <w:p w14:paraId="0B3FDA3E">
                  <w:pPr>
                    <w:spacing w:line="280" w:lineRule="exact"/>
                    <w:jc w:val="center"/>
                    <w:rPr>
                      <w:rFonts w:hint="default" w:ascii="Times New Roman" w:hAnsi="Times New Roman" w:eastAsia="宋体" w:cs="宋体"/>
                      <w:b w:val="0"/>
                      <w:bCs w:val="0"/>
                      <w:color w:val="auto"/>
                      <w:szCs w:val="21"/>
                      <w:highlight w:val="none"/>
                      <w:u w:val="single" w:color="auto"/>
                      <w:lang w:val="en-US" w:eastAsia="zh-CN"/>
                    </w:rPr>
                  </w:pPr>
                  <w:r>
                    <w:rPr>
                      <w:rFonts w:hint="eastAsia" w:cs="宋体"/>
                      <w:b w:val="0"/>
                      <w:bCs w:val="0"/>
                      <w:color w:val="auto"/>
                      <w:szCs w:val="21"/>
                      <w:highlight w:val="none"/>
                      <w:u w:val="single" w:color="auto"/>
                      <w:lang w:val="en-US" w:eastAsia="zh-CN"/>
                    </w:rPr>
                    <w:t>60</w:t>
                  </w:r>
                </w:p>
              </w:tc>
              <w:tc>
                <w:tcPr>
                  <w:tcW w:w="1084" w:type="pct"/>
                  <w:tcBorders>
                    <w:right w:val="single" w:color="auto" w:sz="2" w:space="0"/>
                  </w:tcBorders>
                  <w:noWrap w:val="0"/>
                  <w:vAlign w:val="center"/>
                </w:tcPr>
                <w:p w14:paraId="6DE29248">
                  <w:pPr>
                    <w:spacing w:line="280" w:lineRule="exact"/>
                    <w:jc w:val="center"/>
                    <w:rPr>
                      <w:rFonts w:hint="default" w:ascii="Times New Roman" w:hAnsi="Times New Roman" w:eastAsia="宋体" w:cs="宋体"/>
                      <w:b w:val="0"/>
                      <w:bCs w:val="0"/>
                      <w:color w:val="auto"/>
                      <w:szCs w:val="21"/>
                      <w:highlight w:val="none"/>
                      <w:u w:val="single" w:color="auto"/>
                      <w:lang w:val="en-US" w:eastAsia="zh-CN"/>
                    </w:rPr>
                  </w:pPr>
                  <w:r>
                    <w:rPr>
                      <w:rFonts w:hint="eastAsia" w:cs="宋体"/>
                      <w:b w:val="0"/>
                      <w:bCs w:val="0"/>
                      <w:color w:val="auto"/>
                      <w:szCs w:val="21"/>
                      <w:highlight w:val="none"/>
                      <w:u w:val="single" w:color="auto"/>
                      <w:lang w:val="en-US" w:eastAsia="zh-CN"/>
                    </w:rPr>
                    <w:t>50</w:t>
                  </w:r>
                </w:p>
              </w:tc>
              <w:tc>
                <w:tcPr>
                  <w:tcW w:w="1577" w:type="pct"/>
                  <w:tcBorders>
                    <w:left w:val="single" w:color="auto" w:sz="2" w:space="0"/>
                    <w:right w:val="nil"/>
                  </w:tcBorders>
                  <w:noWrap w:val="0"/>
                  <w:vAlign w:val="center"/>
                </w:tcPr>
                <w:p w14:paraId="2102B015">
                  <w:pPr>
                    <w:jc w:val="center"/>
                    <w:rPr>
                      <w:rFonts w:ascii="Times New Roman" w:hAnsi="Times New Roman" w:eastAsia="宋体" w:cs="宋体"/>
                      <w:b w:val="0"/>
                      <w:bCs w:val="0"/>
                      <w:color w:val="auto"/>
                      <w:szCs w:val="21"/>
                      <w:highlight w:val="none"/>
                      <w:u w:val="single" w:color="auto"/>
                    </w:rPr>
                  </w:pPr>
                  <w:r>
                    <w:rPr>
                      <w:rFonts w:hint="eastAsia" w:ascii="Times New Roman" w:hAnsi="Times New Roman" w:eastAsia="宋体" w:cs="宋体"/>
                      <w:b w:val="0"/>
                      <w:bCs w:val="0"/>
                      <w:color w:val="auto"/>
                      <w:szCs w:val="21"/>
                      <w:highlight w:val="none"/>
                      <w:u w:val="single" w:color="auto"/>
                    </w:rPr>
                    <w:t>GB12348-2008</w:t>
                  </w:r>
                </w:p>
              </w:tc>
            </w:tr>
          </w:tbl>
          <w:p w14:paraId="08E9E448">
            <w:pPr>
              <w:spacing w:line="360" w:lineRule="auto"/>
              <w:ind w:firstLine="480" w:firstLineChars="200"/>
              <w:rPr>
                <w:rFonts w:hint="default" w:ascii="Times New Roman" w:hAnsi="Times New Roman" w:cs="Times New Roman" w:eastAsiaTheme="minorEastAsia"/>
                <w:b w:val="0"/>
                <w:bCs w:val="0"/>
                <w:i w:val="0"/>
                <w:iCs w:val="0"/>
                <w:color w:val="auto"/>
                <w:sz w:val="24"/>
                <w:szCs w:val="24"/>
                <w:highlight w:val="cyan"/>
                <w:u w:val="single" w:color="auto"/>
              </w:rPr>
            </w:pPr>
          </w:p>
          <w:p w14:paraId="31D1482A">
            <w:pPr>
              <w:spacing w:line="360" w:lineRule="auto"/>
              <w:ind w:firstLine="482" w:firstLineChars="200"/>
              <w:rPr>
                <w:rFonts w:hint="default" w:ascii="Times New Roman" w:hAnsi="Times New Roman" w:eastAsia="宋体" w:cs="宋体"/>
                <w:b/>
                <w:bCs/>
                <w:color w:val="auto"/>
                <w:sz w:val="24"/>
                <w:highlight w:val="none"/>
                <w:u w:val="none" w:color="auto"/>
                <w:lang w:val="en-US" w:eastAsia="zh-CN"/>
              </w:rPr>
            </w:pPr>
            <w:r>
              <w:rPr>
                <w:rFonts w:hint="eastAsia" w:ascii="Times New Roman" w:hAnsi="Times New Roman" w:eastAsia="宋体" w:cs="宋体"/>
                <w:b/>
                <w:bCs/>
                <w:color w:val="auto"/>
                <w:sz w:val="24"/>
                <w:highlight w:val="none"/>
                <w:u w:val="none" w:color="auto"/>
                <w:lang w:val="en-US" w:eastAsia="zh-CN"/>
              </w:rPr>
              <w:t>3</w:t>
            </w:r>
            <w:r>
              <w:rPr>
                <w:rFonts w:hint="eastAsia" w:cs="宋体"/>
                <w:b/>
                <w:bCs/>
                <w:color w:val="auto"/>
                <w:sz w:val="24"/>
                <w:highlight w:val="none"/>
                <w:u w:val="none" w:color="auto"/>
                <w:lang w:val="en-US" w:eastAsia="zh-CN"/>
              </w:rPr>
              <w:t>、</w:t>
            </w:r>
            <w:r>
              <w:rPr>
                <w:rFonts w:hint="eastAsia" w:ascii="Times New Roman" w:hAnsi="Times New Roman" w:eastAsia="宋体" w:cs="宋体"/>
                <w:b/>
                <w:bCs/>
                <w:color w:val="auto"/>
                <w:sz w:val="24"/>
                <w:highlight w:val="none"/>
                <w:u w:val="none" w:color="auto"/>
                <w:lang w:val="en-US" w:eastAsia="zh-CN"/>
              </w:rPr>
              <w:t>废水</w:t>
            </w:r>
          </w:p>
          <w:p w14:paraId="7C7E09D6">
            <w:pPr>
              <w:spacing w:line="360" w:lineRule="auto"/>
              <w:ind w:firstLine="480" w:firstLineChars="200"/>
              <w:rPr>
                <w:rFonts w:hint="default" w:ascii="Times New Roman" w:hAnsi="Times New Roman" w:eastAsia="宋体" w:cs="Times New Roman"/>
                <w:b w:val="0"/>
                <w:bCs w:val="0"/>
                <w:color w:val="auto"/>
                <w:sz w:val="24"/>
                <w:highlight w:val="none"/>
                <w:u w:val="none" w:color="auto"/>
                <w:lang w:val="en-US" w:eastAsia="zh-CN"/>
              </w:rPr>
            </w:pPr>
            <w:r>
              <w:rPr>
                <w:rFonts w:hint="default" w:ascii="Times New Roman" w:hAnsi="Times New Roman" w:eastAsia="宋体" w:cs="Times New Roman"/>
                <w:b w:val="0"/>
                <w:bCs w:val="0"/>
                <w:color w:val="auto"/>
                <w:sz w:val="24"/>
                <w:highlight w:val="none"/>
                <w:u w:val="none" w:color="auto"/>
                <w:lang w:val="en-US" w:eastAsia="zh-CN"/>
              </w:rPr>
              <w:t>本项目生活污水排入厂区防渗旱厕，定期清掏作农肥；罐车清洗废水及设备清洗废水经三级沉淀池沉淀处理后回用于生产，不外排，厂区降尘水直接蒸发，无废水</w:t>
            </w:r>
            <w:r>
              <w:rPr>
                <w:rFonts w:hint="eastAsia" w:cs="Times New Roman"/>
                <w:b w:val="0"/>
                <w:bCs w:val="0"/>
                <w:color w:val="auto"/>
                <w:sz w:val="24"/>
                <w:highlight w:val="none"/>
                <w:u w:val="none" w:color="auto"/>
                <w:lang w:val="en-US" w:eastAsia="zh-CN"/>
              </w:rPr>
              <w:t>排放</w:t>
            </w:r>
            <w:r>
              <w:rPr>
                <w:rFonts w:hint="default" w:ascii="Times New Roman" w:hAnsi="Times New Roman" w:eastAsia="宋体" w:cs="Times New Roman"/>
                <w:b w:val="0"/>
                <w:bCs w:val="0"/>
                <w:color w:val="auto"/>
                <w:sz w:val="24"/>
                <w:highlight w:val="none"/>
                <w:u w:val="none" w:color="auto"/>
                <w:lang w:val="en-US" w:eastAsia="zh-CN"/>
              </w:rPr>
              <w:t>。</w:t>
            </w:r>
          </w:p>
          <w:p w14:paraId="69C9882C">
            <w:pPr>
              <w:spacing w:line="360" w:lineRule="auto"/>
              <w:ind w:firstLine="482" w:firstLineChars="200"/>
              <w:rPr>
                <w:rFonts w:hint="eastAsia" w:ascii="Times New Roman" w:hAnsi="Times New Roman" w:eastAsia="宋体" w:cs="宋体"/>
                <w:b/>
                <w:bCs/>
                <w:color w:val="auto"/>
                <w:sz w:val="24"/>
                <w:highlight w:val="none"/>
                <w:u w:val="none" w:color="auto"/>
                <w:lang w:val="en-US" w:eastAsia="zh-CN"/>
              </w:rPr>
            </w:pPr>
            <w:r>
              <w:rPr>
                <w:rFonts w:hint="eastAsia" w:ascii="Times New Roman" w:hAnsi="Times New Roman" w:eastAsia="宋体" w:cs="宋体"/>
                <w:b/>
                <w:bCs/>
                <w:color w:val="auto"/>
                <w:sz w:val="24"/>
                <w:highlight w:val="none"/>
                <w:u w:val="none" w:color="auto"/>
                <w:lang w:val="en-US" w:eastAsia="zh-CN"/>
              </w:rPr>
              <w:t>4</w:t>
            </w:r>
            <w:r>
              <w:rPr>
                <w:rFonts w:hint="eastAsia" w:cs="宋体"/>
                <w:b/>
                <w:bCs/>
                <w:color w:val="auto"/>
                <w:sz w:val="24"/>
                <w:highlight w:val="none"/>
                <w:u w:val="none" w:color="auto"/>
                <w:lang w:val="en-US" w:eastAsia="zh-CN"/>
              </w:rPr>
              <w:t>、</w:t>
            </w:r>
            <w:r>
              <w:rPr>
                <w:rFonts w:hint="eastAsia" w:ascii="Times New Roman" w:hAnsi="Times New Roman" w:eastAsia="宋体" w:cs="宋体"/>
                <w:b/>
                <w:bCs/>
                <w:color w:val="auto"/>
                <w:sz w:val="24"/>
                <w:highlight w:val="none"/>
                <w:u w:val="none" w:color="auto"/>
                <w:lang w:val="en-US" w:eastAsia="zh-CN"/>
              </w:rPr>
              <w:t>固体废物</w:t>
            </w:r>
          </w:p>
          <w:p w14:paraId="3E6CB3CF">
            <w:pPr>
              <w:adjustRightInd w:val="0"/>
              <w:snapToGrid w:val="0"/>
              <w:spacing w:line="360" w:lineRule="auto"/>
              <w:ind w:firstLine="480" w:firstLineChars="200"/>
              <w:jc w:val="left"/>
              <w:rPr>
                <w:rFonts w:hint="default" w:ascii="宋体" w:hAnsi="宋体" w:eastAsia="宋体" w:cs="宋体"/>
                <w:kern w:val="0"/>
                <w:sz w:val="24"/>
                <w:szCs w:val="24"/>
                <w:highlight w:val="cyan"/>
                <w:lang w:val="en-US" w:eastAsia="zh-CN"/>
              </w:rPr>
            </w:pPr>
            <w:r>
              <w:rPr>
                <w:rFonts w:hint="eastAsia" w:ascii="Times New Roman" w:hAnsi="Times New Roman" w:eastAsia="宋体" w:cs="Times New Roman"/>
                <w:b w:val="0"/>
                <w:bCs w:val="0"/>
                <w:color w:val="auto"/>
                <w:sz w:val="24"/>
                <w:highlight w:val="none"/>
                <w:u w:val="none" w:color="auto"/>
                <w:lang w:val="en-US" w:eastAsia="zh-CN"/>
              </w:rPr>
              <w:t>一般工业固体废物执行《一般工业固体废物贮存和填埋污染控制标准》（GB18599-2020）中相关要求。</w:t>
            </w:r>
          </w:p>
        </w:tc>
      </w:tr>
      <w:tr w14:paraId="0931B6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0" w:hRule="atLeast"/>
          <w:jc w:val="center"/>
        </w:trPr>
        <w:tc>
          <w:tcPr>
            <w:tcW w:w="750" w:type="dxa"/>
            <w:noWrap w:val="0"/>
            <w:vAlign w:val="center"/>
          </w:tcPr>
          <w:p w14:paraId="28B511B6">
            <w:pPr>
              <w:adjustRightInd w:val="0"/>
              <w:snapToGrid w:val="0"/>
              <w:jc w:val="center"/>
              <w:rPr>
                <w:rFonts w:hint="eastAsia" w:ascii="宋体" w:hAnsi="宋体" w:cs="宋体"/>
                <w:b/>
                <w:bCs/>
                <w:kern w:val="0"/>
                <w:sz w:val="24"/>
                <w:szCs w:val="24"/>
                <w:highlight w:val="none"/>
              </w:rPr>
            </w:pPr>
            <w:r>
              <w:rPr>
                <w:rFonts w:hint="eastAsia" w:ascii="宋体" w:hAnsi="宋体" w:cs="宋体"/>
                <w:b/>
                <w:bCs/>
                <w:kern w:val="0"/>
                <w:sz w:val="24"/>
                <w:szCs w:val="24"/>
                <w:highlight w:val="none"/>
              </w:rPr>
              <w:t>总量</w:t>
            </w:r>
          </w:p>
          <w:p w14:paraId="2CD31E79">
            <w:pPr>
              <w:adjustRightInd w:val="0"/>
              <w:snapToGrid w:val="0"/>
              <w:jc w:val="center"/>
              <w:rPr>
                <w:rFonts w:hint="eastAsia" w:ascii="宋体" w:hAnsi="宋体" w:cs="宋体"/>
                <w:b/>
                <w:bCs/>
                <w:kern w:val="0"/>
                <w:sz w:val="24"/>
                <w:szCs w:val="24"/>
                <w:highlight w:val="none"/>
              </w:rPr>
            </w:pPr>
            <w:r>
              <w:rPr>
                <w:rFonts w:hint="eastAsia" w:ascii="宋体" w:hAnsi="宋体" w:cs="宋体"/>
                <w:b/>
                <w:bCs/>
                <w:kern w:val="0"/>
                <w:sz w:val="24"/>
                <w:szCs w:val="24"/>
                <w:highlight w:val="none"/>
              </w:rPr>
              <w:t>控制</w:t>
            </w:r>
          </w:p>
          <w:p w14:paraId="469E58DD">
            <w:pPr>
              <w:adjustRightInd w:val="0"/>
              <w:snapToGrid w:val="0"/>
              <w:jc w:val="center"/>
              <w:rPr>
                <w:rFonts w:ascii="宋体" w:hAnsi="宋体" w:cs="宋体"/>
                <w:kern w:val="0"/>
                <w:sz w:val="24"/>
                <w:szCs w:val="24"/>
                <w:highlight w:val="none"/>
              </w:rPr>
            </w:pPr>
            <w:r>
              <w:rPr>
                <w:rFonts w:hint="eastAsia" w:ascii="宋体" w:hAnsi="宋体" w:cs="宋体"/>
                <w:b/>
                <w:bCs/>
                <w:kern w:val="0"/>
                <w:sz w:val="24"/>
                <w:szCs w:val="24"/>
                <w:highlight w:val="none"/>
              </w:rPr>
              <w:t>指标</w:t>
            </w:r>
          </w:p>
        </w:tc>
        <w:tc>
          <w:tcPr>
            <w:tcW w:w="8311" w:type="dxa"/>
            <w:noWrap w:val="0"/>
            <w:vAlign w:val="center"/>
          </w:tcPr>
          <w:p w14:paraId="4773E5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i w:val="0"/>
                <w:iCs w:val="0"/>
                <w:color w:val="auto"/>
                <w:kern w:val="0"/>
                <w:sz w:val="24"/>
                <w:szCs w:val="24"/>
                <w:highlight w:val="none"/>
                <w:u w:val="single" w:color="auto"/>
                <w:lang w:val="zh-CN"/>
              </w:rPr>
            </w:pPr>
            <w:r>
              <w:rPr>
                <w:rFonts w:hint="eastAsia" w:ascii="Times New Roman" w:hAnsi="Times New Roman" w:eastAsia="宋体" w:cs="Times New Roman"/>
                <w:bCs w:val="0"/>
                <w:color w:val="auto"/>
                <w:kern w:val="0"/>
                <w:sz w:val="24"/>
                <w:szCs w:val="24"/>
                <w:highlight w:val="none"/>
                <w:u w:val="single" w:color="auto"/>
                <w:lang w:val="en-US" w:eastAsia="zh-CN" w:bidi="zh-CN"/>
              </w:rPr>
              <w:t>根据吉林省生态环境厅《关于进一步明确建设项目主要污染物排放总量审核有关事宜的复函》（2022年5月10日），“根据复函，对建设项目污染物排放总量审核实施分类管理，按照行业排污绩效，将建设项目污染物排放总量分为重点行业排放管理、一般行业排放管理和其他行业排放管理三类管理方式”。</w:t>
            </w:r>
          </w:p>
          <w:p w14:paraId="4E771A9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i w:val="0"/>
                <w:iCs w:val="0"/>
                <w:color w:val="auto"/>
                <w:kern w:val="0"/>
                <w:sz w:val="24"/>
                <w:szCs w:val="24"/>
                <w:highlight w:val="none"/>
                <w:u w:val="single" w:color="auto"/>
                <w:lang w:val="zh-CN"/>
              </w:rPr>
            </w:pPr>
            <w:r>
              <w:rPr>
                <w:rFonts w:hint="eastAsia" w:cs="Times New Roman"/>
                <w:b w:val="0"/>
                <w:bCs w:val="0"/>
                <w:i w:val="0"/>
                <w:iCs w:val="0"/>
                <w:color w:val="auto"/>
                <w:kern w:val="0"/>
                <w:sz w:val="24"/>
                <w:szCs w:val="24"/>
                <w:highlight w:val="none"/>
                <w:u w:val="single" w:color="auto"/>
                <w:lang w:val="zh-CN"/>
              </w:rPr>
              <w:t>（</w:t>
            </w:r>
            <w:r>
              <w:rPr>
                <w:rFonts w:hint="eastAsia" w:cs="Times New Roman"/>
                <w:b w:val="0"/>
                <w:bCs w:val="0"/>
                <w:i w:val="0"/>
                <w:iCs w:val="0"/>
                <w:color w:val="auto"/>
                <w:kern w:val="0"/>
                <w:sz w:val="24"/>
                <w:szCs w:val="24"/>
                <w:highlight w:val="none"/>
                <w:u w:val="single" w:color="auto"/>
                <w:lang w:val="en-US" w:eastAsia="zh-CN"/>
              </w:rPr>
              <w:t>1</w:t>
            </w:r>
            <w:r>
              <w:rPr>
                <w:rFonts w:hint="eastAsia" w:cs="Times New Roman"/>
                <w:b w:val="0"/>
                <w:bCs w:val="0"/>
                <w:i w:val="0"/>
                <w:iCs w:val="0"/>
                <w:color w:val="auto"/>
                <w:kern w:val="0"/>
                <w:sz w:val="24"/>
                <w:szCs w:val="24"/>
                <w:highlight w:val="none"/>
                <w:u w:val="single" w:color="auto"/>
                <w:lang w:val="zh-CN"/>
              </w:rPr>
              <w:t>）</w:t>
            </w:r>
            <w:r>
              <w:rPr>
                <w:rFonts w:hint="default" w:ascii="Times New Roman" w:hAnsi="Times New Roman" w:eastAsia="宋体" w:cs="Times New Roman"/>
                <w:b w:val="0"/>
                <w:bCs w:val="0"/>
                <w:i w:val="0"/>
                <w:iCs w:val="0"/>
                <w:color w:val="auto"/>
                <w:kern w:val="0"/>
                <w:sz w:val="24"/>
                <w:szCs w:val="24"/>
                <w:highlight w:val="none"/>
                <w:u w:val="single" w:color="auto"/>
                <w:lang w:val="zh-CN"/>
              </w:rPr>
              <w:t>执行重点行业排放管理的建设项目包括石化、煤化工、燃煤发电、钢铁、有色金属冶炼、建材、造纸制浆、印染、集中供热等行业含有按照《排污许可证申请与核发技术规范》确定的主要排放口的涉及新增污染物排放的建设项目。</w:t>
            </w:r>
          </w:p>
          <w:p w14:paraId="233424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i w:val="0"/>
                <w:iCs w:val="0"/>
                <w:color w:val="auto"/>
                <w:kern w:val="0"/>
                <w:sz w:val="24"/>
                <w:szCs w:val="24"/>
                <w:highlight w:val="none"/>
                <w:u w:val="single" w:color="auto"/>
                <w:lang w:val="zh-CN"/>
              </w:rPr>
            </w:pPr>
            <w:r>
              <w:rPr>
                <w:rFonts w:hint="eastAsia" w:cs="Times New Roman"/>
                <w:b w:val="0"/>
                <w:bCs w:val="0"/>
                <w:i w:val="0"/>
                <w:iCs w:val="0"/>
                <w:color w:val="auto"/>
                <w:kern w:val="0"/>
                <w:sz w:val="24"/>
                <w:szCs w:val="24"/>
                <w:highlight w:val="none"/>
                <w:u w:val="single" w:color="auto"/>
                <w:lang w:val="zh-CN"/>
              </w:rPr>
              <w:t>（</w:t>
            </w:r>
            <w:r>
              <w:rPr>
                <w:rFonts w:hint="eastAsia" w:cs="Times New Roman"/>
                <w:b w:val="0"/>
                <w:bCs w:val="0"/>
                <w:i w:val="0"/>
                <w:iCs w:val="0"/>
                <w:color w:val="auto"/>
                <w:kern w:val="0"/>
                <w:sz w:val="24"/>
                <w:szCs w:val="24"/>
                <w:highlight w:val="none"/>
                <w:u w:val="single" w:color="auto"/>
                <w:lang w:val="en-US" w:eastAsia="zh-CN"/>
              </w:rPr>
              <w:t>2</w:t>
            </w:r>
            <w:r>
              <w:rPr>
                <w:rFonts w:hint="eastAsia" w:cs="Times New Roman"/>
                <w:b w:val="0"/>
                <w:bCs w:val="0"/>
                <w:i w:val="0"/>
                <w:iCs w:val="0"/>
                <w:color w:val="auto"/>
                <w:kern w:val="0"/>
                <w:sz w:val="24"/>
                <w:szCs w:val="24"/>
                <w:highlight w:val="none"/>
                <w:u w:val="single" w:color="auto"/>
                <w:lang w:val="zh-CN"/>
              </w:rPr>
              <w:t>）执行一般行业排放管理的建设项目包括除重点行业外、含有按照《排污许可证申请与核发技术规范》确定的主要排放口的涉及新增污染物排放的建设项目。</w:t>
            </w:r>
          </w:p>
          <w:p w14:paraId="4C6226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i w:val="0"/>
                <w:iCs w:val="0"/>
                <w:color w:val="auto"/>
                <w:kern w:val="0"/>
                <w:sz w:val="24"/>
                <w:szCs w:val="24"/>
                <w:highlight w:val="none"/>
                <w:u w:val="single" w:color="auto"/>
                <w:lang w:val="zh-CN"/>
              </w:rPr>
            </w:pPr>
            <w:r>
              <w:rPr>
                <w:rFonts w:hint="eastAsia" w:cs="Times New Roman"/>
                <w:b w:val="0"/>
                <w:bCs w:val="0"/>
                <w:i w:val="0"/>
                <w:iCs w:val="0"/>
                <w:color w:val="auto"/>
                <w:kern w:val="0"/>
                <w:sz w:val="24"/>
                <w:szCs w:val="24"/>
                <w:highlight w:val="none"/>
                <w:u w:val="single" w:color="auto"/>
                <w:lang w:val="zh-CN"/>
              </w:rPr>
              <w:t>（</w:t>
            </w:r>
            <w:r>
              <w:rPr>
                <w:rFonts w:hint="eastAsia" w:cs="Times New Roman"/>
                <w:b w:val="0"/>
                <w:bCs w:val="0"/>
                <w:i w:val="0"/>
                <w:iCs w:val="0"/>
                <w:color w:val="auto"/>
                <w:kern w:val="0"/>
                <w:sz w:val="24"/>
                <w:szCs w:val="24"/>
                <w:highlight w:val="none"/>
                <w:u w:val="single" w:color="auto"/>
                <w:lang w:val="en-US" w:eastAsia="zh-CN"/>
              </w:rPr>
              <w:t>3</w:t>
            </w:r>
            <w:r>
              <w:rPr>
                <w:rFonts w:hint="eastAsia" w:cs="Times New Roman"/>
                <w:b w:val="0"/>
                <w:bCs w:val="0"/>
                <w:i w:val="0"/>
                <w:iCs w:val="0"/>
                <w:color w:val="auto"/>
                <w:kern w:val="0"/>
                <w:sz w:val="24"/>
                <w:szCs w:val="24"/>
                <w:highlight w:val="none"/>
                <w:u w:val="single" w:color="auto"/>
                <w:lang w:val="zh-CN"/>
              </w:rPr>
              <w:t>）执行其他行业排放管理的建设项目包括除重点行业外、仅含有按照《排污许可证申请与核发技术规范》确定的一般排放口或无排污口的建设项目。</w:t>
            </w:r>
          </w:p>
          <w:p w14:paraId="3ACD00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i w:val="0"/>
                <w:iCs w:val="0"/>
                <w:color w:val="auto"/>
                <w:kern w:val="0"/>
                <w:sz w:val="24"/>
                <w:szCs w:val="24"/>
                <w:highlight w:val="none"/>
                <w:u w:val="single" w:color="auto"/>
                <w:lang w:val="zh-CN"/>
              </w:rPr>
            </w:pPr>
            <w:r>
              <w:rPr>
                <w:rFonts w:hint="eastAsia" w:cs="宋体"/>
                <w:b w:val="0"/>
                <w:bCs w:val="0"/>
                <w:color w:val="auto"/>
                <w:sz w:val="24"/>
                <w:szCs w:val="24"/>
                <w:highlight w:val="none"/>
                <w:u w:val="single" w:color="auto"/>
                <w:lang w:eastAsia="zh-CN"/>
              </w:rPr>
              <w:t>根据《排污许可证申请与核发技术规范 水泥工业》（HJ 847-2017），“主要排放口是指水泥窑及窑尾余热利用系统烟囱(窑尾烟囱)、冷却机烟囱窑头烟囱)，其余废气排放口均为一般排放口。”。因此本项目</w:t>
            </w:r>
            <w:r>
              <w:rPr>
                <w:rFonts w:hint="eastAsia" w:cs="宋体"/>
                <w:b w:val="0"/>
                <w:bCs w:val="0"/>
                <w:color w:val="auto"/>
                <w:sz w:val="24"/>
                <w:szCs w:val="24"/>
                <w:highlight w:val="none"/>
                <w:u w:val="single" w:color="auto"/>
                <w:lang w:val="en-US" w:eastAsia="zh-CN"/>
              </w:rPr>
              <w:t>8个</w:t>
            </w:r>
            <w:r>
              <w:rPr>
                <w:rFonts w:hint="eastAsia" w:cs="宋体"/>
                <w:b w:val="0"/>
                <w:bCs w:val="0"/>
                <w:color w:val="auto"/>
                <w:sz w:val="24"/>
                <w:szCs w:val="24"/>
                <w:highlight w:val="none"/>
                <w:u w:val="single" w:color="auto"/>
                <w:lang w:eastAsia="zh-CN"/>
              </w:rPr>
              <w:t>筒仓排气口（水泥筒仓DA001-DA006、粉煤灰筒仓DA007-DA008）、</w:t>
            </w:r>
            <w:r>
              <w:rPr>
                <w:rFonts w:hint="eastAsia" w:cs="宋体"/>
                <w:b w:val="0"/>
                <w:bCs w:val="0"/>
                <w:color w:val="auto"/>
                <w:sz w:val="24"/>
                <w:szCs w:val="24"/>
                <w:highlight w:val="none"/>
                <w:u w:val="single" w:color="auto"/>
                <w:lang w:val="en-US" w:eastAsia="zh-CN"/>
              </w:rPr>
              <w:t>2个搅拌废气排放口（DA009-DA010）均为一般排放口。</w:t>
            </w:r>
          </w:p>
          <w:p w14:paraId="56F88F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i w:val="0"/>
                <w:iCs w:val="0"/>
                <w:color w:val="auto"/>
                <w:kern w:val="0"/>
                <w:sz w:val="24"/>
                <w:szCs w:val="24"/>
                <w:highlight w:val="none"/>
                <w:u w:val="single" w:color="auto"/>
                <w:lang w:val="zh-CN"/>
              </w:rPr>
            </w:pPr>
            <w:r>
              <w:rPr>
                <w:rFonts w:hint="default" w:ascii="Times New Roman" w:hAnsi="Times New Roman" w:eastAsia="宋体" w:cs="Times New Roman"/>
                <w:b w:val="0"/>
                <w:bCs w:val="0"/>
                <w:i w:val="0"/>
                <w:iCs w:val="0"/>
                <w:color w:val="auto"/>
                <w:kern w:val="0"/>
                <w:sz w:val="24"/>
                <w:szCs w:val="24"/>
                <w:highlight w:val="none"/>
                <w:u w:val="single" w:color="auto"/>
                <w:lang w:val="zh-CN"/>
              </w:rPr>
              <w:t>实施总量审核管理的主要污染物包括</w:t>
            </w:r>
            <w:r>
              <w:rPr>
                <w:rFonts w:hint="eastAsia" w:cs="Times New Roman"/>
                <w:b w:val="0"/>
                <w:bCs w:val="0"/>
                <w:i w:val="0"/>
                <w:iCs w:val="0"/>
                <w:color w:val="auto"/>
                <w:kern w:val="0"/>
                <w:sz w:val="24"/>
                <w:szCs w:val="24"/>
                <w:highlight w:val="none"/>
                <w:u w:val="single" w:color="auto"/>
                <w:lang w:val="zh-CN"/>
              </w:rPr>
              <w:t>：</w:t>
            </w:r>
            <w:r>
              <w:rPr>
                <w:rFonts w:hint="default" w:ascii="Times New Roman" w:hAnsi="Times New Roman" w:eastAsia="宋体" w:cs="Times New Roman"/>
                <w:b w:val="0"/>
                <w:bCs w:val="0"/>
                <w:i w:val="0"/>
                <w:iCs w:val="0"/>
                <w:color w:val="auto"/>
                <w:kern w:val="0"/>
                <w:sz w:val="24"/>
                <w:szCs w:val="24"/>
                <w:highlight w:val="none"/>
                <w:u w:val="single" w:color="auto"/>
                <w:lang w:val="zh-CN"/>
              </w:rPr>
              <w:t>大气主要污染物是指挥发性有机物(VOCs)、氮氧化物(NOx)、二氧化硫(S0</w:t>
            </w:r>
            <w:r>
              <w:rPr>
                <w:rFonts w:hint="default" w:ascii="Times New Roman" w:hAnsi="Times New Roman" w:eastAsia="宋体" w:cs="Times New Roman"/>
                <w:b w:val="0"/>
                <w:bCs w:val="0"/>
                <w:i w:val="0"/>
                <w:iCs w:val="0"/>
                <w:color w:val="auto"/>
                <w:kern w:val="0"/>
                <w:sz w:val="24"/>
                <w:szCs w:val="24"/>
                <w:highlight w:val="none"/>
                <w:u w:val="single" w:color="auto"/>
                <w:vertAlign w:val="subscript"/>
                <w:lang w:val="zh-CN"/>
              </w:rPr>
              <w:t>2</w:t>
            </w:r>
            <w:r>
              <w:rPr>
                <w:rFonts w:hint="default" w:ascii="Times New Roman" w:hAnsi="Times New Roman" w:eastAsia="宋体" w:cs="Times New Roman"/>
                <w:b w:val="0"/>
                <w:bCs w:val="0"/>
                <w:i w:val="0"/>
                <w:iCs w:val="0"/>
                <w:color w:val="auto"/>
                <w:kern w:val="0"/>
                <w:sz w:val="24"/>
                <w:szCs w:val="24"/>
                <w:highlight w:val="none"/>
                <w:u w:val="single" w:color="auto"/>
                <w:lang w:val="zh-CN"/>
              </w:rPr>
              <w:t>)、烟尘，水主要污染物是指化学需氧量(COD)、氨氮(NH</w:t>
            </w:r>
            <w:r>
              <w:rPr>
                <w:rFonts w:hint="default" w:ascii="Times New Roman" w:hAnsi="Times New Roman" w:eastAsia="宋体" w:cs="Times New Roman"/>
                <w:b w:val="0"/>
                <w:bCs w:val="0"/>
                <w:i w:val="0"/>
                <w:iCs w:val="0"/>
                <w:color w:val="auto"/>
                <w:kern w:val="0"/>
                <w:sz w:val="24"/>
                <w:szCs w:val="24"/>
                <w:highlight w:val="none"/>
                <w:u w:val="single" w:color="auto"/>
                <w:vertAlign w:val="subscript"/>
                <w:lang w:val="zh-CN"/>
              </w:rPr>
              <w:t>3</w:t>
            </w:r>
            <w:r>
              <w:rPr>
                <w:rFonts w:hint="default" w:ascii="Times New Roman" w:hAnsi="Times New Roman" w:eastAsia="宋体" w:cs="Times New Roman"/>
                <w:b w:val="0"/>
                <w:bCs w:val="0"/>
                <w:i w:val="0"/>
                <w:iCs w:val="0"/>
                <w:color w:val="auto"/>
                <w:kern w:val="0"/>
                <w:sz w:val="24"/>
                <w:szCs w:val="24"/>
                <w:highlight w:val="none"/>
                <w:u w:val="single" w:color="auto"/>
                <w:lang w:val="zh-CN"/>
              </w:rPr>
              <w:t>-N)。</w:t>
            </w:r>
          </w:p>
          <w:p w14:paraId="478F67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i w:val="0"/>
                <w:iCs w:val="0"/>
                <w:color w:val="auto"/>
                <w:kern w:val="0"/>
                <w:sz w:val="24"/>
                <w:szCs w:val="24"/>
                <w:highlight w:val="none"/>
                <w:u w:val="single" w:color="auto"/>
                <w:lang w:val="zh-CN"/>
              </w:rPr>
            </w:pPr>
            <w:r>
              <w:rPr>
                <w:rFonts w:hint="default" w:ascii="Times New Roman" w:hAnsi="Times New Roman" w:eastAsia="宋体" w:cs="Times New Roman"/>
                <w:b w:val="0"/>
                <w:bCs w:val="0"/>
                <w:i w:val="0"/>
                <w:iCs w:val="0"/>
                <w:color w:val="auto"/>
                <w:kern w:val="0"/>
                <w:sz w:val="24"/>
                <w:szCs w:val="24"/>
                <w:highlight w:val="none"/>
                <w:u w:val="single" w:color="auto"/>
                <w:lang w:val="zh-CN"/>
              </w:rPr>
              <w:t>本项目不涉及主要排放口，属于</w:t>
            </w:r>
            <w:r>
              <w:rPr>
                <w:rFonts w:hint="eastAsia" w:cs="Times New Roman"/>
                <w:b w:val="0"/>
                <w:bCs w:val="0"/>
                <w:i w:val="0"/>
                <w:iCs w:val="0"/>
                <w:color w:val="auto"/>
                <w:kern w:val="0"/>
                <w:sz w:val="24"/>
                <w:szCs w:val="24"/>
                <w:highlight w:val="none"/>
                <w:u w:val="single" w:color="auto"/>
                <w:lang w:val="zh-CN"/>
              </w:rPr>
              <w:t>执行其他行业排放管理的建设项目</w:t>
            </w:r>
            <w:r>
              <w:rPr>
                <w:rFonts w:hint="default" w:ascii="Times New Roman" w:hAnsi="Times New Roman" w:eastAsia="宋体" w:cs="Times New Roman"/>
                <w:b w:val="0"/>
                <w:bCs w:val="0"/>
                <w:i w:val="0"/>
                <w:iCs w:val="0"/>
                <w:color w:val="auto"/>
                <w:kern w:val="0"/>
                <w:sz w:val="24"/>
                <w:szCs w:val="24"/>
                <w:highlight w:val="none"/>
                <w:u w:val="single" w:color="auto"/>
                <w:lang w:val="zh-CN"/>
              </w:rPr>
              <w:t>。其他行业因排污量很少或基本不新增排污量，在环评审批过程中予以豁免主要污染物总量审核。各级环评审批部门应自行建立统计台账，纳入环境管理。</w:t>
            </w:r>
          </w:p>
          <w:p w14:paraId="70835C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i w:val="0"/>
                <w:iCs w:val="0"/>
                <w:color w:val="auto"/>
                <w:kern w:val="0"/>
                <w:sz w:val="24"/>
                <w:szCs w:val="24"/>
                <w:highlight w:val="none"/>
                <w:u w:val="single" w:color="auto"/>
                <w:lang w:val="zh-CN"/>
              </w:rPr>
            </w:pPr>
            <w:r>
              <w:rPr>
                <w:rFonts w:hint="default" w:ascii="Times New Roman" w:hAnsi="Times New Roman" w:eastAsia="宋体" w:cs="Times New Roman"/>
                <w:color w:val="auto"/>
                <w:sz w:val="24"/>
                <w:highlight w:val="none"/>
                <w:u w:val="single" w:color="auto"/>
              </w:rPr>
              <w:t>本项目</w:t>
            </w:r>
            <w:r>
              <w:rPr>
                <w:rFonts w:hint="eastAsia" w:ascii="Times New Roman" w:hAnsi="Times New Roman" w:eastAsia="宋体" w:cs="Times New Roman"/>
                <w:color w:val="auto"/>
                <w:sz w:val="24"/>
                <w:highlight w:val="none"/>
                <w:u w:val="single" w:color="auto"/>
                <w:lang w:val="en-US" w:eastAsia="zh-CN"/>
              </w:rPr>
              <w:t>生产废水</w:t>
            </w:r>
            <w:r>
              <w:rPr>
                <w:rFonts w:hint="eastAsia" w:cs="Times New Roman"/>
                <w:color w:val="auto"/>
                <w:sz w:val="24"/>
                <w:highlight w:val="none"/>
                <w:u w:val="single" w:color="auto"/>
                <w:lang w:val="en-US" w:eastAsia="zh-CN"/>
              </w:rPr>
              <w:t>全部回用，</w:t>
            </w:r>
            <w:r>
              <w:rPr>
                <w:rFonts w:hint="eastAsia" w:ascii="Times New Roman" w:hAnsi="Times New Roman" w:eastAsia="宋体" w:cs="Times New Roman"/>
                <w:color w:val="auto"/>
                <w:sz w:val="24"/>
                <w:highlight w:val="none"/>
                <w:u w:val="single" w:color="auto"/>
                <w:lang w:eastAsia="zh-CN"/>
              </w:rPr>
              <w:t>生活污水</w:t>
            </w:r>
            <w:r>
              <w:rPr>
                <w:rFonts w:hint="eastAsia" w:cs="Times New Roman"/>
                <w:color w:val="auto"/>
                <w:sz w:val="24"/>
                <w:highlight w:val="none"/>
                <w:u w:val="single" w:color="auto"/>
                <w:lang w:eastAsia="zh-CN"/>
              </w:rPr>
              <w:t>排入防渗旱厕，定期清掏作农肥</w:t>
            </w:r>
            <w:r>
              <w:rPr>
                <w:rFonts w:hint="eastAsia" w:ascii="Times New Roman" w:hAnsi="Times New Roman" w:eastAsia="宋体" w:cs="Times New Roman"/>
                <w:color w:val="auto"/>
                <w:sz w:val="24"/>
                <w:highlight w:val="none"/>
                <w:u w:val="single" w:color="auto"/>
                <w:lang w:eastAsia="zh-CN"/>
              </w:rPr>
              <w:t>，</w:t>
            </w:r>
            <w:r>
              <w:rPr>
                <w:rFonts w:hint="eastAsia" w:cs="Times New Roman"/>
                <w:color w:val="auto"/>
                <w:sz w:val="24"/>
                <w:highlight w:val="none"/>
                <w:u w:val="single" w:color="auto"/>
                <w:lang w:eastAsia="zh-CN"/>
              </w:rPr>
              <w:t>无废水外排</w:t>
            </w:r>
            <w:r>
              <w:rPr>
                <w:rFonts w:hint="eastAsia" w:ascii="Times New Roman" w:hAnsi="Times New Roman" w:eastAsia="宋体" w:cs="Times New Roman"/>
                <w:color w:val="auto"/>
                <w:sz w:val="24"/>
                <w:highlight w:val="none"/>
                <w:u w:val="single" w:color="auto"/>
                <w:lang w:eastAsia="zh-CN"/>
              </w:rPr>
              <w:t>。</w:t>
            </w:r>
            <w:r>
              <w:rPr>
                <w:rFonts w:hint="eastAsia" w:cs="Times New Roman"/>
                <w:color w:val="auto"/>
                <w:sz w:val="24"/>
                <w:highlight w:val="none"/>
                <w:u w:val="single" w:color="auto"/>
                <w:lang w:val="en-US" w:eastAsia="zh-CN"/>
              </w:rPr>
              <w:t>不涉及</w:t>
            </w:r>
            <w:r>
              <w:rPr>
                <w:rFonts w:hint="eastAsia" w:ascii="Times New Roman" w:hAnsi="Times New Roman" w:eastAsia="宋体" w:cs="Times New Roman"/>
                <w:color w:val="auto"/>
                <w:sz w:val="24"/>
                <w:highlight w:val="none"/>
                <w:u w:val="single" w:color="auto"/>
                <w:lang w:eastAsia="zh-CN"/>
              </w:rPr>
              <w:t>氨氨及COD的总量控制指标。</w:t>
            </w:r>
          </w:p>
          <w:p w14:paraId="74C37D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szCs w:val="24"/>
                <w:highlight w:val="none"/>
                <w:u w:val="single" w:color="auto"/>
              </w:rPr>
            </w:pPr>
            <w:r>
              <w:rPr>
                <w:rFonts w:hint="default"/>
                <w:color w:val="auto"/>
                <w:sz w:val="24"/>
                <w:szCs w:val="24"/>
                <w:highlight w:val="none"/>
                <w:u w:val="single" w:color="auto"/>
              </w:rPr>
              <w:t>本项目生产</w:t>
            </w:r>
            <w:r>
              <w:rPr>
                <w:rFonts w:hint="eastAsia"/>
                <w:color w:val="auto"/>
                <w:sz w:val="24"/>
                <w:szCs w:val="24"/>
                <w:highlight w:val="none"/>
                <w:u w:val="single" w:color="auto"/>
                <w:lang w:eastAsia="zh-CN"/>
              </w:rPr>
              <w:t>不</w:t>
            </w:r>
            <w:r>
              <w:rPr>
                <w:rFonts w:hint="default"/>
                <w:color w:val="auto"/>
                <w:sz w:val="24"/>
                <w:szCs w:val="24"/>
                <w:highlight w:val="none"/>
                <w:u w:val="single" w:color="auto"/>
              </w:rPr>
              <w:t>用热</w:t>
            </w:r>
            <w:r>
              <w:rPr>
                <w:rFonts w:hint="eastAsia"/>
                <w:color w:val="auto"/>
                <w:sz w:val="24"/>
                <w:szCs w:val="24"/>
                <w:highlight w:val="none"/>
                <w:u w:val="single" w:color="auto"/>
                <w:lang w:eastAsia="zh-CN"/>
              </w:rPr>
              <w:t>，冬季不生产，</w:t>
            </w:r>
            <w:r>
              <w:rPr>
                <w:rFonts w:hint="eastAsia"/>
                <w:color w:val="auto"/>
                <w:sz w:val="24"/>
                <w:szCs w:val="24"/>
                <w:highlight w:val="none"/>
                <w:u w:val="single" w:color="auto"/>
                <w:lang w:val="en-US" w:eastAsia="zh-CN"/>
              </w:rPr>
              <w:t>不产生</w:t>
            </w:r>
            <w:r>
              <w:rPr>
                <w:rFonts w:hint="eastAsia" w:ascii="Times New Roman" w:hAnsi="Times New Roman" w:cs="Times New Roman"/>
                <w:color w:val="auto"/>
                <w:kern w:val="0"/>
                <w:sz w:val="24"/>
                <w:szCs w:val="24"/>
                <w:highlight w:val="none"/>
                <w:u w:val="single" w:color="auto"/>
                <w:lang w:val="en-US" w:eastAsia="zh-CN"/>
              </w:rPr>
              <w:t>烟尘、SO</w:t>
            </w:r>
            <w:r>
              <w:rPr>
                <w:rFonts w:hint="eastAsia" w:ascii="Times New Roman" w:hAnsi="Times New Roman" w:cs="Times New Roman"/>
                <w:color w:val="auto"/>
                <w:kern w:val="0"/>
                <w:sz w:val="24"/>
                <w:szCs w:val="24"/>
                <w:highlight w:val="none"/>
                <w:u w:val="single" w:color="auto"/>
                <w:vertAlign w:val="subscript"/>
                <w:lang w:val="en-US" w:eastAsia="zh-CN"/>
              </w:rPr>
              <w:t>2</w:t>
            </w:r>
            <w:r>
              <w:rPr>
                <w:rFonts w:hint="eastAsia" w:ascii="Times New Roman" w:hAnsi="Times New Roman" w:cs="Times New Roman"/>
                <w:color w:val="auto"/>
                <w:kern w:val="0"/>
                <w:sz w:val="24"/>
                <w:szCs w:val="24"/>
                <w:highlight w:val="none"/>
                <w:u w:val="single" w:color="auto"/>
                <w:lang w:val="en-US" w:eastAsia="zh-CN"/>
              </w:rPr>
              <w:t>、NOx</w:t>
            </w:r>
            <w:r>
              <w:rPr>
                <w:rFonts w:hint="eastAsia" w:ascii="Times New Roman" w:hAnsi="Times New Roman" w:eastAsia="宋体" w:cs="Times New Roman"/>
                <w:color w:val="auto"/>
                <w:sz w:val="24"/>
                <w:highlight w:val="none"/>
                <w:u w:val="single" w:color="auto"/>
                <w:lang w:val="en-US" w:eastAsia="zh-CN"/>
              </w:rPr>
              <w:t>等</w:t>
            </w:r>
            <w:r>
              <w:rPr>
                <w:rFonts w:hint="eastAsia" w:cs="Times New Roman"/>
                <w:color w:val="auto"/>
                <w:sz w:val="24"/>
                <w:highlight w:val="none"/>
                <w:u w:val="single" w:color="auto"/>
                <w:lang w:val="en-US" w:eastAsia="zh-CN"/>
              </w:rPr>
              <w:t>。</w:t>
            </w:r>
            <w:r>
              <w:rPr>
                <w:rFonts w:hint="eastAsia" w:ascii="Times New Roman" w:hAnsi="Times New Roman" w:cs="Times New Roman"/>
                <w:i w:val="0"/>
                <w:iCs w:val="0"/>
                <w:color w:val="auto"/>
                <w:kern w:val="0"/>
                <w:sz w:val="24"/>
                <w:szCs w:val="24"/>
                <w:highlight w:val="none"/>
                <w:u w:val="single" w:color="auto"/>
                <w:lang w:val="en-US" w:eastAsia="zh-CN" w:bidi="ar"/>
              </w:rPr>
              <w:t>本项目运营期所产生的废气主要为颗粒物，</w:t>
            </w:r>
            <w:r>
              <w:rPr>
                <w:rFonts w:hint="eastAsia" w:ascii="Times New Roman" w:hAnsi="Times New Roman"/>
                <w:color w:val="auto"/>
                <w:sz w:val="24"/>
                <w:szCs w:val="24"/>
                <w:highlight w:val="none"/>
                <w:u w:val="single" w:color="auto"/>
                <w:lang w:eastAsia="zh-CN"/>
              </w:rPr>
              <w:t>经计算分析，本项目运营期废气排放量为颗粒物</w:t>
            </w:r>
            <w:r>
              <w:rPr>
                <w:rFonts w:hint="eastAsia"/>
                <w:color w:val="auto"/>
                <w:sz w:val="24"/>
                <w:szCs w:val="24"/>
                <w:highlight w:val="none"/>
                <w:u w:val="single" w:color="auto"/>
                <w:lang w:val="en-US" w:eastAsia="zh-CN"/>
              </w:rPr>
              <w:t>17.182</w:t>
            </w:r>
            <w:r>
              <w:rPr>
                <w:rFonts w:hint="eastAsia" w:ascii="Times New Roman" w:hAnsi="Times New Roman"/>
                <w:color w:val="auto"/>
                <w:sz w:val="24"/>
                <w:szCs w:val="24"/>
                <w:highlight w:val="none"/>
                <w:u w:val="single" w:color="auto"/>
                <w:lang w:val="en-US" w:eastAsia="zh-CN"/>
              </w:rPr>
              <w:t>t/a</w:t>
            </w:r>
            <w:r>
              <w:rPr>
                <w:rFonts w:hint="eastAsia" w:ascii="Times New Roman" w:hAnsi="Times New Roman"/>
                <w:color w:val="auto"/>
                <w:sz w:val="24"/>
                <w:szCs w:val="24"/>
                <w:highlight w:val="none"/>
                <w:u w:val="single" w:color="auto"/>
                <w:lang w:eastAsia="zh-CN"/>
              </w:rPr>
              <w:t>。</w:t>
            </w:r>
          </w:p>
          <w:p w14:paraId="7A2129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val="en-US" w:eastAsia="zh-CN"/>
              </w:rPr>
            </w:pPr>
          </w:p>
          <w:p w14:paraId="2C60E6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val="en-US" w:eastAsia="zh-CN"/>
              </w:rPr>
            </w:pPr>
          </w:p>
          <w:p w14:paraId="0CB955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val="en-US" w:eastAsia="zh-CN"/>
              </w:rPr>
            </w:pPr>
          </w:p>
          <w:p w14:paraId="686CC0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val="en-US" w:eastAsia="zh-CN"/>
              </w:rPr>
            </w:pPr>
          </w:p>
          <w:p w14:paraId="4C9AC6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val="en-US" w:eastAsia="zh-CN"/>
              </w:rPr>
            </w:pPr>
          </w:p>
          <w:p w14:paraId="249B44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val="en-US" w:eastAsia="zh-CN"/>
              </w:rPr>
            </w:pPr>
          </w:p>
          <w:p w14:paraId="3E7620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val="en-US" w:eastAsia="zh-CN"/>
              </w:rPr>
            </w:pPr>
          </w:p>
          <w:p w14:paraId="728FBCD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val="en-US" w:eastAsia="zh-CN"/>
              </w:rPr>
            </w:pPr>
          </w:p>
          <w:p w14:paraId="3493C3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val="en-US" w:eastAsia="zh-CN"/>
              </w:rPr>
            </w:pPr>
          </w:p>
          <w:p w14:paraId="564EDB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val="en-US" w:eastAsia="zh-CN"/>
              </w:rPr>
            </w:pPr>
          </w:p>
          <w:p w14:paraId="366928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val="en-US" w:eastAsia="zh-CN"/>
              </w:rPr>
            </w:pPr>
          </w:p>
          <w:p w14:paraId="26331D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szCs w:val="24"/>
                <w:highlight w:val="none"/>
              </w:rPr>
            </w:pPr>
          </w:p>
          <w:p w14:paraId="0AEEEE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szCs w:val="24"/>
                <w:highlight w:val="none"/>
              </w:rPr>
            </w:pPr>
          </w:p>
          <w:p w14:paraId="0F9CF3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i w:val="0"/>
                <w:iCs w:val="0"/>
                <w:color w:val="FF0000"/>
                <w:kern w:val="0"/>
                <w:sz w:val="24"/>
                <w:szCs w:val="24"/>
                <w:highlight w:val="none"/>
                <w:u w:val="none"/>
                <w:lang w:val="zh-CN"/>
              </w:rPr>
            </w:pPr>
          </w:p>
          <w:p w14:paraId="24FC12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i w:val="0"/>
                <w:iCs w:val="0"/>
                <w:color w:val="auto"/>
                <w:kern w:val="0"/>
                <w:sz w:val="24"/>
                <w:szCs w:val="24"/>
                <w:highlight w:val="none"/>
                <w:u w:val="none"/>
                <w:lang w:val="zh-CN"/>
              </w:rPr>
            </w:pPr>
          </w:p>
          <w:p w14:paraId="7043AE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i w:val="0"/>
                <w:iCs w:val="0"/>
                <w:color w:val="auto"/>
                <w:kern w:val="0"/>
                <w:sz w:val="24"/>
                <w:szCs w:val="24"/>
                <w:highlight w:val="none"/>
                <w:u w:val="none"/>
                <w:lang w:val="zh-CN"/>
              </w:rPr>
            </w:pPr>
          </w:p>
          <w:p w14:paraId="37315F5D">
            <w:pPr>
              <w:adjustRightInd w:val="0"/>
              <w:snapToGrid w:val="0"/>
              <w:spacing w:line="360" w:lineRule="auto"/>
              <w:ind w:firstLine="480" w:firstLineChars="200"/>
              <w:rPr>
                <w:rFonts w:ascii="宋体" w:hAnsi="宋体" w:cs="宋体"/>
                <w:kern w:val="0"/>
                <w:sz w:val="24"/>
                <w:szCs w:val="24"/>
                <w:highlight w:val="none"/>
              </w:rPr>
            </w:pPr>
          </w:p>
        </w:tc>
      </w:tr>
    </w:tbl>
    <w:p w14:paraId="63F4ACA3">
      <w:pPr>
        <w:pStyle w:val="21"/>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outlineLvl w:val="0"/>
        <w:rPr>
          <w:rFonts w:hint="eastAsia" w:ascii="黑体" w:hAnsi="黑体" w:eastAsia="黑体" w:cs="Times New Roman"/>
          <w:snapToGrid w:val="0"/>
          <w:color w:val="auto"/>
          <w:sz w:val="30"/>
          <w:szCs w:val="30"/>
          <w:highlight w:val="none"/>
          <w:u w:val="none" w:color="auto"/>
        </w:rPr>
      </w:pPr>
      <w:r>
        <w:rPr>
          <w:rFonts w:ascii="黑体" w:hAnsi="黑体" w:eastAsia="黑体"/>
          <w:snapToGrid w:val="0"/>
          <w:sz w:val="36"/>
          <w:szCs w:val="36"/>
          <w:highlight w:val="cyan"/>
        </w:rPr>
        <w:br w:type="page"/>
      </w:r>
      <w:r>
        <w:rPr>
          <w:rFonts w:hint="eastAsia" w:ascii="黑体" w:hAnsi="黑体" w:eastAsia="黑体" w:cs="Times New Roman"/>
          <w:snapToGrid w:val="0"/>
          <w:color w:val="auto"/>
          <w:sz w:val="30"/>
          <w:szCs w:val="30"/>
          <w:highlight w:val="none"/>
          <w:u w:val="none" w:color="auto"/>
        </w:rPr>
        <w:t>四、主要环境影响和保护措施</w:t>
      </w:r>
    </w:p>
    <w:tbl>
      <w:tblPr>
        <w:tblStyle w:val="25"/>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51"/>
        <w:gridCol w:w="8228"/>
      </w:tblGrid>
      <w:tr w14:paraId="398C30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73" w:hRule="atLeast"/>
          <w:jc w:val="center"/>
        </w:trPr>
        <w:tc>
          <w:tcPr>
            <w:tcW w:w="418" w:type="pct"/>
            <w:noWrap w:val="0"/>
            <w:tcMar>
              <w:left w:w="28" w:type="dxa"/>
              <w:right w:w="28" w:type="dxa"/>
            </w:tcMar>
            <w:vAlign w:val="center"/>
          </w:tcPr>
          <w:p w14:paraId="58B96DF2">
            <w:pPr>
              <w:pStyle w:val="21"/>
              <w:adjustRightInd w:val="0"/>
              <w:snapToGrid w:val="0"/>
              <w:spacing w:before="0" w:beforeAutospacing="0" w:after="0" w:afterAutospacing="0"/>
              <w:jc w:val="center"/>
              <w:rPr>
                <w:rFonts w:hint="eastAsia" w:cs="宋体"/>
                <w:kern w:val="2"/>
                <w:sz w:val="24"/>
                <w:szCs w:val="24"/>
                <w:highlight w:val="none"/>
              </w:rPr>
            </w:pPr>
            <w:r>
              <w:rPr>
                <w:rFonts w:hint="eastAsia" w:cs="宋体"/>
                <w:kern w:val="2"/>
                <w:sz w:val="24"/>
                <w:szCs w:val="24"/>
                <w:highlight w:val="none"/>
              </w:rPr>
              <w:t>施工</w:t>
            </w:r>
          </w:p>
          <w:p w14:paraId="3E3343A2">
            <w:pPr>
              <w:pStyle w:val="21"/>
              <w:adjustRightInd w:val="0"/>
              <w:snapToGrid w:val="0"/>
              <w:spacing w:before="0" w:beforeAutospacing="0" w:after="0" w:afterAutospacing="0"/>
              <w:jc w:val="center"/>
              <w:rPr>
                <w:rFonts w:hint="eastAsia" w:cs="宋体"/>
                <w:kern w:val="2"/>
                <w:sz w:val="24"/>
                <w:szCs w:val="24"/>
                <w:highlight w:val="none"/>
              </w:rPr>
            </w:pPr>
            <w:r>
              <w:rPr>
                <w:rFonts w:hint="eastAsia" w:cs="宋体"/>
                <w:kern w:val="2"/>
                <w:sz w:val="24"/>
                <w:szCs w:val="24"/>
                <w:highlight w:val="none"/>
              </w:rPr>
              <w:t>期环</w:t>
            </w:r>
          </w:p>
          <w:p w14:paraId="577DFB0F">
            <w:pPr>
              <w:pStyle w:val="21"/>
              <w:adjustRightInd w:val="0"/>
              <w:snapToGrid w:val="0"/>
              <w:spacing w:before="0" w:beforeAutospacing="0" w:after="0" w:afterAutospacing="0"/>
              <w:jc w:val="center"/>
              <w:rPr>
                <w:rFonts w:hint="eastAsia" w:cs="宋体"/>
                <w:kern w:val="2"/>
                <w:sz w:val="24"/>
                <w:szCs w:val="24"/>
                <w:highlight w:val="none"/>
              </w:rPr>
            </w:pPr>
            <w:r>
              <w:rPr>
                <w:rFonts w:hint="eastAsia" w:cs="宋体"/>
                <w:kern w:val="2"/>
                <w:sz w:val="24"/>
                <w:szCs w:val="24"/>
                <w:highlight w:val="none"/>
              </w:rPr>
              <w:t>境保</w:t>
            </w:r>
          </w:p>
          <w:p w14:paraId="47A525E3">
            <w:pPr>
              <w:pStyle w:val="21"/>
              <w:adjustRightInd w:val="0"/>
              <w:snapToGrid w:val="0"/>
              <w:spacing w:before="0" w:beforeAutospacing="0" w:after="0" w:afterAutospacing="0"/>
              <w:jc w:val="center"/>
              <w:rPr>
                <w:rFonts w:hint="eastAsia" w:cs="宋体"/>
                <w:kern w:val="2"/>
                <w:sz w:val="24"/>
                <w:szCs w:val="24"/>
                <w:highlight w:val="none"/>
              </w:rPr>
            </w:pPr>
            <w:r>
              <w:rPr>
                <w:rFonts w:hint="eastAsia" w:cs="宋体"/>
                <w:kern w:val="2"/>
                <w:sz w:val="24"/>
                <w:szCs w:val="24"/>
                <w:highlight w:val="none"/>
              </w:rPr>
              <w:t>护措</w:t>
            </w:r>
          </w:p>
          <w:p w14:paraId="6FBC087E">
            <w:pPr>
              <w:pStyle w:val="21"/>
              <w:adjustRightInd w:val="0"/>
              <w:snapToGrid w:val="0"/>
              <w:spacing w:before="0" w:beforeAutospacing="0" w:after="0" w:afterAutospacing="0"/>
              <w:jc w:val="center"/>
              <w:rPr>
                <w:rFonts w:hint="eastAsia" w:cs="宋体"/>
                <w:bCs/>
                <w:kern w:val="2"/>
                <w:sz w:val="24"/>
                <w:szCs w:val="24"/>
                <w:highlight w:val="none"/>
              </w:rPr>
            </w:pPr>
            <w:r>
              <w:rPr>
                <w:rFonts w:hint="eastAsia" w:cs="宋体"/>
                <w:kern w:val="2"/>
                <w:sz w:val="24"/>
                <w:szCs w:val="24"/>
                <w:highlight w:val="none"/>
              </w:rPr>
              <w:t>施</w:t>
            </w:r>
          </w:p>
        </w:tc>
        <w:tc>
          <w:tcPr>
            <w:tcW w:w="4581" w:type="pct"/>
            <w:noWrap w:val="0"/>
            <w:vAlign w:val="center"/>
          </w:tcPr>
          <w:p w14:paraId="3FC44BB5">
            <w:pPr>
              <w:pStyle w:val="21"/>
              <w:widowControl w:val="0"/>
              <w:tabs>
                <w:tab w:val="left" w:pos="0"/>
              </w:tabs>
              <w:spacing w:before="0" w:beforeAutospacing="0" w:after="0" w:afterAutospacing="0" w:line="360" w:lineRule="auto"/>
              <w:ind w:firstLine="480" w:firstLineChars="200"/>
              <w:jc w:val="both"/>
              <w:rPr>
                <w:rFonts w:hint="default" w:ascii="Times New Roman" w:hAnsi="Times New Roman" w:cs="Times New Roman"/>
                <w:highlight w:val="none"/>
                <w:u w:val="none" w:color="auto"/>
              </w:rPr>
            </w:pPr>
            <w:r>
              <w:rPr>
                <w:rFonts w:hint="default" w:ascii="Times New Roman" w:hAnsi="Times New Roman" w:cs="Times New Roman"/>
                <w:color w:val="000000"/>
                <w:highlight w:val="none"/>
                <w:u w:val="none" w:color="auto"/>
              </w:rPr>
              <w:t>一般来说，施工期环境影响是暂时的，随着工程的竣工，施工期环境影响都可以消除或缓解。但施工期某些环境影响因素表现的比较明显，还必须采取减缓措施以尽可能地减少或消除这些影响。</w:t>
            </w:r>
          </w:p>
          <w:p w14:paraId="38355C0A">
            <w:pPr>
              <w:pStyle w:val="21"/>
              <w:widowControl w:val="0"/>
              <w:tabs>
                <w:tab w:val="left" w:pos="0"/>
              </w:tabs>
              <w:spacing w:before="0" w:beforeAutospacing="0" w:after="0" w:afterAutospacing="0" w:line="360" w:lineRule="auto"/>
              <w:ind w:firstLine="482" w:firstLineChars="200"/>
              <w:jc w:val="both"/>
              <w:rPr>
                <w:rFonts w:hint="default" w:ascii="Times New Roman" w:hAnsi="Times New Roman" w:cs="Times New Roman"/>
                <w:b/>
                <w:bCs/>
                <w:highlight w:val="none"/>
                <w:u w:val="none" w:color="auto"/>
              </w:rPr>
            </w:pPr>
            <w:r>
              <w:rPr>
                <w:rFonts w:hint="eastAsia" w:ascii="Times New Roman" w:hAnsi="Times New Roman" w:cs="Times New Roman"/>
                <w:b/>
                <w:bCs/>
                <w:color w:val="000000"/>
                <w:highlight w:val="none"/>
                <w:u w:val="none" w:color="auto"/>
                <w:lang w:val="en-US" w:eastAsia="zh-CN"/>
              </w:rPr>
              <w:t>1、</w:t>
            </w:r>
            <w:r>
              <w:rPr>
                <w:rFonts w:hint="default" w:ascii="Times New Roman" w:hAnsi="Times New Roman" w:cs="Times New Roman"/>
                <w:b/>
                <w:bCs/>
                <w:color w:val="000000"/>
                <w:highlight w:val="none"/>
                <w:u w:val="none" w:color="auto"/>
              </w:rPr>
              <w:t>环境空气保护措施</w:t>
            </w:r>
          </w:p>
          <w:p w14:paraId="2BA89E4B">
            <w:pPr>
              <w:pStyle w:val="21"/>
              <w:widowControl w:val="0"/>
              <w:tabs>
                <w:tab w:val="left" w:pos="0"/>
              </w:tabs>
              <w:spacing w:before="0" w:beforeAutospacing="0" w:after="0" w:afterAutospacing="0" w:line="360" w:lineRule="auto"/>
              <w:ind w:firstLine="480" w:firstLineChars="200"/>
              <w:jc w:val="both"/>
              <w:rPr>
                <w:rFonts w:hint="default" w:ascii="Times New Roman" w:hAnsi="Times New Roman" w:cs="Times New Roman"/>
                <w:highlight w:val="none"/>
                <w:u w:val="none" w:color="auto"/>
              </w:rPr>
            </w:pPr>
            <w:r>
              <w:rPr>
                <w:rFonts w:hint="default" w:ascii="Times New Roman" w:hAnsi="Times New Roman" w:cs="Times New Roman"/>
                <w:color w:val="000000"/>
                <w:highlight w:val="none"/>
                <w:u w:val="none" w:color="auto"/>
              </w:rPr>
              <w:t>本项目施工期对大气的影响主要是施工过程中产生的扬尘及施工机械、车辆排放的废气。施工扬尘主要来自：一是施工机械工作时产生的扬尘；二是施工物料堆放产生的扬尘；三是载货车辆运输过程产生的道路扬尘等。施工废气主要来自施工机械设备排放的废气和运输车辆尾气。</w:t>
            </w:r>
          </w:p>
          <w:p w14:paraId="0E24DDEF">
            <w:pPr>
              <w:pStyle w:val="21"/>
              <w:widowControl w:val="0"/>
              <w:tabs>
                <w:tab w:val="left" w:pos="0"/>
              </w:tabs>
              <w:spacing w:before="0" w:beforeAutospacing="0" w:after="0" w:afterAutospacing="0" w:line="360" w:lineRule="auto"/>
              <w:ind w:firstLine="480" w:firstLineChars="200"/>
              <w:jc w:val="both"/>
              <w:rPr>
                <w:rFonts w:hint="default" w:ascii="Times New Roman" w:hAnsi="Times New Roman" w:cs="Times New Roman"/>
                <w:highlight w:val="none"/>
                <w:u w:val="none" w:color="auto"/>
              </w:rPr>
            </w:pPr>
            <w:r>
              <w:rPr>
                <w:rFonts w:hint="default" w:ascii="Times New Roman" w:hAnsi="Times New Roman" w:cs="Times New Roman"/>
                <w:color w:val="000000"/>
                <w:highlight w:val="none"/>
                <w:u w:val="none" w:color="auto"/>
              </w:rPr>
              <w:t>针对施工期可能造成的环境空气污染，应采取如下措施：</w:t>
            </w:r>
          </w:p>
          <w:p w14:paraId="18397842">
            <w:pPr>
              <w:pStyle w:val="21"/>
              <w:widowControl w:val="0"/>
              <w:tabs>
                <w:tab w:val="left" w:pos="0"/>
              </w:tabs>
              <w:spacing w:before="0" w:beforeAutospacing="0" w:after="0" w:afterAutospacing="0" w:line="360" w:lineRule="auto"/>
              <w:ind w:firstLine="480" w:firstLineChars="200"/>
              <w:jc w:val="both"/>
              <w:rPr>
                <w:rFonts w:hint="default" w:ascii="Times New Roman" w:hAnsi="Times New Roman" w:cs="Times New Roman"/>
                <w:highlight w:val="none"/>
                <w:u w:val="none" w:color="auto"/>
              </w:rPr>
            </w:pPr>
            <w:r>
              <w:rPr>
                <w:rFonts w:hint="default" w:ascii="Times New Roman" w:hAnsi="Times New Roman" w:cs="Times New Roman"/>
                <w:color w:val="000000"/>
                <w:highlight w:val="none"/>
                <w:u w:val="none" w:color="auto"/>
              </w:rPr>
              <w:t>①粉状、散装物料运输车辆必须加盖苫布，场内堆存物料适时洒水增湿，抑制扬尘产生。</w:t>
            </w:r>
          </w:p>
          <w:p w14:paraId="44F5E71F">
            <w:pPr>
              <w:pStyle w:val="21"/>
              <w:widowControl w:val="0"/>
              <w:tabs>
                <w:tab w:val="left" w:pos="0"/>
              </w:tabs>
              <w:spacing w:before="0" w:beforeAutospacing="0" w:after="0" w:afterAutospacing="0" w:line="360" w:lineRule="auto"/>
              <w:ind w:firstLine="480" w:firstLineChars="200"/>
              <w:jc w:val="both"/>
              <w:rPr>
                <w:rFonts w:hint="default" w:ascii="Times New Roman" w:hAnsi="Times New Roman" w:cs="Times New Roman"/>
                <w:highlight w:val="none"/>
                <w:u w:val="none" w:color="auto"/>
              </w:rPr>
            </w:pPr>
            <w:r>
              <w:rPr>
                <w:rFonts w:hint="default" w:ascii="Times New Roman" w:hAnsi="Times New Roman" w:cs="Times New Roman"/>
                <w:color w:val="000000"/>
                <w:highlight w:val="none"/>
                <w:u w:val="none" w:color="auto"/>
              </w:rPr>
              <w:t>②运输车辆经过居民区时限速行驶，并在运输高峰期配备洒水车洒水除尘，以防止灰尘过大对大气的污染；施工现场应配洒水车，在干旱多风天气向施工现场洒水降尘，以保护环境空气质量。</w:t>
            </w:r>
          </w:p>
          <w:p w14:paraId="5366DB76">
            <w:pPr>
              <w:pStyle w:val="21"/>
              <w:widowControl w:val="0"/>
              <w:tabs>
                <w:tab w:val="left" w:pos="0"/>
              </w:tabs>
              <w:spacing w:before="0" w:beforeAutospacing="0" w:after="0" w:afterAutospacing="0" w:line="360" w:lineRule="auto"/>
              <w:ind w:firstLine="480" w:firstLineChars="200"/>
              <w:jc w:val="both"/>
              <w:rPr>
                <w:rFonts w:hint="default" w:ascii="Times New Roman" w:hAnsi="Times New Roman" w:cs="Times New Roman"/>
                <w:highlight w:val="none"/>
                <w:u w:val="none" w:color="auto"/>
              </w:rPr>
            </w:pPr>
            <w:r>
              <w:rPr>
                <w:rFonts w:hint="default" w:ascii="Times New Roman" w:hAnsi="Times New Roman" w:cs="Times New Roman"/>
                <w:color w:val="000000"/>
                <w:highlight w:val="none"/>
                <w:u w:val="none" w:color="auto"/>
              </w:rPr>
              <w:t>③加强往返于施工区车辆的管理和维修，施工机械完好率要求在90%以上，使用有害物质量少的优质燃料，以减少尾气排放污染大气；对于尾气排放不达标的机械车辆，不许进入施工区施工。</w:t>
            </w:r>
          </w:p>
          <w:p w14:paraId="36EE41BD">
            <w:pPr>
              <w:pStyle w:val="21"/>
              <w:widowControl w:val="0"/>
              <w:tabs>
                <w:tab w:val="left" w:pos="0"/>
              </w:tabs>
              <w:spacing w:before="0" w:beforeAutospacing="0" w:after="0" w:afterAutospacing="0" w:line="360" w:lineRule="auto"/>
              <w:ind w:firstLine="480" w:firstLineChars="200"/>
              <w:jc w:val="both"/>
              <w:rPr>
                <w:rFonts w:hint="default" w:ascii="Times New Roman" w:hAnsi="Times New Roman" w:cs="Times New Roman"/>
                <w:highlight w:val="none"/>
                <w:u w:val="none" w:color="auto"/>
              </w:rPr>
            </w:pPr>
            <w:r>
              <w:rPr>
                <w:rFonts w:hint="default" w:ascii="Times New Roman" w:hAnsi="Times New Roman" w:cs="Times New Roman"/>
                <w:color w:val="000000"/>
                <w:highlight w:val="none"/>
                <w:u w:val="none" w:color="auto"/>
              </w:rPr>
              <w:t>经上述措施处理后，施工期废气对周围环境空气影响不大，措施可行。</w:t>
            </w:r>
          </w:p>
          <w:p w14:paraId="2D31D7B4">
            <w:pPr>
              <w:pStyle w:val="21"/>
              <w:widowControl w:val="0"/>
              <w:tabs>
                <w:tab w:val="left" w:pos="0"/>
              </w:tabs>
              <w:spacing w:before="0" w:beforeAutospacing="0" w:after="0" w:afterAutospacing="0" w:line="360" w:lineRule="auto"/>
              <w:ind w:firstLine="482" w:firstLineChars="200"/>
              <w:jc w:val="both"/>
              <w:rPr>
                <w:rFonts w:hint="default" w:ascii="Times New Roman" w:hAnsi="Times New Roman" w:cs="Times New Roman"/>
                <w:b/>
                <w:bCs/>
                <w:highlight w:val="none"/>
                <w:u w:val="none" w:color="auto"/>
              </w:rPr>
            </w:pPr>
            <w:r>
              <w:rPr>
                <w:rFonts w:hint="eastAsia" w:ascii="Times New Roman" w:hAnsi="Times New Roman" w:cs="Times New Roman"/>
                <w:b/>
                <w:bCs/>
                <w:color w:val="000000"/>
                <w:highlight w:val="none"/>
                <w:u w:val="none" w:color="auto"/>
                <w:lang w:val="en-US" w:eastAsia="zh-CN"/>
              </w:rPr>
              <w:t>2、</w:t>
            </w:r>
            <w:r>
              <w:rPr>
                <w:rFonts w:hint="default" w:ascii="Times New Roman" w:hAnsi="Times New Roman" w:cs="Times New Roman"/>
                <w:b/>
                <w:bCs/>
                <w:color w:val="000000"/>
                <w:highlight w:val="none"/>
                <w:u w:val="none" w:color="auto"/>
              </w:rPr>
              <w:t>地表水保护措施</w:t>
            </w:r>
          </w:p>
          <w:p w14:paraId="370C368C">
            <w:pPr>
              <w:pStyle w:val="21"/>
              <w:widowControl w:val="0"/>
              <w:tabs>
                <w:tab w:val="left" w:pos="0"/>
              </w:tabs>
              <w:spacing w:before="0" w:beforeAutospacing="0" w:after="0" w:afterAutospacing="0" w:line="360" w:lineRule="auto"/>
              <w:ind w:firstLine="480" w:firstLineChars="200"/>
              <w:jc w:val="both"/>
              <w:rPr>
                <w:rFonts w:hint="default" w:ascii="Times New Roman" w:hAnsi="Times New Roman" w:cs="Times New Roman"/>
                <w:highlight w:val="none"/>
                <w:u w:val="none" w:color="auto"/>
              </w:rPr>
            </w:pPr>
            <w:r>
              <w:rPr>
                <w:rFonts w:hint="default" w:ascii="Times New Roman" w:hAnsi="Times New Roman" w:cs="Times New Roman"/>
                <w:color w:val="000000"/>
                <w:highlight w:val="none"/>
                <w:u w:val="none" w:color="auto"/>
              </w:rPr>
              <w:t>本工程施工过程中主要废水包括施工废水和施工人员生活污水。</w:t>
            </w:r>
          </w:p>
          <w:p w14:paraId="6B2517FD">
            <w:pPr>
              <w:pStyle w:val="21"/>
              <w:widowControl w:val="0"/>
              <w:tabs>
                <w:tab w:val="left" w:pos="0"/>
              </w:tabs>
              <w:spacing w:before="0" w:beforeAutospacing="0" w:after="0" w:afterAutospacing="0" w:line="360" w:lineRule="auto"/>
              <w:ind w:firstLine="480" w:firstLineChars="200"/>
              <w:jc w:val="both"/>
              <w:rPr>
                <w:rFonts w:hint="default" w:ascii="Times New Roman" w:hAnsi="Times New Roman" w:eastAsia="宋体" w:cs="Times New Roman"/>
                <w:highlight w:val="none"/>
                <w:u w:val="none" w:color="auto"/>
                <w:lang w:val="en-US" w:eastAsia="zh-CN"/>
              </w:rPr>
            </w:pPr>
            <w:r>
              <w:rPr>
                <w:rFonts w:hint="default" w:ascii="Times New Roman" w:hAnsi="Times New Roman" w:cs="Times New Roman"/>
                <w:color w:val="000000"/>
                <w:highlight w:val="none"/>
                <w:u w:val="none" w:color="auto"/>
              </w:rPr>
              <w:t>施工废水主要为洗车</w:t>
            </w:r>
            <w:r>
              <w:rPr>
                <w:rFonts w:hint="eastAsia" w:ascii="Times New Roman" w:hAnsi="Times New Roman" w:cs="Times New Roman"/>
                <w:color w:val="000000"/>
                <w:highlight w:val="none"/>
                <w:u w:val="none" w:color="auto"/>
                <w:lang w:eastAsia="zh-CN"/>
              </w:rPr>
              <w:t>轮胎</w:t>
            </w:r>
            <w:r>
              <w:rPr>
                <w:rFonts w:hint="default" w:ascii="Times New Roman" w:hAnsi="Times New Roman" w:cs="Times New Roman"/>
                <w:color w:val="000000"/>
                <w:highlight w:val="none"/>
                <w:u w:val="none" w:color="auto"/>
              </w:rPr>
              <w:t>产生的废水。根据类比，预计本工程施工废水排放量为</w:t>
            </w:r>
            <w:r>
              <w:rPr>
                <w:rFonts w:hint="eastAsia" w:ascii="Times New Roman" w:hAnsi="Times New Roman" w:cs="Times New Roman"/>
                <w:color w:val="000000"/>
                <w:highlight w:val="none"/>
                <w:u w:val="none" w:color="auto"/>
                <w:lang w:val="en-US" w:eastAsia="zh-CN"/>
              </w:rPr>
              <w:t>1</w:t>
            </w:r>
            <w:r>
              <w:rPr>
                <w:rFonts w:hint="default" w:ascii="Times New Roman" w:hAnsi="Times New Roman" w:cs="Times New Roman"/>
                <w:color w:val="000000"/>
                <w:highlight w:val="none"/>
                <w:u w:val="none" w:color="auto"/>
              </w:rPr>
              <w:t>.0m</w:t>
            </w:r>
            <w:r>
              <w:rPr>
                <w:rFonts w:hint="default" w:ascii="Times New Roman" w:hAnsi="Times New Roman" w:cs="Times New Roman"/>
                <w:color w:val="000000"/>
                <w:highlight w:val="none"/>
                <w:u w:val="none" w:color="auto"/>
                <w:vertAlign w:val="superscript"/>
              </w:rPr>
              <w:t>3</w:t>
            </w:r>
            <w:r>
              <w:rPr>
                <w:rFonts w:hint="default" w:ascii="Times New Roman" w:hAnsi="Times New Roman" w:cs="Times New Roman"/>
                <w:color w:val="000000"/>
                <w:highlight w:val="none"/>
                <w:u w:val="none" w:color="auto"/>
              </w:rPr>
              <w:t>/d。根据本工程施工特点，就近在施工地点布设沉淀池，对施工废水进行沉淀处理，沉淀后的废水全部回用于</w:t>
            </w:r>
            <w:r>
              <w:rPr>
                <w:rFonts w:hint="eastAsia" w:ascii="Times New Roman" w:hAnsi="Times New Roman" w:cs="Times New Roman"/>
                <w:color w:val="000000"/>
                <w:highlight w:val="none"/>
                <w:u w:val="none" w:color="auto"/>
                <w:lang w:eastAsia="zh-CN"/>
              </w:rPr>
              <w:t>施工</w:t>
            </w:r>
            <w:r>
              <w:rPr>
                <w:rFonts w:hint="default" w:ascii="Times New Roman" w:hAnsi="Times New Roman" w:cs="Times New Roman"/>
                <w:color w:val="000000"/>
                <w:highlight w:val="none"/>
                <w:u w:val="none" w:color="auto"/>
              </w:rPr>
              <w:t>过程，保证不外排，对地表水环境影响较小。</w:t>
            </w:r>
          </w:p>
          <w:p w14:paraId="619A64DF">
            <w:pPr>
              <w:pStyle w:val="21"/>
              <w:keepNext w:val="0"/>
              <w:keepLines w:val="0"/>
              <w:pageBreakBefore w:val="0"/>
              <w:widowControl w:val="0"/>
              <w:tabs>
                <w:tab w:val="left" w:pos="0"/>
              </w:tabs>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Times New Roman" w:hAnsi="Times New Roman" w:cs="Times New Roman"/>
                <w:highlight w:val="none"/>
                <w:u w:val="none" w:color="auto"/>
              </w:rPr>
            </w:pPr>
            <w:r>
              <w:rPr>
                <w:rFonts w:hint="default" w:ascii="Times New Roman" w:hAnsi="Times New Roman" w:cs="Times New Roman"/>
                <w:color w:val="000000"/>
                <w:highlight w:val="none"/>
                <w:u w:val="none" w:color="auto"/>
              </w:rPr>
              <w:t>施工期生活污水水质较为简单，排入</w:t>
            </w:r>
            <w:r>
              <w:rPr>
                <w:rFonts w:hint="eastAsia" w:ascii="Times New Roman" w:hAnsi="Times New Roman" w:cs="Times New Roman"/>
                <w:color w:val="000000"/>
                <w:highlight w:val="none"/>
                <w:u w:val="none" w:color="auto"/>
                <w:lang w:eastAsia="zh-CN"/>
              </w:rPr>
              <w:t>动</w:t>
            </w:r>
            <w:r>
              <w:rPr>
                <w:rFonts w:hint="default" w:ascii="Times New Roman" w:hAnsi="Times New Roman" w:cs="Times New Roman"/>
                <w:color w:val="000000"/>
                <w:highlight w:val="none"/>
                <w:u w:val="none" w:color="auto"/>
              </w:rPr>
              <w:t>防渗旱厕内，定期清掏作农肥；另外应加强施工期间对施工人员的管理，减少生活污水随意排放而导致污水随降雨等因素进入周围地表水体。</w:t>
            </w:r>
          </w:p>
          <w:p w14:paraId="74748D34">
            <w:pPr>
              <w:pStyle w:val="21"/>
              <w:keepNext w:val="0"/>
              <w:keepLines w:val="0"/>
              <w:pageBreakBefore w:val="0"/>
              <w:widowControl w:val="0"/>
              <w:tabs>
                <w:tab w:val="left" w:pos="0"/>
              </w:tabs>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Times New Roman" w:hAnsi="Times New Roman" w:cs="Times New Roman"/>
                <w:highlight w:val="none"/>
                <w:u w:val="none" w:color="auto"/>
              </w:rPr>
            </w:pPr>
            <w:r>
              <w:rPr>
                <w:rFonts w:hint="default" w:ascii="Times New Roman" w:hAnsi="Times New Roman" w:cs="Times New Roman"/>
                <w:color w:val="000000"/>
                <w:highlight w:val="none"/>
                <w:u w:val="none" w:color="auto"/>
              </w:rPr>
              <w:t>综上，本工程施工过程产生的废水在采取上述相应环境保护措施治理后，对周围水环境影响较小，措施可行。</w:t>
            </w:r>
          </w:p>
          <w:p w14:paraId="2BBA842D">
            <w:pPr>
              <w:pStyle w:val="21"/>
              <w:keepNext w:val="0"/>
              <w:keepLines w:val="0"/>
              <w:pageBreakBefore w:val="0"/>
              <w:widowControl w:val="0"/>
              <w:tabs>
                <w:tab w:val="left" w:pos="0"/>
              </w:tabs>
              <w:kinsoku/>
              <w:wordWrap/>
              <w:overflowPunct/>
              <w:topLinePunct w:val="0"/>
              <w:autoSpaceDE/>
              <w:autoSpaceDN/>
              <w:bidi w:val="0"/>
              <w:adjustRightInd/>
              <w:snapToGrid/>
              <w:spacing w:before="0" w:beforeAutospacing="0" w:after="0" w:afterAutospacing="0" w:line="360" w:lineRule="auto"/>
              <w:ind w:firstLine="482" w:firstLineChars="200"/>
              <w:jc w:val="both"/>
              <w:textAlignment w:val="auto"/>
              <w:rPr>
                <w:rFonts w:hint="default" w:ascii="Times New Roman" w:hAnsi="Times New Roman" w:cs="Times New Roman"/>
                <w:b/>
                <w:bCs/>
                <w:highlight w:val="none"/>
                <w:u w:val="none" w:color="auto"/>
              </w:rPr>
            </w:pPr>
            <w:r>
              <w:rPr>
                <w:rFonts w:hint="eastAsia" w:ascii="Times New Roman" w:hAnsi="Times New Roman" w:cs="Times New Roman"/>
                <w:b/>
                <w:bCs/>
                <w:color w:val="000000"/>
                <w:highlight w:val="none"/>
                <w:u w:val="none" w:color="auto"/>
                <w:lang w:val="en-US" w:eastAsia="zh-CN"/>
              </w:rPr>
              <w:t>3、</w:t>
            </w:r>
            <w:r>
              <w:rPr>
                <w:rFonts w:hint="default" w:ascii="Times New Roman" w:hAnsi="Times New Roman" w:cs="Times New Roman"/>
                <w:b/>
                <w:bCs/>
                <w:color w:val="000000"/>
                <w:highlight w:val="none"/>
                <w:u w:val="none" w:color="auto"/>
              </w:rPr>
              <w:t>声环境保护措施</w:t>
            </w:r>
          </w:p>
          <w:p w14:paraId="6EB36B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u w:val="none"/>
                <w:lang w:val="en-US" w:eastAsia="zh-CN" w:bidi="ar"/>
              </w:rPr>
            </w:pPr>
            <w:r>
              <w:rPr>
                <w:rFonts w:hint="eastAsia"/>
                <w:sz w:val="24"/>
                <w:szCs w:val="24"/>
                <w:highlight w:val="none"/>
                <w:u w:val="none"/>
                <w:lang w:val="en-US" w:eastAsia="zh-CN"/>
              </w:rPr>
              <w:t>施工期间，运输车辆和各种施工机械如挖掘机、推土机等都是主要的噪声源，根据有关资料，这些机械设备运行时的噪声值如表。</w:t>
            </w:r>
          </w:p>
          <w:p w14:paraId="707018F2">
            <w:pPr>
              <w:pStyle w:val="72"/>
              <w:keepNext w:val="0"/>
              <w:keepLines w:val="0"/>
              <w:pageBreakBefore w:val="0"/>
              <w:widowControl w:val="0"/>
              <w:numPr>
                <w:ilvl w:val="0"/>
                <w:numId w:val="0"/>
              </w:numPr>
              <w:kinsoku/>
              <w:wordWrap/>
              <w:overflowPunct/>
              <w:topLinePunct w:val="0"/>
              <w:autoSpaceDE/>
              <w:autoSpaceDN/>
              <w:bidi w:val="0"/>
              <w:adjustRightInd w:val="0"/>
              <w:snapToGrid/>
              <w:spacing w:before="0" w:after="0" w:line="240" w:lineRule="auto"/>
              <w:ind w:leftChars="0"/>
              <w:jc w:val="center"/>
              <w:textAlignment w:val="baseline"/>
              <w:rPr>
                <w:rFonts w:hint="default" w:ascii="Times New Roman" w:hAnsi="Times New Roman" w:eastAsia="宋体" w:cs="Times New Roman"/>
                <w:b/>
                <w:bCs/>
                <w:sz w:val="24"/>
                <w:szCs w:val="24"/>
                <w:highlight w:val="none"/>
                <w:u w:val="none"/>
                <w:lang w:val="en-US" w:eastAsia="zh-CN"/>
              </w:rPr>
            </w:pPr>
            <w:r>
              <w:rPr>
                <w:rFonts w:hint="default" w:ascii="Times New Roman" w:hAnsi="Times New Roman" w:eastAsia="宋体" w:cs="Times New Roman"/>
                <w:b/>
                <w:bCs/>
                <w:sz w:val="24"/>
                <w:szCs w:val="24"/>
                <w:highlight w:val="none"/>
                <w:u w:val="none"/>
                <w:lang w:val="en-US" w:eastAsia="zh-CN"/>
              </w:rPr>
              <w:t>表</w:t>
            </w:r>
            <w:r>
              <w:rPr>
                <w:rFonts w:hint="eastAsia" w:cs="Times New Roman"/>
                <w:b/>
                <w:bCs/>
                <w:sz w:val="24"/>
                <w:szCs w:val="24"/>
                <w:highlight w:val="none"/>
                <w:u w:val="none"/>
                <w:lang w:val="en-US" w:eastAsia="zh-CN"/>
              </w:rPr>
              <w:t>4-1</w:t>
            </w:r>
            <w:r>
              <w:rPr>
                <w:rFonts w:hint="default" w:ascii="Times New Roman" w:hAnsi="Times New Roman" w:eastAsia="宋体" w:cs="Times New Roman"/>
                <w:b/>
                <w:bCs/>
                <w:sz w:val="24"/>
                <w:szCs w:val="24"/>
                <w:highlight w:val="none"/>
                <w:u w:val="none"/>
                <w:lang w:val="en-US" w:eastAsia="zh-CN"/>
              </w:rPr>
              <w:t xml:space="preserve">   施工机械设备噪声值</w:t>
            </w:r>
          </w:p>
          <w:tbl>
            <w:tblPr>
              <w:tblStyle w:val="26"/>
              <w:tblW w:w="4998" w:type="pct"/>
              <w:tblInd w:w="0" w:type="dxa"/>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641"/>
              <w:gridCol w:w="1152"/>
              <w:gridCol w:w="2034"/>
              <w:gridCol w:w="668"/>
              <w:gridCol w:w="1500"/>
              <w:gridCol w:w="2014"/>
            </w:tblGrid>
            <w:tr w14:paraId="7BCC7D6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400" w:type="pct"/>
                  <w:tcBorders>
                    <w:tl2br w:val="nil"/>
                    <w:tr2bl w:val="nil"/>
                  </w:tcBorders>
                  <w:noWrap w:val="0"/>
                  <w:vAlign w:val="center"/>
                </w:tcPr>
                <w:p w14:paraId="549A3488">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lang w:val="en-US" w:eastAsia="zh-CN"/>
                    </w:rPr>
                  </w:pPr>
                  <w:r>
                    <w:rPr>
                      <w:rFonts w:hint="eastAsia"/>
                      <w:highlight w:val="none"/>
                      <w:u w:val="none"/>
                      <w:lang w:val="en-US" w:eastAsia="zh-CN"/>
                    </w:rPr>
                    <w:t>序号</w:t>
                  </w:r>
                </w:p>
              </w:tc>
              <w:tc>
                <w:tcPr>
                  <w:tcW w:w="719" w:type="pct"/>
                  <w:tcBorders>
                    <w:tl2br w:val="nil"/>
                    <w:tr2bl w:val="nil"/>
                  </w:tcBorders>
                  <w:noWrap w:val="0"/>
                  <w:vAlign w:val="center"/>
                </w:tcPr>
                <w:p w14:paraId="75C26D84">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lang w:val="en-US" w:eastAsia="zh-CN"/>
                    </w:rPr>
                  </w:pPr>
                  <w:r>
                    <w:rPr>
                      <w:rFonts w:hint="eastAsia"/>
                      <w:highlight w:val="none"/>
                      <w:u w:val="none"/>
                      <w:lang w:val="en-US" w:eastAsia="zh-CN"/>
                    </w:rPr>
                    <w:t>设备名称</w:t>
                  </w:r>
                </w:p>
              </w:tc>
              <w:tc>
                <w:tcPr>
                  <w:tcW w:w="1269" w:type="pct"/>
                  <w:tcBorders>
                    <w:tl2br w:val="nil"/>
                    <w:tr2bl w:val="nil"/>
                  </w:tcBorders>
                  <w:noWrap w:val="0"/>
                  <w:vAlign w:val="center"/>
                </w:tcPr>
                <w:p w14:paraId="006DE013">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lang w:val="en-US" w:eastAsia="zh-CN"/>
                    </w:rPr>
                  </w:pPr>
                  <w:r>
                    <w:rPr>
                      <w:rFonts w:hint="eastAsia"/>
                      <w:highlight w:val="none"/>
                      <w:u w:val="none"/>
                      <w:lang w:val="en-US" w:eastAsia="zh-CN"/>
                    </w:rPr>
                    <w:t>声级dB（A）</w:t>
                  </w:r>
                </w:p>
              </w:tc>
              <w:tc>
                <w:tcPr>
                  <w:tcW w:w="417" w:type="pct"/>
                  <w:tcBorders>
                    <w:tl2br w:val="nil"/>
                    <w:tr2bl w:val="nil"/>
                  </w:tcBorders>
                  <w:noWrap w:val="0"/>
                  <w:vAlign w:val="center"/>
                </w:tcPr>
                <w:p w14:paraId="7A060C12">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lang w:val="en-US" w:eastAsia="zh-CN"/>
                    </w:rPr>
                  </w:pPr>
                  <w:r>
                    <w:rPr>
                      <w:rFonts w:hint="eastAsia"/>
                      <w:highlight w:val="none"/>
                      <w:u w:val="none"/>
                      <w:lang w:val="en-US" w:eastAsia="zh-CN"/>
                    </w:rPr>
                    <w:t>序号</w:t>
                  </w:r>
                </w:p>
              </w:tc>
              <w:tc>
                <w:tcPr>
                  <w:tcW w:w="936" w:type="pct"/>
                  <w:tcBorders>
                    <w:tl2br w:val="nil"/>
                    <w:tr2bl w:val="nil"/>
                  </w:tcBorders>
                  <w:noWrap w:val="0"/>
                  <w:vAlign w:val="center"/>
                </w:tcPr>
                <w:p w14:paraId="69C0E345">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lang w:val="en-US" w:eastAsia="zh-CN"/>
                    </w:rPr>
                  </w:pPr>
                  <w:r>
                    <w:rPr>
                      <w:rFonts w:hint="eastAsia"/>
                      <w:highlight w:val="none"/>
                      <w:u w:val="none"/>
                      <w:lang w:val="en-US" w:eastAsia="zh-CN"/>
                    </w:rPr>
                    <w:t>设备名称</w:t>
                  </w:r>
                </w:p>
              </w:tc>
              <w:tc>
                <w:tcPr>
                  <w:tcW w:w="1256" w:type="pct"/>
                  <w:tcBorders>
                    <w:tl2br w:val="nil"/>
                    <w:tr2bl w:val="nil"/>
                  </w:tcBorders>
                  <w:noWrap w:val="0"/>
                  <w:vAlign w:val="center"/>
                </w:tcPr>
                <w:p w14:paraId="24C106FE">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lang w:val="en-US" w:eastAsia="zh-CN"/>
                    </w:rPr>
                  </w:pPr>
                  <w:r>
                    <w:rPr>
                      <w:rFonts w:hint="eastAsia"/>
                      <w:highlight w:val="none"/>
                      <w:u w:val="none"/>
                      <w:lang w:val="en-US" w:eastAsia="zh-CN"/>
                    </w:rPr>
                    <w:t>声级dB（A）</w:t>
                  </w:r>
                </w:p>
              </w:tc>
            </w:tr>
            <w:tr w14:paraId="5DC8E36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400" w:type="pct"/>
                  <w:tcBorders>
                    <w:tl2br w:val="nil"/>
                    <w:tr2bl w:val="nil"/>
                  </w:tcBorders>
                  <w:noWrap w:val="0"/>
                  <w:vAlign w:val="center"/>
                </w:tcPr>
                <w:p w14:paraId="0726689D">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lang w:val="en-US" w:eastAsia="zh-CN"/>
                    </w:rPr>
                  </w:pPr>
                  <w:r>
                    <w:rPr>
                      <w:rFonts w:hint="eastAsia"/>
                      <w:highlight w:val="none"/>
                      <w:u w:val="none"/>
                      <w:lang w:val="en-US" w:eastAsia="zh-CN"/>
                    </w:rPr>
                    <w:t>1</w:t>
                  </w:r>
                </w:p>
              </w:tc>
              <w:tc>
                <w:tcPr>
                  <w:tcW w:w="719" w:type="pct"/>
                  <w:tcBorders>
                    <w:tl2br w:val="nil"/>
                    <w:tr2bl w:val="nil"/>
                  </w:tcBorders>
                  <w:noWrap w:val="0"/>
                  <w:vAlign w:val="center"/>
                </w:tcPr>
                <w:p w14:paraId="6B59C96D">
                  <w:pPr>
                    <w:pStyle w:val="7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kern w:val="2"/>
                      <w:sz w:val="21"/>
                      <w:szCs w:val="24"/>
                      <w:highlight w:val="none"/>
                      <w:u w:val="none"/>
                      <w:lang w:val="en-US" w:eastAsia="zh-CN" w:bidi="ar-SA"/>
                    </w:rPr>
                  </w:pPr>
                  <w:r>
                    <w:rPr>
                      <w:rFonts w:hint="eastAsia"/>
                      <w:highlight w:val="none"/>
                      <w:u w:val="none"/>
                      <w:lang w:val="en-US" w:eastAsia="zh-CN"/>
                    </w:rPr>
                    <w:t>挖掘机</w:t>
                  </w:r>
                </w:p>
              </w:tc>
              <w:tc>
                <w:tcPr>
                  <w:tcW w:w="1269" w:type="pct"/>
                  <w:tcBorders>
                    <w:tl2br w:val="nil"/>
                    <w:tr2bl w:val="nil"/>
                  </w:tcBorders>
                  <w:noWrap w:val="0"/>
                  <w:vAlign w:val="center"/>
                </w:tcPr>
                <w:p w14:paraId="12CC4AB4">
                  <w:pPr>
                    <w:pStyle w:val="7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kern w:val="2"/>
                      <w:sz w:val="21"/>
                      <w:szCs w:val="24"/>
                      <w:highlight w:val="none"/>
                      <w:u w:val="none"/>
                      <w:lang w:val="en-US" w:eastAsia="zh-CN" w:bidi="ar-SA"/>
                    </w:rPr>
                  </w:pPr>
                  <w:r>
                    <w:rPr>
                      <w:rFonts w:hint="eastAsia"/>
                      <w:highlight w:val="none"/>
                      <w:u w:val="none"/>
                      <w:lang w:val="en-US" w:eastAsia="zh-CN"/>
                    </w:rPr>
                    <w:t>110</w:t>
                  </w:r>
                </w:p>
              </w:tc>
              <w:tc>
                <w:tcPr>
                  <w:tcW w:w="417" w:type="pct"/>
                  <w:tcBorders>
                    <w:tl2br w:val="nil"/>
                    <w:tr2bl w:val="nil"/>
                  </w:tcBorders>
                  <w:noWrap w:val="0"/>
                  <w:vAlign w:val="center"/>
                </w:tcPr>
                <w:p w14:paraId="5975012A">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lang w:val="en-US" w:eastAsia="zh-CN"/>
                    </w:rPr>
                  </w:pPr>
                  <w:r>
                    <w:rPr>
                      <w:rFonts w:hint="eastAsia"/>
                      <w:highlight w:val="none"/>
                      <w:u w:val="none"/>
                      <w:lang w:val="en-US" w:eastAsia="zh-CN"/>
                    </w:rPr>
                    <w:t>6</w:t>
                  </w:r>
                </w:p>
              </w:tc>
              <w:tc>
                <w:tcPr>
                  <w:tcW w:w="936" w:type="pct"/>
                  <w:tcBorders>
                    <w:tl2br w:val="nil"/>
                    <w:tr2bl w:val="nil"/>
                  </w:tcBorders>
                  <w:noWrap w:val="0"/>
                  <w:vAlign w:val="center"/>
                </w:tcPr>
                <w:p w14:paraId="6E7EA9CF">
                  <w:pPr>
                    <w:pStyle w:val="7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kern w:val="2"/>
                      <w:sz w:val="21"/>
                      <w:szCs w:val="24"/>
                      <w:highlight w:val="none"/>
                      <w:u w:val="none"/>
                      <w:lang w:val="en-US" w:eastAsia="zh-CN" w:bidi="ar-SA"/>
                    </w:rPr>
                  </w:pPr>
                  <w:r>
                    <w:rPr>
                      <w:rFonts w:hint="eastAsia"/>
                      <w:highlight w:val="none"/>
                      <w:u w:val="none"/>
                      <w:lang w:val="en-US" w:eastAsia="zh-CN"/>
                    </w:rPr>
                    <w:t>空压机</w:t>
                  </w:r>
                </w:p>
              </w:tc>
              <w:tc>
                <w:tcPr>
                  <w:tcW w:w="1256" w:type="pct"/>
                  <w:tcBorders>
                    <w:tl2br w:val="nil"/>
                    <w:tr2bl w:val="nil"/>
                  </w:tcBorders>
                  <w:noWrap w:val="0"/>
                  <w:vAlign w:val="center"/>
                </w:tcPr>
                <w:p w14:paraId="5D515076">
                  <w:pPr>
                    <w:pStyle w:val="7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kern w:val="2"/>
                      <w:sz w:val="21"/>
                      <w:szCs w:val="24"/>
                      <w:highlight w:val="none"/>
                      <w:u w:val="none"/>
                      <w:lang w:val="en-US" w:eastAsia="zh-CN" w:bidi="ar-SA"/>
                    </w:rPr>
                  </w:pPr>
                  <w:r>
                    <w:rPr>
                      <w:rFonts w:hint="eastAsia"/>
                      <w:highlight w:val="none"/>
                      <w:u w:val="none"/>
                      <w:lang w:val="en-US" w:eastAsia="zh-CN"/>
                    </w:rPr>
                    <w:t>105</w:t>
                  </w:r>
                </w:p>
              </w:tc>
            </w:tr>
            <w:tr w14:paraId="59158E6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400" w:type="pct"/>
                  <w:tcBorders>
                    <w:tl2br w:val="nil"/>
                    <w:tr2bl w:val="nil"/>
                  </w:tcBorders>
                  <w:noWrap w:val="0"/>
                  <w:vAlign w:val="center"/>
                </w:tcPr>
                <w:p w14:paraId="16DF468B">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lang w:val="en-US" w:eastAsia="zh-CN"/>
                    </w:rPr>
                  </w:pPr>
                  <w:r>
                    <w:rPr>
                      <w:rFonts w:hint="eastAsia"/>
                      <w:highlight w:val="none"/>
                      <w:u w:val="none"/>
                      <w:lang w:val="en-US" w:eastAsia="zh-CN"/>
                    </w:rPr>
                    <w:t>2</w:t>
                  </w:r>
                </w:p>
              </w:tc>
              <w:tc>
                <w:tcPr>
                  <w:tcW w:w="719" w:type="pct"/>
                  <w:tcBorders>
                    <w:tl2br w:val="nil"/>
                    <w:tr2bl w:val="nil"/>
                  </w:tcBorders>
                  <w:noWrap w:val="0"/>
                  <w:vAlign w:val="center"/>
                </w:tcPr>
                <w:p w14:paraId="45D0E8F4">
                  <w:pPr>
                    <w:pStyle w:val="7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kern w:val="2"/>
                      <w:sz w:val="21"/>
                      <w:szCs w:val="24"/>
                      <w:highlight w:val="none"/>
                      <w:u w:val="none"/>
                      <w:lang w:val="en-US" w:eastAsia="zh-CN" w:bidi="ar-SA"/>
                    </w:rPr>
                  </w:pPr>
                  <w:r>
                    <w:rPr>
                      <w:rFonts w:hint="eastAsia"/>
                      <w:highlight w:val="none"/>
                      <w:u w:val="none"/>
                      <w:lang w:val="en-US" w:eastAsia="zh-CN"/>
                    </w:rPr>
                    <w:t>推土机</w:t>
                  </w:r>
                </w:p>
              </w:tc>
              <w:tc>
                <w:tcPr>
                  <w:tcW w:w="1269" w:type="pct"/>
                  <w:tcBorders>
                    <w:tl2br w:val="nil"/>
                    <w:tr2bl w:val="nil"/>
                  </w:tcBorders>
                  <w:noWrap w:val="0"/>
                  <w:vAlign w:val="center"/>
                </w:tcPr>
                <w:p w14:paraId="14679EF6">
                  <w:pPr>
                    <w:pStyle w:val="7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kern w:val="2"/>
                      <w:sz w:val="21"/>
                      <w:szCs w:val="24"/>
                      <w:highlight w:val="none"/>
                      <w:u w:val="none"/>
                      <w:lang w:val="en-US" w:eastAsia="zh-CN" w:bidi="ar-SA"/>
                    </w:rPr>
                  </w:pPr>
                  <w:r>
                    <w:rPr>
                      <w:rFonts w:hint="eastAsia"/>
                      <w:highlight w:val="none"/>
                      <w:u w:val="none"/>
                      <w:lang w:val="en-US" w:eastAsia="zh-CN"/>
                    </w:rPr>
                    <w:t>100</w:t>
                  </w:r>
                </w:p>
              </w:tc>
              <w:tc>
                <w:tcPr>
                  <w:tcW w:w="417" w:type="pct"/>
                  <w:tcBorders>
                    <w:tl2br w:val="nil"/>
                    <w:tr2bl w:val="nil"/>
                  </w:tcBorders>
                  <w:noWrap w:val="0"/>
                  <w:vAlign w:val="center"/>
                </w:tcPr>
                <w:p w14:paraId="531B0FB5">
                  <w:pPr>
                    <w:pStyle w:val="7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kern w:val="2"/>
                      <w:sz w:val="21"/>
                      <w:szCs w:val="24"/>
                      <w:highlight w:val="none"/>
                      <w:u w:val="none"/>
                      <w:lang w:val="en-US" w:eastAsia="zh-CN" w:bidi="ar-SA"/>
                    </w:rPr>
                  </w:pPr>
                  <w:r>
                    <w:rPr>
                      <w:rFonts w:hint="eastAsia"/>
                      <w:highlight w:val="none"/>
                      <w:u w:val="none"/>
                      <w:lang w:val="en-US" w:eastAsia="zh-CN"/>
                    </w:rPr>
                    <w:t>7</w:t>
                  </w:r>
                </w:p>
              </w:tc>
              <w:tc>
                <w:tcPr>
                  <w:tcW w:w="936" w:type="pct"/>
                  <w:tcBorders>
                    <w:tl2br w:val="nil"/>
                    <w:tr2bl w:val="nil"/>
                  </w:tcBorders>
                  <w:noWrap w:val="0"/>
                  <w:vAlign w:val="center"/>
                </w:tcPr>
                <w:p w14:paraId="7B1A456C">
                  <w:pPr>
                    <w:pStyle w:val="7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kern w:val="2"/>
                      <w:sz w:val="21"/>
                      <w:szCs w:val="24"/>
                      <w:highlight w:val="none"/>
                      <w:u w:val="none"/>
                      <w:lang w:val="en-US" w:eastAsia="zh-CN" w:bidi="ar-SA"/>
                    </w:rPr>
                  </w:pPr>
                  <w:r>
                    <w:rPr>
                      <w:rFonts w:hint="eastAsia"/>
                      <w:highlight w:val="none"/>
                      <w:u w:val="none"/>
                      <w:lang w:val="en-US" w:eastAsia="zh-CN"/>
                    </w:rPr>
                    <w:t>电钻</w:t>
                  </w:r>
                </w:p>
              </w:tc>
              <w:tc>
                <w:tcPr>
                  <w:tcW w:w="1256" w:type="pct"/>
                  <w:tcBorders>
                    <w:tl2br w:val="nil"/>
                    <w:tr2bl w:val="nil"/>
                  </w:tcBorders>
                  <w:noWrap w:val="0"/>
                  <w:vAlign w:val="center"/>
                </w:tcPr>
                <w:p w14:paraId="06FD6E2A">
                  <w:pPr>
                    <w:pStyle w:val="7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kern w:val="2"/>
                      <w:sz w:val="21"/>
                      <w:szCs w:val="24"/>
                      <w:highlight w:val="none"/>
                      <w:u w:val="none"/>
                      <w:lang w:val="en-US" w:eastAsia="zh-CN" w:bidi="ar-SA"/>
                    </w:rPr>
                  </w:pPr>
                  <w:r>
                    <w:rPr>
                      <w:rFonts w:hint="eastAsia"/>
                      <w:highlight w:val="none"/>
                      <w:u w:val="none"/>
                      <w:lang w:val="en-US" w:eastAsia="zh-CN"/>
                    </w:rPr>
                    <w:t>85</w:t>
                  </w:r>
                </w:p>
              </w:tc>
            </w:tr>
            <w:tr w14:paraId="5E41598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PrEx>
              <w:tc>
                <w:tcPr>
                  <w:tcW w:w="400" w:type="pct"/>
                  <w:tcBorders>
                    <w:tl2br w:val="nil"/>
                    <w:tr2bl w:val="nil"/>
                  </w:tcBorders>
                  <w:noWrap w:val="0"/>
                  <w:vAlign w:val="center"/>
                </w:tcPr>
                <w:p w14:paraId="098F7991">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lang w:val="en-US" w:eastAsia="zh-CN"/>
                    </w:rPr>
                  </w:pPr>
                  <w:r>
                    <w:rPr>
                      <w:rFonts w:hint="eastAsia"/>
                      <w:highlight w:val="none"/>
                      <w:u w:val="none"/>
                      <w:lang w:val="en-US" w:eastAsia="zh-CN"/>
                    </w:rPr>
                    <w:t>3</w:t>
                  </w:r>
                </w:p>
              </w:tc>
              <w:tc>
                <w:tcPr>
                  <w:tcW w:w="719" w:type="pct"/>
                  <w:tcBorders>
                    <w:tl2br w:val="nil"/>
                    <w:tr2bl w:val="nil"/>
                  </w:tcBorders>
                  <w:noWrap w:val="0"/>
                  <w:vAlign w:val="center"/>
                </w:tcPr>
                <w:p w14:paraId="1C2850FC">
                  <w:pPr>
                    <w:pStyle w:val="7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kern w:val="2"/>
                      <w:sz w:val="21"/>
                      <w:szCs w:val="24"/>
                      <w:highlight w:val="none"/>
                      <w:u w:val="none"/>
                      <w:lang w:val="en-US" w:eastAsia="zh-CN" w:bidi="ar-SA"/>
                    </w:rPr>
                  </w:pPr>
                  <w:r>
                    <w:rPr>
                      <w:rFonts w:hint="eastAsia"/>
                      <w:highlight w:val="none"/>
                      <w:u w:val="none"/>
                      <w:lang w:val="en-US" w:eastAsia="zh-CN"/>
                    </w:rPr>
                    <w:t>夯土机</w:t>
                  </w:r>
                </w:p>
              </w:tc>
              <w:tc>
                <w:tcPr>
                  <w:tcW w:w="1269" w:type="pct"/>
                  <w:tcBorders>
                    <w:tl2br w:val="nil"/>
                    <w:tr2bl w:val="nil"/>
                  </w:tcBorders>
                  <w:noWrap w:val="0"/>
                  <w:vAlign w:val="center"/>
                </w:tcPr>
                <w:p w14:paraId="42E92C52">
                  <w:pPr>
                    <w:pStyle w:val="7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kern w:val="2"/>
                      <w:sz w:val="21"/>
                      <w:szCs w:val="24"/>
                      <w:highlight w:val="none"/>
                      <w:u w:val="none"/>
                      <w:lang w:val="en-US" w:eastAsia="zh-CN" w:bidi="ar-SA"/>
                    </w:rPr>
                  </w:pPr>
                  <w:r>
                    <w:rPr>
                      <w:rFonts w:hint="eastAsia"/>
                      <w:highlight w:val="none"/>
                      <w:u w:val="none"/>
                      <w:lang w:val="en-US" w:eastAsia="zh-CN"/>
                    </w:rPr>
                    <w:t>100</w:t>
                  </w:r>
                </w:p>
              </w:tc>
              <w:tc>
                <w:tcPr>
                  <w:tcW w:w="417" w:type="pct"/>
                  <w:tcBorders>
                    <w:tl2br w:val="nil"/>
                    <w:tr2bl w:val="nil"/>
                  </w:tcBorders>
                  <w:noWrap w:val="0"/>
                  <w:vAlign w:val="center"/>
                </w:tcPr>
                <w:p w14:paraId="6C6E58F6">
                  <w:pPr>
                    <w:pStyle w:val="7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kern w:val="2"/>
                      <w:sz w:val="21"/>
                      <w:szCs w:val="24"/>
                      <w:highlight w:val="none"/>
                      <w:u w:val="none"/>
                      <w:lang w:val="en-US" w:eastAsia="zh-CN" w:bidi="ar-SA"/>
                    </w:rPr>
                  </w:pPr>
                  <w:r>
                    <w:rPr>
                      <w:rFonts w:hint="eastAsia"/>
                      <w:highlight w:val="none"/>
                      <w:u w:val="none"/>
                      <w:lang w:val="en-US" w:eastAsia="zh-CN"/>
                    </w:rPr>
                    <w:t>8</w:t>
                  </w:r>
                </w:p>
              </w:tc>
              <w:tc>
                <w:tcPr>
                  <w:tcW w:w="936" w:type="pct"/>
                  <w:tcBorders>
                    <w:tl2br w:val="nil"/>
                    <w:tr2bl w:val="nil"/>
                  </w:tcBorders>
                  <w:noWrap w:val="0"/>
                  <w:vAlign w:val="center"/>
                </w:tcPr>
                <w:p w14:paraId="38C38B9A">
                  <w:pPr>
                    <w:pStyle w:val="7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kern w:val="2"/>
                      <w:sz w:val="21"/>
                      <w:szCs w:val="24"/>
                      <w:highlight w:val="none"/>
                      <w:u w:val="none"/>
                      <w:lang w:val="en-US" w:eastAsia="zh-CN" w:bidi="ar-SA"/>
                    </w:rPr>
                  </w:pPr>
                  <w:r>
                    <w:rPr>
                      <w:rFonts w:hint="eastAsia"/>
                      <w:highlight w:val="none"/>
                      <w:u w:val="none"/>
                      <w:lang w:val="en-US" w:eastAsia="zh-CN"/>
                    </w:rPr>
                    <w:t>电锤</w:t>
                  </w:r>
                </w:p>
              </w:tc>
              <w:tc>
                <w:tcPr>
                  <w:tcW w:w="1256" w:type="pct"/>
                  <w:tcBorders>
                    <w:tl2br w:val="nil"/>
                    <w:tr2bl w:val="nil"/>
                  </w:tcBorders>
                  <w:noWrap w:val="0"/>
                  <w:vAlign w:val="center"/>
                </w:tcPr>
                <w:p w14:paraId="5381734D">
                  <w:pPr>
                    <w:pStyle w:val="7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kern w:val="2"/>
                      <w:sz w:val="21"/>
                      <w:szCs w:val="24"/>
                      <w:highlight w:val="none"/>
                      <w:u w:val="none"/>
                      <w:lang w:val="en-US" w:eastAsia="zh-CN" w:bidi="ar-SA"/>
                    </w:rPr>
                  </w:pPr>
                  <w:r>
                    <w:rPr>
                      <w:rFonts w:hint="eastAsia"/>
                      <w:highlight w:val="none"/>
                      <w:u w:val="none"/>
                      <w:lang w:val="en-US" w:eastAsia="zh-CN"/>
                    </w:rPr>
                    <w:t>85</w:t>
                  </w:r>
                </w:p>
              </w:tc>
            </w:tr>
            <w:tr w14:paraId="217637C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400" w:type="pct"/>
                  <w:tcBorders>
                    <w:tl2br w:val="nil"/>
                    <w:tr2bl w:val="nil"/>
                  </w:tcBorders>
                  <w:noWrap w:val="0"/>
                  <w:vAlign w:val="center"/>
                </w:tcPr>
                <w:p w14:paraId="581BEE50">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lang w:val="en-US" w:eastAsia="zh-CN"/>
                    </w:rPr>
                  </w:pPr>
                  <w:r>
                    <w:rPr>
                      <w:rFonts w:hint="eastAsia"/>
                      <w:highlight w:val="none"/>
                      <w:u w:val="none"/>
                      <w:lang w:val="en-US" w:eastAsia="zh-CN"/>
                    </w:rPr>
                    <w:t>4</w:t>
                  </w:r>
                </w:p>
              </w:tc>
              <w:tc>
                <w:tcPr>
                  <w:tcW w:w="719" w:type="pct"/>
                  <w:tcBorders>
                    <w:tl2br w:val="nil"/>
                    <w:tr2bl w:val="nil"/>
                  </w:tcBorders>
                  <w:noWrap w:val="0"/>
                  <w:vAlign w:val="center"/>
                </w:tcPr>
                <w:p w14:paraId="540954C4">
                  <w:pPr>
                    <w:pStyle w:val="7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kern w:val="2"/>
                      <w:sz w:val="21"/>
                      <w:szCs w:val="24"/>
                      <w:highlight w:val="none"/>
                      <w:u w:val="none"/>
                      <w:lang w:val="en-US" w:eastAsia="zh-CN" w:bidi="ar-SA"/>
                    </w:rPr>
                  </w:pPr>
                  <w:r>
                    <w:rPr>
                      <w:rFonts w:hint="eastAsia"/>
                      <w:highlight w:val="none"/>
                      <w:u w:val="none"/>
                      <w:lang w:val="en-US" w:eastAsia="zh-CN"/>
                    </w:rPr>
                    <w:t>卡车</w:t>
                  </w:r>
                </w:p>
              </w:tc>
              <w:tc>
                <w:tcPr>
                  <w:tcW w:w="1269" w:type="pct"/>
                  <w:tcBorders>
                    <w:tl2br w:val="nil"/>
                    <w:tr2bl w:val="nil"/>
                  </w:tcBorders>
                  <w:noWrap w:val="0"/>
                  <w:vAlign w:val="center"/>
                </w:tcPr>
                <w:p w14:paraId="6618FAF7">
                  <w:pPr>
                    <w:pStyle w:val="7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kern w:val="2"/>
                      <w:sz w:val="21"/>
                      <w:szCs w:val="24"/>
                      <w:highlight w:val="none"/>
                      <w:u w:val="none"/>
                      <w:lang w:val="en-US" w:eastAsia="zh-CN" w:bidi="ar-SA"/>
                    </w:rPr>
                  </w:pPr>
                  <w:r>
                    <w:rPr>
                      <w:rFonts w:hint="eastAsia"/>
                      <w:highlight w:val="none"/>
                      <w:u w:val="none"/>
                      <w:lang w:val="en-US" w:eastAsia="zh-CN"/>
                    </w:rPr>
                    <w:t>85</w:t>
                  </w:r>
                </w:p>
              </w:tc>
              <w:tc>
                <w:tcPr>
                  <w:tcW w:w="417" w:type="pct"/>
                  <w:tcBorders>
                    <w:tl2br w:val="nil"/>
                    <w:tr2bl w:val="nil"/>
                  </w:tcBorders>
                  <w:noWrap w:val="0"/>
                  <w:vAlign w:val="center"/>
                </w:tcPr>
                <w:p w14:paraId="2B1F3CE3">
                  <w:pPr>
                    <w:pStyle w:val="7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kern w:val="2"/>
                      <w:sz w:val="21"/>
                      <w:szCs w:val="24"/>
                      <w:highlight w:val="none"/>
                      <w:u w:val="none"/>
                      <w:lang w:val="en-US" w:eastAsia="zh-CN" w:bidi="ar-SA"/>
                    </w:rPr>
                  </w:pPr>
                  <w:r>
                    <w:rPr>
                      <w:rFonts w:hint="eastAsia"/>
                      <w:highlight w:val="none"/>
                      <w:u w:val="none"/>
                      <w:lang w:val="en-US" w:eastAsia="zh-CN"/>
                    </w:rPr>
                    <w:t>9</w:t>
                  </w:r>
                </w:p>
              </w:tc>
              <w:tc>
                <w:tcPr>
                  <w:tcW w:w="936" w:type="pct"/>
                  <w:tcBorders>
                    <w:tl2br w:val="nil"/>
                    <w:tr2bl w:val="nil"/>
                  </w:tcBorders>
                  <w:noWrap w:val="0"/>
                  <w:vAlign w:val="center"/>
                </w:tcPr>
                <w:p w14:paraId="77D2229F">
                  <w:pPr>
                    <w:pStyle w:val="7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kern w:val="2"/>
                      <w:sz w:val="21"/>
                      <w:szCs w:val="24"/>
                      <w:highlight w:val="none"/>
                      <w:u w:val="none"/>
                      <w:lang w:val="en-US" w:eastAsia="zh-CN" w:bidi="ar-SA"/>
                    </w:rPr>
                  </w:pPr>
                  <w:r>
                    <w:rPr>
                      <w:rFonts w:hint="eastAsia"/>
                      <w:highlight w:val="none"/>
                      <w:u w:val="none"/>
                      <w:lang w:val="en-US" w:eastAsia="zh-CN"/>
                    </w:rPr>
                    <w:t>手工钻</w:t>
                  </w:r>
                </w:p>
              </w:tc>
              <w:tc>
                <w:tcPr>
                  <w:tcW w:w="1256" w:type="pct"/>
                  <w:tcBorders>
                    <w:tl2br w:val="nil"/>
                    <w:tr2bl w:val="nil"/>
                  </w:tcBorders>
                  <w:noWrap w:val="0"/>
                  <w:vAlign w:val="center"/>
                </w:tcPr>
                <w:p w14:paraId="35CED2FA">
                  <w:pPr>
                    <w:pStyle w:val="7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kern w:val="2"/>
                      <w:sz w:val="21"/>
                      <w:szCs w:val="24"/>
                      <w:highlight w:val="none"/>
                      <w:u w:val="none"/>
                      <w:lang w:val="en-US" w:eastAsia="zh-CN" w:bidi="ar-SA"/>
                    </w:rPr>
                  </w:pPr>
                  <w:r>
                    <w:rPr>
                      <w:rFonts w:hint="eastAsia"/>
                      <w:highlight w:val="none"/>
                      <w:u w:val="none"/>
                      <w:lang w:val="en-US" w:eastAsia="zh-CN"/>
                    </w:rPr>
                    <w:t>90</w:t>
                  </w:r>
                </w:p>
              </w:tc>
            </w:tr>
            <w:tr w14:paraId="7355D28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400" w:type="pct"/>
                  <w:tcBorders>
                    <w:tl2br w:val="nil"/>
                    <w:tr2bl w:val="nil"/>
                  </w:tcBorders>
                  <w:noWrap w:val="0"/>
                  <w:vAlign w:val="center"/>
                </w:tcPr>
                <w:p w14:paraId="00F49E37">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lang w:val="en-US" w:eastAsia="zh-CN"/>
                    </w:rPr>
                  </w:pPr>
                  <w:r>
                    <w:rPr>
                      <w:rFonts w:hint="eastAsia"/>
                      <w:highlight w:val="none"/>
                      <w:u w:val="none"/>
                      <w:lang w:val="en-US" w:eastAsia="zh-CN"/>
                    </w:rPr>
                    <w:t>5</w:t>
                  </w:r>
                </w:p>
              </w:tc>
              <w:tc>
                <w:tcPr>
                  <w:tcW w:w="719" w:type="pct"/>
                  <w:tcBorders>
                    <w:tl2br w:val="nil"/>
                    <w:tr2bl w:val="nil"/>
                  </w:tcBorders>
                  <w:noWrap w:val="0"/>
                  <w:vAlign w:val="center"/>
                </w:tcPr>
                <w:p w14:paraId="5B2DE046">
                  <w:pPr>
                    <w:pStyle w:val="7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kern w:val="2"/>
                      <w:sz w:val="21"/>
                      <w:szCs w:val="24"/>
                      <w:highlight w:val="none"/>
                      <w:u w:val="none"/>
                      <w:lang w:val="en-US" w:eastAsia="zh-CN" w:bidi="ar-SA"/>
                    </w:rPr>
                  </w:pPr>
                  <w:r>
                    <w:rPr>
                      <w:rFonts w:hint="eastAsia"/>
                      <w:highlight w:val="none"/>
                      <w:u w:val="none"/>
                      <w:lang w:val="en-US" w:eastAsia="zh-CN"/>
                    </w:rPr>
                    <w:t>电锯</w:t>
                  </w:r>
                </w:p>
              </w:tc>
              <w:tc>
                <w:tcPr>
                  <w:tcW w:w="1269" w:type="pct"/>
                  <w:tcBorders>
                    <w:tl2br w:val="nil"/>
                    <w:tr2bl w:val="nil"/>
                  </w:tcBorders>
                  <w:noWrap w:val="0"/>
                  <w:vAlign w:val="center"/>
                </w:tcPr>
                <w:p w14:paraId="5AF9F301">
                  <w:pPr>
                    <w:pStyle w:val="7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kern w:val="2"/>
                      <w:sz w:val="21"/>
                      <w:szCs w:val="24"/>
                      <w:highlight w:val="none"/>
                      <w:u w:val="none"/>
                      <w:lang w:val="en-US" w:eastAsia="zh-CN" w:bidi="ar-SA"/>
                    </w:rPr>
                  </w:pPr>
                  <w:r>
                    <w:rPr>
                      <w:rFonts w:hint="eastAsia"/>
                      <w:highlight w:val="none"/>
                      <w:u w:val="none"/>
                      <w:lang w:val="en-US" w:eastAsia="zh-CN"/>
                    </w:rPr>
                    <w:t>95</w:t>
                  </w:r>
                </w:p>
              </w:tc>
              <w:tc>
                <w:tcPr>
                  <w:tcW w:w="417" w:type="pct"/>
                  <w:tcBorders>
                    <w:tl2br w:val="nil"/>
                    <w:tr2bl w:val="nil"/>
                  </w:tcBorders>
                  <w:noWrap w:val="0"/>
                  <w:vAlign w:val="center"/>
                </w:tcPr>
                <w:p w14:paraId="517302ED">
                  <w:pPr>
                    <w:pStyle w:val="7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kern w:val="2"/>
                      <w:sz w:val="21"/>
                      <w:szCs w:val="24"/>
                      <w:highlight w:val="none"/>
                      <w:u w:val="none"/>
                      <w:lang w:val="en-US" w:eastAsia="zh-CN" w:bidi="ar-SA"/>
                    </w:rPr>
                  </w:pPr>
                  <w:r>
                    <w:rPr>
                      <w:rFonts w:hint="eastAsia"/>
                      <w:highlight w:val="none"/>
                      <w:u w:val="none"/>
                      <w:lang w:val="en-US" w:eastAsia="zh-CN"/>
                    </w:rPr>
                    <w:t>10</w:t>
                  </w:r>
                </w:p>
              </w:tc>
              <w:tc>
                <w:tcPr>
                  <w:tcW w:w="936" w:type="pct"/>
                  <w:tcBorders>
                    <w:tl2br w:val="nil"/>
                    <w:tr2bl w:val="nil"/>
                  </w:tcBorders>
                  <w:noWrap w:val="0"/>
                  <w:vAlign w:val="center"/>
                </w:tcPr>
                <w:p w14:paraId="7637CBD0">
                  <w:pPr>
                    <w:pStyle w:val="7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kern w:val="2"/>
                      <w:sz w:val="21"/>
                      <w:szCs w:val="24"/>
                      <w:highlight w:val="none"/>
                      <w:u w:val="none"/>
                      <w:lang w:val="en-US" w:eastAsia="zh-CN" w:bidi="ar-SA"/>
                    </w:rPr>
                  </w:pPr>
                  <w:r>
                    <w:rPr>
                      <w:rFonts w:hint="default" w:ascii="Times New Roman" w:hAnsi="Times New Roman" w:eastAsia="宋体" w:cs="Times New Roman"/>
                      <w:b w:val="0"/>
                      <w:bCs/>
                      <w:color w:val="000000"/>
                      <w:kern w:val="2"/>
                      <w:sz w:val="21"/>
                      <w:szCs w:val="21"/>
                      <w:highlight w:val="none"/>
                      <w:u w:val="none"/>
                      <w:lang w:eastAsia="zh-CN"/>
                    </w:rPr>
                    <w:t>无齿钻</w:t>
                  </w:r>
                </w:p>
              </w:tc>
              <w:tc>
                <w:tcPr>
                  <w:tcW w:w="1256" w:type="pct"/>
                  <w:tcBorders>
                    <w:tl2br w:val="nil"/>
                    <w:tr2bl w:val="nil"/>
                  </w:tcBorders>
                  <w:noWrap w:val="0"/>
                  <w:vAlign w:val="center"/>
                </w:tcPr>
                <w:p w14:paraId="75269ED0">
                  <w:pPr>
                    <w:pStyle w:val="7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kern w:val="2"/>
                      <w:sz w:val="21"/>
                      <w:szCs w:val="24"/>
                      <w:highlight w:val="none"/>
                      <w:u w:val="none"/>
                      <w:lang w:val="en-US" w:eastAsia="zh-CN" w:bidi="ar-SA"/>
                    </w:rPr>
                  </w:pPr>
                  <w:r>
                    <w:rPr>
                      <w:rFonts w:hint="eastAsia"/>
                      <w:highlight w:val="none"/>
                      <w:u w:val="none"/>
                      <w:lang w:val="en-US" w:eastAsia="zh-CN"/>
                    </w:rPr>
                    <w:t>90</w:t>
                  </w:r>
                </w:p>
              </w:tc>
            </w:tr>
          </w:tbl>
          <w:p w14:paraId="24333C49">
            <w:pPr>
              <w:pStyle w:val="79"/>
              <w:bidi w:val="0"/>
              <w:rPr>
                <w:rFonts w:hint="eastAsia"/>
                <w:highlight w:val="none"/>
                <w:u w:val="single"/>
                <w:lang w:val="en-US" w:eastAsia="zh-CN"/>
              </w:rPr>
            </w:pPr>
          </w:p>
          <w:p w14:paraId="4B837D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highlight w:val="none"/>
              </w:rPr>
            </w:pPr>
            <w:r>
              <w:rPr>
                <w:rFonts w:hint="eastAsia"/>
                <w:color w:val="auto"/>
                <w:sz w:val="24"/>
                <w:szCs w:val="24"/>
                <w:highlight w:val="none"/>
                <w:lang w:val="en-US" w:eastAsia="zh-CN"/>
              </w:rPr>
              <w:t>在施工过程中，这些施工机械又往往是同时作业，噪声源辐射量的相互叠加，声级值将更高，辐射范围也更大。</w:t>
            </w:r>
          </w:p>
          <w:p w14:paraId="31E153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highlight w:val="none"/>
              </w:rPr>
            </w:pPr>
            <w:r>
              <w:rPr>
                <w:rFonts w:hint="eastAsia"/>
                <w:color w:val="auto"/>
                <w:sz w:val="24"/>
                <w:szCs w:val="24"/>
                <w:highlight w:val="none"/>
                <w:lang w:val="en-US" w:eastAsia="zh-CN"/>
              </w:rPr>
              <w:t>施工噪声对周边声环境的影响，采用《建筑施工噪声排放标准》（GB12523-2025）进行评价。</w:t>
            </w:r>
          </w:p>
          <w:p w14:paraId="2B65E7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highlight w:val="none"/>
              </w:rPr>
            </w:pPr>
            <w:r>
              <w:rPr>
                <w:rFonts w:hint="eastAsia"/>
                <w:sz w:val="24"/>
                <w:szCs w:val="24"/>
                <w:highlight w:val="none"/>
                <w:lang w:val="en-US" w:eastAsia="zh-CN"/>
              </w:rPr>
              <w:t>施工机械噪声主要属中低频噪声，预测其影响时可只考虑其扩散衰减，预测模型可选用：</w:t>
            </w:r>
          </w:p>
          <w:p w14:paraId="7A18AA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highlight w:val="none"/>
              </w:rPr>
            </w:pPr>
            <w:r>
              <w:rPr>
                <w:rFonts w:hint="default" w:ascii="Times New Roman" w:hAnsi="Times New Roman" w:eastAsia="宋体" w:cs="Times New Roman"/>
                <w:color w:val="auto"/>
                <w:kern w:val="2"/>
                <w:position w:val="-30"/>
                <w:sz w:val="24"/>
                <w:szCs w:val="24"/>
                <w:highlight w:val="none"/>
                <w:u w:val="none"/>
              </w:rPr>
              <w:object>
                <v:shape id="_x0000_i1026" o:spt="75" type="#_x0000_t75" style="height:33.7pt;width:123pt;" o:ole="t" filled="f" stroked="f" coordsize="21600,21600">
                  <v:path/>
                  <v:fill on="f" focussize="0,0"/>
                  <v:stroke on="f"/>
                  <v:imagedata r:id="rId13" o:title="9987188881464835278740.wmf"/>
                  <o:lock v:ext="edit" aspectratio="t"/>
                  <w10:wrap type="none"/>
                  <w10:anchorlock/>
                </v:shape>
                <o:OLEObject Type="Embed" ProgID="Excel.Sheet.8" ShapeID="_x0000_i1026" DrawAspect="Content" ObjectID="_1468075726" r:id="rId12">
                  <o:LockedField>false</o:LockedField>
                </o:OLEObject>
              </w:object>
            </w:r>
          </w:p>
          <w:p w14:paraId="6E5F92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highlight w:val="none"/>
              </w:rPr>
            </w:pPr>
            <w:r>
              <w:rPr>
                <w:rFonts w:hint="default"/>
                <w:sz w:val="24"/>
                <w:szCs w:val="24"/>
                <w:highlight w:val="none"/>
              </w:rPr>
              <w:t>式中：Leq—不同距离处的等效声级，dB(A)；</w:t>
            </w:r>
          </w:p>
          <w:p w14:paraId="354EA46D">
            <w:pPr>
              <w:keepNext w:val="0"/>
              <w:keepLines w:val="0"/>
              <w:pageBreakBefore w:val="0"/>
              <w:widowControl w:val="0"/>
              <w:kinsoku/>
              <w:wordWrap/>
              <w:overflowPunct/>
              <w:topLinePunct w:val="0"/>
              <w:autoSpaceDE/>
              <w:autoSpaceDN/>
              <w:bidi w:val="0"/>
              <w:adjustRightInd/>
              <w:snapToGrid/>
              <w:spacing w:line="360" w:lineRule="auto"/>
              <w:ind w:firstLine="1200" w:firstLineChars="500"/>
              <w:textAlignment w:val="auto"/>
              <w:rPr>
                <w:rFonts w:hint="default"/>
                <w:sz w:val="24"/>
                <w:szCs w:val="24"/>
                <w:highlight w:val="none"/>
              </w:rPr>
            </w:pPr>
            <w:r>
              <w:rPr>
                <w:rFonts w:hint="default"/>
                <w:sz w:val="24"/>
                <w:szCs w:val="24"/>
                <w:highlight w:val="none"/>
              </w:rPr>
              <w:t>L</w:t>
            </w:r>
            <w:r>
              <w:rPr>
                <w:rFonts w:hint="default"/>
                <w:sz w:val="24"/>
                <w:szCs w:val="24"/>
                <w:highlight w:val="none"/>
                <w:vertAlign w:val="subscript"/>
              </w:rPr>
              <w:t>WA</w:t>
            </w:r>
            <w:r>
              <w:rPr>
                <w:rFonts w:hint="default"/>
                <w:sz w:val="24"/>
                <w:szCs w:val="24"/>
                <w:highlight w:val="none"/>
              </w:rPr>
              <w:t>—噪声源声功率，dB(A)；</w:t>
            </w:r>
          </w:p>
          <w:p w14:paraId="30944643">
            <w:pPr>
              <w:keepNext w:val="0"/>
              <w:keepLines w:val="0"/>
              <w:pageBreakBefore w:val="0"/>
              <w:widowControl w:val="0"/>
              <w:kinsoku/>
              <w:wordWrap/>
              <w:overflowPunct/>
              <w:topLinePunct w:val="0"/>
              <w:autoSpaceDE/>
              <w:autoSpaceDN/>
              <w:bidi w:val="0"/>
              <w:adjustRightInd/>
              <w:snapToGrid/>
              <w:spacing w:line="360" w:lineRule="auto"/>
              <w:ind w:firstLine="1200" w:firstLineChars="500"/>
              <w:textAlignment w:val="auto"/>
              <w:rPr>
                <w:rFonts w:hint="default"/>
                <w:sz w:val="24"/>
                <w:szCs w:val="24"/>
                <w:highlight w:val="none"/>
              </w:rPr>
            </w:pPr>
            <w:r>
              <w:rPr>
                <w:rFonts w:hint="default"/>
                <w:sz w:val="24"/>
                <w:szCs w:val="24"/>
                <w:highlight w:val="none"/>
              </w:rPr>
              <w:t>r—不同距离，m；</w:t>
            </w:r>
          </w:p>
          <w:p w14:paraId="7B0A26E2">
            <w:pPr>
              <w:keepNext w:val="0"/>
              <w:keepLines w:val="0"/>
              <w:pageBreakBefore w:val="0"/>
              <w:widowControl w:val="0"/>
              <w:kinsoku/>
              <w:wordWrap/>
              <w:overflowPunct/>
              <w:topLinePunct w:val="0"/>
              <w:autoSpaceDE/>
              <w:autoSpaceDN/>
              <w:bidi w:val="0"/>
              <w:adjustRightInd/>
              <w:snapToGrid/>
              <w:spacing w:line="360" w:lineRule="auto"/>
              <w:ind w:firstLine="1200" w:firstLineChars="500"/>
              <w:textAlignment w:val="auto"/>
              <w:rPr>
                <w:rFonts w:hint="default"/>
                <w:sz w:val="24"/>
                <w:szCs w:val="24"/>
                <w:highlight w:val="none"/>
              </w:rPr>
            </w:pPr>
            <w:r>
              <w:rPr>
                <w:rFonts w:hint="default"/>
                <w:sz w:val="24"/>
                <w:szCs w:val="24"/>
                <w:highlight w:val="none"/>
              </w:rPr>
              <w:t>r</w:t>
            </w:r>
            <w:r>
              <w:rPr>
                <w:rFonts w:hint="default"/>
                <w:sz w:val="24"/>
                <w:szCs w:val="24"/>
                <w:highlight w:val="none"/>
                <w:vertAlign w:val="subscript"/>
              </w:rPr>
              <w:t>0</w:t>
            </w:r>
            <w:r>
              <w:rPr>
                <w:rFonts w:hint="default"/>
                <w:sz w:val="24"/>
                <w:szCs w:val="24"/>
                <w:highlight w:val="none"/>
              </w:rPr>
              <w:t>—距声源1m处，m；</w:t>
            </w:r>
          </w:p>
          <w:p w14:paraId="654CF1C4">
            <w:pPr>
              <w:keepNext w:val="0"/>
              <w:keepLines w:val="0"/>
              <w:pageBreakBefore w:val="0"/>
              <w:widowControl w:val="0"/>
              <w:kinsoku/>
              <w:wordWrap/>
              <w:overflowPunct/>
              <w:topLinePunct w:val="0"/>
              <w:autoSpaceDE/>
              <w:autoSpaceDN/>
              <w:bidi w:val="0"/>
              <w:adjustRightInd/>
              <w:snapToGrid/>
              <w:spacing w:line="360" w:lineRule="auto"/>
              <w:ind w:firstLine="1200" w:firstLineChars="500"/>
              <w:textAlignment w:val="auto"/>
              <w:rPr>
                <w:rFonts w:hint="eastAsia"/>
                <w:sz w:val="24"/>
                <w:szCs w:val="24"/>
                <w:highlight w:val="none"/>
                <w:lang w:val="en-US" w:eastAsia="zh-CN"/>
              </w:rPr>
            </w:pPr>
            <w:r>
              <w:rPr>
                <w:rFonts w:hint="default"/>
                <w:sz w:val="24"/>
                <w:szCs w:val="24"/>
                <w:highlight w:val="none"/>
              </w:rPr>
              <w:t>Ae—环境因子（取0）。</w:t>
            </w:r>
          </w:p>
          <w:p w14:paraId="503928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highlight w:val="none"/>
              </w:rPr>
            </w:pPr>
            <w:r>
              <w:rPr>
                <w:rFonts w:hint="default"/>
                <w:sz w:val="24"/>
                <w:szCs w:val="24"/>
                <w:highlight w:val="none"/>
              </w:rPr>
              <w:t>各施工阶段主要噪声源在不同距离处的平均等效声级见表。</w:t>
            </w:r>
          </w:p>
          <w:p w14:paraId="5DEC17FC">
            <w:pPr>
              <w:pStyle w:val="72"/>
              <w:keepNext w:val="0"/>
              <w:keepLines w:val="0"/>
              <w:pageBreakBefore w:val="0"/>
              <w:widowControl w:val="0"/>
              <w:numPr>
                <w:ilvl w:val="0"/>
                <w:numId w:val="0"/>
              </w:numPr>
              <w:kinsoku/>
              <w:wordWrap/>
              <w:overflowPunct/>
              <w:topLinePunct w:val="0"/>
              <w:autoSpaceDE/>
              <w:autoSpaceDN/>
              <w:bidi w:val="0"/>
              <w:adjustRightInd w:val="0"/>
              <w:snapToGrid/>
              <w:spacing w:before="0" w:after="0" w:line="240" w:lineRule="auto"/>
              <w:ind w:leftChars="0"/>
              <w:jc w:val="center"/>
              <w:textAlignment w:val="baseline"/>
              <w:rPr>
                <w:rFonts w:hint="default" w:ascii="Times New Roman" w:hAnsi="Times New Roman" w:eastAsia="宋体" w:cs="Times New Roman"/>
                <w:b/>
                <w:bCs/>
                <w:highlight w:val="none"/>
                <w:u w:val="none"/>
              </w:rPr>
            </w:pPr>
            <w:r>
              <w:rPr>
                <w:rFonts w:hint="default" w:ascii="Times New Roman" w:hAnsi="Times New Roman" w:eastAsia="宋体" w:cs="Times New Roman"/>
                <w:b/>
                <w:bCs/>
                <w:highlight w:val="none"/>
                <w:u w:val="none"/>
                <w:lang w:eastAsia="zh-CN"/>
              </w:rPr>
              <w:t>表</w:t>
            </w:r>
            <w:r>
              <w:rPr>
                <w:rFonts w:hint="eastAsia" w:cs="Times New Roman"/>
                <w:b/>
                <w:bCs/>
                <w:highlight w:val="none"/>
                <w:u w:val="none"/>
                <w:lang w:val="en-US" w:eastAsia="zh-CN"/>
              </w:rPr>
              <w:t>4-2</w:t>
            </w:r>
            <w:r>
              <w:rPr>
                <w:rFonts w:hint="default" w:ascii="Times New Roman" w:hAnsi="Times New Roman" w:eastAsia="宋体" w:cs="Times New Roman"/>
                <w:b/>
                <w:bCs/>
                <w:highlight w:val="none"/>
                <w:u w:val="none"/>
                <w:lang w:val="en-US" w:eastAsia="zh-CN"/>
              </w:rPr>
              <w:t xml:space="preserve">  </w:t>
            </w:r>
            <w:r>
              <w:rPr>
                <w:rFonts w:hint="default" w:ascii="Times New Roman" w:hAnsi="Times New Roman" w:eastAsia="宋体" w:cs="Times New Roman"/>
                <w:b/>
                <w:bCs/>
                <w:highlight w:val="none"/>
                <w:u w:val="none"/>
              </w:rPr>
              <w:t xml:space="preserve">施工各阶段噪声在不同距离的平均等效声级 </w:t>
            </w:r>
            <w:r>
              <w:rPr>
                <w:rFonts w:hint="default" w:ascii="Times New Roman" w:hAnsi="Times New Roman" w:eastAsia="宋体" w:cs="Times New Roman"/>
                <w:b/>
                <w:bCs/>
                <w:highlight w:val="none"/>
                <w:u w:val="none"/>
                <w:lang w:val="en-US" w:eastAsia="zh-CN"/>
              </w:rPr>
              <w:t>单位：dB（A）</w:t>
            </w:r>
          </w:p>
          <w:tbl>
            <w:tblPr>
              <w:tblStyle w:val="25"/>
              <w:tblW w:w="4971"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72"/>
              <w:gridCol w:w="1509"/>
              <w:gridCol w:w="1094"/>
              <w:gridCol w:w="1063"/>
              <w:gridCol w:w="927"/>
              <w:gridCol w:w="932"/>
              <w:gridCol w:w="932"/>
              <w:gridCol w:w="1037"/>
            </w:tblGrid>
            <w:tr w14:paraId="4F5DB2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9" w:type="pct"/>
                  <w:vMerge w:val="restart"/>
                  <w:tcBorders>
                    <w:tl2br w:val="nil"/>
                    <w:tr2bl w:val="nil"/>
                  </w:tcBorders>
                  <w:noWrap w:val="0"/>
                  <w:vAlign w:val="center"/>
                </w:tcPr>
                <w:p w14:paraId="07E155DE">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rPr>
                  </w:pPr>
                  <w:r>
                    <w:rPr>
                      <w:rFonts w:hint="default"/>
                      <w:highlight w:val="none"/>
                      <w:u w:val="none"/>
                    </w:rPr>
                    <w:t>序号</w:t>
                  </w:r>
                </w:p>
              </w:tc>
              <w:tc>
                <w:tcPr>
                  <w:tcW w:w="960" w:type="pct"/>
                  <w:vMerge w:val="restart"/>
                  <w:tcBorders>
                    <w:tl2br w:val="nil"/>
                    <w:tr2bl w:val="nil"/>
                  </w:tcBorders>
                  <w:noWrap w:val="0"/>
                  <w:vAlign w:val="center"/>
                </w:tcPr>
                <w:p w14:paraId="2B52049F">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rPr>
                  </w:pPr>
                  <w:r>
                    <w:rPr>
                      <w:rFonts w:hint="default"/>
                      <w:highlight w:val="none"/>
                      <w:u w:val="none"/>
                    </w:rPr>
                    <w:t>施工阶段</w:t>
                  </w:r>
                </w:p>
              </w:tc>
              <w:tc>
                <w:tcPr>
                  <w:tcW w:w="597" w:type="pct"/>
                  <w:vMerge w:val="restart"/>
                  <w:tcBorders>
                    <w:tl2br w:val="nil"/>
                    <w:tr2bl w:val="nil"/>
                  </w:tcBorders>
                  <w:noWrap w:val="0"/>
                  <w:vAlign w:val="center"/>
                </w:tcPr>
                <w:p w14:paraId="7B8056B0">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rPr>
                  </w:pPr>
                  <w:r>
                    <w:rPr>
                      <w:rFonts w:hint="default"/>
                      <w:highlight w:val="none"/>
                      <w:u w:val="none"/>
                    </w:rPr>
                    <w:t>声功</w:t>
                  </w:r>
                </w:p>
                <w:p w14:paraId="70EE5D5F">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rPr>
                  </w:pPr>
                  <w:r>
                    <w:rPr>
                      <w:rFonts w:hint="default"/>
                      <w:highlight w:val="none"/>
                      <w:u w:val="none"/>
                    </w:rPr>
                    <w:t>率级</w:t>
                  </w:r>
                </w:p>
              </w:tc>
              <w:tc>
                <w:tcPr>
                  <w:tcW w:w="3131" w:type="pct"/>
                  <w:gridSpan w:val="5"/>
                  <w:tcBorders>
                    <w:tl2br w:val="nil"/>
                    <w:tr2bl w:val="nil"/>
                  </w:tcBorders>
                  <w:noWrap w:val="0"/>
                  <w:vAlign w:val="center"/>
                </w:tcPr>
                <w:p w14:paraId="21A6798B">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rPr>
                  </w:pPr>
                  <w:r>
                    <w:rPr>
                      <w:rFonts w:hint="default"/>
                      <w:highlight w:val="none"/>
                      <w:u w:val="none"/>
                    </w:rPr>
                    <w:t>距声源距离</w:t>
                  </w:r>
                </w:p>
              </w:tc>
            </w:tr>
            <w:tr w14:paraId="211001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9" w:type="pct"/>
                  <w:vMerge w:val="continue"/>
                  <w:tcBorders>
                    <w:tl2br w:val="nil"/>
                    <w:tr2bl w:val="nil"/>
                  </w:tcBorders>
                  <w:noWrap w:val="0"/>
                  <w:vAlign w:val="center"/>
                </w:tcPr>
                <w:p w14:paraId="75FB5329">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rPr>
                  </w:pPr>
                </w:p>
              </w:tc>
              <w:tc>
                <w:tcPr>
                  <w:tcW w:w="960" w:type="pct"/>
                  <w:vMerge w:val="continue"/>
                  <w:tcBorders>
                    <w:tl2br w:val="nil"/>
                    <w:tr2bl w:val="nil"/>
                  </w:tcBorders>
                  <w:noWrap w:val="0"/>
                  <w:vAlign w:val="center"/>
                </w:tcPr>
                <w:p w14:paraId="59308731">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rPr>
                  </w:pPr>
                </w:p>
              </w:tc>
              <w:tc>
                <w:tcPr>
                  <w:tcW w:w="597" w:type="pct"/>
                  <w:vMerge w:val="continue"/>
                  <w:tcBorders>
                    <w:tl2br w:val="nil"/>
                    <w:tr2bl w:val="nil"/>
                  </w:tcBorders>
                  <w:noWrap w:val="0"/>
                  <w:vAlign w:val="center"/>
                </w:tcPr>
                <w:p w14:paraId="4AA4E3D6">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rPr>
                  </w:pPr>
                </w:p>
              </w:tc>
              <w:tc>
                <w:tcPr>
                  <w:tcW w:w="680" w:type="pct"/>
                  <w:tcBorders>
                    <w:tl2br w:val="nil"/>
                    <w:tr2bl w:val="nil"/>
                  </w:tcBorders>
                  <w:noWrap w:val="0"/>
                  <w:vAlign w:val="center"/>
                </w:tcPr>
                <w:p w14:paraId="46AE5E81">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rPr>
                  </w:pPr>
                  <w:r>
                    <w:rPr>
                      <w:rFonts w:hint="default"/>
                      <w:highlight w:val="none"/>
                      <w:u w:val="none"/>
                    </w:rPr>
                    <w:t>场地边界</w:t>
                  </w:r>
                </w:p>
              </w:tc>
              <w:tc>
                <w:tcPr>
                  <w:tcW w:w="594" w:type="pct"/>
                  <w:tcBorders>
                    <w:tl2br w:val="nil"/>
                    <w:tr2bl w:val="nil"/>
                  </w:tcBorders>
                  <w:noWrap w:val="0"/>
                  <w:vAlign w:val="center"/>
                </w:tcPr>
                <w:p w14:paraId="3D30F2C1">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rPr>
                  </w:pPr>
                  <w:r>
                    <w:rPr>
                      <w:rFonts w:hint="default"/>
                      <w:highlight w:val="none"/>
                      <w:u w:val="none"/>
                    </w:rPr>
                    <w:t>100m</w:t>
                  </w:r>
                </w:p>
              </w:tc>
              <w:tc>
                <w:tcPr>
                  <w:tcW w:w="597" w:type="pct"/>
                  <w:tcBorders>
                    <w:tl2br w:val="nil"/>
                    <w:tr2bl w:val="nil"/>
                  </w:tcBorders>
                  <w:noWrap w:val="0"/>
                  <w:vAlign w:val="center"/>
                </w:tcPr>
                <w:p w14:paraId="2FDF6094">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rPr>
                  </w:pPr>
                  <w:r>
                    <w:rPr>
                      <w:rFonts w:hint="default"/>
                      <w:highlight w:val="none"/>
                      <w:u w:val="none"/>
                    </w:rPr>
                    <w:t>200m</w:t>
                  </w:r>
                </w:p>
              </w:tc>
              <w:tc>
                <w:tcPr>
                  <w:tcW w:w="597" w:type="pct"/>
                  <w:tcBorders>
                    <w:tl2br w:val="nil"/>
                    <w:tr2bl w:val="nil"/>
                  </w:tcBorders>
                  <w:noWrap w:val="0"/>
                  <w:vAlign w:val="center"/>
                </w:tcPr>
                <w:p w14:paraId="63DD959A">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rPr>
                  </w:pPr>
                  <w:r>
                    <w:rPr>
                      <w:rFonts w:hint="default"/>
                      <w:highlight w:val="none"/>
                      <w:u w:val="none"/>
                    </w:rPr>
                    <w:t>300m</w:t>
                  </w:r>
                </w:p>
              </w:tc>
              <w:tc>
                <w:tcPr>
                  <w:tcW w:w="661" w:type="pct"/>
                  <w:tcBorders>
                    <w:tl2br w:val="nil"/>
                    <w:tr2bl w:val="nil"/>
                  </w:tcBorders>
                  <w:noWrap w:val="0"/>
                  <w:vAlign w:val="center"/>
                </w:tcPr>
                <w:p w14:paraId="411FCAAC">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rPr>
                  </w:pPr>
                  <w:r>
                    <w:rPr>
                      <w:rFonts w:hint="default"/>
                      <w:highlight w:val="none"/>
                      <w:u w:val="none"/>
                    </w:rPr>
                    <w:t>500m</w:t>
                  </w:r>
                </w:p>
              </w:tc>
            </w:tr>
            <w:tr w14:paraId="202153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9" w:type="pct"/>
                  <w:tcBorders>
                    <w:tl2br w:val="nil"/>
                    <w:tr2bl w:val="nil"/>
                  </w:tcBorders>
                  <w:noWrap w:val="0"/>
                  <w:vAlign w:val="center"/>
                </w:tcPr>
                <w:p w14:paraId="0788EFEC">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rPr>
                  </w:pPr>
                  <w:r>
                    <w:rPr>
                      <w:rFonts w:hint="default"/>
                      <w:highlight w:val="none"/>
                      <w:u w:val="none"/>
                    </w:rPr>
                    <w:t>1</w:t>
                  </w:r>
                </w:p>
              </w:tc>
              <w:tc>
                <w:tcPr>
                  <w:tcW w:w="960" w:type="pct"/>
                  <w:tcBorders>
                    <w:tl2br w:val="nil"/>
                    <w:tr2bl w:val="nil"/>
                  </w:tcBorders>
                  <w:noWrap w:val="0"/>
                  <w:vAlign w:val="center"/>
                </w:tcPr>
                <w:p w14:paraId="5E3EBCD0">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rPr>
                  </w:pPr>
                  <w:r>
                    <w:rPr>
                      <w:rFonts w:hint="eastAsia"/>
                      <w:highlight w:val="none"/>
                      <w:u w:val="none"/>
                      <w:lang w:val="en-US" w:eastAsia="zh-CN"/>
                    </w:rPr>
                    <w:t>土石方</w:t>
                  </w:r>
                  <w:r>
                    <w:rPr>
                      <w:rFonts w:hint="default"/>
                      <w:highlight w:val="none"/>
                      <w:u w:val="none"/>
                    </w:rPr>
                    <w:t>阶段</w:t>
                  </w:r>
                </w:p>
              </w:tc>
              <w:tc>
                <w:tcPr>
                  <w:tcW w:w="597" w:type="pct"/>
                  <w:tcBorders>
                    <w:tl2br w:val="nil"/>
                    <w:tr2bl w:val="nil"/>
                  </w:tcBorders>
                  <w:noWrap w:val="0"/>
                  <w:vAlign w:val="center"/>
                </w:tcPr>
                <w:p w14:paraId="78CCC1EF">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eastAsia="宋体"/>
                      <w:highlight w:val="none"/>
                      <w:u w:val="none"/>
                      <w:lang w:val="en-US" w:eastAsia="zh-CN"/>
                    </w:rPr>
                  </w:pPr>
                  <w:r>
                    <w:rPr>
                      <w:rFonts w:hint="eastAsia"/>
                      <w:highlight w:val="none"/>
                      <w:u w:val="none"/>
                      <w:lang w:val="en-US" w:eastAsia="zh-CN"/>
                    </w:rPr>
                    <w:t>10</w:t>
                  </w:r>
                  <w:r>
                    <w:rPr>
                      <w:rFonts w:hint="default"/>
                      <w:highlight w:val="none"/>
                      <w:u w:val="none"/>
                    </w:rPr>
                    <w:t>0-</w:t>
                  </w:r>
                  <w:r>
                    <w:rPr>
                      <w:rFonts w:hint="eastAsia"/>
                      <w:highlight w:val="none"/>
                      <w:u w:val="none"/>
                      <w:lang w:val="en-US" w:eastAsia="zh-CN"/>
                    </w:rPr>
                    <w:t>110</w:t>
                  </w:r>
                </w:p>
              </w:tc>
              <w:tc>
                <w:tcPr>
                  <w:tcW w:w="680" w:type="pct"/>
                  <w:tcBorders>
                    <w:tl2br w:val="nil"/>
                    <w:tr2bl w:val="nil"/>
                  </w:tcBorders>
                  <w:noWrap w:val="0"/>
                  <w:vAlign w:val="center"/>
                </w:tcPr>
                <w:p w14:paraId="08937E55">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rPr>
                  </w:pPr>
                  <w:r>
                    <w:rPr>
                      <w:rFonts w:hint="default"/>
                      <w:highlight w:val="none"/>
                      <w:u w:val="none"/>
                    </w:rPr>
                    <w:t>70</w:t>
                  </w:r>
                  <w:r>
                    <w:rPr>
                      <w:rFonts w:hint="default"/>
                      <w:highlight w:val="none"/>
                      <w:u w:val="none"/>
                      <w:lang w:eastAsia="zh-CN"/>
                    </w:rPr>
                    <w:t>-</w:t>
                  </w:r>
                  <w:r>
                    <w:rPr>
                      <w:rFonts w:hint="default"/>
                      <w:highlight w:val="none"/>
                      <w:u w:val="none"/>
                    </w:rPr>
                    <w:t>80</w:t>
                  </w:r>
                </w:p>
              </w:tc>
              <w:tc>
                <w:tcPr>
                  <w:tcW w:w="594" w:type="pct"/>
                  <w:tcBorders>
                    <w:tl2br w:val="nil"/>
                    <w:tr2bl w:val="nil"/>
                  </w:tcBorders>
                  <w:noWrap w:val="0"/>
                  <w:vAlign w:val="center"/>
                </w:tcPr>
                <w:p w14:paraId="55357831">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rPr>
                  </w:pPr>
                  <w:r>
                    <w:rPr>
                      <w:rFonts w:hint="default"/>
                      <w:highlight w:val="none"/>
                      <w:u w:val="none"/>
                    </w:rPr>
                    <w:t>60</w:t>
                  </w:r>
                  <w:r>
                    <w:rPr>
                      <w:rFonts w:hint="default"/>
                      <w:highlight w:val="none"/>
                      <w:u w:val="none"/>
                      <w:lang w:eastAsia="zh-CN"/>
                    </w:rPr>
                    <w:t>-</w:t>
                  </w:r>
                  <w:r>
                    <w:rPr>
                      <w:rFonts w:hint="default"/>
                      <w:highlight w:val="none"/>
                      <w:u w:val="none"/>
                    </w:rPr>
                    <w:t>70</w:t>
                  </w:r>
                </w:p>
              </w:tc>
              <w:tc>
                <w:tcPr>
                  <w:tcW w:w="597" w:type="pct"/>
                  <w:tcBorders>
                    <w:tl2br w:val="nil"/>
                    <w:tr2bl w:val="nil"/>
                  </w:tcBorders>
                  <w:noWrap w:val="0"/>
                  <w:vAlign w:val="center"/>
                </w:tcPr>
                <w:p w14:paraId="184ACB1F">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rPr>
                  </w:pPr>
                  <w:r>
                    <w:rPr>
                      <w:rFonts w:hint="default"/>
                      <w:highlight w:val="none"/>
                      <w:u w:val="none"/>
                    </w:rPr>
                    <w:t>54</w:t>
                  </w:r>
                  <w:r>
                    <w:rPr>
                      <w:rFonts w:hint="default"/>
                      <w:highlight w:val="none"/>
                      <w:u w:val="none"/>
                      <w:lang w:eastAsia="zh-CN"/>
                    </w:rPr>
                    <w:t>-</w:t>
                  </w:r>
                  <w:r>
                    <w:rPr>
                      <w:rFonts w:hint="default"/>
                      <w:highlight w:val="none"/>
                      <w:u w:val="none"/>
                    </w:rPr>
                    <w:t>64</w:t>
                  </w:r>
                </w:p>
              </w:tc>
              <w:tc>
                <w:tcPr>
                  <w:tcW w:w="597" w:type="pct"/>
                  <w:tcBorders>
                    <w:tl2br w:val="nil"/>
                    <w:tr2bl w:val="nil"/>
                  </w:tcBorders>
                  <w:noWrap w:val="0"/>
                  <w:vAlign w:val="center"/>
                </w:tcPr>
                <w:p w14:paraId="4489C628">
                  <w:pPr>
                    <w:pStyle w:val="78"/>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highlight w:val="none"/>
                      <w:u w:val="none"/>
                      <w:lang w:eastAsia="zh-CN"/>
                    </w:rPr>
                  </w:pPr>
                  <w:r>
                    <w:rPr>
                      <w:rFonts w:hint="eastAsia"/>
                      <w:highlight w:val="none"/>
                      <w:u w:val="none"/>
                      <w:lang w:val="en-US" w:eastAsia="zh-CN"/>
                    </w:rPr>
                    <w:t>50</w:t>
                  </w:r>
                  <w:r>
                    <w:rPr>
                      <w:rFonts w:hint="default"/>
                      <w:highlight w:val="none"/>
                      <w:u w:val="none"/>
                      <w:lang w:eastAsia="zh-CN"/>
                    </w:rPr>
                    <w:t>-</w:t>
                  </w:r>
                  <w:r>
                    <w:rPr>
                      <w:rFonts w:hint="default"/>
                      <w:highlight w:val="none"/>
                      <w:u w:val="none"/>
                    </w:rPr>
                    <w:t>6</w:t>
                  </w:r>
                  <w:r>
                    <w:rPr>
                      <w:rFonts w:hint="eastAsia"/>
                      <w:highlight w:val="none"/>
                      <w:u w:val="none"/>
                      <w:lang w:val="en-US" w:eastAsia="zh-CN"/>
                    </w:rPr>
                    <w:t>0</w:t>
                  </w:r>
                </w:p>
              </w:tc>
              <w:tc>
                <w:tcPr>
                  <w:tcW w:w="661" w:type="pct"/>
                  <w:tcBorders>
                    <w:tl2br w:val="nil"/>
                    <w:tr2bl w:val="nil"/>
                  </w:tcBorders>
                  <w:noWrap w:val="0"/>
                  <w:vAlign w:val="center"/>
                </w:tcPr>
                <w:p w14:paraId="5AE6DEC2">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rPr>
                  </w:pPr>
                  <w:r>
                    <w:rPr>
                      <w:rFonts w:hint="default"/>
                      <w:highlight w:val="none"/>
                      <w:u w:val="none"/>
                    </w:rPr>
                    <w:t>46</w:t>
                  </w:r>
                  <w:r>
                    <w:rPr>
                      <w:rFonts w:hint="default"/>
                      <w:highlight w:val="none"/>
                      <w:u w:val="none"/>
                      <w:lang w:eastAsia="zh-CN"/>
                    </w:rPr>
                    <w:t>-</w:t>
                  </w:r>
                  <w:r>
                    <w:rPr>
                      <w:rFonts w:hint="default"/>
                      <w:highlight w:val="none"/>
                      <w:u w:val="none"/>
                    </w:rPr>
                    <w:t>56</w:t>
                  </w:r>
                </w:p>
              </w:tc>
            </w:tr>
            <w:tr w14:paraId="304112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309" w:type="pct"/>
                  <w:tcBorders>
                    <w:tl2br w:val="nil"/>
                    <w:tr2bl w:val="nil"/>
                  </w:tcBorders>
                  <w:noWrap w:val="0"/>
                  <w:vAlign w:val="center"/>
                </w:tcPr>
                <w:p w14:paraId="18EF3594">
                  <w:pPr>
                    <w:pStyle w:val="78"/>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highlight w:val="none"/>
                      <w:u w:val="none"/>
                      <w:lang w:eastAsia="zh-CN"/>
                    </w:rPr>
                  </w:pPr>
                  <w:r>
                    <w:rPr>
                      <w:rFonts w:hint="eastAsia"/>
                      <w:highlight w:val="none"/>
                      <w:u w:val="none"/>
                      <w:lang w:val="en-US" w:eastAsia="zh-CN"/>
                    </w:rPr>
                    <w:t>2</w:t>
                  </w:r>
                </w:p>
              </w:tc>
              <w:tc>
                <w:tcPr>
                  <w:tcW w:w="960" w:type="pct"/>
                  <w:tcBorders>
                    <w:tl2br w:val="nil"/>
                    <w:tr2bl w:val="nil"/>
                  </w:tcBorders>
                  <w:noWrap w:val="0"/>
                  <w:vAlign w:val="center"/>
                </w:tcPr>
                <w:p w14:paraId="08D1F452">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rPr>
                  </w:pPr>
                  <w:r>
                    <w:rPr>
                      <w:rFonts w:hint="default"/>
                      <w:highlight w:val="none"/>
                      <w:u w:val="none"/>
                    </w:rPr>
                    <w:t>结构阶段</w:t>
                  </w:r>
                </w:p>
              </w:tc>
              <w:tc>
                <w:tcPr>
                  <w:tcW w:w="597" w:type="pct"/>
                  <w:tcBorders>
                    <w:tl2br w:val="nil"/>
                    <w:tr2bl w:val="nil"/>
                  </w:tcBorders>
                  <w:noWrap w:val="0"/>
                  <w:vAlign w:val="center"/>
                </w:tcPr>
                <w:p w14:paraId="3D85F25B">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eastAsia="宋体"/>
                      <w:highlight w:val="none"/>
                      <w:u w:val="none"/>
                      <w:lang w:val="en-US" w:eastAsia="zh-CN"/>
                    </w:rPr>
                  </w:pPr>
                  <w:r>
                    <w:rPr>
                      <w:rFonts w:hint="eastAsia"/>
                      <w:highlight w:val="none"/>
                      <w:u w:val="none"/>
                      <w:lang w:val="en-US" w:eastAsia="zh-CN"/>
                    </w:rPr>
                    <w:t>95</w:t>
                  </w:r>
                  <w:r>
                    <w:rPr>
                      <w:rFonts w:hint="default"/>
                      <w:highlight w:val="none"/>
                      <w:u w:val="none"/>
                    </w:rPr>
                    <w:t>-</w:t>
                  </w:r>
                  <w:r>
                    <w:rPr>
                      <w:rFonts w:hint="eastAsia"/>
                      <w:highlight w:val="none"/>
                      <w:u w:val="none"/>
                      <w:lang w:val="en-US" w:eastAsia="zh-CN"/>
                    </w:rPr>
                    <w:t>105</w:t>
                  </w:r>
                </w:p>
              </w:tc>
              <w:tc>
                <w:tcPr>
                  <w:tcW w:w="680" w:type="pct"/>
                  <w:tcBorders>
                    <w:tl2br w:val="nil"/>
                    <w:tr2bl w:val="nil"/>
                  </w:tcBorders>
                  <w:noWrap w:val="0"/>
                  <w:vAlign w:val="center"/>
                </w:tcPr>
                <w:p w14:paraId="72D8D563">
                  <w:pPr>
                    <w:pStyle w:val="78"/>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highlight w:val="none"/>
                      <w:u w:val="none"/>
                      <w:lang w:eastAsia="zh-CN"/>
                    </w:rPr>
                  </w:pPr>
                  <w:r>
                    <w:rPr>
                      <w:rFonts w:hint="default"/>
                      <w:highlight w:val="none"/>
                      <w:u w:val="none"/>
                    </w:rPr>
                    <w:t>65</w:t>
                  </w:r>
                  <w:r>
                    <w:rPr>
                      <w:rFonts w:hint="default"/>
                      <w:highlight w:val="none"/>
                      <w:u w:val="none"/>
                      <w:lang w:eastAsia="zh-CN"/>
                    </w:rPr>
                    <w:t>-</w:t>
                  </w:r>
                  <w:r>
                    <w:rPr>
                      <w:rFonts w:hint="default"/>
                      <w:highlight w:val="none"/>
                      <w:u w:val="none"/>
                    </w:rPr>
                    <w:t>7</w:t>
                  </w:r>
                  <w:r>
                    <w:rPr>
                      <w:rFonts w:hint="eastAsia"/>
                      <w:highlight w:val="none"/>
                      <w:u w:val="none"/>
                      <w:lang w:val="en-US" w:eastAsia="zh-CN"/>
                    </w:rPr>
                    <w:t>5</w:t>
                  </w:r>
                </w:p>
              </w:tc>
              <w:tc>
                <w:tcPr>
                  <w:tcW w:w="594" w:type="pct"/>
                  <w:tcBorders>
                    <w:tl2br w:val="nil"/>
                    <w:tr2bl w:val="nil"/>
                  </w:tcBorders>
                  <w:noWrap w:val="0"/>
                  <w:vAlign w:val="center"/>
                </w:tcPr>
                <w:p w14:paraId="7C5C07A2">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rPr>
                  </w:pPr>
                  <w:r>
                    <w:rPr>
                      <w:rFonts w:hint="default"/>
                      <w:highlight w:val="none"/>
                      <w:u w:val="none"/>
                    </w:rPr>
                    <w:t>55</w:t>
                  </w:r>
                  <w:r>
                    <w:rPr>
                      <w:rFonts w:hint="default"/>
                      <w:highlight w:val="none"/>
                      <w:u w:val="none"/>
                      <w:lang w:eastAsia="zh-CN"/>
                    </w:rPr>
                    <w:t>-</w:t>
                  </w:r>
                  <w:r>
                    <w:rPr>
                      <w:rFonts w:hint="default"/>
                      <w:highlight w:val="none"/>
                      <w:u w:val="none"/>
                    </w:rPr>
                    <w:t>65</w:t>
                  </w:r>
                </w:p>
              </w:tc>
              <w:tc>
                <w:tcPr>
                  <w:tcW w:w="597" w:type="pct"/>
                  <w:tcBorders>
                    <w:tl2br w:val="nil"/>
                    <w:tr2bl w:val="nil"/>
                  </w:tcBorders>
                  <w:noWrap w:val="0"/>
                  <w:vAlign w:val="center"/>
                </w:tcPr>
                <w:p w14:paraId="5FE7A42B">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rPr>
                  </w:pPr>
                  <w:r>
                    <w:rPr>
                      <w:rFonts w:hint="default"/>
                      <w:highlight w:val="none"/>
                      <w:u w:val="none"/>
                    </w:rPr>
                    <w:t>49</w:t>
                  </w:r>
                  <w:r>
                    <w:rPr>
                      <w:rFonts w:hint="default"/>
                      <w:highlight w:val="none"/>
                      <w:u w:val="none"/>
                      <w:lang w:eastAsia="zh-CN"/>
                    </w:rPr>
                    <w:t>-</w:t>
                  </w:r>
                  <w:r>
                    <w:rPr>
                      <w:rFonts w:hint="default"/>
                      <w:highlight w:val="none"/>
                      <w:u w:val="none"/>
                    </w:rPr>
                    <w:t>59</w:t>
                  </w:r>
                </w:p>
              </w:tc>
              <w:tc>
                <w:tcPr>
                  <w:tcW w:w="597" w:type="pct"/>
                  <w:tcBorders>
                    <w:tl2br w:val="nil"/>
                    <w:tr2bl w:val="nil"/>
                  </w:tcBorders>
                  <w:noWrap w:val="0"/>
                  <w:vAlign w:val="center"/>
                </w:tcPr>
                <w:p w14:paraId="156A2E4A">
                  <w:pPr>
                    <w:pStyle w:val="78"/>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highlight w:val="none"/>
                      <w:u w:val="none"/>
                      <w:lang w:eastAsia="zh-CN"/>
                    </w:rPr>
                  </w:pPr>
                  <w:r>
                    <w:rPr>
                      <w:rFonts w:hint="default"/>
                      <w:highlight w:val="none"/>
                      <w:u w:val="none"/>
                    </w:rPr>
                    <w:t>4</w:t>
                  </w:r>
                  <w:r>
                    <w:rPr>
                      <w:rFonts w:hint="eastAsia"/>
                      <w:highlight w:val="none"/>
                      <w:u w:val="none"/>
                      <w:lang w:val="en-US" w:eastAsia="zh-CN"/>
                    </w:rPr>
                    <w:t>5</w:t>
                  </w:r>
                  <w:r>
                    <w:rPr>
                      <w:rFonts w:hint="default"/>
                      <w:highlight w:val="none"/>
                      <w:u w:val="none"/>
                      <w:lang w:eastAsia="zh-CN"/>
                    </w:rPr>
                    <w:t>-</w:t>
                  </w:r>
                  <w:r>
                    <w:rPr>
                      <w:rFonts w:hint="default"/>
                      <w:highlight w:val="none"/>
                      <w:u w:val="none"/>
                    </w:rPr>
                    <w:t>5</w:t>
                  </w:r>
                  <w:r>
                    <w:rPr>
                      <w:rFonts w:hint="eastAsia"/>
                      <w:highlight w:val="none"/>
                      <w:u w:val="none"/>
                      <w:lang w:val="en-US" w:eastAsia="zh-CN"/>
                    </w:rPr>
                    <w:t>5</w:t>
                  </w:r>
                </w:p>
              </w:tc>
              <w:tc>
                <w:tcPr>
                  <w:tcW w:w="661" w:type="pct"/>
                  <w:tcBorders>
                    <w:tl2br w:val="nil"/>
                    <w:tr2bl w:val="nil"/>
                  </w:tcBorders>
                  <w:noWrap w:val="0"/>
                  <w:vAlign w:val="center"/>
                </w:tcPr>
                <w:p w14:paraId="5D719EF3">
                  <w:pPr>
                    <w:pStyle w:val="78"/>
                    <w:keepNext w:val="0"/>
                    <w:keepLines w:val="0"/>
                    <w:pageBreakBefore w:val="0"/>
                    <w:widowControl w:val="0"/>
                    <w:kinsoku/>
                    <w:wordWrap/>
                    <w:overflowPunct/>
                    <w:topLinePunct w:val="0"/>
                    <w:autoSpaceDE/>
                    <w:autoSpaceDN/>
                    <w:bidi w:val="0"/>
                    <w:adjustRightInd/>
                    <w:snapToGrid/>
                    <w:jc w:val="center"/>
                    <w:textAlignment w:val="auto"/>
                    <w:rPr>
                      <w:rFonts w:hint="default"/>
                      <w:highlight w:val="none"/>
                      <w:u w:val="none"/>
                    </w:rPr>
                  </w:pPr>
                  <w:r>
                    <w:rPr>
                      <w:rFonts w:hint="default"/>
                      <w:highlight w:val="none"/>
                      <w:u w:val="none"/>
                    </w:rPr>
                    <w:t>41</w:t>
                  </w:r>
                  <w:r>
                    <w:rPr>
                      <w:rFonts w:hint="default"/>
                      <w:highlight w:val="none"/>
                      <w:u w:val="none"/>
                      <w:lang w:eastAsia="zh-CN"/>
                    </w:rPr>
                    <w:t>-</w:t>
                  </w:r>
                  <w:r>
                    <w:rPr>
                      <w:rFonts w:hint="default"/>
                      <w:highlight w:val="none"/>
                      <w:u w:val="none"/>
                    </w:rPr>
                    <w:t>51</w:t>
                  </w:r>
                </w:p>
              </w:tc>
            </w:tr>
          </w:tbl>
          <w:p w14:paraId="0C675E50">
            <w:pPr>
              <w:pStyle w:val="79"/>
              <w:bidi w:val="0"/>
              <w:jc w:val="center"/>
              <w:rPr>
                <w:rFonts w:hint="default"/>
                <w:highlight w:val="none"/>
              </w:rPr>
            </w:pPr>
          </w:p>
          <w:p w14:paraId="269A9C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highlight w:val="none"/>
                <w:lang w:val="en-US" w:eastAsia="zh-CN"/>
              </w:rPr>
            </w:pPr>
            <w:r>
              <w:rPr>
                <w:rFonts w:hint="default"/>
                <w:sz w:val="24"/>
                <w:szCs w:val="24"/>
                <w:highlight w:val="none"/>
              </w:rPr>
              <w:t>从</w:t>
            </w:r>
            <w:r>
              <w:rPr>
                <w:rFonts w:hint="eastAsia"/>
                <w:sz w:val="24"/>
                <w:szCs w:val="24"/>
                <w:highlight w:val="none"/>
                <w:lang w:eastAsia="zh-CN"/>
              </w:rPr>
              <w:t>上表</w:t>
            </w:r>
            <w:r>
              <w:rPr>
                <w:rFonts w:hint="default"/>
                <w:sz w:val="24"/>
                <w:szCs w:val="24"/>
                <w:highlight w:val="none"/>
              </w:rPr>
              <w:t>可以看出，在施工场地边界处，土石方阶段及结构阶段昼间噪声均不符合《建筑施工噪声排放标准》（GB12523-2025）的要求，各阶段夜间噪声不满足标准要求。</w:t>
            </w:r>
            <w:r>
              <w:rPr>
                <w:rFonts w:hint="default"/>
                <w:sz w:val="24"/>
                <w:szCs w:val="24"/>
                <w:highlight w:val="none"/>
                <w:lang w:eastAsia="zh-CN"/>
              </w:rPr>
              <w:t>尤其是</w:t>
            </w:r>
            <w:r>
              <w:rPr>
                <w:rFonts w:hint="eastAsia"/>
                <w:sz w:val="24"/>
                <w:szCs w:val="24"/>
                <w:highlight w:val="none"/>
                <w:lang w:val="en-US" w:eastAsia="zh-CN"/>
              </w:rPr>
              <w:t>土石方</w:t>
            </w:r>
            <w:r>
              <w:rPr>
                <w:rFonts w:hint="default"/>
                <w:sz w:val="24"/>
                <w:szCs w:val="24"/>
                <w:highlight w:val="none"/>
                <w:lang w:eastAsia="zh-CN"/>
              </w:rPr>
              <w:t>阶段，由于</w:t>
            </w:r>
            <w:r>
              <w:rPr>
                <w:rFonts w:hint="eastAsia"/>
                <w:sz w:val="24"/>
                <w:szCs w:val="24"/>
                <w:highlight w:val="none"/>
                <w:lang w:val="en-US" w:eastAsia="zh-CN"/>
              </w:rPr>
              <w:t>挖掘</w:t>
            </w:r>
            <w:r>
              <w:rPr>
                <w:rFonts w:hint="default"/>
                <w:sz w:val="24"/>
                <w:szCs w:val="24"/>
                <w:highlight w:val="none"/>
                <w:lang w:eastAsia="zh-CN"/>
              </w:rPr>
              <w:t>机噪声很大，致使周围环境噪声严重超标。故施工单位必须对噪声源采取一定的防治措施，严禁</w:t>
            </w:r>
            <w:r>
              <w:rPr>
                <w:rFonts w:hint="eastAsia"/>
                <w:sz w:val="24"/>
                <w:szCs w:val="24"/>
                <w:highlight w:val="none"/>
                <w:lang w:val="en-US" w:eastAsia="zh-CN"/>
              </w:rPr>
              <w:t>挖掘</w:t>
            </w:r>
            <w:r>
              <w:rPr>
                <w:rFonts w:hint="default"/>
                <w:sz w:val="24"/>
                <w:szCs w:val="24"/>
                <w:highlight w:val="none"/>
                <w:lang w:eastAsia="zh-CN"/>
              </w:rPr>
              <w:t>机等高噪声设备在夜间施工。</w:t>
            </w:r>
          </w:p>
          <w:p w14:paraId="0B93C67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highlight w:val="none"/>
                <w:lang w:eastAsia="zh-CN"/>
              </w:rPr>
            </w:pPr>
            <w:r>
              <w:rPr>
                <w:rFonts w:hint="eastAsia"/>
                <w:sz w:val="24"/>
                <w:szCs w:val="24"/>
                <w:highlight w:val="none"/>
                <w:lang w:eastAsia="zh-CN"/>
              </w:rPr>
              <w:t>建议在施工期间采取以下相应措施：</w:t>
            </w:r>
          </w:p>
          <w:p w14:paraId="0EF60B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highlight w:val="none"/>
                <w:u w:val="none"/>
              </w:rPr>
            </w:pPr>
            <w:r>
              <w:rPr>
                <w:rFonts w:hint="eastAsia"/>
                <w:sz w:val="24"/>
                <w:szCs w:val="24"/>
                <w:highlight w:val="none"/>
                <w:u w:val="none"/>
                <w:lang w:eastAsia="zh-CN"/>
              </w:rPr>
              <w:t>①</w:t>
            </w:r>
            <w:r>
              <w:rPr>
                <w:rFonts w:hint="default"/>
                <w:sz w:val="24"/>
                <w:szCs w:val="24"/>
                <w:highlight w:val="none"/>
                <w:u w:val="none"/>
              </w:rPr>
              <w:t>合理安排施工计划和施工时间。禁止夜间（22:00-6:00）施工，</w:t>
            </w:r>
            <w:r>
              <w:rPr>
                <w:rFonts w:hint="eastAsia"/>
                <w:sz w:val="24"/>
                <w:szCs w:val="24"/>
                <w:highlight w:val="none"/>
                <w:u w:val="none"/>
                <w:lang w:eastAsia="zh-CN"/>
              </w:rPr>
              <w:t>同时</w:t>
            </w:r>
            <w:r>
              <w:rPr>
                <w:rFonts w:hint="default"/>
                <w:sz w:val="24"/>
                <w:szCs w:val="24"/>
                <w:highlight w:val="none"/>
                <w:u w:val="none"/>
              </w:rPr>
              <w:t>避免在同一时间集中使用大量的动力机械设备。施工单位严格执行</w:t>
            </w:r>
            <w:r>
              <w:rPr>
                <w:rFonts w:hint="default"/>
                <w:sz w:val="24"/>
                <w:szCs w:val="24"/>
                <w:highlight w:val="none"/>
              </w:rPr>
              <w:t>《建筑施工噪声排放标准》（GB12523-2025）</w:t>
            </w:r>
            <w:r>
              <w:rPr>
                <w:rFonts w:hint="default"/>
                <w:sz w:val="24"/>
                <w:szCs w:val="24"/>
                <w:highlight w:val="none"/>
                <w:u w:val="none"/>
              </w:rPr>
              <w:t>的要求，在施工过程中，尽量减少运行动力机械设备的数量，尽可能使动力机械设备比较均匀地使用；</w:t>
            </w:r>
          </w:p>
          <w:p w14:paraId="794370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highlight w:val="none"/>
                <w:u w:val="none"/>
              </w:rPr>
            </w:pPr>
            <w:r>
              <w:rPr>
                <w:rFonts w:hint="eastAsia"/>
                <w:sz w:val="24"/>
                <w:szCs w:val="24"/>
                <w:highlight w:val="none"/>
                <w:u w:val="none"/>
                <w:lang w:eastAsia="zh-CN"/>
              </w:rPr>
              <w:t>②</w:t>
            </w:r>
            <w:r>
              <w:rPr>
                <w:rFonts w:hint="default"/>
                <w:sz w:val="24"/>
                <w:szCs w:val="24"/>
                <w:highlight w:val="none"/>
                <w:u w:val="none"/>
                <w:lang w:eastAsia="zh-CN"/>
              </w:rPr>
              <w:t>施工设备尽量采用先进低噪声设备，定期保养、维护，减少对环境敏感点的影响程度；</w:t>
            </w:r>
          </w:p>
          <w:p w14:paraId="585476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highlight w:val="none"/>
                <w:u w:val="none"/>
              </w:rPr>
            </w:pPr>
            <w:r>
              <w:rPr>
                <w:rFonts w:hint="eastAsia"/>
                <w:sz w:val="24"/>
                <w:szCs w:val="24"/>
                <w:highlight w:val="none"/>
                <w:u w:val="none"/>
                <w:lang w:eastAsia="zh-CN"/>
              </w:rPr>
              <w:t>③</w:t>
            </w:r>
            <w:r>
              <w:rPr>
                <w:rFonts w:hint="default"/>
                <w:sz w:val="24"/>
                <w:szCs w:val="24"/>
                <w:highlight w:val="none"/>
                <w:u w:val="none"/>
                <w:lang w:eastAsia="zh-CN"/>
              </w:rPr>
              <w:t>建筑材料运输、装卸过程中在居民区和敏感点附近车速要降至</w:t>
            </w:r>
            <w:r>
              <w:rPr>
                <w:rFonts w:hint="default"/>
                <w:sz w:val="24"/>
                <w:szCs w:val="24"/>
                <w:highlight w:val="none"/>
                <w:u w:val="none"/>
                <w:lang w:val="en-US" w:eastAsia="zh-CN"/>
              </w:rPr>
              <w:t>20km/h，并禁止鸣笛</w:t>
            </w:r>
            <w:r>
              <w:rPr>
                <w:rFonts w:hint="default"/>
                <w:sz w:val="24"/>
                <w:szCs w:val="24"/>
                <w:highlight w:val="none"/>
                <w:u w:val="none"/>
              </w:rPr>
              <w:t>；</w:t>
            </w:r>
          </w:p>
          <w:p w14:paraId="171F21A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highlight w:val="none"/>
                <w:u w:val="none"/>
              </w:rPr>
            </w:pPr>
            <w:r>
              <w:rPr>
                <w:rFonts w:hint="eastAsia"/>
                <w:sz w:val="24"/>
                <w:szCs w:val="24"/>
                <w:highlight w:val="none"/>
                <w:u w:val="none"/>
                <w:lang w:eastAsia="zh-CN"/>
              </w:rPr>
              <w:t>④</w:t>
            </w:r>
            <w:r>
              <w:rPr>
                <w:rFonts w:hint="default"/>
                <w:sz w:val="24"/>
                <w:szCs w:val="24"/>
                <w:highlight w:val="none"/>
                <w:u w:val="none"/>
                <w:lang w:eastAsia="zh-CN"/>
              </w:rPr>
              <w:t>施工场地应保持道路通畅，控制运输车辆的车速，减少车辆鸣笛产生的噪声对环境的影响</w:t>
            </w:r>
            <w:r>
              <w:rPr>
                <w:rFonts w:hint="default"/>
                <w:sz w:val="24"/>
                <w:szCs w:val="24"/>
                <w:highlight w:val="none"/>
                <w:u w:val="none"/>
              </w:rPr>
              <w:t>。</w:t>
            </w:r>
          </w:p>
          <w:p w14:paraId="2B210A05">
            <w:pPr>
              <w:pStyle w:val="21"/>
              <w:widowControl w:val="0"/>
              <w:tabs>
                <w:tab w:val="left" w:pos="0"/>
              </w:tabs>
              <w:spacing w:before="0" w:beforeAutospacing="0" w:after="0" w:afterAutospacing="0" w:line="360" w:lineRule="auto"/>
              <w:ind w:firstLine="480" w:firstLineChars="200"/>
              <w:jc w:val="both"/>
              <w:rPr>
                <w:rFonts w:hint="default" w:ascii="Times New Roman" w:hAnsi="Times New Roman" w:cs="Times New Roman"/>
                <w:highlight w:val="none"/>
                <w:u w:val="single"/>
              </w:rPr>
            </w:pPr>
            <w:r>
              <w:rPr>
                <w:rFonts w:hint="default" w:ascii="Times New Roman" w:hAnsi="Times New Roman" w:cs="Times New Roman"/>
                <w:color w:val="000000"/>
                <w:highlight w:val="none"/>
                <w:u w:val="none"/>
              </w:rPr>
              <w:t>经上述处理措施后，施工期噪声对周围环境影响较小，措施可行。</w:t>
            </w:r>
          </w:p>
          <w:p w14:paraId="633C45DB">
            <w:pPr>
              <w:pStyle w:val="21"/>
              <w:widowControl w:val="0"/>
              <w:tabs>
                <w:tab w:val="left" w:pos="0"/>
              </w:tabs>
              <w:spacing w:before="0" w:beforeAutospacing="0" w:after="0" w:afterAutospacing="0" w:line="360" w:lineRule="auto"/>
              <w:ind w:firstLine="482" w:firstLineChars="200"/>
              <w:jc w:val="both"/>
              <w:rPr>
                <w:rFonts w:hint="default" w:ascii="Times New Roman" w:hAnsi="Times New Roman" w:cs="Times New Roman"/>
                <w:b/>
                <w:bCs/>
                <w:highlight w:val="none"/>
              </w:rPr>
            </w:pPr>
            <w:r>
              <w:rPr>
                <w:rFonts w:hint="eastAsia" w:ascii="Times New Roman" w:hAnsi="Times New Roman" w:cs="Times New Roman"/>
                <w:b/>
                <w:bCs/>
                <w:color w:val="000000"/>
                <w:highlight w:val="none"/>
                <w:lang w:val="en-US" w:eastAsia="zh-CN"/>
              </w:rPr>
              <w:t>4、</w:t>
            </w:r>
            <w:r>
              <w:rPr>
                <w:rFonts w:hint="default" w:ascii="Times New Roman" w:hAnsi="Times New Roman" w:cs="Times New Roman"/>
                <w:b/>
                <w:bCs/>
                <w:color w:val="000000"/>
                <w:highlight w:val="none"/>
              </w:rPr>
              <w:t>固体废物污染防治措施</w:t>
            </w:r>
          </w:p>
          <w:p w14:paraId="0ACF050E">
            <w:pPr>
              <w:pStyle w:val="21"/>
              <w:widowControl w:val="0"/>
              <w:tabs>
                <w:tab w:val="left" w:pos="0"/>
              </w:tabs>
              <w:spacing w:before="0" w:beforeAutospacing="0" w:after="0" w:afterAutospacing="0" w:line="360" w:lineRule="auto"/>
              <w:ind w:firstLine="480" w:firstLineChars="200"/>
              <w:jc w:val="both"/>
              <w:rPr>
                <w:rFonts w:hint="default" w:ascii="Times New Roman" w:hAnsi="Times New Roman" w:cs="Times New Roman"/>
                <w:highlight w:val="none"/>
              </w:rPr>
            </w:pPr>
            <w:r>
              <w:rPr>
                <w:rFonts w:hint="default" w:ascii="Times New Roman" w:hAnsi="Times New Roman" w:cs="Times New Roman"/>
                <w:color w:val="000000"/>
                <w:highlight w:val="none"/>
              </w:rPr>
              <w:t>施工期的固体废物为施工中的建筑垃圾</w:t>
            </w:r>
            <w:r>
              <w:rPr>
                <w:rFonts w:hint="eastAsia" w:ascii="Times New Roman" w:hAnsi="Times New Roman" w:cs="Times New Roman"/>
                <w:color w:val="000000"/>
                <w:highlight w:val="none"/>
                <w:lang w:eastAsia="zh-CN"/>
              </w:rPr>
              <w:t>、</w:t>
            </w:r>
            <w:r>
              <w:rPr>
                <w:rFonts w:hint="default" w:ascii="Times New Roman" w:hAnsi="Times New Roman" w:cs="Times New Roman"/>
                <w:color w:val="000000"/>
                <w:highlight w:val="none"/>
              </w:rPr>
              <w:t>施工人员的生活垃圾</w:t>
            </w:r>
            <w:r>
              <w:rPr>
                <w:rFonts w:hint="eastAsia" w:ascii="Times New Roman" w:hAnsi="Times New Roman" w:cs="Times New Roman"/>
                <w:color w:val="000000"/>
                <w:highlight w:val="none"/>
                <w:lang w:eastAsia="zh-CN"/>
              </w:rPr>
              <w:t>和沉淀池沉淀物</w:t>
            </w:r>
            <w:r>
              <w:rPr>
                <w:rFonts w:hint="default" w:ascii="Times New Roman" w:hAnsi="Times New Roman" w:cs="Times New Roman"/>
                <w:color w:val="000000"/>
                <w:highlight w:val="none"/>
              </w:rPr>
              <w:t>。</w:t>
            </w:r>
          </w:p>
          <w:p w14:paraId="1465E6F1">
            <w:pPr>
              <w:pStyle w:val="21"/>
              <w:widowControl w:val="0"/>
              <w:tabs>
                <w:tab w:val="left" w:pos="0"/>
              </w:tabs>
              <w:spacing w:before="0" w:beforeAutospacing="0" w:after="0" w:afterAutospacing="0" w:line="360" w:lineRule="auto"/>
              <w:ind w:firstLine="480" w:firstLineChars="200"/>
              <w:jc w:val="both"/>
              <w:rPr>
                <w:rFonts w:ascii="宋体" w:hAnsi="宋体" w:cs="宋体"/>
                <w:bCs/>
                <w:spacing w:val="-10"/>
                <w:sz w:val="24"/>
                <w:szCs w:val="24"/>
                <w:highlight w:val="cyan"/>
              </w:rPr>
            </w:pPr>
            <w:r>
              <w:rPr>
                <w:rFonts w:hint="default" w:ascii="Times New Roman" w:hAnsi="Times New Roman" w:cs="Times New Roman"/>
                <w:color w:val="000000"/>
                <w:highlight w:val="none"/>
              </w:rPr>
              <w:t>本工程施工期间固体废物主要来源于工程进入施工阶段产生的一定量的建筑垃圾，主要为边角余料的建材、废弃包装物等废物，建筑垃圾应及时清运，可回收利用的回收利用，不可回用的建筑垃圾清运至合规建筑垃圾消纳场处置；针对施工过程中施工场地人员产生的生活垃圾，施工现场应设置专门生活垃圾箱，生活垃圾分类收集、存储，定期交由环卫部门统一清运，避免随意抛弃</w:t>
            </w:r>
            <w:r>
              <w:rPr>
                <w:rFonts w:hint="eastAsia" w:ascii="Times New Roman" w:hAnsi="Times New Roman" w:cs="Times New Roman"/>
                <w:color w:val="000000"/>
                <w:highlight w:val="none"/>
                <w:lang w:eastAsia="zh-CN"/>
              </w:rPr>
              <w:t>；</w:t>
            </w:r>
            <w:r>
              <w:rPr>
                <w:rFonts w:hint="eastAsia" w:ascii="Times New Roman" w:hAnsi="Times New Roman" w:cs="Times New Roman"/>
                <w:color w:val="auto"/>
                <w:highlight w:val="none"/>
                <w:lang w:eastAsia="zh-CN"/>
              </w:rPr>
              <w:t>沉淀池沉淀物捞出沥干晾晒后外售制砖厂、透水砖加工厂作为原料。</w:t>
            </w:r>
          </w:p>
        </w:tc>
      </w:tr>
      <w:tr w14:paraId="378E8F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418" w:type="pct"/>
            <w:noWrap w:val="0"/>
            <w:tcMar>
              <w:left w:w="28" w:type="dxa"/>
              <w:right w:w="28" w:type="dxa"/>
            </w:tcMar>
            <w:vAlign w:val="center"/>
          </w:tcPr>
          <w:p w14:paraId="29D2C1CF">
            <w:pPr>
              <w:adjustRightInd w:val="0"/>
              <w:snapToGrid w:val="0"/>
              <w:jc w:val="center"/>
              <w:rPr>
                <w:rFonts w:hint="eastAsia" w:ascii="宋体" w:hAnsi="宋体" w:cs="宋体"/>
                <w:b/>
                <w:bCs w:val="0"/>
                <w:sz w:val="24"/>
                <w:szCs w:val="24"/>
                <w:highlight w:val="none"/>
                <w:u w:val="none" w:color="auto"/>
              </w:rPr>
            </w:pPr>
            <w:r>
              <w:rPr>
                <w:rFonts w:hint="eastAsia" w:ascii="宋体" w:hAnsi="宋体" w:cs="宋体"/>
                <w:b/>
                <w:bCs w:val="0"/>
                <w:sz w:val="24"/>
                <w:szCs w:val="24"/>
                <w:highlight w:val="none"/>
                <w:u w:val="none" w:color="auto"/>
              </w:rPr>
              <w:t>运营</w:t>
            </w:r>
          </w:p>
          <w:p w14:paraId="68656500">
            <w:pPr>
              <w:adjustRightInd w:val="0"/>
              <w:snapToGrid w:val="0"/>
              <w:jc w:val="center"/>
              <w:rPr>
                <w:rFonts w:hint="eastAsia" w:ascii="宋体" w:hAnsi="宋体" w:cs="宋体"/>
                <w:b/>
                <w:bCs w:val="0"/>
                <w:sz w:val="24"/>
                <w:szCs w:val="24"/>
                <w:highlight w:val="none"/>
                <w:u w:val="none" w:color="auto"/>
              </w:rPr>
            </w:pPr>
            <w:r>
              <w:rPr>
                <w:rFonts w:hint="eastAsia" w:ascii="宋体" w:hAnsi="宋体" w:cs="宋体"/>
                <w:b/>
                <w:bCs w:val="0"/>
                <w:sz w:val="24"/>
                <w:szCs w:val="24"/>
                <w:highlight w:val="none"/>
                <w:u w:val="none" w:color="auto"/>
              </w:rPr>
              <w:t>期环</w:t>
            </w:r>
          </w:p>
          <w:p w14:paraId="01AB7722">
            <w:pPr>
              <w:adjustRightInd w:val="0"/>
              <w:snapToGrid w:val="0"/>
              <w:jc w:val="center"/>
              <w:rPr>
                <w:rFonts w:hint="eastAsia" w:ascii="宋体" w:hAnsi="宋体" w:cs="宋体"/>
                <w:b/>
                <w:bCs w:val="0"/>
                <w:sz w:val="24"/>
                <w:szCs w:val="24"/>
                <w:highlight w:val="none"/>
                <w:u w:val="none" w:color="auto"/>
              </w:rPr>
            </w:pPr>
            <w:r>
              <w:rPr>
                <w:rFonts w:hint="eastAsia" w:ascii="宋体" w:hAnsi="宋体" w:cs="宋体"/>
                <w:b/>
                <w:bCs w:val="0"/>
                <w:sz w:val="24"/>
                <w:szCs w:val="24"/>
                <w:highlight w:val="none"/>
                <w:u w:val="none" w:color="auto"/>
              </w:rPr>
              <w:t>境影</w:t>
            </w:r>
          </w:p>
          <w:p w14:paraId="56DBDB7F">
            <w:pPr>
              <w:adjustRightInd w:val="0"/>
              <w:snapToGrid w:val="0"/>
              <w:jc w:val="center"/>
              <w:rPr>
                <w:rFonts w:hint="eastAsia" w:ascii="宋体" w:hAnsi="宋体" w:cs="宋体"/>
                <w:b/>
                <w:bCs w:val="0"/>
                <w:sz w:val="24"/>
                <w:szCs w:val="24"/>
                <w:highlight w:val="none"/>
                <w:u w:val="none" w:color="auto"/>
              </w:rPr>
            </w:pPr>
            <w:r>
              <w:rPr>
                <w:rFonts w:hint="eastAsia" w:ascii="宋体" w:hAnsi="宋体" w:cs="宋体"/>
                <w:b/>
                <w:bCs w:val="0"/>
                <w:sz w:val="24"/>
                <w:szCs w:val="24"/>
                <w:highlight w:val="none"/>
                <w:u w:val="none" w:color="auto"/>
              </w:rPr>
              <w:t>响和</w:t>
            </w:r>
          </w:p>
          <w:p w14:paraId="6D18CAF7">
            <w:pPr>
              <w:adjustRightInd w:val="0"/>
              <w:snapToGrid w:val="0"/>
              <w:jc w:val="center"/>
              <w:rPr>
                <w:rFonts w:hint="eastAsia" w:ascii="宋体" w:hAnsi="宋体" w:cs="宋体"/>
                <w:b/>
                <w:bCs w:val="0"/>
                <w:sz w:val="24"/>
                <w:szCs w:val="24"/>
                <w:highlight w:val="none"/>
                <w:u w:val="none" w:color="auto"/>
              </w:rPr>
            </w:pPr>
            <w:r>
              <w:rPr>
                <w:rFonts w:hint="eastAsia" w:ascii="宋体" w:hAnsi="宋体" w:cs="宋体"/>
                <w:b/>
                <w:bCs w:val="0"/>
                <w:sz w:val="24"/>
                <w:szCs w:val="24"/>
                <w:highlight w:val="none"/>
                <w:u w:val="none" w:color="auto"/>
              </w:rPr>
              <w:t>保护</w:t>
            </w:r>
          </w:p>
          <w:p w14:paraId="6F30BBDE">
            <w:pPr>
              <w:pStyle w:val="21"/>
              <w:adjustRightInd w:val="0"/>
              <w:snapToGrid w:val="0"/>
              <w:spacing w:before="0" w:beforeAutospacing="0" w:after="0" w:afterAutospacing="0"/>
              <w:jc w:val="center"/>
              <w:rPr>
                <w:rFonts w:hint="eastAsia" w:cs="宋体"/>
                <w:kern w:val="2"/>
                <w:sz w:val="24"/>
                <w:szCs w:val="24"/>
                <w:highlight w:val="none"/>
                <w:u w:val="single" w:color="auto"/>
              </w:rPr>
            </w:pPr>
            <w:r>
              <w:rPr>
                <w:rFonts w:hint="eastAsia" w:ascii="宋体" w:hAnsi="宋体" w:cs="宋体"/>
                <w:b/>
                <w:bCs w:val="0"/>
                <w:sz w:val="24"/>
                <w:szCs w:val="24"/>
                <w:highlight w:val="none"/>
                <w:u w:val="none" w:color="auto"/>
              </w:rPr>
              <w:t>措施</w:t>
            </w:r>
          </w:p>
        </w:tc>
        <w:tc>
          <w:tcPr>
            <w:tcW w:w="4581" w:type="pct"/>
            <w:noWrap w:val="0"/>
            <w:vAlign w:val="top"/>
          </w:tcPr>
          <w:p w14:paraId="24D1A4D0">
            <w:pPr>
              <w:adjustRightInd w:val="0"/>
              <w:snapToGrid w:val="0"/>
              <w:spacing w:line="360" w:lineRule="auto"/>
              <w:ind w:firstLine="482" w:firstLineChars="200"/>
              <w:rPr>
                <w:b/>
                <w:bCs/>
                <w:sz w:val="24"/>
                <w:szCs w:val="24"/>
                <w:highlight w:val="none"/>
                <w:u w:val="none" w:color="auto"/>
              </w:rPr>
            </w:pPr>
            <w:r>
              <w:rPr>
                <w:rFonts w:hint="eastAsia"/>
                <w:b/>
                <w:bCs/>
                <w:sz w:val="24"/>
                <w:szCs w:val="24"/>
                <w:highlight w:val="none"/>
                <w:u w:val="none" w:color="auto"/>
                <w:lang w:val="en-US" w:eastAsia="zh-CN"/>
              </w:rPr>
              <w:t>1</w:t>
            </w:r>
            <w:r>
              <w:rPr>
                <w:b/>
                <w:bCs/>
                <w:sz w:val="24"/>
                <w:szCs w:val="24"/>
                <w:highlight w:val="none"/>
                <w:u w:val="none" w:color="auto"/>
              </w:rPr>
              <w:t>、大气环境</w:t>
            </w:r>
          </w:p>
          <w:p w14:paraId="012A405C">
            <w:pPr>
              <w:adjustRightInd w:val="0"/>
              <w:snapToGrid w:val="0"/>
              <w:spacing w:line="360" w:lineRule="auto"/>
              <w:ind w:firstLine="480" w:firstLineChars="200"/>
              <w:rPr>
                <w:b w:val="0"/>
                <w:bCs w:val="0"/>
                <w:i w:val="0"/>
                <w:iCs w:val="0"/>
                <w:sz w:val="24"/>
                <w:szCs w:val="24"/>
                <w:highlight w:val="none"/>
                <w:u w:val="none" w:color="auto"/>
              </w:rPr>
            </w:pPr>
            <w:r>
              <w:rPr>
                <w:rFonts w:hint="eastAsia"/>
                <w:b w:val="0"/>
                <w:bCs w:val="0"/>
                <w:i w:val="0"/>
                <w:iCs w:val="0"/>
                <w:sz w:val="24"/>
                <w:szCs w:val="24"/>
                <w:highlight w:val="none"/>
                <w:u w:val="none" w:color="auto"/>
                <w:lang w:val="en-US" w:eastAsia="zh-CN"/>
              </w:rPr>
              <w:t>1.1产排污分析</w:t>
            </w:r>
          </w:p>
          <w:p w14:paraId="3784E386">
            <w:pPr>
              <w:autoSpaceDE w:val="0"/>
              <w:autoSpaceDN w:val="0"/>
              <w:spacing w:line="360" w:lineRule="auto"/>
              <w:ind w:firstLine="480" w:firstLineChars="200"/>
              <w:rPr>
                <w:rFonts w:hint="default" w:ascii="Times New Roman" w:hAnsi="Times New Roman" w:eastAsia="宋体" w:cs="Times New Roman"/>
                <w:b w:val="0"/>
                <w:bCs w:val="0"/>
                <w:i w:val="0"/>
                <w:iCs w:val="0"/>
                <w:sz w:val="24"/>
                <w:szCs w:val="24"/>
                <w:highlight w:val="none"/>
                <w:u w:val="none" w:color="auto"/>
                <w:lang w:val="en-US"/>
              </w:rPr>
            </w:pPr>
            <w:r>
              <w:rPr>
                <w:b w:val="0"/>
                <w:bCs w:val="0"/>
                <w:i w:val="0"/>
                <w:iCs w:val="0"/>
                <w:sz w:val="24"/>
                <w:szCs w:val="24"/>
                <w:highlight w:val="none"/>
                <w:u w:val="none" w:color="auto"/>
              </w:rPr>
              <w:t>水</w:t>
            </w:r>
            <w:r>
              <w:rPr>
                <w:i w:val="0"/>
                <w:iCs w:val="0"/>
                <w:sz w:val="24"/>
                <w:szCs w:val="24"/>
                <w:highlight w:val="none"/>
                <w:u w:val="none" w:color="auto"/>
              </w:rPr>
              <w:t>泥</w:t>
            </w:r>
            <w:r>
              <w:rPr>
                <w:rFonts w:hint="eastAsia"/>
                <w:i w:val="0"/>
                <w:iCs w:val="0"/>
                <w:sz w:val="24"/>
                <w:szCs w:val="24"/>
                <w:highlight w:val="none"/>
                <w:u w:val="none" w:color="auto"/>
                <w:lang w:eastAsia="zh-CN"/>
              </w:rPr>
              <w:t>、</w:t>
            </w:r>
            <w:r>
              <w:rPr>
                <w:rFonts w:hint="eastAsia"/>
                <w:i w:val="0"/>
                <w:iCs w:val="0"/>
                <w:sz w:val="24"/>
                <w:szCs w:val="24"/>
                <w:highlight w:val="none"/>
                <w:u w:val="none" w:color="auto"/>
              </w:rPr>
              <w:t>粉煤灰</w:t>
            </w:r>
            <w:r>
              <w:rPr>
                <w:i w:val="0"/>
                <w:iCs w:val="0"/>
                <w:sz w:val="24"/>
                <w:szCs w:val="24"/>
                <w:highlight w:val="none"/>
                <w:u w:val="none" w:color="auto"/>
              </w:rPr>
              <w:t>筒仓粉尘、</w:t>
            </w:r>
            <w:r>
              <w:rPr>
                <w:rFonts w:hint="eastAsia"/>
                <w:i w:val="0"/>
                <w:iCs w:val="0"/>
                <w:sz w:val="24"/>
                <w:szCs w:val="24"/>
                <w:highlight w:val="none"/>
                <w:u w:val="none" w:color="auto"/>
              </w:rPr>
              <w:t>搅拌机粉尘</w:t>
            </w:r>
            <w:r>
              <w:rPr>
                <w:rFonts w:hint="eastAsia" w:ascii="Times New Roman" w:hAnsi="Times New Roman" w:eastAsia="宋体" w:cs="Times New Roman"/>
                <w:b w:val="0"/>
                <w:bCs w:val="0"/>
                <w:i w:val="0"/>
                <w:iCs w:val="0"/>
                <w:sz w:val="24"/>
                <w:szCs w:val="24"/>
                <w:highlight w:val="none"/>
                <w:u w:val="none" w:color="auto"/>
                <w:lang w:val="en-US" w:eastAsia="zh-CN"/>
              </w:rPr>
              <w:t>废气污染物核算依据</w:t>
            </w:r>
            <w:r>
              <w:rPr>
                <w:rFonts w:eastAsia="宋体" w:cs="Times New Roman"/>
                <w:color w:val="000000"/>
                <w:sz w:val="24"/>
                <w:szCs w:val="24"/>
                <w:highlight w:val="none"/>
                <w:u w:val="none" w:color="auto"/>
              </w:rPr>
              <w:t>《排放源统计调查产排污核算方法和系数手册》</w:t>
            </w:r>
            <w:r>
              <w:rPr>
                <w:rFonts w:hint="default" w:ascii="Times New Roman" w:hAnsi="Times New Roman" w:cs="Times New Roman"/>
                <w:color w:val="000000"/>
                <w:sz w:val="24"/>
                <w:szCs w:val="24"/>
                <w:highlight w:val="none"/>
                <w:u w:val="none" w:color="auto"/>
                <w:lang w:eastAsia="zh-CN"/>
              </w:rPr>
              <w:t>（</w:t>
            </w:r>
            <w:r>
              <w:rPr>
                <w:rFonts w:hint="eastAsia" w:ascii="Times New Roman" w:hAnsi="Times New Roman" w:cs="Times New Roman"/>
                <w:spacing w:val="0"/>
                <w:kern w:val="21"/>
                <w:sz w:val="24"/>
                <w:highlight w:val="none"/>
                <w:u w:val="none" w:color="auto"/>
                <w:lang w:val="en-US" w:eastAsia="zh-CN"/>
              </w:rPr>
              <w:t>生态环境部，2021年6月</w:t>
            </w:r>
            <w:r>
              <w:rPr>
                <w:rFonts w:hint="default" w:ascii="Times New Roman" w:hAnsi="Times New Roman" w:cs="Times New Roman"/>
                <w:color w:val="000000"/>
                <w:sz w:val="24"/>
                <w:szCs w:val="24"/>
                <w:highlight w:val="none"/>
                <w:u w:val="none" w:color="auto"/>
                <w:lang w:eastAsia="zh-CN"/>
              </w:rPr>
              <w:t>）</w:t>
            </w:r>
            <w:r>
              <w:rPr>
                <w:rFonts w:hint="eastAsia" w:ascii="Times New Roman" w:hAnsi="Times New Roman" w:eastAsia="宋体" w:cs="Times New Roman"/>
                <w:b w:val="0"/>
                <w:bCs w:val="0"/>
                <w:i w:val="0"/>
                <w:iCs w:val="0"/>
                <w:sz w:val="24"/>
                <w:szCs w:val="24"/>
                <w:highlight w:val="none"/>
                <w:u w:val="none" w:color="auto"/>
                <w:lang w:val="en-US" w:eastAsia="zh-CN"/>
              </w:rPr>
              <w:t>中</w:t>
            </w:r>
            <w:r>
              <w:rPr>
                <w:rFonts w:hint="default" w:ascii="Times New Roman" w:hAnsi="Times New Roman" w:eastAsia="宋体" w:cs="Times New Roman"/>
                <w:b w:val="0"/>
                <w:bCs w:val="0"/>
                <w:i w:val="0"/>
                <w:iCs w:val="0"/>
                <w:sz w:val="24"/>
                <w:szCs w:val="24"/>
                <w:highlight w:val="none"/>
                <w:u w:val="none" w:color="auto"/>
                <w:lang w:val="en-US" w:eastAsia="zh-CN"/>
              </w:rPr>
              <w:t>3021</w:t>
            </w:r>
            <w:r>
              <w:rPr>
                <w:rFonts w:hint="eastAsia" w:ascii="Times New Roman" w:hAnsi="Times New Roman" w:eastAsia="宋体" w:cs="Times New Roman"/>
                <w:b w:val="0"/>
                <w:bCs w:val="0"/>
                <w:i w:val="0"/>
                <w:iCs w:val="0"/>
                <w:sz w:val="24"/>
                <w:szCs w:val="24"/>
                <w:highlight w:val="none"/>
                <w:u w:val="none" w:color="auto"/>
                <w:lang w:val="en-US" w:eastAsia="zh-CN"/>
              </w:rPr>
              <w:t>水泥制品制造（含</w:t>
            </w:r>
            <w:r>
              <w:rPr>
                <w:rFonts w:hint="default" w:ascii="Times New Roman" w:hAnsi="Times New Roman" w:eastAsia="宋体" w:cs="Times New Roman"/>
                <w:b w:val="0"/>
                <w:bCs w:val="0"/>
                <w:i w:val="0"/>
                <w:iCs w:val="0"/>
                <w:sz w:val="24"/>
                <w:szCs w:val="24"/>
                <w:highlight w:val="none"/>
                <w:u w:val="none" w:color="auto"/>
                <w:lang w:val="en-US" w:eastAsia="zh-CN"/>
              </w:rPr>
              <w:t>3022</w:t>
            </w:r>
            <w:r>
              <w:rPr>
                <w:rFonts w:hint="eastAsia" w:cs="Times New Roman"/>
                <w:b w:val="0"/>
                <w:bCs w:val="0"/>
                <w:i w:val="0"/>
                <w:iCs w:val="0"/>
                <w:sz w:val="24"/>
                <w:szCs w:val="24"/>
                <w:highlight w:val="none"/>
                <w:u w:val="none" w:color="auto"/>
                <w:lang w:val="en-US" w:eastAsia="zh-CN"/>
              </w:rPr>
              <w:t>砼</w:t>
            </w:r>
            <w:r>
              <w:rPr>
                <w:rFonts w:hint="eastAsia" w:ascii="Times New Roman" w:hAnsi="Times New Roman" w:eastAsia="宋体" w:cs="Times New Roman"/>
                <w:b w:val="0"/>
                <w:bCs w:val="0"/>
                <w:i w:val="0"/>
                <w:iCs w:val="0"/>
                <w:sz w:val="24"/>
                <w:szCs w:val="24"/>
                <w:highlight w:val="none"/>
                <w:u w:val="none" w:color="auto"/>
                <w:lang w:val="en-US" w:eastAsia="zh-CN"/>
              </w:rPr>
              <w:t>结构构件、</w:t>
            </w:r>
            <w:r>
              <w:rPr>
                <w:rFonts w:hint="default" w:ascii="Times New Roman" w:hAnsi="Times New Roman" w:eastAsia="宋体" w:cs="Times New Roman"/>
                <w:b w:val="0"/>
                <w:bCs w:val="0"/>
                <w:i w:val="0"/>
                <w:iCs w:val="0"/>
                <w:sz w:val="24"/>
                <w:szCs w:val="24"/>
                <w:highlight w:val="none"/>
                <w:u w:val="none" w:color="auto"/>
                <w:lang w:val="en-US" w:eastAsia="zh-CN"/>
              </w:rPr>
              <w:t>3029</w:t>
            </w:r>
            <w:r>
              <w:rPr>
                <w:rFonts w:hint="eastAsia" w:ascii="Times New Roman" w:hAnsi="Times New Roman" w:eastAsia="宋体" w:cs="Times New Roman"/>
                <w:b w:val="0"/>
                <w:bCs w:val="0"/>
                <w:i w:val="0"/>
                <w:iCs w:val="0"/>
                <w:sz w:val="24"/>
                <w:szCs w:val="24"/>
                <w:highlight w:val="none"/>
                <w:u w:val="none" w:color="auto"/>
                <w:lang w:val="en-US" w:eastAsia="zh-CN"/>
              </w:rPr>
              <w:t>其他水泥</w:t>
            </w:r>
            <w:r>
              <w:rPr>
                <w:rFonts w:hint="eastAsia" w:cs="Times New Roman"/>
                <w:b w:val="0"/>
                <w:bCs w:val="0"/>
                <w:i w:val="0"/>
                <w:iCs w:val="0"/>
                <w:sz w:val="24"/>
                <w:szCs w:val="24"/>
                <w:highlight w:val="none"/>
                <w:u w:val="none" w:color="auto"/>
                <w:lang w:val="en-US" w:eastAsia="zh-CN"/>
              </w:rPr>
              <w:t>类似</w:t>
            </w:r>
            <w:r>
              <w:rPr>
                <w:rFonts w:hint="eastAsia" w:ascii="Times New Roman" w:hAnsi="Times New Roman" w:eastAsia="宋体" w:cs="Times New Roman"/>
                <w:b w:val="0"/>
                <w:bCs w:val="0"/>
                <w:i w:val="0"/>
                <w:iCs w:val="0"/>
                <w:sz w:val="24"/>
                <w:szCs w:val="24"/>
                <w:highlight w:val="none"/>
                <w:u w:val="none" w:color="auto"/>
                <w:lang w:val="en-US" w:eastAsia="zh-CN"/>
              </w:rPr>
              <w:t>制品</w:t>
            </w:r>
            <w:r>
              <w:rPr>
                <w:rFonts w:hint="eastAsia" w:cs="Times New Roman"/>
                <w:b w:val="0"/>
                <w:bCs w:val="0"/>
                <w:i w:val="0"/>
                <w:iCs w:val="0"/>
                <w:sz w:val="24"/>
                <w:szCs w:val="24"/>
                <w:highlight w:val="none"/>
                <w:u w:val="none" w:color="auto"/>
                <w:lang w:val="en-US" w:eastAsia="zh-CN"/>
              </w:rPr>
              <w:t>制造</w:t>
            </w:r>
            <w:r>
              <w:rPr>
                <w:rFonts w:hint="eastAsia" w:ascii="Times New Roman" w:hAnsi="Times New Roman" w:eastAsia="宋体" w:cs="Times New Roman"/>
                <w:b w:val="0"/>
                <w:bCs w:val="0"/>
                <w:i w:val="0"/>
                <w:iCs w:val="0"/>
                <w:sz w:val="24"/>
                <w:szCs w:val="24"/>
                <w:highlight w:val="none"/>
                <w:u w:val="none" w:color="auto"/>
                <w:lang w:val="en-US" w:eastAsia="zh-CN"/>
              </w:rPr>
              <w:t>），具体产排污系数表详见</w:t>
            </w:r>
            <w:r>
              <w:rPr>
                <w:rFonts w:hint="eastAsia" w:cs="Times New Roman"/>
                <w:b w:val="0"/>
                <w:bCs w:val="0"/>
                <w:i w:val="0"/>
                <w:iCs w:val="0"/>
                <w:sz w:val="24"/>
                <w:szCs w:val="24"/>
                <w:highlight w:val="none"/>
                <w:u w:val="none" w:color="auto"/>
                <w:lang w:val="en-US" w:eastAsia="zh-CN"/>
              </w:rPr>
              <w:t>下表</w:t>
            </w:r>
            <w:r>
              <w:rPr>
                <w:rFonts w:hint="eastAsia" w:ascii="Times New Roman" w:hAnsi="Times New Roman" w:eastAsia="宋体" w:cs="Times New Roman"/>
                <w:b w:val="0"/>
                <w:bCs w:val="0"/>
                <w:i w:val="0"/>
                <w:iCs w:val="0"/>
                <w:sz w:val="24"/>
                <w:szCs w:val="24"/>
                <w:highlight w:val="none"/>
                <w:u w:val="none" w:color="auto"/>
                <w:lang w:val="en-US" w:eastAsia="zh-CN"/>
              </w:rPr>
              <w:t>。</w:t>
            </w:r>
          </w:p>
          <w:p w14:paraId="55E76708">
            <w:pPr>
              <w:keepNext w:val="0"/>
              <w:keepLines w:val="0"/>
              <w:widowControl/>
              <w:suppressLineNumbers w:val="0"/>
              <w:jc w:val="center"/>
              <w:rPr>
                <w:sz w:val="24"/>
                <w:szCs w:val="24"/>
                <w:highlight w:val="none"/>
                <w:u w:val="none" w:color="auto"/>
              </w:rPr>
            </w:pPr>
            <w:r>
              <w:rPr>
                <w:rFonts w:hint="eastAsia" w:ascii="宋体" w:hAnsi="宋体" w:eastAsia="宋体" w:cs="宋体"/>
                <w:b/>
                <w:bCs/>
                <w:color w:val="000000"/>
                <w:kern w:val="0"/>
                <w:sz w:val="24"/>
                <w:szCs w:val="24"/>
                <w:highlight w:val="none"/>
                <w:u w:val="none" w:color="auto"/>
                <w:lang w:val="en-US" w:eastAsia="zh-CN" w:bidi="ar"/>
              </w:rPr>
              <w:t>表</w:t>
            </w:r>
            <w:r>
              <w:rPr>
                <w:rFonts w:hint="eastAsia" w:cs="Times New Roman"/>
                <w:b/>
                <w:bCs/>
                <w:color w:val="000000"/>
                <w:kern w:val="0"/>
                <w:sz w:val="24"/>
                <w:szCs w:val="24"/>
                <w:highlight w:val="none"/>
                <w:u w:val="none" w:color="auto"/>
                <w:lang w:val="en-US" w:eastAsia="zh-CN" w:bidi="ar"/>
              </w:rPr>
              <w:t>4-3</w:t>
            </w:r>
            <w:r>
              <w:rPr>
                <w:rFonts w:hint="default" w:ascii="Times New Roman" w:hAnsi="Times New Roman" w:eastAsia="宋体" w:cs="Times New Roman"/>
                <w:b/>
                <w:bCs/>
                <w:color w:val="000000"/>
                <w:kern w:val="0"/>
                <w:sz w:val="24"/>
                <w:szCs w:val="24"/>
                <w:highlight w:val="none"/>
                <w:u w:val="none" w:color="auto"/>
                <w:lang w:val="en-US" w:eastAsia="zh-CN" w:bidi="ar"/>
              </w:rPr>
              <w:t xml:space="preserve"> </w:t>
            </w:r>
            <w:r>
              <w:rPr>
                <w:rFonts w:hint="eastAsia" w:ascii="宋体" w:hAnsi="宋体" w:eastAsia="宋体" w:cs="宋体"/>
                <w:b/>
                <w:bCs/>
                <w:color w:val="000000"/>
                <w:kern w:val="0"/>
                <w:sz w:val="24"/>
                <w:szCs w:val="24"/>
                <w:highlight w:val="none"/>
                <w:u w:val="none" w:color="auto"/>
                <w:lang w:val="en-US" w:eastAsia="zh-CN" w:bidi="ar"/>
              </w:rPr>
              <w:t>水泥制品制造（含</w:t>
            </w:r>
            <w:r>
              <w:rPr>
                <w:rFonts w:hint="default" w:ascii="Times New Roman" w:hAnsi="Times New Roman" w:eastAsia="宋体" w:cs="Times New Roman"/>
                <w:b/>
                <w:bCs/>
                <w:color w:val="000000"/>
                <w:kern w:val="0"/>
                <w:sz w:val="24"/>
                <w:szCs w:val="24"/>
                <w:highlight w:val="none"/>
                <w:u w:val="none" w:color="auto"/>
                <w:lang w:val="en-US" w:eastAsia="zh-CN" w:bidi="ar"/>
              </w:rPr>
              <w:t>3022</w:t>
            </w:r>
            <w:r>
              <w:rPr>
                <w:rFonts w:hint="eastAsia" w:cs="Times New Roman"/>
                <w:b/>
                <w:bCs/>
                <w:color w:val="000000"/>
                <w:kern w:val="0"/>
                <w:sz w:val="24"/>
                <w:szCs w:val="24"/>
                <w:highlight w:val="none"/>
                <w:u w:val="none" w:color="auto"/>
                <w:lang w:val="en-US" w:eastAsia="zh-CN" w:bidi="ar"/>
              </w:rPr>
              <w:t>砼</w:t>
            </w:r>
            <w:r>
              <w:rPr>
                <w:rFonts w:hint="eastAsia" w:ascii="宋体" w:hAnsi="宋体" w:eastAsia="宋体" w:cs="宋体"/>
                <w:b/>
                <w:bCs/>
                <w:color w:val="000000"/>
                <w:kern w:val="0"/>
                <w:sz w:val="24"/>
                <w:szCs w:val="24"/>
                <w:highlight w:val="none"/>
                <w:u w:val="none" w:color="auto"/>
                <w:lang w:val="en-US" w:eastAsia="zh-CN" w:bidi="ar"/>
              </w:rPr>
              <w:t>结构构件、</w:t>
            </w:r>
            <w:r>
              <w:rPr>
                <w:rFonts w:hint="default" w:ascii="Times New Roman" w:hAnsi="Times New Roman" w:eastAsia="宋体" w:cs="Times New Roman"/>
                <w:b/>
                <w:bCs/>
                <w:color w:val="000000"/>
                <w:kern w:val="0"/>
                <w:sz w:val="24"/>
                <w:szCs w:val="24"/>
                <w:highlight w:val="none"/>
                <w:u w:val="none" w:color="auto"/>
                <w:lang w:val="en-US" w:eastAsia="zh-CN" w:bidi="ar"/>
              </w:rPr>
              <w:t>3029</w:t>
            </w:r>
            <w:r>
              <w:rPr>
                <w:rFonts w:hint="eastAsia" w:ascii="宋体" w:hAnsi="宋体" w:eastAsia="宋体" w:cs="宋体"/>
                <w:b/>
                <w:bCs/>
                <w:color w:val="000000"/>
                <w:kern w:val="0"/>
                <w:sz w:val="24"/>
                <w:szCs w:val="24"/>
                <w:highlight w:val="none"/>
                <w:u w:val="none" w:color="auto"/>
                <w:lang w:val="en-US" w:eastAsia="zh-CN" w:bidi="ar"/>
              </w:rPr>
              <w:t>其他水泥</w:t>
            </w:r>
            <w:r>
              <w:rPr>
                <w:rFonts w:hint="eastAsia" w:ascii="宋体" w:hAnsi="宋体" w:cs="宋体"/>
                <w:b/>
                <w:bCs/>
                <w:color w:val="000000"/>
                <w:kern w:val="0"/>
                <w:sz w:val="24"/>
                <w:szCs w:val="24"/>
                <w:highlight w:val="none"/>
                <w:u w:val="none" w:color="auto"/>
                <w:lang w:val="en-US" w:eastAsia="zh-CN" w:bidi="ar"/>
              </w:rPr>
              <w:t>类似</w:t>
            </w:r>
            <w:r>
              <w:rPr>
                <w:rFonts w:hint="eastAsia" w:ascii="宋体" w:hAnsi="宋体" w:eastAsia="宋体" w:cs="宋体"/>
                <w:b/>
                <w:bCs/>
                <w:color w:val="000000"/>
                <w:kern w:val="0"/>
                <w:sz w:val="24"/>
                <w:szCs w:val="24"/>
                <w:highlight w:val="none"/>
                <w:u w:val="none" w:color="auto"/>
                <w:lang w:val="en-US" w:eastAsia="zh-CN" w:bidi="ar"/>
              </w:rPr>
              <w:t>制品</w:t>
            </w:r>
            <w:r>
              <w:rPr>
                <w:rFonts w:hint="eastAsia" w:ascii="宋体" w:hAnsi="宋体" w:cs="宋体"/>
                <w:b/>
                <w:bCs/>
                <w:color w:val="000000"/>
                <w:kern w:val="0"/>
                <w:sz w:val="24"/>
                <w:szCs w:val="24"/>
                <w:highlight w:val="none"/>
                <w:u w:val="none" w:color="auto"/>
                <w:lang w:val="en-US" w:eastAsia="zh-CN" w:bidi="ar"/>
              </w:rPr>
              <w:t>制造</w:t>
            </w:r>
            <w:r>
              <w:rPr>
                <w:rFonts w:hint="eastAsia" w:ascii="宋体" w:hAnsi="宋体" w:eastAsia="宋体" w:cs="宋体"/>
                <w:b/>
                <w:bCs/>
                <w:color w:val="000000"/>
                <w:kern w:val="0"/>
                <w:sz w:val="24"/>
                <w:szCs w:val="24"/>
                <w:highlight w:val="none"/>
                <w:u w:val="none" w:color="auto"/>
                <w:lang w:val="en-US" w:eastAsia="zh-CN" w:bidi="ar"/>
              </w:rPr>
              <w:t>）产排污系数表</w:t>
            </w:r>
          </w:p>
          <w:tbl>
            <w:tblPr>
              <w:tblStyle w:val="26"/>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26"/>
              <w:gridCol w:w="726"/>
              <w:gridCol w:w="728"/>
              <w:gridCol w:w="728"/>
              <w:gridCol w:w="728"/>
              <w:gridCol w:w="729"/>
              <w:gridCol w:w="729"/>
              <w:gridCol w:w="728"/>
              <w:gridCol w:w="728"/>
              <w:gridCol w:w="728"/>
              <w:gridCol w:w="728"/>
            </w:tblGrid>
            <w:tr w14:paraId="1A2645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53" w:type="pct"/>
                  <w:tcBorders>
                    <w:tl2br w:val="nil"/>
                    <w:tr2bl w:val="nil"/>
                  </w:tcBorders>
                  <w:vAlign w:val="center"/>
                </w:tcPr>
                <w:p w14:paraId="4DC05C73">
                  <w:pPr>
                    <w:widowControl/>
                    <w:adjustRightInd w:val="0"/>
                    <w:ind w:left="-105" w:leftChars="-50" w:right="-105" w:rightChars="-50"/>
                    <w:jc w:val="center"/>
                    <w:textAlignment w:val="cente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pPr>
                  <w: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t>工段</w:t>
                  </w:r>
                </w:p>
              </w:tc>
              <w:tc>
                <w:tcPr>
                  <w:tcW w:w="453" w:type="pct"/>
                  <w:tcBorders>
                    <w:tl2br w:val="nil"/>
                    <w:tr2bl w:val="nil"/>
                  </w:tcBorders>
                  <w:vAlign w:val="center"/>
                </w:tcPr>
                <w:p w14:paraId="567E29E9">
                  <w:pPr>
                    <w:widowControl/>
                    <w:adjustRightInd w:val="0"/>
                    <w:ind w:left="-105" w:leftChars="-50" w:right="-105" w:rightChars="-50"/>
                    <w:jc w:val="center"/>
                    <w:textAlignment w:val="cente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pPr>
                  <w: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t>产品名称</w:t>
                  </w:r>
                </w:p>
              </w:tc>
              <w:tc>
                <w:tcPr>
                  <w:tcW w:w="454" w:type="pct"/>
                  <w:tcBorders>
                    <w:tl2br w:val="nil"/>
                    <w:tr2bl w:val="nil"/>
                  </w:tcBorders>
                  <w:vAlign w:val="center"/>
                </w:tcPr>
                <w:p w14:paraId="1473E680">
                  <w:pPr>
                    <w:widowControl/>
                    <w:adjustRightInd w:val="0"/>
                    <w:ind w:left="-105" w:leftChars="-50" w:right="-105" w:rightChars="-50"/>
                    <w:jc w:val="center"/>
                    <w:textAlignment w:val="center"/>
                    <w:rPr>
                      <w:rFonts w:hint="default" w:ascii="Times New Roman" w:hAnsi="Times New Roman" w:eastAsia="宋体" w:cs="Times New Roman"/>
                      <w:b w:val="0"/>
                      <w:bCs w:val="0"/>
                      <w:i w:val="0"/>
                      <w:iCs w:val="0"/>
                      <w:color w:val="000000"/>
                      <w:kern w:val="0"/>
                      <w:sz w:val="21"/>
                      <w:szCs w:val="21"/>
                      <w:highlight w:val="none"/>
                      <w:u w:val="none" w:color="auto"/>
                      <w:lang w:val="en-US" w:eastAsia="zh-CN" w:bidi="ar"/>
                    </w:rPr>
                  </w:pPr>
                  <w: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t>原料名称</w:t>
                  </w:r>
                </w:p>
              </w:tc>
              <w:tc>
                <w:tcPr>
                  <w:tcW w:w="454" w:type="pct"/>
                  <w:tcBorders>
                    <w:tl2br w:val="nil"/>
                    <w:tr2bl w:val="nil"/>
                  </w:tcBorders>
                  <w:vAlign w:val="center"/>
                </w:tcPr>
                <w:p w14:paraId="05B874BC">
                  <w:pPr>
                    <w:widowControl/>
                    <w:adjustRightInd w:val="0"/>
                    <w:ind w:left="-105" w:leftChars="-50" w:right="-105" w:rightChars="-50"/>
                    <w:jc w:val="center"/>
                    <w:textAlignment w:val="cente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pPr>
                  <w: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t>工艺名称</w:t>
                  </w:r>
                </w:p>
              </w:tc>
              <w:tc>
                <w:tcPr>
                  <w:tcW w:w="454" w:type="pct"/>
                  <w:tcBorders>
                    <w:tl2br w:val="nil"/>
                    <w:tr2bl w:val="nil"/>
                  </w:tcBorders>
                  <w:vAlign w:val="center"/>
                </w:tcPr>
                <w:p w14:paraId="050CF5FC">
                  <w:pPr>
                    <w:widowControl/>
                    <w:adjustRightInd w:val="0"/>
                    <w:ind w:left="-105" w:leftChars="-50" w:right="-105" w:rightChars="-50"/>
                    <w:jc w:val="center"/>
                    <w:textAlignment w:val="cente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pPr>
                  <w: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t>规模等级</w:t>
                  </w:r>
                </w:p>
              </w:tc>
              <w:tc>
                <w:tcPr>
                  <w:tcW w:w="910" w:type="pct"/>
                  <w:gridSpan w:val="2"/>
                  <w:tcBorders>
                    <w:tl2br w:val="nil"/>
                    <w:tr2bl w:val="nil"/>
                  </w:tcBorders>
                  <w:vAlign w:val="center"/>
                </w:tcPr>
                <w:p w14:paraId="18DA0A61">
                  <w:pPr>
                    <w:widowControl/>
                    <w:adjustRightInd w:val="0"/>
                    <w:ind w:left="-105" w:leftChars="-50" w:right="-105" w:rightChars="-50"/>
                    <w:jc w:val="center"/>
                    <w:textAlignment w:val="cente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pPr>
                  <w: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t>污染物指标</w:t>
                  </w:r>
                </w:p>
              </w:tc>
              <w:tc>
                <w:tcPr>
                  <w:tcW w:w="454" w:type="pct"/>
                  <w:tcBorders>
                    <w:tl2br w:val="nil"/>
                    <w:tr2bl w:val="nil"/>
                  </w:tcBorders>
                  <w:vAlign w:val="center"/>
                </w:tcPr>
                <w:p w14:paraId="3113546D">
                  <w:pPr>
                    <w:widowControl/>
                    <w:adjustRightInd w:val="0"/>
                    <w:ind w:left="-105" w:leftChars="-50" w:right="-105" w:rightChars="-50"/>
                    <w:jc w:val="center"/>
                    <w:textAlignment w:val="cente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pPr>
                  <w: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t>系数单位</w:t>
                  </w:r>
                </w:p>
              </w:tc>
              <w:tc>
                <w:tcPr>
                  <w:tcW w:w="454" w:type="pct"/>
                  <w:tcBorders>
                    <w:tl2br w:val="nil"/>
                    <w:tr2bl w:val="nil"/>
                  </w:tcBorders>
                  <w:vAlign w:val="center"/>
                </w:tcPr>
                <w:p w14:paraId="4517D8D4">
                  <w:pPr>
                    <w:widowControl/>
                    <w:adjustRightInd w:val="0"/>
                    <w:ind w:left="-105" w:leftChars="-50" w:right="-105" w:rightChars="-50"/>
                    <w:jc w:val="center"/>
                    <w:textAlignment w:val="cente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pPr>
                  <w: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t>产污系数</w:t>
                  </w:r>
                </w:p>
              </w:tc>
              <w:tc>
                <w:tcPr>
                  <w:tcW w:w="454" w:type="pct"/>
                  <w:tcBorders>
                    <w:tl2br w:val="nil"/>
                    <w:tr2bl w:val="nil"/>
                  </w:tcBorders>
                  <w:vAlign w:val="center"/>
                </w:tcPr>
                <w:p w14:paraId="62D65BDA">
                  <w:pPr>
                    <w:widowControl/>
                    <w:adjustRightInd w:val="0"/>
                    <w:ind w:left="-105" w:leftChars="-50" w:right="-105" w:rightChars="-50"/>
                    <w:jc w:val="center"/>
                    <w:textAlignment w:val="center"/>
                    <w:rPr>
                      <w:rFonts w:hint="default" w:ascii="Times New Roman" w:hAnsi="Times New Roman" w:eastAsia="宋体" w:cs="Times New Roman"/>
                      <w:b w:val="0"/>
                      <w:bCs w:val="0"/>
                      <w:i w:val="0"/>
                      <w:iCs w:val="0"/>
                      <w:color w:val="000000"/>
                      <w:kern w:val="0"/>
                      <w:sz w:val="21"/>
                      <w:szCs w:val="21"/>
                      <w:highlight w:val="none"/>
                      <w:u w:val="none" w:color="auto"/>
                      <w:lang w:val="en-US" w:eastAsia="zh-CN" w:bidi="ar"/>
                    </w:rPr>
                  </w:pPr>
                  <w: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t>末端治理名称</w:t>
                  </w:r>
                </w:p>
              </w:tc>
              <w:tc>
                <w:tcPr>
                  <w:tcW w:w="454" w:type="pct"/>
                  <w:tcBorders>
                    <w:tl2br w:val="nil"/>
                    <w:tr2bl w:val="nil"/>
                  </w:tcBorders>
                  <w:vAlign w:val="center"/>
                </w:tcPr>
                <w:p w14:paraId="3657E05B">
                  <w:pPr>
                    <w:widowControl/>
                    <w:adjustRightInd w:val="0"/>
                    <w:ind w:left="-105" w:leftChars="-50" w:right="-105" w:rightChars="-50"/>
                    <w:jc w:val="center"/>
                    <w:textAlignment w:val="center"/>
                    <w:rPr>
                      <w:rFonts w:hint="default" w:ascii="Times New Roman" w:hAnsi="Times New Roman" w:eastAsia="宋体" w:cs="Times New Roman"/>
                      <w:b w:val="0"/>
                      <w:bCs w:val="0"/>
                      <w:i w:val="0"/>
                      <w:iCs w:val="0"/>
                      <w:color w:val="000000"/>
                      <w:kern w:val="0"/>
                      <w:sz w:val="21"/>
                      <w:szCs w:val="21"/>
                      <w:highlight w:val="none"/>
                      <w:u w:val="none" w:color="auto"/>
                      <w:lang w:val="en-US" w:eastAsia="zh-CN" w:bidi="ar"/>
                    </w:rPr>
                  </w:pPr>
                  <w: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t>末端治理技术效率（%）</w:t>
                  </w:r>
                </w:p>
              </w:tc>
            </w:tr>
            <w:tr w14:paraId="474373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453" w:type="pct"/>
                  <w:vMerge w:val="restart"/>
                  <w:tcBorders>
                    <w:tl2br w:val="nil"/>
                    <w:tr2bl w:val="nil"/>
                  </w:tcBorders>
                  <w:vAlign w:val="center"/>
                </w:tcPr>
                <w:p w14:paraId="057E9BEE">
                  <w:pPr>
                    <w:widowControl/>
                    <w:adjustRightInd w:val="0"/>
                    <w:ind w:left="-105" w:leftChars="-50" w:right="-105" w:rightChars="-50"/>
                    <w:jc w:val="center"/>
                    <w:textAlignment w:val="center"/>
                    <w:rPr>
                      <w:sz w:val="21"/>
                      <w:szCs w:val="21"/>
                      <w:highlight w:val="none"/>
                      <w:u w:val="none" w:color="auto"/>
                    </w:rPr>
                  </w:pPr>
                  <w: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t>物料输送</w:t>
                  </w:r>
                </w:p>
              </w:tc>
              <w:tc>
                <w:tcPr>
                  <w:tcW w:w="453" w:type="pct"/>
                  <w:vMerge w:val="restart"/>
                  <w:tcBorders>
                    <w:tl2br w:val="nil"/>
                    <w:tr2bl w:val="nil"/>
                  </w:tcBorders>
                  <w:vAlign w:val="center"/>
                </w:tcPr>
                <w:p w14:paraId="6E76E418">
                  <w:pPr>
                    <w:widowControl/>
                    <w:adjustRightInd w:val="0"/>
                    <w:ind w:left="-105" w:leftChars="-50" w:right="-105" w:rightChars="-50"/>
                    <w:jc w:val="center"/>
                    <w:textAlignment w:val="center"/>
                    <w:rPr>
                      <w:sz w:val="21"/>
                      <w:szCs w:val="21"/>
                      <w:highlight w:val="none"/>
                      <w:u w:val="none" w:color="auto"/>
                    </w:rPr>
                  </w:pPr>
                  <w: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t>混凝土制品</w:t>
                  </w:r>
                </w:p>
              </w:tc>
              <w:tc>
                <w:tcPr>
                  <w:tcW w:w="454" w:type="pct"/>
                  <w:vMerge w:val="restart"/>
                  <w:tcBorders>
                    <w:tl2br w:val="nil"/>
                    <w:tr2bl w:val="nil"/>
                  </w:tcBorders>
                  <w:vAlign w:val="center"/>
                </w:tcPr>
                <w:p w14:paraId="014A7617">
                  <w:pPr>
                    <w:widowControl/>
                    <w:adjustRightInd w:val="0"/>
                    <w:ind w:left="-105" w:leftChars="-50" w:right="-105" w:rightChars="-50"/>
                    <w:jc w:val="center"/>
                    <w:textAlignment w:val="cente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pPr>
                  <w: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t>水泥</w:t>
                  </w:r>
                </w:p>
                <w:p w14:paraId="492186EE">
                  <w:pPr>
                    <w:widowControl/>
                    <w:adjustRightInd w:val="0"/>
                    <w:ind w:left="-105" w:leftChars="-50" w:right="-105" w:rightChars="-50"/>
                    <w:jc w:val="center"/>
                    <w:textAlignment w:val="cente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pPr>
                  <w: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t>、砂子、</w:t>
                  </w:r>
                </w:p>
                <w:p w14:paraId="60D763B9">
                  <w:pPr>
                    <w:widowControl/>
                    <w:adjustRightInd w:val="0"/>
                    <w:ind w:left="-105" w:leftChars="-50" w:right="-105" w:rightChars="-50"/>
                    <w:jc w:val="center"/>
                    <w:textAlignment w:val="center"/>
                    <w:rPr>
                      <w:sz w:val="21"/>
                      <w:szCs w:val="21"/>
                      <w:highlight w:val="none"/>
                      <w:u w:val="none" w:color="auto"/>
                    </w:rPr>
                  </w:pPr>
                  <w: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t>石子等</w:t>
                  </w:r>
                </w:p>
              </w:tc>
              <w:tc>
                <w:tcPr>
                  <w:tcW w:w="454" w:type="pct"/>
                  <w:vMerge w:val="restart"/>
                  <w:tcBorders>
                    <w:tl2br w:val="nil"/>
                    <w:tr2bl w:val="nil"/>
                  </w:tcBorders>
                  <w:vAlign w:val="center"/>
                </w:tcPr>
                <w:p w14:paraId="60620FEC">
                  <w:pPr>
                    <w:widowControl/>
                    <w:adjustRightInd w:val="0"/>
                    <w:ind w:left="-105" w:leftChars="-50" w:right="-105" w:rightChars="-50"/>
                    <w:jc w:val="center"/>
                    <w:textAlignment w:val="center"/>
                    <w:rPr>
                      <w:sz w:val="21"/>
                      <w:szCs w:val="21"/>
                      <w:highlight w:val="none"/>
                      <w:u w:val="none" w:color="auto"/>
                    </w:rPr>
                  </w:pPr>
                  <w: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t>物料输送储存</w:t>
                  </w:r>
                </w:p>
              </w:tc>
              <w:tc>
                <w:tcPr>
                  <w:tcW w:w="454" w:type="pct"/>
                  <w:vMerge w:val="restart"/>
                  <w:tcBorders>
                    <w:tl2br w:val="nil"/>
                    <w:tr2bl w:val="nil"/>
                  </w:tcBorders>
                  <w:vAlign w:val="center"/>
                </w:tcPr>
                <w:p w14:paraId="572AA40E">
                  <w:pPr>
                    <w:widowControl/>
                    <w:adjustRightInd w:val="0"/>
                    <w:ind w:left="-105" w:leftChars="-50" w:right="-105" w:rightChars="-50"/>
                    <w:jc w:val="center"/>
                    <w:textAlignment w:val="center"/>
                    <w:rPr>
                      <w:sz w:val="21"/>
                      <w:szCs w:val="21"/>
                      <w:highlight w:val="none"/>
                      <w:u w:val="none" w:color="auto"/>
                    </w:rPr>
                  </w:pPr>
                  <w: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t>所有规模</w:t>
                  </w:r>
                </w:p>
              </w:tc>
              <w:tc>
                <w:tcPr>
                  <w:tcW w:w="455" w:type="pct"/>
                  <w:vMerge w:val="restart"/>
                  <w:tcBorders>
                    <w:tl2br w:val="nil"/>
                    <w:tr2bl w:val="nil"/>
                  </w:tcBorders>
                  <w:vAlign w:val="center"/>
                </w:tcPr>
                <w:p w14:paraId="7E069ABD">
                  <w:pPr>
                    <w:widowControl/>
                    <w:adjustRightInd w:val="0"/>
                    <w:ind w:left="-105" w:leftChars="-50" w:right="-105" w:rightChars="-50"/>
                    <w:jc w:val="center"/>
                    <w:textAlignment w:val="center"/>
                    <w:rPr>
                      <w:sz w:val="21"/>
                      <w:szCs w:val="21"/>
                      <w:highlight w:val="none"/>
                      <w:u w:val="none" w:color="auto"/>
                    </w:rPr>
                  </w:pPr>
                  <w: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t>废气</w:t>
                  </w:r>
                </w:p>
              </w:tc>
              <w:tc>
                <w:tcPr>
                  <w:tcW w:w="455" w:type="pct"/>
                  <w:tcBorders>
                    <w:tl2br w:val="nil"/>
                    <w:tr2bl w:val="nil"/>
                  </w:tcBorders>
                  <w:vAlign w:val="center"/>
                </w:tcPr>
                <w:p w14:paraId="784CA66C">
                  <w:pPr>
                    <w:widowControl/>
                    <w:adjustRightInd w:val="0"/>
                    <w:ind w:left="-105" w:leftChars="-50" w:right="-105" w:rightChars="-50"/>
                    <w:jc w:val="center"/>
                    <w:textAlignment w:val="cente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pPr>
                  <w: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t>颗粒物</w:t>
                  </w:r>
                </w:p>
              </w:tc>
              <w:tc>
                <w:tcPr>
                  <w:tcW w:w="454" w:type="pct"/>
                  <w:tcBorders>
                    <w:tl2br w:val="nil"/>
                    <w:tr2bl w:val="nil"/>
                  </w:tcBorders>
                  <w:vAlign w:val="center"/>
                </w:tcPr>
                <w:p w14:paraId="55CD863E">
                  <w:pPr>
                    <w:widowControl/>
                    <w:adjustRightInd w:val="0"/>
                    <w:ind w:left="-105" w:leftChars="-50" w:right="-105" w:rightChars="-50"/>
                    <w:jc w:val="center"/>
                    <w:textAlignment w:val="center"/>
                    <w:rPr>
                      <w:rFonts w:hint="default" w:ascii="Times New Roman" w:hAnsi="Times New Roman" w:eastAsia="宋体" w:cs="Times New Roman"/>
                      <w:b w:val="0"/>
                      <w:bCs w:val="0"/>
                      <w:i w:val="0"/>
                      <w:iCs w:val="0"/>
                      <w:color w:val="000000"/>
                      <w:kern w:val="0"/>
                      <w:sz w:val="21"/>
                      <w:szCs w:val="21"/>
                      <w:highlight w:val="none"/>
                      <w:u w:val="none" w:color="auto"/>
                      <w:lang w:val="en-US" w:eastAsia="zh-CN" w:bidi="ar"/>
                    </w:rPr>
                  </w:pPr>
                  <w: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t>千克/吨产品</w:t>
                  </w:r>
                </w:p>
              </w:tc>
              <w:tc>
                <w:tcPr>
                  <w:tcW w:w="454" w:type="pct"/>
                  <w:tcBorders>
                    <w:tl2br w:val="nil"/>
                    <w:tr2bl w:val="nil"/>
                  </w:tcBorders>
                  <w:vAlign w:val="center"/>
                </w:tcPr>
                <w:p w14:paraId="59322285">
                  <w:pPr>
                    <w:widowControl/>
                    <w:adjustRightInd w:val="0"/>
                    <w:ind w:left="-105" w:leftChars="-50" w:right="-105" w:rightChars="-50"/>
                    <w:jc w:val="center"/>
                    <w:textAlignment w:val="center"/>
                    <w:rPr>
                      <w:rFonts w:hint="default" w:ascii="Times New Roman" w:hAnsi="Times New Roman" w:eastAsia="宋体" w:cs="Times New Roman"/>
                      <w:b w:val="0"/>
                      <w:bCs w:val="0"/>
                      <w:i w:val="0"/>
                      <w:iCs w:val="0"/>
                      <w:color w:val="000000"/>
                      <w:kern w:val="0"/>
                      <w:sz w:val="21"/>
                      <w:szCs w:val="21"/>
                      <w:highlight w:val="none"/>
                      <w:u w:val="none" w:color="auto"/>
                      <w:lang w:val="en-US" w:eastAsia="zh-CN" w:bidi="ar"/>
                    </w:rPr>
                  </w:pPr>
                  <w: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t>0.12</w:t>
                  </w:r>
                </w:p>
              </w:tc>
              <w:tc>
                <w:tcPr>
                  <w:tcW w:w="454" w:type="pct"/>
                  <w:tcBorders>
                    <w:tl2br w:val="nil"/>
                    <w:tr2bl w:val="nil"/>
                  </w:tcBorders>
                  <w:vAlign w:val="center"/>
                </w:tcPr>
                <w:p w14:paraId="28CC518E">
                  <w:pPr>
                    <w:widowControl/>
                    <w:adjustRightInd w:val="0"/>
                    <w:ind w:left="-105" w:leftChars="-50" w:right="-105" w:rightChars="-50"/>
                    <w:jc w:val="center"/>
                    <w:textAlignment w:val="center"/>
                    <w:rPr>
                      <w:rFonts w:hint="default" w:ascii="Times New Roman" w:hAnsi="Times New Roman" w:eastAsia="宋体" w:cs="Times New Roman"/>
                      <w:b w:val="0"/>
                      <w:bCs w:val="0"/>
                      <w:i w:val="0"/>
                      <w:iCs w:val="0"/>
                      <w:color w:val="000000"/>
                      <w:kern w:val="0"/>
                      <w:sz w:val="21"/>
                      <w:szCs w:val="21"/>
                      <w:highlight w:val="none"/>
                      <w:u w:val="none" w:color="auto"/>
                      <w:lang w:val="en-US" w:eastAsia="zh-CN" w:bidi="ar"/>
                    </w:rPr>
                  </w:pPr>
                  <w: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t>袋式除尘</w:t>
                  </w:r>
                </w:p>
              </w:tc>
              <w:tc>
                <w:tcPr>
                  <w:tcW w:w="454" w:type="pct"/>
                  <w:tcBorders>
                    <w:tl2br w:val="nil"/>
                    <w:tr2bl w:val="nil"/>
                  </w:tcBorders>
                  <w:vAlign w:val="center"/>
                </w:tcPr>
                <w:p w14:paraId="1B76772D">
                  <w:pPr>
                    <w:widowControl/>
                    <w:adjustRightInd w:val="0"/>
                    <w:ind w:left="-105" w:leftChars="-50" w:right="-105" w:rightChars="-50"/>
                    <w:jc w:val="center"/>
                    <w:textAlignment w:val="center"/>
                    <w:rPr>
                      <w:rFonts w:hint="default" w:ascii="Times New Roman" w:hAnsi="Times New Roman" w:eastAsia="宋体" w:cs="Times New Roman"/>
                      <w:b w:val="0"/>
                      <w:bCs w:val="0"/>
                      <w:i w:val="0"/>
                      <w:iCs w:val="0"/>
                      <w:color w:val="000000"/>
                      <w:kern w:val="0"/>
                      <w:sz w:val="21"/>
                      <w:szCs w:val="21"/>
                      <w:highlight w:val="none"/>
                      <w:u w:val="none" w:color="auto"/>
                      <w:lang w:val="en-US" w:eastAsia="zh-CN" w:bidi="ar"/>
                    </w:rPr>
                  </w:pPr>
                  <w: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t>99.7</w:t>
                  </w:r>
                </w:p>
              </w:tc>
            </w:tr>
            <w:tr w14:paraId="3C1DFC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453" w:type="pct"/>
                  <w:vMerge w:val="continue"/>
                  <w:tcBorders>
                    <w:tl2br w:val="nil"/>
                    <w:tr2bl w:val="nil"/>
                  </w:tcBorders>
                  <w:vAlign w:val="center"/>
                </w:tcPr>
                <w:p w14:paraId="761E0460">
                  <w:pPr>
                    <w:widowControl/>
                    <w:adjustRightInd w:val="0"/>
                    <w:ind w:left="-105" w:leftChars="-50" w:right="-105" w:rightChars="-50"/>
                    <w:jc w:val="center"/>
                    <w:textAlignment w:val="cente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pPr>
                </w:p>
              </w:tc>
              <w:tc>
                <w:tcPr>
                  <w:tcW w:w="453" w:type="pct"/>
                  <w:vMerge w:val="continue"/>
                  <w:tcBorders>
                    <w:tl2br w:val="nil"/>
                    <w:tr2bl w:val="nil"/>
                  </w:tcBorders>
                  <w:vAlign w:val="center"/>
                </w:tcPr>
                <w:p w14:paraId="03AED930">
                  <w:pPr>
                    <w:widowControl/>
                    <w:adjustRightInd w:val="0"/>
                    <w:ind w:left="-105" w:leftChars="-50" w:right="-105" w:rightChars="-50"/>
                    <w:jc w:val="center"/>
                    <w:textAlignment w:val="cente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pPr>
                </w:p>
              </w:tc>
              <w:tc>
                <w:tcPr>
                  <w:tcW w:w="454" w:type="pct"/>
                  <w:vMerge w:val="continue"/>
                  <w:tcBorders>
                    <w:tl2br w:val="nil"/>
                    <w:tr2bl w:val="nil"/>
                  </w:tcBorders>
                  <w:vAlign w:val="center"/>
                </w:tcPr>
                <w:p w14:paraId="2860E3ED">
                  <w:pPr>
                    <w:widowControl/>
                    <w:adjustRightInd w:val="0"/>
                    <w:ind w:left="-105" w:leftChars="-50" w:right="-105" w:rightChars="-50"/>
                    <w:jc w:val="center"/>
                    <w:textAlignment w:val="cente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pPr>
                </w:p>
              </w:tc>
              <w:tc>
                <w:tcPr>
                  <w:tcW w:w="454" w:type="pct"/>
                  <w:vMerge w:val="continue"/>
                  <w:tcBorders>
                    <w:tl2br w:val="nil"/>
                    <w:tr2bl w:val="nil"/>
                  </w:tcBorders>
                  <w:vAlign w:val="center"/>
                </w:tcPr>
                <w:p w14:paraId="4FA7BAD4">
                  <w:pPr>
                    <w:widowControl/>
                    <w:adjustRightInd w:val="0"/>
                    <w:ind w:left="-105" w:leftChars="-50" w:right="-105" w:rightChars="-50"/>
                    <w:jc w:val="center"/>
                    <w:textAlignment w:val="cente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pPr>
                </w:p>
              </w:tc>
              <w:tc>
                <w:tcPr>
                  <w:tcW w:w="454" w:type="pct"/>
                  <w:vMerge w:val="continue"/>
                  <w:tcBorders>
                    <w:tl2br w:val="nil"/>
                    <w:tr2bl w:val="nil"/>
                  </w:tcBorders>
                  <w:vAlign w:val="center"/>
                </w:tcPr>
                <w:p w14:paraId="4778A3CF">
                  <w:pPr>
                    <w:widowControl/>
                    <w:adjustRightInd w:val="0"/>
                    <w:ind w:left="-105" w:leftChars="-50" w:right="-105" w:rightChars="-50"/>
                    <w:jc w:val="center"/>
                    <w:textAlignment w:val="cente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pPr>
                </w:p>
              </w:tc>
              <w:tc>
                <w:tcPr>
                  <w:tcW w:w="455" w:type="pct"/>
                  <w:vMerge w:val="continue"/>
                  <w:tcBorders>
                    <w:tl2br w:val="nil"/>
                    <w:tr2bl w:val="nil"/>
                  </w:tcBorders>
                  <w:vAlign w:val="center"/>
                </w:tcPr>
                <w:p w14:paraId="43000C03">
                  <w:pPr>
                    <w:widowControl/>
                    <w:adjustRightInd w:val="0"/>
                    <w:ind w:left="-105" w:leftChars="-50" w:right="-105" w:rightChars="-50"/>
                    <w:jc w:val="center"/>
                    <w:textAlignment w:val="cente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pPr>
                </w:p>
              </w:tc>
              <w:tc>
                <w:tcPr>
                  <w:tcW w:w="455" w:type="pct"/>
                  <w:tcBorders>
                    <w:tl2br w:val="nil"/>
                    <w:tr2bl w:val="nil"/>
                  </w:tcBorders>
                  <w:vAlign w:val="center"/>
                </w:tcPr>
                <w:p w14:paraId="5144A64A">
                  <w:pPr>
                    <w:widowControl/>
                    <w:adjustRightInd w:val="0"/>
                    <w:ind w:left="-105" w:leftChars="-50" w:right="-105" w:rightChars="-50"/>
                    <w:jc w:val="center"/>
                    <w:textAlignment w:val="center"/>
                    <w:rPr>
                      <w:rFonts w:hint="default" w:ascii="Times New Roman" w:hAnsi="Times New Roman" w:eastAsia="宋体" w:cs="Times New Roman"/>
                      <w:b w:val="0"/>
                      <w:bCs w:val="0"/>
                      <w:i w:val="0"/>
                      <w:iCs w:val="0"/>
                      <w:color w:val="auto"/>
                      <w:kern w:val="0"/>
                      <w:sz w:val="21"/>
                      <w:szCs w:val="21"/>
                      <w:highlight w:val="none"/>
                      <w:u w:val="none" w:color="auto"/>
                      <w:lang w:val="en-US" w:eastAsia="zh-CN" w:bidi="ar"/>
                    </w:rPr>
                  </w:pPr>
                  <w:r>
                    <w:rPr>
                      <w:rFonts w:hint="eastAsia" w:cs="Times New Roman"/>
                      <w:b w:val="0"/>
                      <w:bCs w:val="0"/>
                      <w:i w:val="0"/>
                      <w:iCs w:val="0"/>
                      <w:color w:val="auto"/>
                      <w:kern w:val="0"/>
                      <w:sz w:val="21"/>
                      <w:szCs w:val="21"/>
                      <w:highlight w:val="none"/>
                      <w:u w:val="none" w:color="auto"/>
                      <w:lang w:val="en-US" w:eastAsia="zh-CN" w:bidi="ar"/>
                    </w:rPr>
                    <w:t>废气量</w:t>
                  </w:r>
                </w:p>
              </w:tc>
              <w:tc>
                <w:tcPr>
                  <w:tcW w:w="454" w:type="pct"/>
                  <w:tcBorders>
                    <w:tl2br w:val="nil"/>
                    <w:tr2bl w:val="nil"/>
                  </w:tcBorders>
                  <w:vAlign w:val="center"/>
                </w:tcPr>
                <w:p w14:paraId="3B078181">
                  <w:pPr>
                    <w:widowControl/>
                    <w:adjustRightInd w:val="0"/>
                    <w:ind w:left="-105" w:leftChars="-50" w:right="-105" w:rightChars="-50"/>
                    <w:jc w:val="center"/>
                    <w:textAlignment w:val="center"/>
                    <w:rPr>
                      <w:rFonts w:hint="default" w:ascii="Times New Roman" w:hAnsi="Times New Roman" w:eastAsia="宋体" w:cs="Times New Roman"/>
                      <w:b w:val="0"/>
                      <w:bCs w:val="0"/>
                      <w:i w:val="0"/>
                      <w:iCs w:val="0"/>
                      <w:color w:val="auto"/>
                      <w:kern w:val="0"/>
                      <w:sz w:val="21"/>
                      <w:szCs w:val="21"/>
                      <w:highlight w:val="none"/>
                      <w:u w:val="none" w:color="auto"/>
                      <w:lang w:val="en-US" w:eastAsia="zh-CN" w:bidi="ar"/>
                    </w:rPr>
                  </w:pPr>
                  <w:r>
                    <w:rPr>
                      <w:rFonts w:hint="eastAsia" w:cs="Times New Roman"/>
                      <w:b w:val="0"/>
                      <w:bCs w:val="0"/>
                      <w:i w:val="0"/>
                      <w:iCs w:val="0"/>
                      <w:color w:val="auto"/>
                      <w:kern w:val="0"/>
                      <w:sz w:val="21"/>
                      <w:szCs w:val="21"/>
                      <w:highlight w:val="none"/>
                      <w:u w:val="none" w:color="auto"/>
                      <w:lang w:val="en-US" w:eastAsia="zh-CN" w:bidi="ar"/>
                    </w:rPr>
                    <w:t>标立方米/吨-产品</w:t>
                  </w:r>
                </w:p>
              </w:tc>
              <w:tc>
                <w:tcPr>
                  <w:tcW w:w="454" w:type="pct"/>
                  <w:tcBorders>
                    <w:tl2br w:val="nil"/>
                    <w:tr2bl w:val="nil"/>
                  </w:tcBorders>
                  <w:vAlign w:val="center"/>
                </w:tcPr>
                <w:p w14:paraId="65BB40EA">
                  <w:pPr>
                    <w:widowControl/>
                    <w:adjustRightInd w:val="0"/>
                    <w:ind w:left="-105" w:leftChars="-50" w:right="-105" w:rightChars="-50"/>
                    <w:jc w:val="center"/>
                    <w:textAlignment w:val="center"/>
                    <w:rPr>
                      <w:rFonts w:hint="default" w:ascii="Times New Roman" w:hAnsi="Times New Roman" w:eastAsia="宋体" w:cs="Times New Roman"/>
                      <w:b w:val="0"/>
                      <w:bCs w:val="0"/>
                      <w:i w:val="0"/>
                      <w:iCs w:val="0"/>
                      <w:color w:val="auto"/>
                      <w:kern w:val="0"/>
                      <w:sz w:val="21"/>
                      <w:szCs w:val="21"/>
                      <w:highlight w:val="none"/>
                      <w:u w:val="none" w:color="auto"/>
                      <w:lang w:val="en-US" w:eastAsia="zh-CN" w:bidi="ar"/>
                    </w:rPr>
                  </w:pPr>
                  <w:r>
                    <w:rPr>
                      <w:rFonts w:hint="eastAsia" w:cs="Times New Roman"/>
                      <w:b w:val="0"/>
                      <w:bCs w:val="0"/>
                      <w:i w:val="0"/>
                      <w:iCs w:val="0"/>
                      <w:color w:val="auto"/>
                      <w:kern w:val="0"/>
                      <w:sz w:val="21"/>
                      <w:szCs w:val="21"/>
                      <w:highlight w:val="none"/>
                      <w:u w:val="none" w:color="auto"/>
                      <w:lang w:val="en-US" w:eastAsia="zh-CN" w:bidi="ar"/>
                    </w:rPr>
                    <w:t>22</w:t>
                  </w:r>
                </w:p>
              </w:tc>
              <w:tc>
                <w:tcPr>
                  <w:tcW w:w="454" w:type="pct"/>
                  <w:tcBorders>
                    <w:tl2br w:val="nil"/>
                    <w:tr2bl w:val="nil"/>
                  </w:tcBorders>
                  <w:vAlign w:val="center"/>
                </w:tcPr>
                <w:p w14:paraId="305AB404">
                  <w:pPr>
                    <w:widowControl/>
                    <w:adjustRightInd w:val="0"/>
                    <w:ind w:left="-105" w:leftChars="-50" w:right="-105" w:rightChars="-50"/>
                    <w:jc w:val="center"/>
                    <w:textAlignment w:val="center"/>
                    <w:rPr>
                      <w:rFonts w:hint="default" w:ascii="Times New Roman" w:hAnsi="Times New Roman" w:eastAsia="宋体" w:cs="Times New Roman"/>
                      <w:b w:val="0"/>
                      <w:bCs w:val="0"/>
                      <w:i w:val="0"/>
                      <w:iCs w:val="0"/>
                      <w:color w:val="auto"/>
                      <w:kern w:val="0"/>
                      <w:sz w:val="21"/>
                      <w:szCs w:val="21"/>
                      <w:highlight w:val="none"/>
                      <w:u w:val="none" w:color="auto"/>
                      <w:lang w:val="en-US" w:eastAsia="zh-CN" w:bidi="ar"/>
                    </w:rPr>
                  </w:pPr>
                  <w:r>
                    <w:rPr>
                      <w:rFonts w:hint="eastAsia" w:cs="Times New Roman"/>
                      <w:b w:val="0"/>
                      <w:bCs w:val="0"/>
                      <w:i w:val="0"/>
                      <w:iCs w:val="0"/>
                      <w:color w:val="auto"/>
                      <w:kern w:val="0"/>
                      <w:sz w:val="21"/>
                      <w:szCs w:val="21"/>
                      <w:highlight w:val="none"/>
                      <w:u w:val="none" w:color="auto"/>
                      <w:lang w:val="en-US" w:eastAsia="zh-CN" w:bidi="ar"/>
                    </w:rPr>
                    <w:t>/</w:t>
                  </w:r>
                </w:p>
              </w:tc>
              <w:tc>
                <w:tcPr>
                  <w:tcW w:w="454" w:type="pct"/>
                  <w:tcBorders>
                    <w:tl2br w:val="nil"/>
                    <w:tr2bl w:val="nil"/>
                  </w:tcBorders>
                  <w:vAlign w:val="center"/>
                </w:tcPr>
                <w:p w14:paraId="50028710">
                  <w:pPr>
                    <w:widowControl/>
                    <w:adjustRightInd w:val="0"/>
                    <w:ind w:left="-105" w:leftChars="-50" w:right="-105" w:rightChars="-50"/>
                    <w:jc w:val="center"/>
                    <w:textAlignment w:val="center"/>
                    <w:rPr>
                      <w:rFonts w:hint="default" w:ascii="Times New Roman" w:hAnsi="Times New Roman" w:eastAsia="宋体" w:cs="Times New Roman"/>
                      <w:b w:val="0"/>
                      <w:bCs w:val="0"/>
                      <w:i w:val="0"/>
                      <w:iCs w:val="0"/>
                      <w:color w:val="auto"/>
                      <w:kern w:val="0"/>
                      <w:sz w:val="21"/>
                      <w:szCs w:val="21"/>
                      <w:highlight w:val="none"/>
                      <w:u w:val="none" w:color="auto"/>
                      <w:lang w:val="en-US" w:eastAsia="zh-CN" w:bidi="ar"/>
                    </w:rPr>
                  </w:pPr>
                  <w:r>
                    <w:rPr>
                      <w:rFonts w:hint="eastAsia" w:cs="Times New Roman"/>
                      <w:b w:val="0"/>
                      <w:bCs w:val="0"/>
                      <w:i w:val="0"/>
                      <w:iCs w:val="0"/>
                      <w:color w:val="auto"/>
                      <w:kern w:val="0"/>
                      <w:sz w:val="21"/>
                      <w:szCs w:val="21"/>
                      <w:highlight w:val="none"/>
                      <w:u w:val="none" w:color="auto"/>
                      <w:lang w:val="en-US" w:eastAsia="zh-CN" w:bidi="ar"/>
                    </w:rPr>
                    <w:t>/</w:t>
                  </w:r>
                </w:p>
              </w:tc>
            </w:tr>
            <w:tr w14:paraId="389D1E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453" w:type="pct"/>
                  <w:vMerge w:val="restart"/>
                  <w:tcBorders>
                    <w:tl2br w:val="nil"/>
                    <w:tr2bl w:val="nil"/>
                  </w:tcBorders>
                  <w:vAlign w:val="center"/>
                </w:tcPr>
                <w:p w14:paraId="70C90523">
                  <w:pPr>
                    <w:widowControl/>
                    <w:adjustRightInd w:val="0"/>
                    <w:ind w:left="-105" w:leftChars="-50" w:right="-105" w:rightChars="-50"/>
                    <w:jc w:val="center"/>
                    <w:textAlignment w:val="center"/>
                    <w:rPr>
                      <w:sz w:val="21"/>
                      <w:szCs w:val="21"/>
                      <w:highlight w:val="none"/>
                      <w:u w:val="none" w:color="auto"/>
                    </w:rPr>
                  </w:pPr>
                  <w: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t>物料搅拌</w:t>
                  </w:r>
                </w:p>
              </w:tc>
              <w:tc>
                <w:tcPr>
                  <w:tcW w:w="453" w:type="pct"/>
                  <w:vMerge w:val="continue"/>
                  <w:tcBorders>
                    <w:tl2br w:val="nil"/>
                    <w:tr2bl w:val="nil"/>
                  </w:tcBorders>
                  <w:vAlign w:val="center"/>
                </w:tcPr>
                <w:p w14:paraId="3A4C1266">
                  <w:pPr>
                    <w:widowControl/>
                    <w:adjustRightInd w:val="0"/>
                    <w:ind w:left="-105" w:leftChars="-50" w:right="-105" w:rightChars="-50"/>
                    <w:jc w:val="center"/>
                    <w:textAlignment w:val="center"/>
                    <w:rPr>
                      <w:sz w:val="21"/>
                      <w:szCs w:val="21"/>
                      <w:highlight w:val="none"/>
                      <w:u w:val="none" w:color="auto"/>
                    </w:rPr>
                  </w:pPr>
                </w:p>
              </w:tc>
              <w:tc>
                <w:tcPr>
                  <w:tcW w:w="454" w:type="pct"/>
                  <w:vMerge w:val="continue"/>
                  <w:tcBorders>
                    <w:tl2br w:val="nil"/>
                    <w:tr2bl w:val="nil"/>
                  </w:tcBorders>
                  <w:vAlign w:val="center"/>
                </w:tcPr>
                <w:p w14:paraId="37F9FCFE">
                  <w:pPr>
                    <w:widowControl/>
                    <w:adjustRightInd w:val="0"/>
                    <w:ind w:left="-105" w:leftChars="-50" w:right="-105" w:rightChars="-50"/>
                    <w:jc w:val="center"/>
                    <w:textAlignment w:val="center"/>
                    <w:rPr>
                      <w:sz w:val="21"/>
                      <w:szCs w:val="21"/>
                      <w:highlight w:val="none"/>
                      <w:u w:val="none" w:color="auto"/>
                    </w:rPr>
                  </w:pPr>
                </w:p>
              </w:tc>
              <w:tc>
                <w:tcPr>
                  <w:tcW w:w="454" w:type="pct"/>
                  <w:vMerge w:val="restart"/>
                  <w:tcBorders>
                    <w:tl2br w:val="nil"/>
                    <w:tr2bl w:val="nil"/>
                  </w:tcBorders>
                  <w:vAlign w:val="center"/>
                </w:tcPr>
                <w:p w14:paraId="72E93154">
                  <w:pPr>
                    <w:widowControl/>
                    <w:adjustRightInd w:val="0"/>
                    <w:ind w:left="-105" w:leftChars="-50" w:right="-105" w:rightChars="-50"/>
                    <w:jc w:val="center"/>
                    <w:textAlignment w:val="center"/>
                    <w:rPr>
                      <w:sz w:val="21"/>
                      <w:szCs w:val="21"/>
                      <w:highlight w:val="none"/>
                      <w:u w:val="none" w:color="auto"/>
                    </w:rPr>
                  </w:pPr>
                  <w: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t>物料混合搅拌</w:t>
                  </w:r>
                </w:p>
              </w:tc>
              <w:tc>
                <w:tcPr>
                  <w:tcW w:w="454" w:type="pct"/>
                  <w:vMerge w:val="continue"/>
                  <w:tcBorders>
                    <w:tl2br w:val="nil"/>
                    <w:tr2bl w:val="nil"/>
                  </w:tcBorders>
                  <w:vAlign w:val="center"/>
                </w:tcPr>
                <w:p w14:paraId="42BC5DB2">
                  <w:pPr>
                    <w:widowControl/>
                    <w:adjustRightInd w:val="0"/>
                    <w:ind w:left="-105" w:leftChars="-50" w:right="-105" w:rightChars="-50"/>
                    <w:jc w:val="center"/>
                    <w:textAlignment w:val="center"/>
                    <w:rPr>
                      <w:sz w:val="21"/>
                      <w:szCs w:val="21"/>
                      <w:highlight w:val="none"/>
                      <w:u w:val="none" w:color="auto"/>
                    </w:rPr>
                  </w:pPr>
                </w:p>
              </w:tc>
              <w:tc>
                <w:tcPr>
                  <w:tcW w:w="455" w:type="pct"/>
                  <w:vMerge w:val="restart"/>
                  <w:tcBorders>
                    <w:tl2br w:val="nil"/>
                    <w:tr2bl w:val="nil"/>
                  </w:tcBorders>
                  <w:vAlign w:val="center"/>
                </w:tcPr>
                <w:p w14:paraId="101387E9">
                  <w:pPr>
                    <w:widowControl/>
                    <w:adjustRightInd w:val="0"/>
                    <w:ind w:left="-105" w:leftChars="-50" w:right="-105" w:rightChars="-50"/>
                    <w:jc w:val="center"/>
                    <w:textAlignment w:val="center"/>
                    <w:rPr>
                      <w:sz w:val="21"/>
                      <w:szCs w:val="21"/>
                      <w:highlight w:val="none"/>
                      <w:u w:val="none" w:color="auto"/>
                    </w:rPr>
                  </w:pPr>
                  <w: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t>废气</w:t>
                  </w:r>
                </w:p>
              </w:tc>
              <w:tc>
                <w:tcPr>
                  <w:tcW w:w="455" w:type="pct"/>
                  <w:tcBorders>
                    <w:tl2br w:val="nil"/>
                    <w:tr2bl w:val="nil"/>
                  </w:tcBorders>
                  <w:vAlign w:val="center"/>
                </w:tcPr>
                <w:p w14:paraId="70ECE617">
                  <w:pPr>
                    <w:widowControl/>
                    <w:adjustRightInd w:val="0"/>
                    <w:ind w:left="-105" w:leftChars="-50" w:right="-105" w:rightChars="-50"/>
                    <w:jc w:val="center"/>
                    <w:textAlignment w:val="center"/>
                    <w:rPr>
                      <w:rFonts w:ascii="Times New Roman" w:hAnsi="Times New Roman" w:eastAsia="宋体" w:cs="Times New Roman"/>
                      <w:b w:val="0"/>
                      <w:bCs w:val="0"/>
                      <w:i w:val="0"/>
                      <w:iCs w:val="0"/>
                      <w:color w:val="000000"/>
                      <w:kern w:val="0"/>
                      <w:sz w:val="21"/>
                      <w:szCs w:val="21"/>
                      <w:highlight w:val="none"/>
                      <w:u w:val="none" w:color="auto"/>
                      <w:lang w:bidi="ar"/>
                    </w:rPr>
                  </w:pPr>
                  <w: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t>颗粒物</w:t>
                  </w:r>
                </w:p>
              </w:tc>
              <w:tc>
                <w:tcPr>
                  <w:tcW w:w="454" w:type="pct"/>
                  <w:tcBorders>
                    <w:tl2br w:val="nil"/>
                    <w:tr2bl w:val="nil"/>
                  </w:tcBorders>
                  <w:vAlign w:val="center"/>
                </w:tcPr>
                <w:p w14:paraId="6BBEFB0A">
                  <w:pPr>
                    <w:widowControl/>
                    <w:adjustRightInd w:val="0"/>
                    <w:ind w:left="-105" w:leftChars="-50" w:right="-105" w:rightChars="-50"/>
                    <w:jc w:val="center"/>
                    <w:textAlignment w:val="center"/>
                    <w:rPr>
                      <w:rFonts w:ascii="Times New Roman" w:hAnsi="Times New Roman" w:eastAsia="宋体" w:cs="Times New Roman"/>
                      <w:b w:val="0"/>
                      <w:bCs w:val="0"/>
                      <w:i w:val="0"/>
                      <w:iCs w:val="0"/>
                      <w:color w:val="000000"/>
                      <w:kern w:val="0"/>
                      <w:sz w:val="21"/>
                      <w:szCs w:val="21"/>
                      <w:highlight w:val="none"/>
                      <w:u w:val="none" w:color="auto"/>
                      <w:lang w:bidi="ar"/>
                    </w:rPr>
                  </w:pPr>
                  <w: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t>千克/吨产品</w:t>
                  </w:r>
                </w:p>
              </w:tc>
              <w:tc>
                <w:tcPr>
                  <w:tcW w:w="454" w:type="pct"/>
                  <w:tcBorders>
                    <w:tl2br w:val="nil"/>
                    <w:tr2bl w:val="nil"/>
                  </w:tcBorders>
                  <w:vAlign w:val="center"/>
                </w:tcPr>
                <w:p w14:paraId="7E602976">
                  <w:pPr>
                    <w:widowControl/>
                    <w:adjustRightInd w:val="0"/>
                    <w:ind w:left="-105" w:leftChars="-50" w:right="-105" w:rightChars="-50"/>
                    <w:jc w:val="center"/>
                    <w:textAlignment w:val="center"/>
                    <w:rPr>
                      <w:rFonts w:hint="default" w:ascii="Times New Roman" w:hAnsi="Times New Roman" w:eastAsia="宋体" w:cs="Times New Roman"/>
                      <w:b w:val="0"/>
                      <w:bCs w:val="0"/>
                      <w:i w:val="0"/>
                      <w:iCs w:val="0"/>
                      <w:color w:val="000000"/>
                      <w:kern w:val="0"/>
                      <w:sz w:val="21"/>
                      <w:szCs w:val="21"/>
                      <w:highlight w:val="none"/>
                      <w:u w:val="none" w:color="auto"/>
                      <w:lang w:val="en-US" w:eastAsia="zh-CN" w:bidi="ar"/>
                    </w:rPr>
                  </w:pPr>
                  <w: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t>0.13</w:t>
                  </w:r>
                </w:p>
              </w:tc>
              <w:tc>
                <w:tcPr>
                  <w:tcW w:w="454" w:type="pct"/>
                  <w:tcBorders>
                    <w:tl2br w:val="nil"/>
                    <w:tr2bl w:val="nil"/>
                  </w:tcBorders>
                  <w:vAlign w:val="center"/>
                </w:tcPr>
                <w:p w14:paraId="441F7666">
                  <w:pPr>
                    <w:widowControl/>
                    <w:adjustRightInd w:val="0"/>
                    <w:ind w:left="-105" w:leftChars="-50" w:right="-105" w:rightChars="-50"/>
                    <w:jc w:val="center"/>
                    <w:textAlignment w:val="center"/>
                    <w:rPr>
                      <w:rFonts w:ascii="Times New Roman" w:hAnsi="Times New Roman" w:eastAsia="宋体" w:cs="Times New Roman"/>
                      <w:b w:val="0"/>
                      <w:bCs w:val="0"/>
                      <w:i w:val="0"/>
                      <w:iCs w:val="0"/>
                      <w:color w:val="000000"/>
                      <w:kern w:val="0"/>
                      <w:sz w:val="21"/>
                      <w:szCs w:val="21"/>
                      <w:highlight w:val="none"/>
                      <w:u w:val="none" w:color="auto"/>
                      <w:lang w:bidi="ar"/>
                    </w:rPr>
                  </w:pPr>
                  <w: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t>袋式除尘</w:t>
                  </w:r>
                </w:p>
              </w:tc>
              <w:tc>
                <w:tcPr>
                  <w:tcW w:w="454" w:type="pct"/>
                  <w:tcBorders>
                    <w:tl2br w:val="nil"/>
                    <w:tr2bl w:val="nil"/>
                  </w:tcBorders>
                  <w:vAlign w:val="center"/>
                </w:tcPr>
                <w:p w14:paraId="1EA7EE57">
                  <w:pPr>
                    <w:widowControl/>
                    <w:adjustRightInd w:val="0"/>
                    <w:ind w:left="-105" w:leftChars="-50" w:right="-105" w:rightChars="-50"/>
                    <w:jc w:val="center"/>
                    <w:textAlignment w:val="center"/>
                    <w:rPr>
                      <w:rFonts w:ascii="Times New Roman" w:hAnsi="Times New Roman" w:eastAsia="宋体" w:cs="Times New Roman"/>
                      <w:b w:val="0"/>
                      <w:bCs w:val="0"/>
                      <w:i w:val="0"/>
                      <w:iCs w:val="0"/>
                      <w:color w:val="000000"/>
                      <w:kern w:val="0"/>
                      <w:sz w:val="21"/>
                      <w:szCs w:val="21"/>
                      <w:highlight w:val="none"/>
                      <w:u w:val="none" w:color="auto"/>
                      <w:lang w:bidi="ar"/>
                    </w:rPr>
                  </w:pPr>
                  <w: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t>99.7</w:t>
                  </w:r>
                </w:p>
              </w:tc>
            </w:tr>
            <w:tr w14:paraId="1090A2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453" w:type="pct"/>
                  <w:vMerge w:val="continue"/>
                  <w:tcBorders>
                    <w:tl2br w:val="nil"/>
                    <w:tr2bl w:val="nil"/>
                  </w:tcBorders>
                  <w:vAlign w:val="center"/>
                </w:tcPr>
                <w:p w14:paraId="0FC232CA">
                  <w:pPr>
                    <w:widowControl/>
                    <w:adjustRightInd w:val="0"/>
                    <w:ind w:left="-105" w:leftChars="-50" w:right="-105" w:rightChars="-50"/>
                    <w:jc w:val="center"/>
                    <w:textAlignment w:val="cente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pPr>
                </w:p>
              </w:tc>
              <w:tc>
                <w:tcPr>
                  <w:tcW w:w="453" w:type="pct"/>
                  <w:vMerge w:val="continue"/>
                  <w:tcBorders>
                    <w:tl2br w:val="nil"/>
                    <w:tr2bl w:val="nil"/>
                  </w:tcBorders>
                  <w:vAlign w:val="center"/>
                </w:tcPr>
                <w:p w14:paraId="3B345305">
                  <w:pPr>
                    <w:widowControl/>
                    <w:adjustRightInd w:val="0"/>
                    <w:ind w:left="-105" w:leftChars="-50" w:right="-105" w:rightChars="-50"/>
                    <w:jc w:val="center"/>
                    <w:textAlignment w:val="center"/>
                    <w:rPr>
                      <w:sz w:val="21"/>
                      <w:szCs w:val="21"/>
                      <w:highlight w:val="none"/>
                      <w:u w:val="none" w:color="auto"/>
                    </w:rPr>
                  </w:pPr>
                </w:p>
              </w:tc>
              <w:tc>
                <w:tcPr>
                  <w:tcW w:w="454" w:type="pct"/>
                  <w:vMerge w:val="continue"/>
                  <w:tcBorders>
                    <w:tl2br w:val="nil"/>
                    <w:tr2bl w:val="nil"/>
                  </w:tcBorders>
                  <w:vAlign w:val="center"/>
                </w:tcPr>
                <w:p w14:paraId="18DA7AA3">
                  <w:pPr>
                    <w:widowControl/>
                    <w:adjustRightInd w:val="0"/>
                    <w:ind w:left="-105" w:leftChars="-50" w:right="-105" w:rightChars="-50"/>
                    <w:jc w:val="center"/>
                    <w:textAlignment w:val="center"/>
                    <w:rPr>
                      <w:sz w:val="21"/>
                      <w:szCs w:val="21"/>
                      <w:highlight w:val="none"/>
                      <w:u w:val="none" w:color="auto"/>
                    </w:rPr>
                  </w:pPr>
                </w:p>
              </w:tc>
              <w:tc>
                <w:tcPr>
                  <w:tcW w:w="454" w:type="pct"/>
                  <w:vMerge w:val="continue"/>
                  <w:tcBorders>
                    <w:tl2br w:val="nil"/>
                    <w:tr2bl w:val="nil"/>
                  </w:tcBorders>
                  <w:vAlign w:val="center"/>
                </w:tcPr>
                <w:p w14:paraId="2305C16F">
                  <w:pPr>
                    <w:widowControl/>
                    <w:adjustRightInd w:val="0"/>
                    <w:ind w:left="-105" w:leftChars="-50" w:right="-105" w:rightChars="-50"/>
                    <w:jc w:val="center"/>
                    <w:textAlignment w:val="cente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pPr>
                </w:p>
              </w:tc>
              <w:tc>
                <w:tcPr>
                  <w:tcW w:w="454" w:type="pct"/>
                  <w:vMerge w:val="continue"/>
                  <w:tcBorders>
                    <w:tl2br w:val="nil"/>
                    <w:tr2bl w:val="nil"/>
                  </w:tcBorders>
                  <w:vAlign w:val="center"/>
                </w:tcPr>
                <w:p w14:paraId="4B0015C9">
                  <w:pPr>
                    <w:widowControl/>
                    <w:adjustRightInd w:val="0"/>
                    <w:ind w:left="-105" w:leftChars="-50" w:right="-105" w:rightChars="-50"/>
                    <w:jc w:val="center"/>
                    <w:textAlignment w:val="center"/>
                    <w:rPr>
                      <w:sz w:val="21"/>
                      <w:szCs w:val="21"/>
                      <w:highlight w:val="none"/>
                      <w:u w:val="none" w:color="auto"/>
                    </w:rPr>
                  </w:pPr>
                </w:p>
              </w:tc>
              <w:tc>
                <w:tcPr>
                  <w:tcW w:w="455" w:type="pct"/>
                  <w:vMerge w:val="continue"/>
                  <w:tcBorders>
                    <w:tl2br w:val="nil"/>
                    <w:tr2bl w:val="nil"/>
                  </w:tcBorders>
                  <w:vAlign w:val="center"/>
                </w:tcPr>
                <w:p w14:paraId="2ADE1693">
                  <w:pPr>
                    <w:widowControl/>
                    <w:adjustRightInd w:val="0"/>
                    <w:ind w:left="-105" w:leftChars="-50" w:right="-105" w:rightChars="-50"/>
                    <w:jc w:val="center"/>
                    <w:textAlignment w:val="center"/>
                    <w:rPr>
                      <w:rFonts w:hint="eastAsia" w:ascii="Times New Roman" w:hAnsi="Times New Roman" w:eastAsia="宋体" w:cs="Times New Roman"/>
                      <w:b w:val="0"/>
                      <w:bCs w:val="0"/>
                      <w:i w:val="0"/>
                      <w:iCs w:val="0"/>
                      <w:color w:val="000000"/>
                      <w:kern w:val="0"/>
                      <w:sz w:val="21"/>
                      <w:szCs w:val="21"/>
                      <w:highlight w:val="none"/>
                      <w:u w:val="none" w:color="auto"/>
                      <w:lang w:val="en-US" w:eastAsia="zh-CN" w:bidi="ar"/>
                    </w:rPr>
                  </w:pPr>
                </w:p>
              </w:tc>
              <w:tc>
                <w:tcPr>
                  <w:tcW w:w="455" w:type="pct"/>
                  <w:tcBorders>
                    <w:tl2br w:val="nil"/>
                    <w:tr2bl w:val="nil"/>
                  </w:tcBorders>
                  <w:vAlign w:val="center"/>
                </w:tcPr>
                <w:p w14:paraId="433F25D5">
                  <w:pPr>
                    <w:widowControl/>
                    <w:adjustRightInd w:val="0"/>
                    <w:ind w:left="-105" w:leftChars="-50" w:right="-105" w:rightChars="-50"/>
                    <w:jc w:val="center"/>
                    <w:textAlignment w:val="center"/>
                    <w:rPr>
                      <w:rFonts w:hint="eastAsia" w:ascii="Times New Roman" w:hAnsi="Times New Roman" w:eastAsia="宋体" w:cs="Times New Roman"/>
                      <w:b w:val="0"/>
                      <w:bCs w:val="0"/>
                      <w:i w:val="0"/>
                      <w:iCs w:val="0"/>
                      <w:color w:val="auto"/>
                      <w:kern w:val="0"/>
                      <w:sz w:val="21"/>
                      <w:szCs w:val="21"/>
                      <w:highlight w:val="none"/>
                      <w:u w:val="single" w:color="auto"/>
                      <w:lang w:val="en-US" w:eastAsia="zh-CN" w:bidi="ar"/>
                    </w:rPr>
                  </w:pPr>
                  <w:r>
                    <w:rPr>
                      <w:rFonts w:hint="eastAsia" w:cs="Times New Roman"/>
                      <w:b w:val="0"/>
                      <w:bCs w:val="0"/>
                      <w:i w:val="0"/>
                      <w:iCs w:val="0"/>
                      <w:color w:val="auto"/>
                      <w:kern w:val="0"/>
                      <w:sz w:val="21"/>
                      <w:szCs w:val="21"/>
                      <w:highlight w:val="none"/>
                      <w:u w:val="single" w:color="auto"/>
                      <w:lang w:val="en-US" w:eastAsia="zh-CN" w:bidi="ar"/>
                    </w:rPr>
                    <w:t>废气量</w:t>
                  </w:r>
                </w:p>
              </w:tc>
              <w:tc>
                <w:tcPr>
                  <w:tcW w:w="454" w:type="pct"/>
                  <w:tcBorders>
                    <w:tl2br w:val="nil"/>
                    <w:tr2bl w:val="nil"/>
                  </w:tcBorders>
                  <w:vAlign w:val="center"/>
                </w:tcPr>
                <w:p w14:paraId="41091DD7">
                  <w:pPr>
                    <w:widowControl/>
                    <w:adjustRightInd w:val="0"/>
                    <w:ind w:left="-105" w:leftChars="-50" w:right="-105" w:rightChars="-50"/>
                    <w:jc w:val="center"/>
                    <w:textAlignment w:val="center"/>
                    <w:rPr>
                      <w:rFonts w:hint="eastAsia" w:ascii="Times New Roman" w:hAnsi="Times New Roman" w:eastAsia="宋体" w:cs="Times New Roman"/>
                      <w:b w:val="0"/>
                      <w:bCs w:val="0"/>
                      <w:i w:val="0"/>
                      <w:iCs w:val="0"/>
                      <w:color w:val="auto"/>
                      <w:kern w:val="0"/>
                      <w:sz w:val="21"/>
                      <w:szCs w:val="21"/>
                      <w:highlight w:val="none"/>
                      <w:u w:val="single" w:color="auto"/>
                      <w:lang w:val="en-US" w:eastAsia="zh-CN" w:bidi="ar"/>
                    </w:rPr>
                  </w:pPr>
                  <w:r>
                    <w:rPr>
                      <w:rFonts w:hint="eastAsia" w:cs="Times New Roman"/>
                      <w:b w:val="0"/>
                      <w:bCs w:val="0"/>
                      <w:i w:val="0"/>
                      <w:iCs w:val="0"/>
                      <w:color w:val="auto"/>
                      <w:kern w:val="0"/>
                      <w:sz w:val="21"/>
                      <w:szCs w:val="21"/>
                      <w:highlight w:val="none"/>
                      <w:u w:val="single" w:color="auto"/>
                      <w:lang w:val="en-US" w:eastAsia="zh-CN" w:bidi="ar"/>
                    </w:rPr>
                    <w:t>标立方米/吨-产品</w:t>
                  </w:r>
                </w:p>
              </w:tc>
              <w:tc>
                <w:tcPr>
                  <w:tcW w:w="454" w:type="pct"/>
                  <w:tcBorders>
                    <w:tl2br w:val="nil"/>
                    <w:tr2bl w:val="nil"/>
                  </w:tcBorders>
                  <w:vAlign w:val="center"/>
                </w:tcPr>
                <w:p w14:paraId="0FB4740A">
                  <w:pPr>
                    <w:widowControl/>
                    <w:adjustRightInd w:val="0"/>
                    <w:ind w:left="-105" w:leftChars="-50" w:right="-105" w:rightChars="-50"/>
                    <w:jc w:val="center"/>
                    <w:textAlignment w:val="center"/>
                    <w:rPr>
                      <w:rFonts w:hint="default" w:ascii="Times New Roman" w:hAnsi="Times New Roman" w:eastAsia="宋体" w:cs="Times New Roman"/>
                      <w:b w:val="0"/>
                      <w:bCs w:val="0"/>
                      <w:i w:val="0"/>
                      <w:iCs w:val="0"/>
                      <w:color w:val="auto"/>
                      <w:kern w:val="0"/>
                      <w:sz w:val="21"/>
                      <w:szCs w:val="21"/>
                      <w:highlight w:val="none"/>
                      <w:u w:val="single" w:color="auto"/>
                      <w:lang w:val="en-US" w:eastAsia="zh-CN" w:bidi="ar"/>
                    </w:rPr>
                  </w:pPr>
                  <w:r>
                    <w:rPr>
                      <w:rFonts w:hint="eastAsia" w:cs="Times New Roman"/>
                      <w:b w:val="0"/>
                      <w:bCs w:val="0"/>
                      <w:i w:val="0"/>
                      <w:iCs w:val="0"/>
                      <w:color w:val="auto"/>
                      <w:kern w:val="0"/>
                      <w:sz w:val="21"/>
                      <w:szCs w:val="21"/>
                      <w:highlight w:val="none"/>
                      <w:u w:val="single" w:color="auto"/>
                      <w:lang w:val="en-US" w:eastAsia="zh-CN" w:bidi="ar"/>
                    </w:rPr>
                    <w:t>25</w:t>
                  </w:r>
                </w:p>
              </w:tc>
              <w:tc>
                <w:tcPr>
                  <w:tcW w:w="454" w:type="pct"/>
                  <w:tcBorders>
                    <w:tl2br w:val="nil"/>
                    <w:tr2bl w:val="nil"/>
                  </w:tcBorders>
                  <w:vAlign w:val="center"/>
                </w:tcPr>
                <w:p w14:paraId="3AA049C8">
                  <w:pPr>
                    <w:widowControl/>
                    <w:adjustRightInd w:val="0"/>
                    <w:ind w:left="-105" w:leftChars="-50" w:right="-105" w:rightChars="-50"/>
                    <w:jc w:val="center"/>
                    <w:textAlignment w:val="center"/>
                    <w:rPr>
                      <w:rFonts w:hint="eastAsia" w:ascii="Times New Roman" w:hAnsi="Times New Roman" w:eastAsia="宋体" w:cs="Times New Roman"/>
                      <w:b w:val="0"/>
                      <w:bCs w:val="0"/>
                      <w:i w:val="0"/>
                      <w:iCs w:val="0"/>
                      <w:color w:val="auto"/>
                      <w:kern w:val="0"/>
                      <w:sz w:val="21"/>
                      <w:szCs w:val="21"/>
                      <w:highlight w:val="none"/>
                      <w:u w:val="single" w:color="auto"/>
                      <w:lang w:val="en-US" w:eastAsia="zh-CN" w:bidi="ar"/>
                    </w:rPr>
                  </w:pPr>
                  <w:r>
                    <w:rPr>
                      <w:rFonts w:hint="eastAsia" w:cs="Times New Roman"/>
                      <w:b w:val="0"/>
                      <w:bCs w:val="0"/>
                      <w:i w:val="0"/>
                      <w:iCs w:val="0"/>
                      <w:color w:val="auto"/>
                      <w:kern w:val="0"/>
                      <w:sz w:val="21"/>
                      <w:szCs w:val="21"/>
                      <w:highlight w:val="none"/>
                      <w:u w:val="single" w:color="auto"/>
                      <w:lang w:val="en-US" w:eastAsia="zh-CN" w:bidi="ar"/>
                    </w:rPr>
                    <w:t>/</w:t>
                  </w:r>
                </w:p>
              </w:tc>
              <w:tc>
                <w:tcPr>
                  <w:tcW w:w="454" w:type="pct"/>
                  <w:tcBorders>
                    <w:tl2br w:val="nil"/>
                    <w:tr2bl w:val="nil"/>
                  </w:tcBorders>
                  <w:vAlign w:val="center"/>
                </w:tcPr>
                <w:p w14:paraId="44D9086A">
                  <w:pPr>
                    <w:widowControl/>
                    <w:adjustRightInd w:val="0"/>
                    <w:ind w:left="-105" w:leftChars="-50" w:right="-105" w:rightChars="-50"/>
                    <w:jc w:val="center"/>
                    <w:textAlignment w:val="center"/>
                    <w:rPr>
                      <w:rFonts w:hint="eastAsia" w:ascii="Times New Roman" w:hAnsi="Times New Roman" w:eastAsia="宋体" w:cs="Times New Roman"/>
                      <w:b w:val="0"/>
                      <w:bCs w:val="0"/>
                      <w:i w:val="0"/>
                      <w:iCs w:val="0"/>
                      <w:color w:val="auto"/>
                      <w:kern w:val="0"/>
                      <w:sz w:val="21"/>
                      <w:szCs w:val="21"/>
                      <w:highlight w:val="none"/>
                      <w:u w:val="single" w:color="auto"/>
                      <w:lang w:val="en-US" w:eastAsia="zh-CN" w:bidi="ar"/>
                    </w:rPr>
                  </w:pPr>
                  <w:r>
                    <w:rPr>
                      <w:rFonts w:hint="eastAsia" w:cs="Times New Roman"/>
                      <w:b w:val="0"/>
                      <w:bCs w:val="0"/>
                      <w:i w:val="0"/>
                      <w:iCs w:val="0"/>
                      <w:color w:val="auto"/>
                      <w:kern w:val="0"/>
                      <w:sz w:val="21"/>
                      <w:szCs w:val="21"/>
                      <w:highlight w:val="none"/>
                      <w:u w:val="single" w:color="auto"/>
                      <w:lang w:val="en-US" w:eastAsia="zh-CN" w:bidi="ar"/>
                    </w:rPr>
                    <w:t>/</w:t>
                  </w:r>
                </w:p>
              </w:tc>
            </w:tr>
          </w:tbl>
          <w:p w14:paraId="59147B92">
            <w:pPr>
              <w:autoSpaceDE w:val="0"/>
              <w:autoSpaceDN w:val="0"/>
              <w:spacing w:line="360" w:lineRule="auto"/>
              <w:ind w:firstLine="480" w:firstLineChars="200"/>
              <w:rPr>
                <w:i w:val="0"/>
                <w:iCs w:val="0"/>
                <w:color w:val="auto"/>
                <w:sz w:val="24"/>
                <w:szCs w:val="24"/>
                <w:highlight w:val="none"/>
                <w:u w:val="none" w:color="auto"/>
              </w:rPr>
            </w:pPr>
            <w:r>
              <w:rPr>
                <w:rFonts w:hint="eastAsia"/>
                <w:i w:val="0"/>
                <w:iCs w:val="0"/>
                <w:color w:val="auto"/>
                <w:sz w:val="24"/>
                <w:szCs w:val="24"/>
                <w:highlight w:val="none"/>
                <w:u w:val="none" w:color="auto"/>
                <w:lang w:eastAsia="zh-CN"/>
              </w:rPr>
              <w:t>（</w:t>
            </w:r>
            <w:r>
              <w:rPr>
                <w:rFonts w:hint="eastAsia"/>
                <w:i w:val="0"/>
                <w:iCs w:val="0"/>
                <w:color w:val="auto"/>
                <w:sz w:val="24"/>
                <w:szCs w:val="24"/>
                <w:highlight w:val="none"/>
                <w:u w:val="none" w:color="auto"/>
                <w:lang w:val="en-US" w:eastAsia="zh-CN"/>
              </w:rPr>
              <w:t>1</w:t>
            </w:r>
            <w:r>
              <w:rPr>
                <w:rFonts w:hint="eastAsia"/>
                <w:i w:val="0"/>
                <w:iCs w:val="0"/>
                <w:color w:val="auto"/>
                <w:sz w:val="24"/>
                <w:szCs w:val="24"/>
                <w:highlight w:val="none"/>
                <w:u w:val="none" w:color="auto"/>
                <w:lang w:eastAsia="zh-CN"/>
              </w:rPr>
              <w:t>）</w:t>
            </w:r>
            <w:r>
              <w:rPr>
                <w:rFonts w:hint="eastAsia"/>
                <w:i w:val="0"/>
                <w:iCs w:val="0"/>
                <w:color w:val="auto"/>
                <w:sz w:val="24"/>
                <w:szCs w:val="24"/>
                <w:highlight w:val="none"/>
                <w:u w:val="none" w:color="auto"/>
              </w:rPr>
              <w:t>筒仓粉尘</w:t>
            </w:r>
          </w:p>
          <w:p w14:paraId="61B6D79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i w:val="0"/>
                <w:iCs w:val="0"/>
                <w:color w:val="auto"/>
                <w:sz w:val="24"/>
                <w:szCs w:val="24"/>
                <w:highlight w:val="none"/>
                <w:u w:val="none" w:color="auto"/>
              </w:rPr>
            </w:pPr>
            <w:r>
              <w:rPr>
                <w:rFonts w:hint="eastAsia"/>
                <w:i w:val="0"/>
                <w:iCs w:val="0"/>
                <w:color w:val="auto"/>
                <w:sz w:val="24"/>
                <w:szCs w:val="24"/>
                <w:highlight w:val="none"/>
                <w:u w:val="none" w:color="auto"/>
                <w:lang w:eastAsia="zh-CN"/>
              </w:rPr>
              <w:t>本</w:t>
            </w:r>
            <w:r>
              <w:rPr>
                <w:rFonts w:hint="eastAsia"/>
                <w:i w:val="0"/>
                <w:iCs w:val="0"/>
                <w:color w:val="auto"/>
                <w:sz w:val="24"/>
                <w:szCs w:val="24"/>
                <w:highlight w:val="none"/>
                <w:u w:val="none" w:color="auto"/>
              </w:rPr>
              <w:t>项目</w:t>
            </w:r>
            <w:r>
              <w:rPr>
                <w:rFonts w:hint="eastAsia"/>
                <w:i w:val="0"/>
                <w:iCs w:val="0"/>
                <w:color w:val="auto"/>
                <w:sz w:val="24"/>
                <w:szCs w:val="24"/>
                <w:highlight w:val="none"/>
                <w:u w:val="none" w:color="auto"/>
                <w:lang w:eastAsia="zh-CN"/>
              </w:rPr>
              <w:t>商品混凝土</w:t>
            </w:r>
            <w:r>
              <w:rPr>
                <w:rFonts w:hint="eastAsia"/>
                <w:i w:val="0"/>
                <w:iCs w:val="0"/>
                <w:color w:val="auto"/>
                <w:sz w:val="24"/>
                <w:szCs w:val="24"/>
                <w:highlight w:val="none"/>
                <w:u w:val="none" w:color="auto"/>
              </w:rPr>
              <w:t>生产线设</w:t>
            </w:r>
            <w:r>
              <w:rPr>
                <w:rFonts w:hint="eastAsia"/>
                <w:i w:val="0"/>
                <w:iCs w:val="0"/>
                <w:color w:val="auto"/>
                <w:sz w:val="24"/>
                <w:szCs w:val="24"/>
                <w:highlight w:val="none"/>
                <w:u w:val="none" w:color="auto"/>
                <w:lang w:val="en-US" w:eastAsia="zh-CN"/>
              </w:rPr>
              <w:t>6</w:t>
            </w:r>
            <w:r>
              <w:rPr>
                <w:rFonts w:hint="eastAsia"/>
                <w:i w:val="0"/>
                <w:iCs w:val="0"/>
                <w:color w:val="auto"/>
                <w:sz w:val="24"/>
                <w:szCs w:val="24"/>
                <w:highlight w:val="none"/>
                <w:u w:val="none" w:color="auto"/>
              </w:rPr>
              <w:t>个水泥筒仓、</w:t>
            </w:r>
            <w:r>
              <w:rPr>
                <w:rFonts w:hint="eastAsia"/>
                <w:i w:val="0"/>
                <w:iCs w:val="0"/>
                <w:color w:val="auto"/>
                <w:sz w:val="24"/>
                <w:szCs w:val="24"/>
                <w:highlight w:val="none"/>
                <w:u w:val="none" w:color="auto"/>
                <w:lang w:val="en-US" w:eastAsia="zh-CN"/>
              </w:rPr>
              <w:t>2</w:t>
            </w:r>
            <w:r>
              <w:rPr>
                <w:rFonts w:hint="eastAsia"/>
                <w:i w:val="0"/>
                <w:iCs w:val="0"/>
                <w:color w:val="auto"/>
                <w:sz w:val="24"/>
                <w:szCs w:val="24"/>
                <w:highlight w:val="none"/>
                <w:u w:val="none" w:color="auto"/>
              </w:rPr>
              <w:t>个粉煤灰筒仓</w:t>
            </w:r>
            <w:r>
              <w:rPr>
                <w:rFonts w:hint="eastAsia"/>
                <w:i w:val="0"/>
                <w:iCs w:val="0"/>
                <w:color w:val="auto"/>
                <w:sz w:val="24"/>
                <w:szCs w:val="24"/>
                <w:highlight w:val="none"/>
                <w:u w:val="none" w:color="auto"/>
                <w:lang w:val="en-US" w:eastAsia="zh-CN"/>
              </w:rPr>
              <w:t>。水泥、粉煤灰由专用的罐车运至站内，用气泵打入筒仓，由于受气流冲击，筒仓中的水泥、粉煤灰可从仓底部气孔排至大气中，工序生产时间每天约7.5h。</w:t>
            </w:r>
            <w:r>
              <w:rPr>
                <w:rFonts w:hint="eastAsia"/>
                <w:i w:val="0"/>
                <w:iCs w:val="0"/>
                <w:color w:val="auto"/>
                <w:sz w:val="24"/>
                <w:szCs w:val="24"/>
                <w:highlight w:val="none"/>
                <w:u w:val="none" w:color="auto"/>
              </w:rPr>
              <w:t>根据《排放源统计调查产排污核算方法和系数手册》中</w:t>
            </w:r>
            <w:r>
              <w:rPr>
                <w:i w:val="0"/>
                <w:iCs w:val="0"/>
                <w:color w:val="auto"/>
                <w:sz w:val="24"/>
                <w:szCs w:val="24"/>
                <w:highlight w:val="none"/>
                <w:u w:val="none" w:color="auto"/>
              </w:rPr>
              <w:t>3021</w:t>
            </w:r>
            <w:r>
              <w:rPr>
                <w:rFonts w:hint="eastAsia"/>
                <w:i w:val="0"/>
                <w:iCs w:val="0"/>
                <w:color w:val="auto"/>
                <w:sz w:val="24"/>
                <w:szCs w:val="24"/>
                <w:highlight w:val="none"/>
                <w:u w:val="none" w:color="auto"/>
              </w:rPr>
              <w:t>水泥制品制造行业</w:t>
            </w:r>
            <w:r>
              <w:rPr>
                <w:rFonts w:hint="eastAsia"/>
                <w:i w:val="0"/>
                <w:iCs w:val="0"/>
                <w:color w:val="auto"/>
                <w:sz w:val="24"/>
                <w:szCs w:val="24"/>
                <w:highlight w:val="none"/>
                <w:u w:val="none" w:color="auto"/>
                <w:lang w:eastAsia="zh-CN"/>
              </w:rPr>
              <w:t>产污系数，</w:t>
            </w:r>
            <w:r>
              <w:rPr>
                <w:rFonts w:hint="eastAsia"/>
                <w:i w:val="0"/>
                <w:iCs w:val="0"/>
                <w:color w:val="auto"/>
                <w:sz w:val="24"/>
                <w:szCs w:val="24"/>
                <w:highlight w:val="none"/>
                <w:u w:val="none" w:color="auto"/>
              </w:rPr>
              <w:t>混凝土制品物料输送储存过程颗粒物产生系数为0</w:t>
            </w:r>
            <w:r>
              <w:rPr>
                <w:i w:val="0"/>
                <w:iCs w:val="0"/>
                <w:color w:val="auto"/>
                <w:sz w:val="24"/>
                <w:szCs w:val="24"/>
                <w:highlight w:val="none"/>
                <w:u w:val="none" w:color="auto"/>
              </w:rPr>
              <w:t>.1</w:t>
            </w:r>
            <w:r>
              <w:rPr>
                <w:rFonts w:hint="eastAsia"/>
                <w:i w:val="0"/>
                <w:iCs w:val="0"/>
                <w:color w:val="auto"/>
                <w:sz w:val="24"/>
                <w:szCs w:val="24"/>
                <w:highlight w:val="none"/>
                <w:u w:val="none" w:color="auto"/>
                <w:lang w:val="en-US" w:eastAsia="zh-CN"/>
              </w:rPr>
              <w:t>2</w:t>
            </w:r>
            <w:r>
              <w:rPr>
                <w:rFonts w:hint="eastAsia"/>
                <w:i w:val="0"/>
                <w:iCs w:val="0"/>
                <w:color w:val="auto"/>
                <w:sz w:val="24"/>
                <w:szCs w:val="24"/>
                <w:highlight w:val="none"/>
                <w:u w:val="none" w:color="auto"/>
              </w:rPr>
              <w:t>kg</w:t>
            </w:r>
            <w:r>
              <w:rPr>
                <w:i w:val="0"/>
                <w:iCs w:val="0"/>
                <w:color w:val="auto"/>
                <w:sz w:val="24"/>
                <w:szCs w:val="24"/>
                <w:highlight w:val="none"/>
                <w:u w:val="none" w:color="auto"/>
              </w:rPr>
              <w:t>/</w:t>
            </w:r>
            <w:r>
              <w:rPr>
                <w:rFonts w:hint="eastAsia"/>
                <w:i w:val="0"/>
                <w:iCs w:val="0"/>
                <w:color w:val="auto"/>
                <w:sz w:val="24"/>
                <w:szCs w:val="24"/>
                <w:highlight w:val="none"/>
                <w:u w:val="none" w:color="auto"/>
              </w:rPr>
              <w:t>t</w:t>
            </w:r>
            <w:r>
              <w:rPr>
                <w:rFonts w:hint="eastAsia"/>
                <w:i w:val="0"/>
                <w:iCs w:val="0"/>
                <w:color w:val="auto"/>
                <w:sz w:val="24"/>
                <w:szCs w:val="24"/>
                <w:highlight w:val="none"/>
                <w:u w:val="none" w:color="auto"/>
                <w:vertAlign w:val="baseline"/>
              </w:rPr>
              <w:t>-产品</w:t>
            </w:r>
            <w:r>
              <w:rPr>
                <w:rFonts w:hint="eastAsia"/>
                <w:i w:val="0"/>
                <w:iCs w:val="0"/>
                <w:color w:val="auto"/>
                <w:sz w:val="24"/>
                <w:szCs w:val="24"/>
                <w:highlight w:val="none"/>
                <w:u w:val="none" w:color="auto"/>
              </w:rPr>
              <w:t>，</w:t>
            </w:r>
            <w:r>
              <w:rPr>
                <w:rFonts w:hint="eastAsia"/>
                <w:i w:val="0"/>
                <w:iCs w:val="0"/>
                <w:color w:val="auto"/>
                <w:sz w:val="24"/>
                <w:szCs w:val="24"/>
                <w:highlight w:val="none"/>
                <w:u w:val="none" w:color="auto"/>
                <w:lang w:eastAsia="zh-CN"/>
              </w:rPr>
              <w:t>本</w:t>
            </w:r>
            <w:r>
              <w:rPr>
                <w:rFonts w:hint="eastAsia"/>
                <w:i w:val="0"/>
                <w:iCs w:val="0"/>
                <w:color w:val="auto"/>
                <w:sz w:val="24"/>
                <w:szCs w:val="24"/>
                <w:highlight w:val="none"/>
                <w:u w:val="none" w:color="auto"/>
              </w:rPr>
              <w:t>项目</w:t>
            </w:r>
            <w:r>
              <w:rPr>
                <w:rFonts w:hint="default" w:ascii="Times New Roman" w:hAnsi="Times New Roman" w:eastAsia="宋体" w:cs="Times New Roman"/>
                <w:color w:val="auto"/>
                <w:sz w:val="24"/>
                <w:szCs w:val="24"/>
                <w:highlight w:val="none"/>
                <w:u w:val="none" w:color="auto"/>
              </w:rPr>
              <w:t>年产商品混凝土</w:t>
            </w:r>
            <w:r>
              <w:rPr>
                <w:rFonts w:hint="eastAsia" w:ascii="Times New Roman" w:hAnsi="Times New Roman" w:eastAsia="宋体" w:cs="Times New Roman"/>
                <w:color w:val="auto"/>
                <w:sz w:val="24"/>
                <w:szCs w:val="24"/>
                <w:highlight w:val="none"/>
                <w:u w:val="none" w:color="auto"/>
                <w:lang w:val="en-US" w:eastAsia="zh-CN"/>
              </w:rPr>
              <w:t>15</w:t>
            </w:r>
            <w:r>
              <w:rPr>
                <w:rFonts w:hint="default" w:ascii="Times New Roman" w:hAnsi="Times New Roman" w:eastAsia="宋体" w:cs="Times New Roman"/>
                <w:color w:val="auto"/>
                <w:sz w:val="24"/>
                <w:szCs w:val="24"/>
                <w:highlight w:val="none"/>
                <w:u w:val="none" w:color="auto"/>
              </w:rPr>
              <w:t>万m³（折合约</w:t>
            </w:r>
            <w:r>
              <w:rPr>
                <w:rFonts w:hint="eastAsia" w:ascii="Times New Roman" w:hAnsi="Times New Roman" w:eastAsia="宋体" w:cs="Times New Roman"/>
                <w:color w:val="auto"/>
                <w:sz w:val="24"/>
                <w:szCs w:val="24"/>
                <w:highlight w:val="none"/>
                <w:u w:val="none" w:color="auto"/>
                <w:lang w:val="en-US" w:eastAsia="zh-CN"/>
              </w:rPr>
              <w:t>36万</w:t>
            </w:r>
            <w:r>
              <w:rPr>
                <w:rFonts w:hint="default" w:ascii="Times New Roman" w:hAnsi="Times New Roman" w:eastAsia="宋体" w:cs="Times New Roman"/>
                <w:color w:val="auto"/>
                <w:sz w:val="24"/>
                <w:szCs w:val="24"/>
                <w:highlight w:val="none"/>
                <w:u w:val="none" w:color="auto"/>
              </w:rPr>
              <w:t>t/a）</w:t>
            </w:r>
            <w:r>
              <w:rPr>
                <w:rFonts w:hint="eastAsia"/>
                <w:i w:val="0"/>
                <w:iCs w:val="0"/>
                <w:color w:val="auto"/>
                <w:sz w:val="24"/>
                <w:szCs w:val="24"/>
                <w:highlight w:val="none"/>
                <w:u w:val="none" w:color="auto"/>
              </w:rPr>
              <w:t>，则粉料筒仓总粉尘产生量</w:t>
            </w:r>
            <w:r>
              <w:rPr>
                <w:rFonts w:hint="eastAsia"/>
                <w:i w:val="0"/>
                <w:iCs w:val="0"/>
                <w:color w:val="auto"/>
                <w:sz w:val="24"/>
                <w:szCs w:val="24"/>
                <w:highlight w:val="none"/>
                <w:u w:val="none" w:color="auto"/>
                <w:lang w:val="en-US" w:eastAsia="zh-CN"/>
              </w:rPr>
              <w:t>43.2</w:t>
            </w:r>
            <w:r>
              <w:rPr>
                <w:rFonts w:hint="eastAsia"/>
                <w:i w:val="0"/>
                <w:iCs w:val="0"/>
                <w:color w:val="auto"/>
                <w:sz w:val="24"/>
                <w:szCs w:val="24"/>
                <w:highlight w:val="none"/>
                <w:u w:val="none" w:color="auto"/>
              </w:rPr>
              <w:t>t</w:t>
            </w:r>
            <w:r>
              <w:rPr>
                <w:i w:val="0"/>
                <w:iCs w:val="0"/>
                <w:color w:val="auto"/>
                <w:sz w:val="24"/>
                <w:szCs w:val="24"/>
                <w:highlight w:val="none"/>
                <w:u w:val="none" w:color="auto"/>
              </w:rPr>
              <w:t>/</w:t>
            </w:r>
            <w:r>
              <w:rPr>
                <w:rFonts w:hint="eastAsia"/>
                <w:i w:val="0"/>
                <w:iCs w:val="0"/>
                <w:color w:val="auto"/>
                <w:sz w:val="24"/>
                <w:szCs w:val="24"/>
                <w:highlight w:val="none"/>
                <w:u w:val="none" w:color="auto"/>
              </w:rPr>
              <w:t>a。</w:t>
            </w:r>
            <w:r>
              <w:rPr>
                <w:rFonts w:hint="eastAsia"/>
                <w:i w:val="0"/>
                <w:iCs w:val="0"/>
                <w:color w:val="auto"/>
                <w:sz w:val="24"/>
                <w:szCs w:val="24"/>
                <w:highlight w:val="none"/>
                <w:u w:val="none" w:color="auto"/>
                <w:lang w:val="en-US" w:eastAsia="zh-CN"/>
              </w:rPr>
              <w:t>根据原料用量比例确定水泥筒仓粉尘产生量为41.16t/a，粉煤灰筒仓粉尘产生量为2.08t/a。</w:t>
            </w:r>
            <w:r>
              <w:rPr>
                <w:rFonts w:hint="eastAsia"/>
                <w:i w:val="0"/>
                <w:iCs w:val="0"/>
                <w:color w:val="auto"/>
                <w:sz w:val="24"/>
                <w:szCs w:val="24"/>
                <w:highlight w:val="none"/>
                <w:u w:val="none" w:color="auto"/>
              </w:rPr>
              <w:t>项目粉料筒仓</w:t>
            </w:r>
            <w:r>
              <w:rPr>
                <w:rFonts w:hint="eastAsia"/>
                <w:i w:val="0"/>
                <w:iCs w:val="0"/>
                <w:color w:val="auto"/>
                <w:sz w:val="24"/>
                <w:szCs w:val="24"/>
                <w:highlight w:val="none"/>
                <w:u w:val="none" w:color="auto"/>
                <w:lang w:eastAsia="zh-CN"/>
              </w:rPr>
              <w:t>下部</w:t>
            </w:r>
            <w:r>
              <w:rPr>
                <w:rFonts w:hint="eastAsia"/>
                <w:i w:val="0"/>
                <w:iCs w:val="0"/>
                <w:color w:val="auto"/>
                <w:sz w:val="24"/>
                <w:szCs w:val="24"/>
                <w:highlight w:val="none"/>
                <w:u w:val="none" w:color="auto"/>
              </w:rPr>
              <w:t>均自带脉冲袋式除尘器，</w:t>
            </w:r>
            <w:r>
              <w:rPr>
                <w:rFonts w:hint="eastAsia"/>
                <w:i w:val="0"/>
                <w:iCs w:val="0"/>
                <w:color w:val="auto"/>
                <w:sz w:val="24"/>
                <w:szCs w:val="24"/>
                <w:highlight w:val="none"/>
                <w:u w:val="none" w:color="auto"/>
                <w:lang w:eastAsia="zh-CN"/>
              </w:rPr>
              <w:t>下部</w:t>
            </w:r>
            <w:r>
              <w:rPr>
                <w:rFonts w:hint="eastAsia"/>
                <w:i w:val="0"/>
                <w:iCs w:val="0"/>
                <w:color w:val="auto"/>
                <w:sz w:val="24"/>
                <w:szCs w:val="24"/>
                <w:highlight w:val="none"/>
                <w:u w:val="none" w:color="auto"/>
              </w:rPr>
              <w:t>设置排气</w:t>
            </w:r>
            <w:r>
              <w:rPr>
                <w:rFonts w:hint="eastAsia"/>
                <w:i w:val="0"/>
                <w:iCs w:val="0"/>
                <w:color w:val="auto"/>
                <w:sz w:val="24"/>
                <w:szCs w:val="24"/>
                <w:highlight w:val="none"/>
                <w:u w:val="none" w:color="auto"/>
                <w:lang w:eastAsia="zh-CN"/>
              </w:rPr>
              <w:t>口（混凝土站高度大于15m，排放位置位于混凝土站下部，无需再设置排气筒），</w:t>
            </w:r>
            <w:r>
              <w:rPr>
                <w:rFonts w:hint="eastAsia"/>
                <w:i w:val="0"/>
                <w:iCs w:val="0"/>
                <w:color w:val="auto"/>
                <w:sz w:val="24"/>
                <w:szCs w:val="24"/>
                <w:highlight w:val="none"/>
                <w:u w:val="none" w:color="auto"/>
              </w:rPr>
              <w:t>除尘效率按9</w:t>
            </w:r>
            <w:r>
              <w:rPr>
                <w:i w:val="0"/>
                <w:iCs w:val="0"/>
                <w:color w:val="auto"/>
                <w:sz w:val="24"/>
                <w:szCs w:val="24"/>
                <w:highlight w:val="none"/>
                <w:u w:val="none" w:color="auto"/>
              </w:rPr>
              <w:t>9</w:t>
            </w:r>
            <w:r>
              <w:rPr>
                <w:rFonts w:hint="eastAsia"/>
                <w:i w:val="0"/>
                <w:iCs w:val="0"/>
                <w:color w:val="auto"/>
                <w:sz w:val="24"/>
                <w:szCs w:val="24"/>
                <w:highlight w:val="none"/>
                <w:u w:val="none" w:color="auto"/>
                <w:lang w:val="en-US" w:eastAsia="zh-CN"/>
              </w:rPr>
              <w:t>.7</w:t>
            </w:r>
            <w:r>
              <w:rPr>
                <w:rFonts w:hint="eastAsia"/>
                <w:i w:val="0"/>
                <w:iCs w:val="0"/>
                <w:color w:val="auto"/>
                <w:sz w:val="24"/>
                <w:szCs w:val="24"/>
                <w:highlight w:val="none"/>
                <w:u w:val="none" w:color="auto"/>
              </w:rPr>
              <w:t>%计，</w:t>
            </w:r>
            <w:r>
              <w:rPr>
                <w:rFonts w:hint="eastAsia"/>
                <w:i w:val="0"/>
                <w:iCs w:val="0"/>
                <w:color w:val="auto"/>
                <w:sz w:val="24"/>
                <w:szCs w:val="24"/>
                <w:highlight w:val="none"/>
                <w:u w:val="none" w:color="auto"/>
                <w:lang w:eastAsia="zh-CN"/>
              </w:rPr>
              <w:t>经计算，6个水泥筒仓和</w:t>
            </w:r>
            <w:r>
              <w:rPr>
                <w:rFonts w:hint="eastAsia"/>
                <w:i w:val="0"/>
                <w:iCs w:val="0"/>
                <w:color w:val="auto"/>
                <w:sz w:val="24"/>
                <w:szCs w:val="24"/>
                <w:highlight w:val="none"/>
                <w:u w:val="none" w:color="auto"/>
                <w:lang w:val="en-US" w:eastAsia="zh-CN"/>
              </w:rPr>
              <w:t>2个粉煤灰</w:t>
            </w:r>
            <w:r>
              <w:rPr>
                <w:rFonts w:hint="eastAsia"/>
                <w:i w:val="0"/>
                <w:iCs w:val="0"/>
                <w:color w:val="auto"/>
                <w:sz w:val="24"/>
                <w:szCs w:val="24"/>
                <w:highlight w:val="none"/>
                <w:u w:val="none" w:color="auto"/>
                <w:lang w:eastAsia="zh-CN"/>
              </w:rPr>
              <w:t>废气量</w:t>
            </w:r>
            <w:r>
              <w:rPr>
                <w:rFonts w:hint="default" w:ascii="Times New Roman" w:hAnsi="Times New Roman" w:eastAsia="宋体" w:cs="Times New Roman"/>
                <w:color w:val="auto"/>
                <w:kern w:val="0"/>
                <w:sz w:val="24"/>
                <w:szCs w:val="24"/>
                <w:highlight w:val="none"/>
                <w:lang w:val="en-US" w:eastAsia="zh-CN" w:bidi="ar-SA"/>
              </w:rPr>
              <w:t>为</w:t>
            </w:r>
            <w:r>
              <w:rPr>
                <w:rFonts w:hint="eastAsia" w:cs="Times New Roman"/>
                <w:color w:val="auto"/>
                <w:kern w:val="0"/>
                <w:sz w:val="24"/>
                <w:szCs w:val="24"/>
                <w:highlight w:val="none"/>
                <w:lang w:val="en-US" w:eastAsia="zh-CN" w:bidi="ar-SA"/>
              </w:rPr>
              <w:t>7.92×10</w:t>
            </w:r>
            <w:r>
              <w:rPr>
                <w:rFonts w:hint="eastAsia" w:cs="Times New Roman"/>
                <w:color w:val="auto"/>
                <w:kern w:val="0"/>
                <w:sz w:val="24"/>
                <w:szCs w:val="24"/>
                <w:highlight w:val="none"/>
                <w:vertAlign w:val="superscript"/>
                <w:lang w:val="en-US" w:eastAsia="zh-CN" w:bidi="ar-SA"/>
              </w:rPr>
              <w:t>6</w:t>
            </w:r>
            <w:r>
              <w:rPr>
                <w:rFonts w:hint="default" w:ascii="Times New Roman" w:hAnsi="Times New Roman" w:eastAsia="宋体" w:cs="Times New Roman"/>
                <w:bCs/>
                <w:color w:val="auto"/>
                <w:kern w:val="0"/>
                <w:sz w:val="24"/>
                <w:szCs w:val="24"/>
                <w:highlight w:val="none"/>
                <w:lang w:val="en-US" w:eastAsia="zh-CN" w:bidi="ar-SA"/>
              </w:rPr>
              <w:t>m</w:t>
            </w:r>
            <w:r>
              <w:rPr>
                <w:rFonts w:hint="default" w:ascii="Times New Roman" w:hAnsi="Times New Roman" w:eastAsia="宋体" w:cs="Times New Roman"/>
                <w:bCs/>
                <w:color w:val="auto"/>
                <w:kern w:val="0"/>
                <w:sz w:val="24"/>
                <w:szCs w:val="24"/>
                <w:highlight w:val="none"/>
                <w:vertAlign w:val="superscript"/>
                <w:lang w:val="en-US" w:eastAsia="zh-CN" w:bidi="ar-SA"/>
              </w:rPr>
              <w:t>3</w:t>
            </w:r>
            <w:r>
              <w:rPr>
                <w:rFonts w:hint="default" w:ascii="Times New Roman" w:hAnsi="Times New Roman" w:eastAsia="宋体" w:cs="Times New Roman"/>
                <w:bCs/>
                <w:color w:val="auto"/>
                <w:kern w:val="0"/>
                <w:sz w:val="24"/>
                <w:szCs w:val="24"/>
                <w:highlight w:val="none"/>
                <w:lang w:val="en-US" w:eastAsia="zh-CN" w:bidi="ar-SA"/>
              </w:rPr>
              <w:t>/</w:t>
            </w:r>
            <w:r>
              <w:rPr>
                <w:rFonts w:hint="eastAsia" w:cs="Times New Roman"/>
                <w:bCs/>
                <w:color w:val="auto"/>
                <w:kern w:val="0"/>
                <w:sz w:val="24"/>
                <w:szCs w:val="24"/>
                <w:highlight w:val="none"/>
                <w:lang w:val="en-US" w:eastAsia="zh-CN" w:bidi="ar-SA"/>
              </w:rPr>
              <w:t>a</w:t>
            </w:r>
            <w:r>
              <w:rPr>
                <w:rFonts w:hint="default" w:ascii="Times New Roman" w:hAnsi="Times New Roman" w:eastAsia="宋体" w:cs="Times New Roman"/>
                <w:color w:val="auto"/>
                <w:kern w:val="0"/>
                <w:sz w:val="24"/>
                <w:szCs w:val="24"/>
                <w:highlight w:val="none"/>
                <w:lang w:val="en-US" w:eastAsia="zh-CN" w:bidi="ar-SA"/>
              </w:rPr>
              <w:t>，</w:t>
            </w:r>
            <w:r>
              <w:rPr>
                <w:rFonts w:hint="eastAsia"/>
                <w:i w:val="0"/>
                <w:iCs w:val="0"/>
                <w:color w:val="auto"/>
                <w:sz w:val="24"/>
                <w:szCs w:val="24"/>
                <w:highlight w:val="none"/>
                <w:u w:val="none" w:color="auto"/>
              </w:rPr>
              <w:t>则</w:t>
            </w:r>
            <w:r>
              <w:rPr>
                <w:rFonts w:hint="eastAsia"/>
                <w:i w:val="0"/>
                <w:iCs w:val="0"/>
                <w:color w:val="auto"/>
                <w:sz w:val="24"/>
                <w:szCs w:val="24"/>
                <w:highlight w:val="none"/>
                <w:u w:val="none" w:color="auto"/>
                <w:lang w:val="en-US" w:eastAsia="zh-CN"/>
              </w:rPr>
              <w:t>6个水泥筒仓粉尘排放量为0.12t/a、排放速率为0.069kg/h、排放浓度为15.59mg/m</w:t>
            </w:r>
            <w:r>
              <w:rPr>
                <w:rFonts w:hint="eastAsia"/>
                <w:i w:val="0"/>
                <w:iCs w:val="0"/>
                <w:color w:val="auto"/>
                <w:sz w:val="24"/>
                <w:szCs w:val="24"/>
                <w:highlight w:val="none"/>
                <w:u w:val="none" w:color="auto"/>
                <w:vertAlign w:val="superscript"/>
                <w:lang w:val="en-US" w:eastAsia="zh-CN"/>
              </w:rPr>
              <w:t>3</w:t>
            </w:r>
            <w:r>
              <w:rPr>
                <w:rFonts w:hint="eastAsia"/>
                <w:i w:val="0"/>
                <w:iCs w:val="0"/>
                <w:color w:val="auto"/>
                <w:sz w:val="24"/>
                <w:szCs w:val="24"/>
                <w:highlight w:val="none"/>
                <w:u w:val="none" w:color="auto"/>
                <w:lang w:val="en-US" w:eastAsia="zh-CN"/>
              </w:rPr>
              <w:t>，排放口数量为6个，排放口高度为17m；2个粉煤灰筒仓粉尘排放量为0.006t/a，排放速率为0.003kg/h，排放浓度为0.79mg/m</w:t>
            </w:r>
            <w:r>
              <w:rPr>
                <w:rFonts w:hint="eastAsia"/>
                <w:i w:val="0"/>
                <w:iCs w:val="0"/>
                <w:color w:val="auto"/>
                <w:sz w:val="24"/>
                <w:szCs w:val="24"/>
                <w:highlight w:val="none"/>
                <w:u w:val="none" w:color="auto"/>
                <w:vertAlign w:val="superscript"/>
                <w:lang w:val="en-US" w:eastAsia="zh-CN"/>
              </w:rPr>
              <w:t>3</w:t>
            </w:r>
            <w:r>
              <w:rPr>
                <w:rFonts w:hint="eastAsia"/>
                <w:i w:val="0"/>
                <w:iCs w:val="0"/>
                <w:color w:val="auto"/>
                <w:sz w:val="24"/>
                <w:szCs w:val="24"/>
                <w:highlight w:val="none"/>
                <w:u w:val="none" w:color="auto"/>
                <w:lang w:val="en-US" w:eastAsia="zh-CN"/>
              </w:rPr>
              <w:t>，排放口数量为2个，排放口高度为17m，均能够满足《水泥工业大气污染物排放标准》（GB4915-2013）</w:t>
            </w:r>
            <w:r>
              <w:rPr>
                <w:rFonts w:hint="eastAsia" w:cs="Times New Roman" w:eastAsiaTheme="minorEastAsia"/>
                <w:i w:val="0"/>
                <w:iCs w:val="0"/>
                <w:color w:val="auto"/>
                <w:sz w:val="24"/>
                <w:szCs w:val="24"/>
                <w:highlight w:val="none"/>
                <w:u w:val="none"/>
                <w:lang w:eastAsia="zh-CN"/>
              </w:rPr>
              <w:t>中表</w:t>
            </w:r>
            <w:r>
              <w:rPr>
                <w:rFonts w:hint="eastAsia" w:cs="Times New Roman" w:eastAsiaTheme="minorEastAsia"/>
                <w:i w:val="0"/>
                <w:iCs w:val="0"/>
                <w:color w:val="auto"/>
                <w:sz w:val="24"/>
                <w:szCs w:val="24"/>
                <w:highlight w:val="none"/>
                <w:u w:val="none"/>
                <w:lang w:val="en-US" w:eastAsia="zh-CN"/>
              </w:rPr>
              <w:t>1新建企业大气污染物排放限值</w:t>
            </w:r>
            <w:r>
              <w:rPr>
                <w:rFonts w:hint="eastAsia"/>
                <w:i w:val="0"/>
                <w:iCs w:val="0"/>
                <w:color w:val="auto"/>
                <w:sz w:val="24"/>
                <w:szCs w:val="24"/>
                <w:highlight w:val="none"/>
                <w:u w:val="none" w:color="auto"/>
              </w:rPr>
              <w:t>。</w:t>
            </w:r>
          </w:p>
          <w:p w14:paraId="64F73BF3">
            <w:pPr>
              <w:adjustRightInd w:val="0"/>
              <w:spacing w:line="360" w:lineRule="auto"/>
              <w:ind w:firstLine="480" w:firstLineChars="200"/>
              <w:jc w:val="left"/>
              <w:rPr>
                <w:i w:val="0"/>
                <w:iCs w:val="0"/>
                <w:color w:val="auto"/>
                <w:sz w:val="24"/>
                <w:szCs w:val="24"/>
                <w:highlight w:val="none"/>
                <w:u w:val="single" w:color="auto"/>
              </w:rPr>
            </w:pPr>
            <w:r>
              <w:rPr>
                <w:rFonts w:hint="eastAsia"/>
                <w:i w:val="0"/>
                <w:iCs w:val="0"/>
                <w:color w:val="auto"/>
                <w:sz w:val="24"/>
                <w:szCs w:val="24"/>
                <w:highlight w:val="none"/>
                <w:u w:val="single" w:color="auto"/>
                <w:lang w:eastAsia="zh-CN"/>
              </w:rPr>
              <w:t>（</w:t>
            </w:r>
            <w:r>
              <w:rPr>
                <w:rFonts w:hint="eastAsia"/>
                <w:i w:val="0"/>
                <w:iCs w:val="0"/>
                <w:color w:val="auto"/>
                <w:sz w:val="24"/>
                <w:szCs w:val="24"/>
                <w:highlight w:val="none"/>
                <w:u w:val="single" w:color="auto"/>
                <w:lang w:val="en-US" w:eastAsia="zh-CN"/>
              </w:rPr>
              <w:t>2</w:t>
            </w:r>
            <w:r>
              <w:rPr>
                <w:rFonts w:hint="eastAsia"/>
                <w:i w:val="0"/>
                <w:iCs w:val="0"/>
                <w:color w:val="auto"/>
                <w:sz w:val="24"/>
                <w:szCs w:val="24"/>
                <w:highlight w:val="none"/>
                <w:u w:val="single" w:color="auto"/>
                <w:lang w:eastAsia="zh-CN"/>
              </w:rPr>
              <w:t>）</w:t>
            </w:r>
            <w:r>
              <w:rPr>
                <w:rFonts w:hint="eastAsia"/>
                <w:i w:val="0"/>
                <w:iCs w:val="0"/>
                <w:color w:val="auto"/>
                <w:sz w:val="24"/>
                <w:szCs w:val="24"/>
                <w:highlight w:val="none"/>
                <w:u w:val="single" w:color="auto"/>
              </w:rPr>
              <w:t>搅拌机粉尘</w:t>
            </w:r>
          </w:p>
          <w:p w14:paraId="3A3621D1">
            <w:pPr>
              <w:adjustRightInd w:val="0"/>
              <w:spacing w:line="360" w:lineRule="auto"/>
              <w:ind w:firstLine="480" w:firstLineChars="200"/>
              <w:jc w:val="both"/>
              <w:rPr>
                <w:rFonts w:hint="eastAsia"/>
                <w:i w:val="0"/>
                <w:iCs w:val="0"/>
                <w:color w:val="auto"/>
                <w:sz w:val="24"/>
                <w:szCs w:val="24"/>
                <w:highlight w:val="green"/>
                <w:u w:val="single" w:color="auto"/>
              </w:rPr>
            </w:pPr>
            <w:r>
              <w:rPr>
                <w:rFonts w:hint="eastAsia"/>
                <w:i w:val="0"/>
                <w:iCs w:val="0"/>
                <w:color w:val="auto"/>
                <w:sz w:val="24"/>
                <w:szCs w:val="24"/>
                <w:highlight w:val="none"/>
                <w:u w:val="single" w:color="auto"/>
                <w:lang w:eastAsia="zh-CN"/>
              </w:rPr>
              <w:t>本</w:t>
            </w:r>
            <w:r>
              <w:rPr>
                <w:rFonts w:hint="eastAsia"/>
                <w:i w:val="0"/>
                <w:iCs w:val="0"/>
                <w:color w:val="auto"/>
                <w:sz w:val="24"/>
                <w:szCs w:val="24"/>
                <w:highlight w:val="none"/>
                <w:u w:val="single" w:color="auto"/>
              </w:rPr>
              <w:t>项目搅拌机集料采用密闭皮带输送机，搅拌机粉尘主要为物料</w:t>
            </w:r>
            <w:r>
              <w:rPr>
                <w:rFonts w:hint="eastAsia"/>
                <w:i w:val="0"/>
                <w:iCs w:val="0"/>
                <w:color w:val="auto"/>
                <w:sz w:val="24"/>
                <w:szCs w:val="24"/>
                <w:highlight w:val="none"/>
                <w:u w:val="single" w:color="auto"/>
                <w:lang w:eastAsia="zh-CN"/>
              </w:rPr>
              <w:t>混合</w:t>
            </w:r>
            <w:r>
              <w:rPr>
                <w:rFonts w:hint="eastAsia"/>
                <w:i w:val="0"/>
                <w:iCs w:val="0"/>
                <w:color w:val="auto"/>
                <w:sz w:val="24"/>
                <w:szCs w:val="24"/>
                <w:highlight w:val="none"/>
                <w:u w:val="single" w:color="auto"/>
              </w:rPr>
              <w:t>搅拌产生的粉尘，根据《排放源统计调查产排污核算方法和系数手册》中</w:t>
            </w:r>
            <w:r>
              <w:rPr>
                <w:i w:val="0"/>
                <w:iCs w:val="0"/>
                <w:color w:val="auto"/>
                <w:sz w:val="24"/>
                <w:szCs w:val="24"/>
                <w:highlight w:val="none"/>
                <w:u w:val="single" w:color="auto"/>
              </w:rPr>
              <w:t>3021</w:t>
            </w:r>
            <w:r>
              <w:rPr>
                <w:rFonts w:hint="eastAsia"/>
                <w:i w:val="0"/>
                <w:iCs w:val="0"/>
                <w:color w:val="auto"/>
                <w:sz w:val="24"/>
                <w:szCs w:val="24"/>
                <w:highlight w:val="none"/>
                <w:u w:val="single" w:color="auto"/>
              </w:rPr>
              <w:t>水泥制品制造行业</w:t>
            </w:r>
            <w:r>
              <w:rPr>
                <w:rFonts w:hint="eastAsia"/>
                <w:i w:val="0"/>
                <w:iCs w:val="0"/>
                <w:color w:val="auto"/>
                <w:sz w:val="24"/>
                <w:szCs w:val="24"/>
                <w:highlight w:val="none"/>
                <w:u w:val="single" w:color="auto"/>
                <w:lang w:eastAsia="zh-CN"/>
              </w:rPr>
              <w:t>产污系数，</w:t>
            </w:r>
            <w:r>
              <w:rPr>
                <w:rFonts w:hint="eastAsia"/>
                <w:i w:val="0"/>
                <w:iCs w:val="0"/>
                <w:color w:val="auto"/>
                <w:sz w:val="24"/>
                <w:szCs w:val="24"/>
                <w:highlight w:val="none"/>
                <w:u w:val="single" w:color="auto"/>
              </w:rPr>
              <w:t>混凝土制品物料混合搅拌</w:t>
            </w:r>
            <w:r>
              <w:rPr>
                <w:rFonts w:hint="eastAsia"/>
                <w:i w:val="0"/>
                <w:iCs w:val="0"/>
                <w:color w:val="auto"/>
                <w:sz w:val="24"/>
                <w:szCs w:val="24"/>
                <w:highlight w:val="none"/>
                <w:u w:val="single" w:color="auto"/>
                <w:lang w:eastAsia="zh-CN"/>
              </w:rPr>
              <w:t>过程</w:t>
            </w:r>
            <w:r>
              <w:rPr>
                <w:rFonts w:hint="eastAsia"/>
                <w:i w:val="0"/>
                <w:iCs w:val="0"/>
                <w:color w:val="auto"/>
                <w:sz w:val="24"/>
                <w:szCs w:val="24"/>
                <w:highlight w:val="none"/>
                <w:u w:val="single" w:color="auto"/>
              </w:rPr>
              <w:t>颗粒物产生</w:t>
            </w:r>
            <w:r>
              <w:rPr>
                <w:rFonts w:hint="eastAsia"/>
                <w:i w:val="0"/>
                <w:iCs w:val="0"/>
                <w:color w:val="auto"/>
                <w:sz w:val="24"/>
                <w:szCs w:val="24"/>
                <w:highlight w:val="none"/>
                <w:u w:val="single" w:color="auto"/>
                <w:lang w:eastAsia="zh-CN"/>
              </w:rPr>
              <w:t>系数</w:t>
            </w:r>
            <w:r>
              <w:rPr>
                <w:rFonts w:hint="eastAsia"/>
                <w:i w:val="0"/>
                <w:iCs w:val="0"/>
                <w:color w:val="auto"/>
                <w:sz w:val="24"/>
                <w:szCs w:val="24"/>
                <w:highlight w:val="none"/>
                <w:u w:val="single" w:color="auto"/>
              </w:rPr>
              <w:t>为0</w:t>
            </w:r>
            <w:r>
              <w:rPr>
                <w:i w:val="0"/>
                <w:iCs w:val="0"/>
                <w:color w:val="auto"/>
                <w:sz w:val="24"/>
                <w:szCs w:val="24"/>
                <w:highlight w:val="none"/>
                <w:u w:val="single" w:color="auto"/>
              </w:rPr>
              <w:t>.1</w:t>
            </w:r>
            <w:r>
              <w:rPr>
                <w:rFonts w:hint="eastAsia"/>
                <w:i w:val="0"/>
                <w:iCs w:val="0"/>
                <w:color w:val="auto"/>
                <w:sz w:val="24"/>
                <w:szCs w:val="24"/>
                <w:highlight w:val="none"/>
                <w:u w:val="single" w:color="auto"/>
                <w:lang w:val="en-US" w:eastAsia="zh-CN"/>
              </w:rPr>
              <w:t>3</w:t>
            </w:r>
            <w:r>
              <w:rPr>
                <w:rFonts w:hint="eastAsia"/>
                <w:i w:val="0"/>
                <w:iCs w:val="0"/>
                <w:color w:val="auto"/>
                <w:sz w:val="24"/>
                <w:szCs w:val="24"/>
                <w:highlight w:val="none"/>
                <w:u w:val="single" w:color="auto"/>
              </w:rPr>
              <w:t>kg</w:t>
            </w:r>
            <w:r>
              <w:rPr>
                <w:i w:val="0"/>
                <w:iCs w:val="0"/>
                <w:color w:val="auto"/>
                <w:sz w:val="24"/>
                <w:szCs w:val="24"/>
                <w:highlight w:val="none"/>
                <w:u w:val="single" w:color="auto"/>
              </w:rPr>
              <w:t>/</w:t>
            </w:r>
            <w:r>
              <w:rPr>
                <w:rFonts w:hint="eastAsia"/>
                <w:i w:val="0"/>
                <w:iCs w:val="0"/>
                <w:color w:val="auto"/>
                <w:sz w:val="24"/>
                <w:szCs w:val="24"/>
                <w:highlight w:val="none"/>
                <w:u w:val="single" w:color="auto"/>
              </w:rPr>
              <w:t>t-产品，</w:t>
            </w:r>
            <w:r>
              <w:rPr>
                <w:rFonts w:hint="eastAsia"/>
                <w:i w:val="0"/>
                <w:iCs w:val="0"/>
                <w:color w:val="auto"/>
                <w:sz w:val="24"/>
                <w:szCs w:val="24"/>
                <w:highlight w:val="none"/>
                <w:u w:val="single" w:color="auto"/>
                <w:lang w:eastAsia="zh-CN"/>
              </w:rPr>
              <w:t>本</w:t>
            </w:r>
            <w:r>
              <w:rPr>
                <w:rFonts w:hint="eastAsia"/>
                <w:i w:val="0"/>
                <w:iCs w:val="0"/>
                <w:color w:val="auto"/>
                <w:sz w:val="24"/>
                <w:szCs w:val="24"/>
                <w:highlight w:val="none"/>
                <w:u w:val="single" w:color="auto"/>
              </w:rPr>
              <w:t>项目</w:t>
            </w:r>
            <w:r>
              <w:rPr>
                <w:rFonts w:hint="eastAsia"/>
                <w:i w:val="0"/>
                <w:iCs w:val="0"/>
                <w:color w:val="auto"/>
                <w:sz w:val="24"/>
                <w:szCs w:val="24"/>
                <w:highlight w:val="none"/>
                <w:u w:val="single" w:color="auto"/>
                <w:lang w:eastAsia="zh-CN"/>
              </w:rPr>
              <w:t>商品</w:t>
            </w:r>
            <w:r>
              <w:rPr>
                <w:rFonts w:hint="eastAsia"/>
                <w:i w:val="0"/>
                <w:iCs w:val="0"/>
                <w:color w:val="auto"/>
                <w:sz w:val="24"/>
                <w:szCs w:val="24"/>
                <w:highlight w:val="none"/>
                <w:u w:val="single" w:color="auto"/>
              </w:rPr>
              <w:t>混凝土产量为</w:t>
            </w:r>
            <w:r>
              <w:rPr>
                <w:rFonts w:hint="eastAsia"/>
                <w:i w:val="0"/>
                <w:iCs w:val="0"/>
                <w:color w:val="auto"/>
                <w:sz w:val="24"/>
                <w:szCs w:val="24"/>
                <w:highlight w:val="none"/>
                <w:u w:val="single" w:color="auto"/>
                <w:lang w:val="en-US" w:eastAsia="zh-CN"/>
              </w:rPr>
              <w:t>360000</w:t>
            </w:r>
            <w:r>
              <w:rPr>
                <w:rFonts w:hint="eastAsia"/>
                <w:i w:val="0"/>
                <w:iCs w:val="0"/>
                <w:color w:val="auto"/>
                <w:sz w:val="24"/>
                <w:szCs w:val="24"/>
                <w:highlight w:val="none"/>
                <w:u w:val="single" w:color="auto"/>
              </w:rPr>
              <w:t>t</w:t>
            </w:r>
            <w:r>
              <w:rPr>
                <w:i w:val="0"/>
                <w:iCs w:val="0"/>
                <w:color w:val="auto"/>
                <w:sz w:val="24"/>
                <w:szCs w:val="24"/>
                <w:highlight w:val="none"/>
                <w:u w:val="single" w:color="auto"/>
              </w:rPr>
              <w:t>/</w:t>
            </w:r>
            <w:r>
              <w:rPr>
                <w:rFonts w:hint="eastAsia"/>
                <w:i w:val="0"/>
                <w:iCs w:val="0"/>
                <w:color w:val="auto"/>
                <w:sz w:val="24"/>
                <w:szCs w:val="24"/>
                <w:highlight w:val="none"/>
                <w:u w:val="single" w:color="auto"/>
              </w:rPr>
              <w:t>a，则物料混合搅拌粉尘产生量为</w:t>
            </w:r>
            <w:r>
              <w:rPr>
                <w:rFonts w:hint="eastAsia"/>
                <w:i w:val="0"/>
                <w:iCs w:val="0"/>
                <w:color w:val="auto"/>
                <w:sz w:val="24"/>
                <w:szCs w:val="24"/>
                <w:highlight w:val="none"/>
                <w:u w:val="single" w:color="auto"/>
                <w:lang w:val="en-US" w:eastAsia="zh-CN"/>
              </w:rPr>
              <w:t>46.8</w:t>
            </w:r>
            <w:r>
              <w:rPr>
                <w:rFonts w:hint="eastAsia"/>
                <w:i w:val="0"/>
                <w:iCs w:val="0"/>
                <w:color w:val="auto"/>
                <w:sz w:val="24"/>
                <w:szCs w:val="24"/>
                <w:highlight w:val="none"/>
                <w:u w:val="single" w:color="auto"/>
              </w:rPr>
              <w:t>t</w:t>
            </w:r>
            <w:r>
              <w:rPr>
                <w:i w:val="0"/>
                <w:iCs w:val="0"/>
                <w:color w:val="auto"/>
                <w:sz w:val="24"/>
                <w:szCs w:val="24"/>
                <w:highlight w:val="none"/>
                <w:u w:val="single" w:color="auto"/>
              </w:rPr>
              <w:t>/</w:t>
            </w:r>
            <w:r>
              <w:rPr>
                <w:rFonts w:hint="eastAsia"/>
                <w:i w:val="0"/>
                <w:iCs w:val="0"/>
                <w:color w:val="auto"/>
                <w:sz w:val="24"/>
                <w:szCs w:val="24"/>
                <w:highlight w:val="none"/>
                <w:u w:val="single" w:color="auto"/>
              </w:rPr>
              <w:t>a</w:t>
            </w:r>
            <w:r>
              <w:rPr>
                <w:rFonts w:hint="eastAsia"/>
                <w:i w:val="0"/>
                <w:iCs w:val="0"/>
                <w:color w:val="auto"/>
                <w:sz w:val="24"/>
                <w:szCs w:val="24"/>
                <w:highlight w:val="none"/>
                <w:u w:val="single" w:color="auto"/>
                <w:lang w:eastAsia="zh-CN"/>
              </w:rPr>
              <w:t>，项目</w:t>
            </w:r>
            <w:r>
              <w:rPr>
                <w:rFonts w:hint="eastAsia"/>
                <w:i w:val="0"/>
                <w:iCs w:val="0"/>
                <w:color w:val="auto"/>
                <w:sz w:val="24"/>
                <w:szCs w:val="24"/>
                <w:highlight w:val="none"/>
                <w:u w:val="single" w:color="auto"/>
                <w:lang w:val="en-US" w:eastAsia="zh-CN"/>
              </w:rPr>
              <w:t>2台搅拌机，单台搅拌机粉尘产生量为23.4t/a。</w:t>
            </w:r>
            <w:r>
              <w:rPr>
                <w:rFonts w:hint="eastAsia"/>
                <w:i w:val="0"/>
                <w:iCs w:val="0"/>
                <w:color w:val="auto"/>
                <w:sz w:val="24"/>
                <w:szCs w:val="24"/>
                <w:highlight w:val="none"/>
                <w:u w:val="single" w:color="auto"/>
              </w:rPr>
              <w:t>项目</w:t>
            </w:r>
            <w:r>
              <w:rPr>
                <w:rFonts w:hint="eastAsia"/>
                <w:i w:val="0"/>
                <w:iCs w:val="0"/>
                <w:color w:val="auto"/>
                <w:sz w:val="24"/>
                <w:szCs w:val="24"/>
                <w:highlight w:val="none"/>
                <w:u w:val="single" w:color="auto"/>
                <w:lang w:eastAsia="zh-CN"/>
              </w:rPr>
              <w:t>搅拌机下部</w:t>
            </w:r>
            <w:r>
              <w:rPr>
                <w:rFonts w:hint="eastAsia"/>
                <w:i w:val="0"/>
                <w:iCs w:val="0"/>
                <w:color w:val="auto"/>
                <w:sz w:val="24"/>
                <w:szCs w:val="24"/>
                <w:highlight w:val="none"/>
                <w:u w:val="single" w:color="auto"/>
              </w:rPr>
              <w:t>均自带脉冲袋式除尘器，</w:t>
            </w:r>
            <w:r>
              <w:rPr>
                <w:rFonts w:hint="eastAsia"/>
                <w:i w:val="0"/>
                <w:iCs w:val="0"/>
                <w:color w:val="auto"/>
                <w:sz w:val="24"/>
                <w:szCs w:val="24"/>
                <w:highlight w:val="none"/>
                <w:u w:val="single" w:color="auto"/>
                <w:lang w:eastAsia="zh-CN"/>
              </w:rPr>
              <w:t>下部</w:t>
            </w:r>
            <w:r>
              <w:rPr>
                <w:rFonts w:hint="eastAsia"/>
                <w:i w:val="0"/>
                <w:iCs w:val="0"/>
                <w:color w:val="auto"/>
                <w:sz w:val="24"/>
                <w:szCs w:val="24"/>
                <w:highlight w:val="none"/>
                <w:u w:val="single" w:color="auto"/>
              </w:rPr>
              <w:t>设置排气</w:t>
            </w:r>
            <w:r>
              <w:rPr>
                <w:rFonts w:hint="eastAsia"/>
                <w:i w:val="0"/>
                <w:iCs w:val="0"/>
                <w:color w:val="auto"/>
                <w:sz w:val="24"/>
                <w:szCs w:val="24"/>
                <w:highlight w:val="none"/>
                <w:u w:val="single" w:color="auto"/>
                <w:lang w:eastAsia="zh-CN"/>
              </w:rPr>
              <w:t>口（搅拌机高度大于15m，排放位置位于搅拌机下部，无需再设置排气筒），</w:t>
            </w:r>
            <w:r>
              <w:rPr>
                <w:rFonts w:hint="eastAsia"/>
                <w:i w:val="0"/>
                <w:iCs w:val="0"/>
                <w:color w:val="auto"/>
                <w:sz w:val="24"/>
                <w:szCs w:val="24"/>
                <w:highlight w:val="none"/>
                <w:u w:val="single" w:color="auto"/>
              </w:rPr>
              <w:t>除尘效率按9</w:t>
            </w:r>
            <w:r>
              <w:rPr>
                <w:i w:val="0"/>
                <w:iCs w:val="0"/>
                <w:color w:val="auto"/>
                <w:sz w:val="24"/>
                <w:szCs w:val="24"/>
                <w:highlight w:val="none"/>
                <w:u w:val="single" w:color="auto"/>
              </w:rPr>
              <w:t>9</w:t>
            </w:r>
            <w:r>
              <w:rPr>
                <w:rFonts w:hint="eastAsia"/>
                <w:i w:val="0"/>
                <w:iCs w:val="0"/>
                <w:color w:val="auto"/>
                <w:sz w:val="24"/>
                <w:szCs w:val="24"/>
                <w:highlight w:val="none"/>
                <w:u w:val="single" w:color="auto"/>
                <w:lang w:val="en-US" w:eastAsia="zh-CN"/>
              </w:rPr>
              <w:t>.7</w:t>
            </w:r>
            <w:r>
              <w:rPr>
                <w:rFonts w:hint="eastAsia"/>
                <w:i w:val="0"/>
                <w:iCs w:val="0"/>
                <w:color w:val="auto"/>
                <w:sz w:val="24"/>
                <w:szCs w:val="24"/>
                <w:highlight w:val="none"/>
                <w:u w:val="single" w:color="auto"/>
              </w:rPr>
              <w:t>%计，</w:t>
            </w:r>
            <w:r>
              <w:rPr>
                <w:rFonts w:hint="eastAsia"/>
                <w:i w:val="0"/>
                <w:iCs w:val="0"/>
                <w:color w:val="auto"/>
                <w:sz w:val="24"/>
                <w:szCs w:val="24"/>
                <w:highlight w:val="none"/>
                <w:u w:val="single" w:color="auto"/>
                <w:lang w:eastAsia="zh-CN"/>
              </w:rPr>
              <w:t>经计算，搅拌楼废气量</w:t>
            </w:r>
            <w:r>
              <w:rPr>
                <w:rFonts w:hint="default" w:ascii="Times New Roman" w:hAnsi="Times New Roman" w:eastAsia="宋体" w:cs="Times New Roman"/>
                <w:color w:val="auto"/>
                <w:kern w:val="0"/>
                <w:sz w:val="24"/>
                <w:szCs w:val="24"/>
                <w:highlight w:val="none"/>
                <w:u w:val="single" w:color="auto"/>
                <w:lang w:val="en-US" w:eastAsia="zh-CN" w:bidi="ar-SA"/>
              </w:rPr>
              <w:t>为</w:t>
            </w:r>
            <w:r>
              <w:rPr>
                <w:rFonts w:hint="eastAsia" w:cs="Times New Roman"/>
                <w:color w:val="auto"/>
                <w:kern w:val="0"/>
                <w:sz w:val="24"/>
                <w:szCs w:val="24"/>
                <w:highlight w:val="none"/>
                <w:u w:val="single" w:color="auto"/>
                <w:lang w:val="en-US" w:eastAsia="zh-CN" w:bidi="ar-SA"/>
              </w:rPr>
              <w:t>9×10</w:t>
            </w:r>
            <w:r>
              <w:rPr>
                <w:rFonts w:hint="eastAsia" w:cs="Times New Roman"/>
                <w:color w:val="auto"/>
                <w:kern w:val="0"/>
                <w:sz w:val="24"/>
                <w:szCs w:val="24"/>
                <w:highlight w:val="none"/>
                <w:u w:val="single" w:color="auto"/>
                <w:vertAlign w:val="superscript"/>
                <w:lang w:val="en-US" w:eastAsia="zh-CN" w:bidi="ar-SA"/>
              </w:rPr>
              <w:t>6</w:t>
            </w:r>
            <w:r>
              <w:rPr>
                <w:rFonts w:hint="default" w:ascii="Times New Roman" w:hAnsi="Times New Roman" w:eastAsia="宋体" w:cs="Times New Roman"/>
                <w:bCs/>
                <w:color w:val="auto"/>
                <w:kern w:val="0"/>
                <w:sz w:val="24"/>
                <w:szCs w:val="24"/>
                <w:highlight w:val="none"/>
                <w:u w:val="single" w:color="auto"/>
                <w:lang w:val="en-US" w:eastAsia="zh-CN" w:bidi="ar-SA"/>
              </w:rPr>
              <w:t>m</w:t>
            </w:r>
            <w:r>
              <w:rPr>
                <w:rFonts w:hint="default" w:ascii="Times New Roman" w:hAnsi="Times New Roman" w:eastAsia="宋体" w:cs="Times New Roman"/>
                <w:bCs/>
                <w:color w:val="auto"/>
                <w:kern w:val="0"/>
                <w:sz w:val="24"/>
                <w:szCs w:val="24"/>
                <w:highlight w:val="none"/>
                <w:u w:val="single" w:color="auto"/>
                <w:vertAlign w:val="superscript"/>
                <w:lang w:val="en-US" w:eastAsia="zh-CN" w:bidi="ar-SA"/>
              </w:rPr>
              <w:t>3</w:t>
            </w:r>
            <w:r>
              <w:rPr>
                <w:rFonts w:hint="default" w:ascii="Times New Roman" w:hAnsi="Times New Roman" w:eastAsia="宋体" w:cs="Times New Roman"/>
                <w:bCs/>
                <w:color w:val="auto"/>
                <w:kern w:val="0"/>
                <w:sz w:val="24"/>
                <w:szCs w:val="24"/>
                <w:highlight w:val="none"/>
                <w:u w:val="single" w:color="auto"/>
                <w:lang w:val="en-US" w:eastAsia="zh-CN" w:bidi="ar-SA"/>
              </w:rPr>
              <w:t>/</w:t>
            </w:r>
            <w:r>
              <w:rPr>
                <w:rFonts w:hint="eastAsia" w:cs="Times New Roman"/>
                <w:bCs/>
                <w:color w:val="auto"/>
                <w:kern w:val="0"/>
                <w:sz w:val="24"/>
                <w:szCs w:val="24"/>
                <w:highlight w:val="none"/>
                <w:u w:val="single" w:color="auto"/>
                <w:lang w:val="en-US" w:eastAsia="zh-CN" w:bidi="ar-SA"/>
              </w:rPr>
              <w:t>a</w:t>
            </w:r>
            <w:r>
              <w:rPr>
                <w:rFonts w:hint="default" w:ascii="Times New Roman" w:hAnsi="Times New Roman" w:eastAsia="宋体" w:cs="Times New Roman"/>
                <w:color w:val="auto"/>
                <w:kern w:val="0"/>
                <w:sz w:val="24"/>
                <w:szCs w:val="24"/>
                <w:highlight w:val="none"/>
                <w:u w:val="single" w:color="auto"/>
                <w:lang w:val="en-US" w:eastAsia="zh-CN" w:bidi="ar-SA"/>
              </w:rPr>
              <w:t>，</w:t>
            </w:r>
            <w:r>
              <w:rPr>
                <w:rFonts w:hint="eastAsia"/>
                <w:i w:val="0"/>
                <w:iCs w:val="0"/>
                <w:color w:val="auto"/>
                <w:sz w:val="24"/>
                <w:szCs w:val="24"/>
                <w:highlight w:val="none"/>
                <w:u w:val="single" w:color="auto"/>
              </w:rPr>
              <w:t>则</w:t>
            </w:r>
            <w:r>
              <w:rPr>
                <w:rFonts w:hint="eastAsia"/>
                <w:i w:val="0"/>
                <w:iCs w:val="0"/>
                <w:color w:val="auto"/>
                <w:sz w:val="24"/>
                <w:szCs w:val="24"/>
                <w:highlight w:val="none"/>
                <w:u w:val="single" w:color="auto"/>
                <w:lang w:val="en-US" w:eastAsia="zh-CN"/>
              </w:rPr>
              <w:t>2个搅拌机粉尘排放量为0.14t/a，排放速率为0.073kg/h，排放浓度为15.56mg/m</w:t>
            </w:r>
            <w:r>
              <w:rPr>
                <w:rFonts w:hint="eastAsia"/>
                <w:i w:val="0"/>
                <w:iCs w:val="0"/>
                <w:color w:val="auto"/>
                <w:sz w:val="24"/>
                <w:szCs w:val="24"/>
                <w:highlight w:val="none"/>
                <w:u w:val="single" w:color="auto"/>
                <w:vertAlign w:val="superscript"/>
                <w:lang w:val="en-US" w:eastAsia="zh-CN"/>
              </w:rPr>
              <w:t>3</w:t>
            </w:r>
            <w:r>
              <w:rPr>
                <w:rFonts w:hint="eastAsia"/>
                <w:i w:val="0"/>
                <w:iCs w:val="0"/>
                <w:color w:val="auto"/>
                <w:sz w:val="24"/>
                <w:szCs w:val="24"/>
                <w:highlight w:val="none"/>
                <w:u w:val="single" w:color="auto"/>
                <w:lang w:val="en-US" w:eastAsia="zh-CN"/>
              </w:rPr>
              <w:t>，排放口数量为2个，排放口高度为17m，均能够满足《水泥工业大气污染物排放标准》（GB4915-2013）</w:t>
            </w:r>
            <w:r>
              <w:rPr>
                <w:rFonts w:hint="eastAsia" w:cs="Times New Roman" w:eastAsiaTheme="minorEastAsia"/>
                <w:i w:val="0"/>
                <w:iCs w:val="0"/>
                <w:color w:val="auto"/>
                <w:sz w:val="24"/>
                <w:szCs w:val="24"/>
                <w:highlight w:val="none"/>
                <w:u w:val="single" w:color="auto"/>
                <w:lang w:eastAsia="zh-CN"/>
              </w:rPr>
              <w:t>中表</w:t>
            </w:r>
            <w:r>
              <w:rPr>
                <w:rFonts w:hint="eastAsia" w:cs="Times New Roman" w:eastAsiaTheme="minorEastAsia"/>
                <w:i w:val="0"/>
                <w:iCs w:val="0"/>
                <w:color w:val="auto"/>
                <w:sz w:val="24"/>
                <w:szCs w:val="24"/>
                <w:highlight w:val="none"/>
                <w:u w:val="single" w:color="auto"/>
                <w:lang w:val="en-US" w:eastAsia="zh-CN"/>
              </w:rPr>
              <w:t>1新建企业大气污染物排放限值</w:t>
            </w:r>
            <w:r>
              <w:rPr>
                <w:rFonts w:hint="eastAsia"/>
                <w:i w:val="0"/>
                <w:iCs w:val="0"/>
                <w:color w:val="auto"/>
                <w:sz w:val="24"/>
                <w:szCs w:val="24"/>
                <w:highlight w:val="none"/>
                <w:u w:val="single" w:color="auto"/>
              </w:rPr>
              <w:t>。</w:t>
            </w:r>
          </w:p>
          <w:p w14:paraId="4465CBFC">
            <w:pPr>
              <w:spacing w:line="360" w:lineRule="auto"/>
              <w:ind w:firstLine="480" w:firstLineChars="200"/>
              <w:rPr>
                <w:rFonts w:hint="default" w:ascii="Times New Roman" w:hAnsi="Times New Roman" w:cs="Times New Roman"/>
                <w:b w:val="0"/>
                <w:bCs w:val="0"/>
                <w:i w:val="0"/>
                <w:iCs w:val="0"/>
                <w:color w:val="auto"/>
                <w:sz w:val="24"/>
                <w:szCs w:val="24"/>
                <w:highlight w:val="none"/>
                <w:u w:val="none" w:color="auto"/>
                <w:lang w:eastAsia="zh-CN"/>
              </w:rPr>
            </w:pPr>
            <w:r>
              <w:rPr>
                <w:rFonts w:hint="default" w:ascii="Times New Roman" w:hAnsi="Times New Roman" w:cs="Times New Roman"/>
                <w:b w:val="0"/>
                <w:bCs w:val="0"/>
                <w:i w:val="0"/>
                <w:iCs w:val="0"/>
                <w:color w:val="auto"/>
                <w:sz w:val="24"/>
                <w:szCs w:val="24"/>
                <w:highlight w:val="none"/>
                <w:u w:val="none" w:color="auto"/>
                <w:lang w:eastAsia="zh-CN"/>
              </w:rPr>
              <w:t>（</w:t>
            </w:r>
            <w:r>
              <w:rPr>
                <w:rFonts w:hint="eastAsia" w:cs="Times New Roman"/>
                <w:b w:val="0"/>
                <w:bCs w:val="0"/>
                <w:i w:val="0"/>
                <w:iCs w:val="0"/>
                <w:color w:val="auto"/>
                <w:sz w:val="24"/>
                <w:szCs w:val="24"/>
                <w:highlight w:val="none"/>
                <w:u w:val="none" w:color="auto"/>
                <w:lang w:val="en-US" w:eastAsia="zh-CN"/>
              </w:rPr>
              <w:t>3</w:t>
            </w:r>
            <w:r>
              <w:rPr>
                <w:rFonts w:hint="default" w:ascii="Times New Roman" w:hAnsi="Times New Roman" w:cs="Times New Roman"/>
                <w:b w:val="0"/>
                <w:bCs w:val="0"/>
                <w:i w:val="0"/>
                <w:iCs w:val="0"/>
                <w:color w:val="auto"/>
                <w:sz w:val="24"/>
                <w:szCs w:val="24"/>
                <w:highlight w:val="none"/>
                <w:u w:val="none" w:color="auto"/>
                <w:lang w:eastAsia="zh-CN"/>
              </w:rPr>
              <w:t>）</w:t>
            </w:r>
            <w:r>
              <w:rPr>
                <w:rFonts w:hint="eastAsia" w:cs="Times New Roman"/>
                <w:b w:val="0"/>
                <w:bCs w:val="0"/>
                <w:i w:val="0"/>
                <w:iCs w:val="0"/>
                <w:color w:val="auto"/>
                <w:sz w:val="24"/>
                <w:szCs w:val="24"/>
                <w:highlight w:val="none"/>
                <w:u w:val="none" w:color="auto"/>
                <w:lang w:eastAsia="zh-CN"/>
              </w:rPr>
              <w:t>料棚</w:t>
            </w:r>
            <w:r>
              <w:rPr>
                <w:rFonts w:hint="eastAsia" w:ascii="Times New Roman" w:hAnsi="Times New Roman" w:cs="Times New Roman"/>
                <w:b w:val="0"/>
                <w:bCs w:val="0"/>
                <w:i w:val="0"/>
                <w:iCs w:val="0"/>
                <w:color w:val="auto"/>
                <w:sz w:val="24"/>
                <w:szCs w:val="24"/>
                <w:highlight w:val="none"/>
                <w:u w:val="none" w:color="auto"/>
                <w:lang w:eastAsia="zh-CN"/>
              </w:rPr>
              <w:t>装卸及堆存粉尘</w:t>
            </w:r>
          </w:p>
          <w:p w14:paraId="248ACA7B">
            <w:pPr>
              <w:spacing w:line="360" w:lineRule="auto"/>
              <w:ind w:firstLine="480" w:firstLineChars="200"/>
              <w:rPr>
                <w:rFonts w:hint="eastAsia" w:ascii="宋体" w:hAnsi="宋体" w:cs="宋体"/>
                <w:b w:val="0"/>
                <w:bCs w:val="0"/>
                <w:i w:val="0"/>
                <w:iCs w:val="0"/>
                <w:color w:val="auto"/>
                <w:sz w:val="24"/>
                <w:szCs w:val="24"/>
                <w:highlight w:val="none"/>
                <w:u w:val="none" w:color="auto"/>
                <w:lang w:eastAsia="zh-CN"/>
              </w:rPr>
            </w:pPr>
            <w:r>
              <w:rPr>
                <w:rFonts w:hint="eastAsia" w:ascii="宋体" w:hAnsi="宋体" w:cs="宋体"/>
                <w:b w:val="0"/>
                <w:bCs w:val="0"/>
                <w:i w:val="0"/>
                <w:iCs w:val="0"/>
                <w:color w:val="auto"/>
                <w:sz w:val="24"/>
                <w:szCs w:val="24"/>
                <w:highlight w:val="none"/>
                <w:u w:val="none" w:color="auto"/>
                <w:lang w:eastAsia="zh-CN"/>
              </w:rPr>
              <w:t>本项目商品混凝土用料砂子、碎石由自卸汽车运至厂区料棚内堆存，堆场会产生装卸及堆存扬尘，根据《排放源统计调查产排污核算方法和系数手册》中固体物料堆存颗粒物产排污核算系数手册，料棚堆存颗粒物包括装卸扬尘和风蚀扬尘，颗粒物产生量核算公式如下：</w:t>
            </w:r>
          </w:p>
          <w:p w14:paraId="45AA4DD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b w:val="0"/>
                <w:bCs w:val="0"/>
                <w:i w:val="0"/>
                <w:iCs w:val="0"/>
                <w:sz w:val="24"/>
                <w:szCs w:val="24"/>
                <w:highlight w:val="none"/>
                <w:u w:val="none" w:color="auto"/>
                <w:lang w:eastAsia="zh-CN"/>
              </w:rPr>
            </w:pPr>
            <w:r>
              <w:rPr>
                <w:color w:val="auto"/>
                <w:highlight w:val="none"/>
                <w:u w:val="none" w:color="auto"/>
              </w:rPr>
              <w:drawing>
                <wp:inline distT="0" distB="0" distL="114300" distR="114300">
                  <wp:extent cx="3263900" cy="389890"/>
                  <wp:effectExtent l="0" t="0" r="3175" b="635"/>
                  <wp:docPr id="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pic:cNvPicPr>
                            <a:picLocks noChangeAspect="1"/>
                          </pic:cNvPicPr>
                        </pic:nvPicPr>
                        <pic:blipFill>
                          <a:blip r:embed="rId14"/>
                          <a:stretch>
                            <a:fillRect/>
                          </a:stretch>
                        </pic:blipFill>
                        <pic:spPr>
                          <a:xfrm>
                            <a:off x="0" y="0"/>
                            <a:ext cx="3263900" cy="389890"/>
                          </a:xfrm>
                          <a:prstGeom prst="rect">
                            <a:avLst/>
                          </a:prstGeom>
                          <a:noFill/>
                          <a:ln>
                            <a:noFill/>
                          </a:ln>
                        </pic:spPr>
                      </pic:pic>
                    </a:graphicData>
                  </a:graphic>
                </wp:inline>
              </w:drawing>
            </w:r>
          </w:p>
          <w:p w14:paraId="613AB2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val="0"/>
                <w:bCs w:val="0"/>
                <w:i w:val="0"/>
                <w:iCs w:val="0"/>
                <w:sz w:val="24"/>
                <w:szCs w:val="24"/>
                <w:highlight w:val="none"/>
                <w:u w:val="none" w:color="auto"/>
                <w:lang w:eastAsia="zh-CN"/>
              </w:rPr>
            </w:pPr>
            <w:r>
              <w:rPr>
                <w:rFonts w:hint="default" w:ascii="Times New Roman" w:hAnsi="Times New Roman" w:cs="Times New Roman"/>
                <w:b w:val="0"/>
                <w:bCs w:val="0"/>
                <w:i w:val="0"/>
                <w:iCs w:val="0"/>
                <w:sz w:val="24"/>
                <w:szCs w:val="24"/>
                <w:highlight w:val="none"/>
                <w:u w:val="none" w:color="auto"/>
                <w:lang w:eastAsia="zh-CN"/>
              </w:rPr>
              <w:t>式中：P—颗粒物产生量，t/a；</w:t>
            </w:r>
          </w:p>
          <w:p w14:paraId="1C643F80">
            <w:pPr>
              <w:keepNext w:val="0"/>
              <w:keepLines w:val="0"/>
              <w:pageBreakBefore w:val="0"/>
              <w:widowControl w:val="0"/>
              <w:kinsoku/>
              <w:wordWrap/>
              <w:overflowPunct/>
              <w:topLinePunct w:val="0"/>
              <w:autoSpaceDE/>
              <w:autoSpaceDN/>
              <w:bidi w:val="0"/>
              <w:adjustRightInd/>
              <w:snapToGrid/>
              <w:spacing w:line="360" w:lineRule="auto"/>
              <w:ind w:firstLine="1200" w:firstLineChars="500"/>
              <w:textAlignment w:val="auto"/>
              <w:rPr>
                <w:rFonts w:hint="default" w:ascii="Times New Roman" w:hAnsi="Times New Roman" w:cs="Times New Roman"/>
                <w:b w:val="0"/>
                <w:bCs w:val="0"/>
                <w:i w:val="0"/>
                <w:iCs w:val="0"/>
                <w:sz w:val="24"/>
                <w:szCs w:val="24"/>
                <w:highlight w:val="none"/>
                <w:u w:val="none" w:color="auto"/>
                <w:lang w:eastAsia="zh-CN"/>
              </w:rPr>
            </w:pPr>
            <w:r>
              <w:rPr>
                <w:rFonts w:hint="default" w:ascii="Times New Roman" w:hAnsi="Times New Roman" w:cs="Times New Roman"/>
                <w:b w:val="0"/>
                <w:bCs w:val="0"/>
                <w:i w:val="0"/>
                <w:iCs w:val="0"/>
                <w:sz w:val="24"/>
                <w:szCs w:val="24"/>
                <w:highlight w:val="none"/>
                <w:u w:val="none" w:color="auto"/>
                <w:lang w:eastAsia="zh-CN"/>
              </w:rPr>
              <w:t>ZCy—装卸扬尘产生量，t/a；</w:t>
            </w:r>
          </w:p>
          <w:p w14:paraId="7BACA4A8">
            <w:pPr>
              <w:keepNext w:val="0"/>
              <w:keepLines w:val="0"/>
              <w:pageBreakBefore w:val="0"/>
              <w:widowControl w:val="0"/>
              <w:kinsoku/>
              <w:wordWrap/>
              <w:overflowPunct/>
              <w:topLinePunct w:val="0"/>
              <w:autoSpaceDE/>
              <w:autoSpaceDN/>
              <w:bidi w:val="0"/>
              <w:adjustRightInd/>
              <w:snapToGrid/>
              <w:spacing w:line="360" w:lineRule="auto"/>
              <w:ind w:firstLine="1200" w:firstLineChars="500"/>
              <w:textAlignment w:val="auto"/>
              <w:rPr>
                <w:rFonts w:hint="default" w:ascii="Times New Roman" w:hAnsi="Times New Roman" w:cs="Times New Roman"/>
                <w:b w:val="0"/>
                <w:bCs w:val="0"/>
                <w:i w:val="0"/>
                <w:iCs w:val="0"/>
                <w:sz w:val="24"/>
                <w:szCs w:val="24"/>
                <w:highlight w:val="none"/>
                <w:u w:val="none" w:color="auto"/>
                <w:lang w:eastAsia="zh-CN"/>
              </w:rPr>
            </w:pPr>
            <w:r>
              <w:rPr>
                <w:rFonts w:hint="default" w:ascii="Times New Roman" w:hAnsi="Times New Roman" w:cs="Times New Roman"/>
                <w:b w:val="0"/>
                <w:bCs w:val="0"/>
                <w:i w:val="0"/>
                <w:iCs w:val="0"/>
                <w:sz w:val="24"/>
                <w:szCs w:val="24"/>
                <w:highlight w:val="none"/>
                <w:u w:val="none" w:color="auto"/>
                <w:lang w:eastAsia="zh-CN"/>
              </w:rPr>
              <w:t>FCy—风蚀扬尘产生量，t/a；</w:t>
            </w:r>
          </w:p>
          <w:p w14:paraId="1776E4DA">
            <w:pPr>
              <w:keepNext w:val="0"/>
              <w:keepLines w:val="0"/>
              <w:pageBreakBefore w:val="0"/>
              <w:widowControl w:val="0"/>
              <w:kinsoku/>
              <w:wordWrap/>
              <w:overflowPunct/>
              <w:topLinePunct w:val="0"/>
              <w:autoSpaceDE/>
              <w:autoSpaceDN/>
              <w:bidi w:val="0"/>
              <w:adjustRightInd/>
              <w:snapToGrid/>
              <w:spacing w:line="360" w:lineRule="auto"/>
              <w:ind w:firstLine="1200" w:firstLineChars="500"/>
              <w:textAlignment w:val="auto"/>
              <w:rPr>
                <w:rFonts w:hint="default" w:ascii="Times New Roman" w:hAnsi="Times New Roman" w:cs="Times New Roman"/>
                <w:b w:val="0"/>
                <w:bCs w:val="0"/>
                <w:i w:val="0"/>
                <w:iCs w:val="0"/>
                <w:sz w:val="24"/>
                <w:szCs w:val="24"/>
                <w:highlight w:val="none"/>
                <w:u w:val="none" w:color="auto"/>
                <w:lang w:eastAsia="zh-CN"/>
              </w:rPr>
            </w:pPr>
            <w:r>
              <w:rPr>
                <w:rFonts w:hint="default" w:ascii="Times New Roman" w:hAnsi="Times New Roman" w:cs="Times New Roman"/>
                <w:b w:val="0"/>
                <w:bCs w:val="0"/>
                <w:i w:val="0"/>
                <w:iCs w:val="0"/>
                <w:sz w:val="24"/>
                <w:szCs w:val="24"/>
                <w:highlight w:val="none"/>
                <w:u w:val="none" w:color="auto"/>
                <w:lang w:eastAsia="zh-CN"/>
              </w:rPr>
              <w:t>Nc—年物料运载车次，车；</w:t>
            </w:r>
          </w:p>
          <w:p w14:paraId="2E5F3C82">
            <w:pPr>
              <w:keepNext w:val="0"/>
              <w:keepLines w:val="0"/>
              <w:pageBreakBefore w:val="0"/>
              <w:widowControl w:val="0"/>
              <w:kinsoku/>
              <w:wordWrap/>
              <w:overflowPunct/>
              <w:topLinePunct w:val="0"/>
              <w:autoSpaceDE/>
              <w:autoSpaceDN/>
              <w:bidi w:val="0"/>
              <w:adjustRightInd/>
              <w:snapToGrid/>
              <w:spacing w:line="360" w:lineRule="auto"/>
              <w:ind w:firstLine="1200" w:firstLineChars="500"/>
              <w:textAlignment w:val="auto"/>
              <w:rPr>
                <w:rFonts w:hint="default" w:ascii="Times New Roman" w:hAnsi="Times New Roman" w:cs="Times New Roman"/>
                <w:b w:val="0"/>
                <w:bCs w:val="0"/>
                <w:i w:val="0"/>
                <w:iCs w:val="0"/>
                <w:sz w:val="24"/>
                <w:szCs w:val="24"/>
                <w:highlight w:val="none"/>
                <w:u w:val="none" w:color="auto"/>
                <w:lang w:eastAsia="zh-CN"/>
              </w:rPr>
            </w:pPr>
            <w:r>
              <w:rPr>
                <w:rFonts w:hint="default" w:ascii="Times New Roman" w:hAnsi="Times New Roman" w:cs="Times New Roman"/>
                <w:b w:val="0"/>
                <w:bCs w:val="0"/>
                <w:i w:val="0"/>
                <w:iCs w:val="0"/>
                <w:sz w:val="24"/>
                <w:szCs w:val="24"/>
                <w:highlight w:val="none"/>
                <w:u w:val="none" w:color="auto"/>
                <w:lang w:eastAsia="zh-CN"/>
              </w:rPr>
              <w:t>D—单车平均运载量，t/车；</w:t>
            </w:r>
          </w:p>
          <w:p w14:paraId="247D21EA">
            <w:pPr>
              <w:keepNext w:val="0"/>
              <w:keepLines w:val="0"/>
              <w:pageBreakBefore w:val="0"/>
              <w:widowControl w:val="0"/>
              <w:kinsoku/>
              <w:wordWrap/>
              <w:overflowPunct/>
              <w:topLinePunct w:val="0"/>
              <w:autoSpaceDE/>
              <w:autoSpaceDN/>
              <w:bidi w:val="0"/>
              <w:adjustRightInd/>
              <w:snapToGrid/>
              <w:spacing w:line="360" w:lineRule="auto"/>
              <w:ind w:firstLine="960" w:firstLineChars="400"/>
              <w:textAlignment w:val="auto"/>
              <w:rPr>
                <w:rFonts w:hint="default" w:ascii="Times New Roman" w:hAnsi="Times New Roman" w:cs="Times New Roman"/>
                <w:b w:val="0"/>
                <w:bCs w:val="0"/>
                <w:i w:val="0"/>
                <w:iCs w:val="0"/>
                <w:sz w:val="24"/>
                <w:szCs w:val="24"/>
                <w:highlight w:val="none"/>
                <w:u w:val="none" w:color="auto"/>
                <w:lang w:eastAsia="zh-CN"/>
              </w:rPr>
            </w:pPr>
            <w:r>
              <w:rPr>
                <w:rFonts w:hint="default" w:ascii="Times New Roman" w:hAnsi="Times New Roman" w:cs="Times New Roman"/>
                <w:b w:val="0"/>
                <w:bCs w:val="0"/>
                <w:i w:val="0"/>
                <w:iCs w:val="0"/>
                <w:sz w:val="24"/>
                <w:szCs w:val="24"/>
                <w:highlight w:val="none"/>
                <w:u w:val="none" w:color="auto"/>
                <w:lang w:eastAsia="zh-CN"/>
              </w:rPr>
              <w:t>（a/b）—装卸扬尘概化系数，kg/t，a指各省风速概化系数，b指物料含水率概化系数；</w:t>
            </w:r>
          </w:p>
          <w:p w14:paraId="39FE6C1B">
            <w:pPr>
              <w:keepNext w:val="0"/>
              <w:keepLines w:val="0"/>
              <w:pageBreakBefore w:val="0"/>
              <w:widowControl w:val="0"/>
              <w:kinsoku/>
              <w:wordWrap/>
              <w:overflowPunct/>
              <w:topLinePunct w:val="0"/>
              <w:autoSpaceDE/>
              <w:autoSpaceDN/>
              <w:bidi w:val="0"/>
              <w:adjustRightInd/>
              <w:snapToGrid/>
              <w:spacing w:line="360" w:lineRule="auto"/>
              <w:ind w:firstLine="1200" w:firstLineChars="500"/>
              <w:textAlignment w:val="auto"/>
              <w:rPr>
                <w:rFonts w:hint="default" w:ascii="宋体" w:hAnsi="宋体" w:cs="宋体"/>
                <w:b w:val="0"/>
                <w:bCs w:val="0"/>
                <w:i w:val="0"/>
                <w:iCs w:val="0"/>
                <w:sz w:val="24"/>
                <w:szCs w:val="24"/>
                <w:highlight w:val="none"/>
                <w:u w:val="none" w:color="auto"/>
                <w:lang w:val="en-US" w:eastAsia="zh-CN"/>
              </w:rPr>
            </w:pPr>
            <w:r>
              <w:rPr>
                <w:rFonts w:hint="default" w:ascii="Times New Roman" w:hAnsi="Times New Roman" w:cs="Times New Roman"/>
                <w:b w:val="0"/>
                <w:bCs w:val="0"/>
                <w:i w:val="0"/>
                <w:iCs w:val="0"/>
                <w:sz w:val="24"/>
                <w:szCs w:val="24"/>
                <w:highlight w:val="none"/>
                <w:u w:val="none" w:color="auto"/>
                <w:lang w:eastAsia="zh-CN"/>
              </w:rPr>
              <w:t>E</w:t>
            </w:r>
            <w:r>
              <w:rPr>
                <w:rFonts w:hint="default" w:ascii="Times New Roman" w:hAnsi="Times New Roman" w:cs="Times New Roman"/>
                <w:b w:val="0"/>
                <w:bCs w:val="0"/>
                <w:i w:val="0"/>
                <w:iCs w:val="0"/>
                <w:sz w:val="24"/>
                <w:szCs w:val="24"/>
                <w:highlight w:val="none"/>
                <w:u w:val="none" w:color="auto"/>
                <w:vertAlign w:val="subscript"/>
                <w:lang w:eastAsia="zh-CN"/>
              </w:rPr>
              <w:t>f</w:t>
            </w:r>
            <w:r>
              <w:rPr>
                <w:rFonts w:hint="default" w:ascii="Times New Roman" w:hAnsi="Times New Roman" w:cs="Times New Roman"/>
                <w:b w:val="0"/>
                <w:bCs w:val="0"/>
                <w:i w:val="0"/>
                <w:iCs w:val="0"/>
                <w:sz w:val="24"/>
                <w:szCs w:val="24"/>
                <w:highlight w:val="none"/>
                <w:u w:val="none" w:color="auto"/>
                <w:lang w:eastAsia="zh-CN"/>
              </w:rPr>
              <w:t>—风蚀扬尘概化系数，kg/m</w:t>
            </w:r>
            <w:r>
              <w:rPr>
                <w:rFonts w:hint="default" w:ascii="Times New Roman" w:hAnsi="Times New Roman" w:cs="Times New Roman"/>
                <w:b w:val="0"/>
                <w:bCs w:val="0"/>
                <w:i w:val="0"/>
                <w:iCs w:val="0"/>
                <w:sz w:val="24"/>
                <w:szCs w:val="24"/>
                <w:highlight w:val="none"/>
                <w:u w:val="none" w:color="auto"/>
                <w:vertAlign w:val="superscript"/>
                <w:lang w:eastAsia="zh-CN"/>
              </w:rPr>
              <w:t>2</w:t>
            </w:r>
            <w:r>
              <w:rPr>
                <w:rFonts w:hint="default" w:ascii="Times New Roman" w:hAnsi="Times New Roman" w:cs="Times New Roman"/>
                <w:b w:val="0"/>
                <w:bCs w:val="0"/>
                <w:i w:val="0"/>
                <w:iCs w:val="0"/>
                <w:sz w:val="24"/>
                <w:szCs w:val="24"/>
                <w:highlight w:val="none"/>
                <w:u w:val="none" w:color="auto"/>
                <w:lang w:eastAsia="zh-CN"/>
              </w:rPr>
              <w:t>；</w:t>
            </w:r>
          </w:p>
          <w:p w14:paraId="4B65218F">
            <w:pPr>
              <w:keepNext w:val="0"/>
              <w:keepLines w:val="0"/>
              <w:pageBreakBefore w:val="0"/>
              <w:widowControl w:val="0"/>
              <w:kinsoku/>
              <w:wordWrap/>
              <w:overflowPunct/>
              <w:topLinePunct w:val="0"/>
              <w:autoSpaceDE/>
              <w:autoSpaceDN/>
              <w:bidi w:val="0"/>
              <w:adjustRightInd/>
              <w:snapToGrid/>
              <w:spacing w:line="360" w:lineRule="auto"/>
              <w:ind w:firstLine="1200" w:firstLineChars="500"/>
              <w:textAlignment w:val="auto"/>
              <w:rPr>
                <w:rFonts w:hint="eastAsia" w:ascii="宋体" w:hAnsi="宋体" w:cs="宋体"/>
                <w:b w:val="0"/>
                <w:bCs w:val="0"/>
                <w:i w:val="0"/>
                <w:iCs w:val="0"/>
                <w:sz w:val="24"/>
                <w:szCs w:val="24"/>
                <w:highlight w:val="none"/>
                <w:u w:val="none" w:color="auto"/>
                <w:lang w:eastAsia="zh-CN"/>
              </w:rPr>
            </w:pPr>
            <w:r>
              <w:rPr>
                <w:rFonts w:hint="default" w:ascii="Times New Roman" w:hAnsi="Times New Roman" w:cs="Times New Roman"/>
                <w:b w:val="0"/>
                <w:bCs w:val="0"/>
                <w:i w:val="0"/>
                <w:iCs w:val="0"/>
                <w:sz w:val="24"/>
                <w:szCs w:val="24"/>
                <w:highlight w:val="none"/>
                <w:u w:val="none" w:color="auto"/>
                <w:lang w:eastAsia="zh-CN"/>
              </w:rPr>
              <w:t>S—堆场占地面积，m</w:t>
            </w:r>
            <w:r>
              <w:rPr>
                <w:rFonts w:hint="default" w:ascii="Times New Roman" w:hAnsi="Times New Roman" w:cs="Times New Roman"/>
                <w:b w:val="0"/>
                <w:bCs w:val="0"/>
                <w:i w:val="0"/>
                <w:iCs w:val="0"/>
                <w:sz w:val="24"/>
                <w:szCs w:val="24"/>
                <w:highlight w:val="none"/>
                <w:u w:val="none" w:color="auto"/>
                <w:vertAlign w:val="superscript"/>
                <w:lang w:eastAsia="zh-CN"/>
              </w:rPr>
              <w:t>2</w:t>
            </w:r>
            <w:r>
              <w:rPr>
                <w:rFonts w:hint="default" w:ascii="Times New Roman" w:hAnsi="Times New Roman" w:cs="Times New Roman"/>
                <w:b w:val="0"/>
                <w:bCs w:val="0"/>
                <w:i w:val="0"/>
                <w:iCs w:val="0"/>
                <w:sz w:val="24"/>
                <w:szCs w:val="24"/>
                <w:highlight w:val="none"/>
                <w:u w:val="none" w:color="auto"/>
                <w:lang w:eastAsia="zh-CN"/>
              </w:rPr>
              <w:t>。</w:t>
            </w:r>
          </w:p>
          <w:p w14:paraId="23A318D8">
            <w:pPr>
              <w:spacing w:line="360" w:lineRule="auto"/>
              <w:ind w:firstLine="480" w:firstLineChars="200"/>
              <w:rPr>
                <w:rFonts w:hint="eastAsia" w:ascii="宋体" w:hAnsi="宋体" w:cs="宋体"/>
                <w:b w:val="0"/>
                <w:bCs w:val="0"/>
                <w:i w:val="0"/>
                <w:iCs w:val="0"/>
                <w:color w:val="auto"/>
                <w:sz w:val="24"/>
                <w:szCs w:val="24"/>
                <w:highlight w:val="none"/>
                <w:u w:val="none" w:color="auto"/>
                <w:lang w:eastAsia="zh-CN"/>
              </w:rPr>
            </w:pPr>
            <w:r>
              <w:rPr>
                <w:rFonts w:hint="eastAsia" w:ascii="宋体" w:hAnsi="宋体" w:cs="宋体"/>
                <w:b w:val="0"/>
                <w:bCs w:val="0"/>
                <w:i w:val="0"/>
                <w:iCs w:val="0"/>
                <w:color w:val="auto"/>
                <w:sz w:val="24"/>
                <w:szCs w:val="24"/>
                <w:highlight w:val="none"/>
                <w:u w:val="none" w:color="auto"/>
                <w:lang w:eastAsia="zh-CN"/>
              </w:rPr>
              <w:t>①物</w:t>
            </w:r>
            <w:r>
              <w:rPr>
                <w:rFonts w:hint="eastAsia"/>
                <w:i w:val="0"/>
                <w:iCs w:val="0"/>
                <w:color w:val="auto"/>
                <w:sz w:val="24"/>
                <w:szCs w:val="24"/>
                <w:highlight w:val="none"/>
                <w:u w:val="none" w:color="auto"/>
              </w:rPr>
              <w:t>料装卸扬尘</w:t>
            </w:r>
          </w:p>
          <w:p w14:paraId="7A42C12F">
            <w:pPr>
              <w:spacing w:line="360" w:lineRule="auto"/>
              <w:ind w:firstLine="480" w:firstLineChars="200"/>
              <w:rPr>
                <w:rFonts w:hint="eastAsia" w:ascii="宋体" w:hAnsi="宋体" w:cs="宋体"/>
                <w:b w:val="0"/>
                <w:bCs w:val="0"/>
                <w:i w:val="0"/>
                <w:iCs w:val="0"/>
                <w:color w:val="auto"/>
                <w:sz w:val="24"/>
                <w:szCs w:val="24"/>
                <w:highlight w:val="green"/>
                <w:u w:val="none" w:color="auto"/>
                <w:lang w:eastAsia="zh-CN"/>
              </w:rPr>
            </w:pPr>
            <w:r>
              <w:rPr>
                <w:rFonts w:hint="default" w:ascii="Times New Roman" w:hAnsi="Times New Roman" w:cs="Times New Roman"/>
                <w:b w:val="0"/>
                <w:bCs w:val="0"/>
                <w:i w:val="0"/>
                <w:iCs w:val="0"/>
                <w:color w:val="auto"/>
                <w:sz w:val="24"/>
                <w:szCs w:val="24"/>
                <w:highlight w:val="none"/>
                <w:u w:val="none" w:color="auto"/>
                <w:lang w:eastAsia="zh-CN"/>
              </w:rPr>
              <w:t>本项目每年</w:t>
            </w:r>
            <w:r>
              <w:rPr>
                <w:rFonts w:hint="eastAsia" w:ascii="Times New Roman" w:hAnsi="Times New Roman" w:cs="Times New Roman"/>
                <w:b w:val="0"/>
                <w:bCs w:val="0"/>
                <w:i w:val="0"/>
                <w:iCs w:val="0"/>
                <w:color w:val="auto"/>
                <w:sz w:val="24"/>
                <w:szCs w:val="24"/>
                <w:highlight w:val="none"/>
                <w:u w:val="none" w:color="auto"/>
                <w:lang w:eastAsia="zh-CN"/>
              </w:rPr>
              <w:t>砂子</w:t>
            </w:r>
            <w:r>
              <w:rPr>
                <w:rFonts w:hint="default" w:ascii="Times New Roman" w:hAnsi="Times New Roman" w:cs="Times New Roman"/>
                <w:b w:val="0"/>
                <w:bCs w:val="0"/>
                <w:i w:val="0"/>
                <w:iCs w:val="0"/>
                <w:color w:val="auto"/>
                <w:sz w:val="24"/>
                <w:szCs w:val="24"/>
                <w:highlight w:val="none"/>
                <w:u w:val="none" w:color="auto"/>
                <w:lang w:eastAsia="zh-CN"/>
              </w:rPr>
              <w:t>、</w:t>
            </w:r>
            <w:r>
              <w:rPr>
                <w:rFonts w:hint="eastAsia" w:ascii="Times New Roman" w:hAnsi="Times New Roman" w:cs="Times New Roman"/>
                <w:b w:val="0"/>
                <w:bCs w:val="0"/>
                <w:i w:val="0"/>
                <w:iCs w:val="0"/>
                <w:color w:val="auto"/>
                <w:sz w:val="24"/>
                <w:szCs w:val="24"/>
                <w:highlight w:val="none"/>
                <w:u w:val="none" w:color="auto"/>
                <w:lang w:eastAsia="zh-CN"/>
              </w:rPr>
              <w:t>碎石</w:t>
            </w:r>
            <w:r>
              <w:rPr>
                <w:rFonts w:hint="default" w:ascii="Times New Roman" w:hAnsi="Times New Roman" w:cs="Times New Roman"/>
                <w:b w:val="0"/>
                <w:bCs w:val="0"/>
                <w:i w:val="0"/>
                <w:iCs w:val="0"/>
                <w:color w:val="auto"/>
                <w:sz w:val="24"/>
                <w:szCs w:val="24"/>
                <w:highlight w:val="none"/>
                <w:u w:val="none" w:color="auto"/>
                <w:lang w:eastAsia="zh-CN"/>
              </w:rPr>
              <w:t>的使用量共计</w:t>
            </w:r>
            <w:r>
              <w:rPr>
                <w:rFonts w:hint="eastAsia" w:cs="Times New Roman"/>
                <w:b w:val="0"/>
                <w:bCs w:val="0"/>
                <w:i w:val="0"/>
                <w:iCs w:val="0"/>
                <w:color w:val="auto"/>
                <w:sz w:val="24"/>
                <w:szCs w:val="24"/>
                <w:highlight w:val="none"/>
                <w:u w:val="none" w:color="auto"/>
                <w:lang w:val="en-US" w:eastAsia="zh-CN"/>
              </w:rPr>
              <w:t>180120.311</w:t>
            </w:r>
            <w:r>
              <w:rPr>
                <w:rFonts w:hint="default" w:ascii="Times New Roman" w:hAnsi="Times New Roman" w:cs="Times New Roman"/>
                <w:b w:val="0"/>
                <w:bCs w:val="0"/>
                <w:i w:val="0"/>
                <w:iCs w:val="0"/>
                <w:color w:val="auto"/>
                <w:sz w:val="24"/>
                <w:szCs w:val="24"/>
                <w:highlight w:val="none"/>
                <w:u w:val="none" w:color="auto"/>
                <w:lang w:eastAsia="zh-CN"/>
              </w:rPr>
              <w:t>t，每辆卡车单次卸料量为</w:t>
            </w:r>
            <w:r>
              <w:rPr>
                <w:rFonts w:hint="eastAsia" w:ascii="Times New Roman" w:hAnsi="Times New Roman" w:cs="Times New Roman"/>
                <w:b w:val="0"/>
                <w:bCs w:val="0"/>
                <w:i w:val="0"/>
                <w:iCs w:val="0"/>
                <w:color w:val="auto"/>
                <w:sz w:val="24"/>
                <w:szCs w:val="24"/>
                <w:highlight w:val="none"/>
                <w:u w:val="none" w:color="auto"/>
                <w:lang w:val="en-US" w:eastAsia="zh-CN"/>
              </w:rPr>
              <w:t>3</w:t>
            </w:r>
            <w:r>
              <w:rPr>
                <w:rFonts w:hint="default" w:ascii="Times New Roman" w:hAnsi="Times New Roman" w:cs="Times New Roman"/>
                <w:b w:val="0"/>
                <w:bCs w:val="0"/>
                <w:i w:val="0"/>
                <w:iCs w:val="0"/>
                <w:color w:val="auto"/>
                <w:sz w:val="24"/>
                <w:szCs w:val="24"/>
                <w:highlight w:val="none"/>
                <w:u w:val="none" w:color="auto"/>
                <w:lang w:eastAsia="zh-CN"/>
              </w:rPr>
              <w:t>0t，年物料运载车次为</w:t>
            </w:r>
            <w:r>
              <w:rPr>
                <w:rFonts w:hint="eastAsia" w:cs="Times New Roman"/>
                <w:b w:val="0"/>
                <w:bCs w:val="0"/>
                <w:i w:val="0"/>
                <w:iCs w:val="0"/>
                <w:color w:val="auto"/>
                <w:sz w:val="24"/>
                <w:szCs w:val="24"/>
                <w:highlight w:val="none"/>
                <w:u w:val="none" w:color="auto"/>
                <w:lang w:val="en-US" w:eastAsia="zh-CN"/>
              </w:rPr>
              <w:t>6004</w:t>
            </w:r>
            <w:r>
              <w:rPr>
                <w:rFonts w:hint="default" w:ascii="Times New Roman" w:hAnsi="Times New Roman" w:cs="Times New Roman"/>
                <w:b w:val="0"/>
                <w:bCs w:val="0"/>
                <w:i w:val="0"/>
                <w:iCs w:val="0"/>
                <w:color w:val="auto"/>
                <w:sz w:val="24"/>
                <w:szCs w:val="24"/>
                <w:highlight w:val="none"/>
                <w:u w:val="none" w:color="auto"/>
                <w:lang w:eastAsia="zh-CN"/>
              </w:rPr>
              <w:t>次，根据系数手册查表，吉林省风速概化系数a为0.0013，物料类型参照各种石灰石产品，查得物料含水率概化系数为0.0017，风蚀扬尘概化系数</w:t>
            </w:r>
            <w:r>
              <w:rPr>
                <w:rFonts w:hint="eastAsia" w:ascii="Times New Roman" w:hAnsi="Times New Roman" w:cs="Times New Roman"/>
                <w:b w:val="0"/>
                <w:bCs w:val="0"/>
                <w:i w:val="0"/>
                <w:iCs w:val="0"/>
                <w:color w:val="auto"/>
                <w:sz w:val="24"/>
                <w:szCs w:val="24"/>
                <w:highlight w:val="none"/>
                <w:u w:val="none" w:color="auto"/>
                <w:lang w:val="en-US" w:eastAsia="zh-CN"/>
              </w:rPr>
              <w:t>3.6062</w:t>
            </w:r>
            <w:r>
              <w:rPr>
                <w:rFonts w:hint="default" w:ascii="Times New Roman" w:hAnsi="Times New Roman" w:cs="Times New Roman"/>
                <w:b w:val="0"/>
                <w:bCs w:val="0"/>
                <w:i w:val="0"/>
                <w:iCs w:val="0"/>
                <w:color w:val="auto"/>
                <w:sz w:val="24"/>
                <w:szCs w:val="24"/>
                <w:highlight w:val="none"/>
                <w:u w:val="none" w:color="auto"/>
                <w:lang w:eastAsia="zh-CN"/>
              </w:rPr>
              <w:t>kg/m</w:t>
            </w:r>
            <w:r>
              <w:rPr>
                <w:rFonts w:hint="default" w:ascii="Times New Roman" w:hAnsi="Times New Roman" w:cs="Times New Roman"/>
                <w:b w:val="0"/>
                <w:bCs w:val="0"/>
                <w:i w:val="0"/>
                <w:iCs w:val="0"/>
                <w:color w:val="auto"/>
                <w:sz w:val="24"/>
                <w:szCs w:val="24"/>
                <w:highlight w:val="none"/>
                <w:u w:val="none" w:color="auto"/>
                <w:vertAlign w:val="superscript"/>
                <w:lang w:eastAsia="zh-CN"/>
              </w:rPr>
              <w:t>2</w:t>
            </w:r>
            <w:r>
              <w:rPr>
                <w:rFonts w:hint="eastAsia" w:ascii="Times New Roman" w:hAnsi="Times New Roman" w:cs="Times New Roman"/>
                <w:b w:val="0"/>
                <w:bCs w:val="0"/>
                <w:i w:val="0"/>
                <w:iCs w:val="0"/>
                <w:color w:val="auto"/>
                <w:sz w:val="24"/>
                <w:szCs w:val="24"/>
                <w:highlight w:val="none"/>
                <w:u w:val="none" w:color="auto"/>
                <w:lang w:eastAsia="zh-CN"/>
              </w:rPr>
              <w:t>，</w:t>
            </w:r>
            <w:r>
              <w:rPr>
                <w:rFonts w:hint="default" w:ascii="Times New Roman" w:hAnsi="Times New Roman" w:cs="Times New Roman"/>
                <w:b w:val="0"/>
                <w:bCs w:val="0"/>
                <w:i w:val="0"/>
                <w:iCs w:val="0"/>
                <w:color w:val="auto"/>
                <w:sz w:val="24"/>
                <w:szCs w:val="24"/>
                <w:highlight w:val="none"/>
                <w:u w:val="none" w:color="auto"/>
                <w:lang w:eastAsia="zh-CN"/>
              </w:rPr>
              <w:t>计算得装卸扬尘产生量为</w:t>
            </w:r>
            <w:r>
              <w:rPr>
                <w:rFonts w:hint="eastAsia" w:cs="Times New Roman"/>
                <w:b w:val="0"/>
                <w:bCs w:val="0"/>
                <w:i w:val="0"/>
                <w:iCs w:val="0"/>
                <w:color w:val="auto"/>
                <w:sz w:val="24"/>
                <w:szCs w:val="24"/>
                <w:highlight w:val="none"/>
                <w:u w:val="none" w:color="auto"/>
                <w:lang w:val="en-US" w:eastAsia="zh-CN"/>
              </w:rPr>
              <w:t>148.54</w:t>
            </w:r>
            <w:r>
              <w:rPr>
                <w:rFonts w:hint="default" w:ascii="Times New Roman" w:hAnsi="Times New Roman" w:cs="Times New Roman"/>
                <w:b w:val="0"/>
                <w:bCs w:val="0"/>
                <w:i w:val="0"/>
                <w:iCs w:val="0"/>
                <w:color w:val="auto"/>
                <w:sz w:val="24"/>
                <w:szCs w:val="24"/>
                <w:highlight w:val="none"/>
                <w:u w:val="none" w:color="auto"/>
                <w:lang w:eastAsia="zh-CN"/>
              </w:rPr>
              <w:t>t/a。</w:t>
            </w:r>
          </w:p>
          <w:p w14:paraId="64E5463F">
            <w:pPr>
              <w:spacing w:line="360" w:lineRule="auto"/>
              <w:ind w:firstLine="480" w:firstLineChars="200"/>
              <w:rPr>
                <w:rFonts w:hint="eastAsia" w:ascii="宋体" w:hAnsi="宋体" w:cs="宋体"/>
                <w:b w:val="0"/>
                <w:bCs w:val="0"/>
                <w:i w:val="0"/>
                <w:iCs w:val="0"/>
                <w:color w:val="auto"/>
                <w:sz w:val="24"/>
                <w:szCs w:val="24"/>
                <w:highlight w:val="none"/>
                <w:u w:val="none" w:color="auto"/>
                <w:lang w:eastAsia="zh-CN"/>
              </w:rPr>
            </w:pPr>
            <w:r>
              <w:rPr>
                <w:rFonts w:hint="eastAsia" w:ascii="宋体" w:hAnsi="宋体" w:cs="宋体"/>
                <w:b w:val="0"/>
                <w:bCs w:val="0"/>
                <w:i w:val="0"/>
                <w:iCs w:val="0"/>
                <w:color w:val="auto"/>
                <w:sz w:val="24"/>
                <w:szCs w:val="24"/>
                <w:highlight w:val="none"/>
                <w:u w:val="none" w:color="auto"/>
                <w:lang w:eastAsia="zh-CN"/>
              </w:rPr>
              <w:t>②</w:t>
            </w:r>
            <w:r>
              <w:rPr>
                <w:rFonts w:hint="eastAsia" w:cs="Times New Roman"/>
                <w:i w:val="0"/>
                <w:iCs w:val="0"/>
                <w:color w:val="auto"/>
                <w:sz w:val="24"/>
                <w:szCs w:val="24"/>
                <w:highlight w:val="none"/>
                <w:u w:val="none" w:color="auto"/>
                <w:lang w:eastAsia="zh-CN"/>
              </w:rPr>
              <w:t>料棚</w:t>
            </w:r>
            <w:r>
              <w:rPr>
                <w:rFonts w:ascii="Times New Roman" w:hAnsi="Times New Roman" w:eastAsia="宋体" w:cs="Times New Roman"/>
                <w:i w:val="0"/>
                <w:iCs w:val="0"/>
                <w:color w:val="auto"/>
                <w:sz w:val="24"/>
                <w:szCs w:val="24"/>
                <w:highlight w:val="none"/>
                <w:u w:val="none" w:color="auto"/>
              </w:rPr>
              <w:t>粉尘</w:t>
            </w:r>
          </w:p>
          <w:p w14:paraId="61CB10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val="0"/>
                <w:bCs w:val="0"/>
                <w:i w:val="0"/>
                <w:iCs w:val="0"/>
                <w:color w:val="auto"/>
                <w:sz w:val="24"/>
                <w:szCs w:val="24"/>
                <w:highlight w:val="none"/>
                <w:u w:val="none" w:color="auto"/>
                <w:lang w:eastAsia="zh-CN"/>
              </w:rPr>
            </w:pPr>
            <w:r>
              <w:rPr>
                <w:rFonts w:hint="eastAsia" w:cs="Times New Roman"/>
                <w:b w:val="0"/>
                <w:bCs w:val="0"/>
                <w:i w:val="0"/>
                <w:iCs w:val="0"/>
                <w:color w:val="auto"/>
                <w:sz w:val="24"/>
                <w:szCs w:val="24"/>
                <w:highlight w:val="none"/>
                <w:u w:val="none" w:color="auto"/>
                <w:lang w:eastAsia="zh-CN"/>
              </w:rPr>
              <w:t>料棚</w:t>
            </w:r>
            <w:r>
              <w:rPr>
                <w:rFonts w:hint="default" w:ascii="Times New Roman" w:hAnsi="Times New Roman" w:cs="Times New Roman"/>
                <w:b w:val="0"/>
                <w:bCs w:val="0"/>
                <w:i w:val="0"/>
                <w:iCs w:val="0"/>
                <w:color w:val="auto"/>
                <w:sz w:val="24"/>
                <w:szCs w:val="24"/>
                <w:highlight w:val="none"/>
                <w:u w:val="none" w:color="auto"/>
                <w:lang w:eastAsia="zh-CN"/>
              </w:rPr>
              <w:t>占地面积</w:t>
            </w:r>
            <w:r>
              <w:rPr>
                <w:rFonts w:hint="eastAsia" w:cs="Times New Roman"/>
                <w:b w:val="0"/>
                <w:bCs w:val="0"/>
                <w:i w:val="0"/>
                <w:iCs w:val="0"/>
                <w:color w:val="auto"/>
                <w:sz w:val="24"/>
                <w:szCs w:val="24"/>
                <w:highlight w:val="none"/>
                <w:u w:val="none" w:color="auto"/>
                <w:lang w:val="en-US" w:eastAsia="zh-CN"/>
              </w:rPr>
              <w:t>1500</w:t>
            </w:r>
            <w:r>
              <w:rPr>
                <w:rFonts w:hint="default" w:ascii="Times New Roman" w:hAnsi="Times New Roman" w:cs="Times New Roman"/>
                <w:b w:val="0"/>
                <w:bCs w:val="0"/>
                <w:i w:val="0"/>
                <w:iCs w:val="0"/>
                <w:color w:val="auto"/>
                <w:sz w:val="24"/>
                <w:szCs w:val="24"/>
                <w:highlight w:val="none"/>
                <w:u w:val="none" w:color="auto"/>
                <w:lang w:eastAsia="zh-CN"/>
              </w:rPr>
              <w:t>m</w:t>
            </w:r>
            <w:r>
              <w:rPr>
                <w:rFonts w:hint="default" w:ascii="Times New Roman" w:hAnsi="Times New Roman" w:cs="Times New Roman"/>
                <w:b w:val="0"/>
                <w:bCs w:val="0"/>
                <w:i w:val="0"/>
                <w:iCs w:val="0"/>
                <w:color w:val="auto"/>
                <w:sz w:val="24"/>
                <w:szCs w:val="24"/>
                <w:highlight w:val="none"/>
                <w:u w:val="none" w:color="auto"/>
                <w:vertAlign w:val="superscript"/>
                <w:lang w:eastAsia="zh-CN"/>
              </w:rPr>
              <w:t>2</w:t>
            </w:r>
            <w:r>
              <w:rPr>
                <w:rFonts w:hint="default" w:ascii="Times New Roman" w:hAnsi="Times New Roman" w:cs="Times New Roman"/>
                <w:b w:val="0"/>
                <w:bCs w:val="0"/>
                <w:i w:val="0"/>
                <w:iCs w:val="0"/>
                <w:color w:val="auto"/>
                <w:sz w:val="24"/>
                <w:szCs w:val="24"/>
                <w:highlight w:val="none"/>
                <w:u w:val="none" w:color="auto"/>
                <w:lang w:eastAsia="zh-CN"/>
              </w:rPr>
              <w:t>，物料类型参照各种石灰石产品，查得风蚀扬尘概化系数E</w:t>
            </w:r>
            <w:r>
              <w:rPr>
                <w:rFonts w:hint="default" w:ascii="Times New Roman" w:hAnsi="Times New Roman" w:cs="Times New Roman"/>
                <w:b w:val="0"/>
                <w:bCs w:val="0"/>
                <w:i w:val="0"/>
                <w:iCs w:val="0"/>
                <w:color w:val="auto"/>
                <w:sz w:val="24"/>
                <w:szCs w:val="24"/>
                <w:highlight w:val="none"/>
                <w:u w:val="none" w:color="auto"/>
                <w:vertAlign w:val="subscript"/>
                <w:lang w:eastAsia="zh-CN"/>
              </w:rPr>
              <w:t>f</w:t>
            </w:r>
            <w:r>
              <w:rPr>
                <w:rFonts w:hint="default" w:ascii="Times New Roman" w:hAnsi="Times New Roman" w:cs="Times New Roman"/>
                <w:b w:val="0"/>
                <w:bCs w:val="0"/>
                <w:i w:val="0"/>
                <w:iCs w:val="0"/>
                <w:color w:val="auto"/>
                <w:sz w:val="24"/>
                <w:szCs w:val="24"/>
                <w:highlight w:val="none"/>
                <w:u w:val="none" w:color="auto"/>
                <w:lang w:eastAsia="zh-CN"/>
              </w:rPr>
              <w:t>为3.6062，计算得风蚀扬尘产生量为</w:t>
            </w:r>
            <w:r>
              <w:rPr>
                <w:rFonts w:hint="eastAsia" w:cs="Times New Roman"/>
                <w:b w:val="0"/>
                <w:bCs w:val="0"/>
                <w:i w:val="0"/>
                <w:iCs w:val="0"/>
                <w:color w:val="auto"/>
                <w:sz w:val="24"/>
                <w:szCs w:val="24"/>
                <w:highlight w:val="none"/>
                <w:u w:val="none" w:color="auto"/>
                <w:lang w:val="en-US" w:eastAsia="zh-CN"/>
              </w:rPr>
              <w:t>10.82</w:t>
            </w:r>
            <w:r>
              <w:rPr>
                <w:rFonts w:hint="default" w:ascii="Times New Roman" w:hAnsi="Times New Roman" w:cs="Times New Roman"/>
                <w:b w:val="0"/>
                <w:bCs w:val="0"/>
                <w:i w:val="0"/>
                <w:iCs w:val="0"/>
                <w:color w:val="auto"/>
                <w:sz w:val="24"/>
                <w:szCs w:val="24"/>
                <w:highlight w:val="none"/>
                <w:u w:val="none" w:color="auto"/>
                <w:lang w:eastAsia="zh-CN"/>
              </w:rPr>
              <w:t>t/a。</w:t>
            </w:r>
          </w:p>
          <w:p w14:paraId="56F5C4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val="0"/>
                <w:bCs w:val="0"/>
                <w:i w:val="0"/>
                <w:iCs w:val="0"/>
                <w:color w:val="auto"/>
                <w:sz w:val="24"/>
                <w:szCs w:val="24"/>
                <w:highlight w:val="none"/>
                <w:u w:val="none" w:color="auto"/>
                <w:lang w:eastAsia="zh-CN"/>
              </w:rPr>
            </w:pPr>
            <w:r>
              <w:rPr>
                <w:rFonts w:hint="default" w:ascii="Times New Roman" w:hAnsi="Times New Roman" w:cs="Times New Roman"/>
                <w:b w:val="0"/>
                <w:bCs w:val="0"/>
                <w:i w:val="0"/>
                <w:iCs w:val="0"/>
                <w:color w:val="auto"/>
                <w:sz w:val="24"/>
                <w:szCs w:val="24"/>
                <w:highlight w:val="none"/>
                <w:u w:val="none" w:color="auto"/>
                <w:lang w:eastAsia="zh-CN"/>
              </w:rPr>
              <w:t>综上，</w:t>
            </w:r>
            <w:r>
              <w:rPr>
                <w:rFonts w:hint="eastAsia" w:ascii="Times New Roman" w:hAnsi="Times New Roman" w:cs="Times New Roman"/>
                <w:b w:val="0"/>
                <w:bCs w:val="0"/>
                <w:i w:val="0"/>
                <w:iCs w:val="0"/>
                <w:color w:val="auto"/>
                <w:sz w:val="24"/>
                <w:szCs w:val="24"/>
                <w:highlight w:val="none"/>
                <w:u w:val="none" w:color="auto"/>
                <w:lang w:eastAsia="zh-CN"/>
              </w:rPr>
              <w:t>骨</w:t>
            </w:r>
            <w:r>
              <w:rPr>
                <w:rFonts w:hint="default" w:ascii="Times New Roman" w:hAnsi="Times New Roman" w:cs="Times New Roman"/>
                <w:b w:val="0"/>
                <w:bCs w:val="0"/>
                <w:i w:val="0"/>
                <w:iCs w:val="0"/>
                <w:color w:val="auto"/>
                <w:sz w:val="24"/>
                <w:szCs w:val="24"/>
                <w:highlight w:val="none"/>
                <w:u w:val="none" w:color="auto"/>
                <w:lang w:eastAsia="zh-CN"/>
              </w:rPr>
              <w:t>料装卸和堆存环节无组织</w:t>
            </w:r>
            <w:r>
              <w:rPr>
                <w:rFonts w:hint="eastAsia" w:ascii="Times New Roman" w:hAnsi="Times New Roman" w:cs="Times New Roman"/>
                <w:b w:val="0"/>
                <w:bCs w:val="0"/>
                <w:i w:val="0"/>
                <w:iCs w:val="0"/>
                <w:color w:val="auto"/>
                <w:sz w:val="24"/>
                <w:szCs w:val="24"/>
                <w:highlight w:val="none"/>
                <w:u w:val="none" w:color="auto"/>
                <w:lang w:eastAsia="zh-CN"/>
              </w:rPr>
              <w:t>粉尘</w:t>
            </w:r>
            <w:r>
              <w:rPr>
                <w:rFonts w:hint="default" w:ascii="Times New Roman" w:hAnsi="Times New Roman" w:cs="Times New Roman"/>
                <w:b w:val="0"/>
                <w:bCs w:val="0"/>
                <w:i w:val="0"/>
                <w:iCs w:val="0"/>
                <w:color w:val="auto"/>
                <w:sz w:val="24"/>
                <w:szCs w:val="24"/>
                <w:highlight w:val="none"/>
                <w:u w:val="none" w:color="auto"/>
                <w:lang w:eastAsia="zh-CN"/>
              </w:rPr>
              <w:t>产生量为</w:t>
            </w:r>
            <w:r>
              <w:rPr>
                <w:rFonts w:hint="eastAsia" w:cs="Times New Roman"/>
                <w:b w:val="0"/>
                <w:bCs w:val="0"/>
                <w:i w:val="0"/>
                <w:iCs w:val="0"/>
                <w:color w:val="auto"/>
                <w:sz w:val="24"/>
                <w:szCs w:val="24"/>
                <w:highlight w:val="none"/>
                <w:u w:val="none" w:color="auto"/>
                <w:lang w:val="en-US" w:eastAsia="zh-CN"/>
              </w:rPr>
              <w:t>159.36</w:t>
            </w:r>
            <w:r>
              <w:rPr>
                <w:rFonts w:hint="default" w:ascii="Times New Roman" w:hAnsi="Times New Roman" w:cs="Times New Roman"/>
                <w:b w:val="0"/>
                <w:bCs w:val="0"/>
                <w:i w:val="0"/>
                <w:iCs w:val="0"/>
                <w:color w:val="auto"/>
                <w:sz w:val="24"/>
                <w:szCs w:val="24"/>
                <w:highlight w:val="none"/>
                <w:u w:val="none" w:color="auto"/>
                <w:lang w:eastAsia="zh-CN"/>
              </w:rPr>
              <w:t>t/a。</w:t>
            </w:r>
          </w:p>
          <w:p w14:paraId="3FD482D9">
            <w:pPr>
              <w:spacing w:line="360" w:lineRule="auto"/>
              <w:ind w:firstLine="480" w:firstLineChars="200"/>
              <w:rPr>
                <w:rFonts w:hint="default" w:ascii="Times New Roman" w:hAnsi="Times New Roman" w:cs="Times New Roman"/>
                <w:b w:val="0"/>
                <w:bCs w:val="0"/>
                <w:i w:val="0"/>
                <w:iCs w:val="0"/>
                <w:sz w:val="24"/>
                <w:szCs w:val="24"/>
                <w:highlight w:val="none"/>
                <w:u w:val="none" w:color="auto"/>
                <w:lang w:eastAsia="zh-CN"/>
              </w:rPr>
            </w:pPr>
            <w:r>
              <w:rPr>
                <w:rFonts w:hint="default" w:ascii="Times New Roman" w:hAnsi="Times New Roman" w:cs="Times New Roman"/>
                <w:b w:val="0"/>
                <w:bCs w:val="0"/>
                <w:i w:val="0"/>
                <w:iCs w:val="0"/>
                <w:sz w:val="24"/>
                <w:szCs w:val="24"/>
                <w:highlight w:val="none"/>
                <w:u w:val="none" w:color="auto"/>
                <w:lang w:eastAsia="zh-CN"/>
              </w:rPr>
              <w:t>根据《排放源统计调查产排污核算方法和系数手册》中固体物料堆存颗粒物产排污核算系数手册，颗粒物排放量核算公式如下：</w:t>
            </w:r>
          </w:p>
          <w:p w14:paraId="5512BBD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b w:val="0"/>
                <w:bCs w:val="0"/>
                <w:i w:val="0"/>
                <w:iCs w:val="0"/>
                <w:sz w:val="24"/>
                <w:szCs w:val="24"/>
                <w:highlight w:val="none"/>
                <w:u w:val="none" w:color="auto"/>
                <w:lang w:eastAsia="zh-CN"/>
              </w:rPr>
            </w:pPr>
            <w:r>
              <w:rPr>
                <w:rFonts w:hint="default" w:ascii="Times New Roman" w:hAnsi="Times New Roman" w:cs="Times New Roman"/>
                <w:b w:val="0"/>
                <w:bCs w:val="0"/>
                <w:i w:val="0"/>
                <w:iCs w:val="0"/>
                <w:sz w:val="24"/>
                <w:szCs w:val="24"/>
                <w:highlight w:val="none"/>
                <w:u w:val="none" w:color="auto"/>
                <w:lang w:eastAsia="zh-CN"/>
              </w:rPr>
              <w:t></w:t>
            </w:r>
            <w:r>
              <w:rPr>
                <w:highlight w:val="none"/>
                <w:u w:val="none" w:color="auto"/>
              </w:rPr>
              <w:drawing>
                <wp:inline distT="0" distB="0" distL="114300" distR="114300">
                  <wp:extent cx="2625090" cy="307975"/>
                  <wp:effectExtent l="0" t="0" r="3810" b="15875"/>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15"/>
                          <a:stretch>
                            <a:fillRect/>
                          </a:stretch>
                        </pic:blipFill>
                        <pic:spPr>
                          <a:xfrm>
                            <a:off x="0" y="0"/>
                            <a:ext cx="2625090" cy="307975"/>
                          </a:xfrm>
                          <a:prstGeom prst="rect">
                            <a:avLst/>
                          </a:prstGeom>
                          <a:noFill/>
                          <a:ln>
                            <a:noFill/>
                          </a:ln>
                        </pic:spPr>
                      </pic:pic>
                    </a:graphicData>
                  </a:graphic>
                </wp:inline>
              </w:drawing>
            </w:r>
            <w:r>
              <w:rPr>
                <w:rFonts w:hint="default" w:ascii="Times New Roman" w:hAnsi="Times New Roman" w:cs="Times New Roman"/>
                <w:b w:val="0"/>
                <w:bCs w:val="0"/>
                <w:i w:val="0"/>
                <w:iCs w:val="0"/>
                <w:sz w:val="24"/>
                <w:szCs w:val="24"/>
                <w:highlight w:val="none"/>
                <w:u w:val="none" w:color="auto"/>
                <w:lang w:eastAsia="zh-CN"/>
              </w:rPr>
              <w:t></w:t>
            </w:r>
          </w:p>
          <w:p w14:paraId="5E33EF42">
            <w:pPr>
              <w:spacing w:line="360" w:lineRule="auto"/>
              <w:ind w:firstLine="480" w:firstLineChars="200"/>
              <w:rPr>
                <w:rFonts w:hint="default" w:ascii="Times New Roman" w:hAnsi="Times New Roman" w:cs="Times New Roman"/>
                <w:b w:val="0"/>
                <w:bCs w:val="0"/>
                <w:i w:val="0"/>
                <w:iCs w:val="0"/>
                <w:sz w:val="24"/>
                <w:szCs w:val="24"/>
                <w:highlight w:val="none"/>
                <w:u w:val="none" w:color="auto"/>
                <w:lang w:eastAsia="zh-CN"/>
              </w:rPr>
            </w:pPr>
            <w:r>
              <w:rPr>
                <w:rFonts w:hint="default" w:ascii="Times New Roman" w:hAnsi="Times New Roman" w:cs="Times New Roman"/>
                <w:b w:val="0"/>
                <w:bCs w:val="0"/>
                <w:i w:val="0"/>
                <w:iCs w:val="0"/>
                <w:sz w:val="24"/>
                <w:szCs w:val="24"/>
                <w:highlight w:val="none"/>
                <w:u w:val="none" w:color="auto"/>
                <w:lang w:eastAsia="zh-CN"/>
              </w:rPr>
              <w:t>式中：P—颗粒物产生量，t/a；</w:t>
            </w:r>
          </w:p>
          <w:p w14:paraId="5EFE1D65">
            <w:pPr>
              <w:spacing w:line="360" w:lineRule="auto"/>
              <w:ind w:firstLine="1200" w:firstLineChars="500"/>
              <w:rPr>
                <w:rFonts w:hint="default" w:ascii="Times New Roman" w:hAnsi="Times New Roman" w:cs="Times New Roman"/>
                <w:b w:val="0"/>
                <w:bCs w:val="0"/>
                <w:i w:val="0"/>
                <w:iCs w:val="0"/>
                <w:sz w:val="24"/>
                <w:szCs w:val="24"/>
                <w:highlight w:val="none"/>
                <w:u w:val="none" w:color="auto"/>
                <w:lang w:eastAsia="zh-CN"/>
              </w:rPr>
            </w:pPr>
            <w:r>
              <w:rPr>
                <w:rFonts w:hint="default" w:ascii="Times New Roman" w:hAnsi="Times New Roman" w:cs="Times New Roman"/>
                <w:b w:val="0"/>
                <w:bCs w:val="0"/>
                <w:i w:val="0"/>
                <w:iCs w:val="0"/>
                <w:sz w:val="24"/>
                <w:szCs w:val="24"/>
                <w:highlight w:val="none"/>
                <w:u w:val="none" w:color="auto"/>
                <w:lang w:eastAsia="zh-CN"/>
              </w:rPr>
              <w:t>Uc—颗粒物排放量，t/a；</w:t>
            </w:r>
          </w:p>
          <w:p w14:paraId="17F258B4">
            <w:pPr>
              <w:spacing w:line="360" w:lineRule="auto"/>
              <w:ind w:firstLine="1200" w:firstLineChars="500"/>
              <w:rPr>
                <w:rFonts w:hint="default" w:ascii="Times New Roman" w:hAnsi="Times New Roman" w:cs="Times New Roman"/>
                <w:b w:val="0"/>
                <w:bCs w:val="0"/>
                <w:i w:val="0"/>
                <w:iCs w:val="0"/>
                <w:sz w:val="24"/>
                <w:szCs w:val="24"/>
                <w:highlight w:val="none"/>
                <w:u w:val="none" w:color="auto"/>
                <w:lang w:eastAsia="zh-CN"/>
              </w:rPr>
            </w:pPr>
            <w:r>
              <w:rPr>
                <w:rFonts w:hint="default" w:ascii="Times New Roman" w:hAnsi="Times New Roman" w:cs="Times New Roman"/>
                <w:b w:val="0"/>
                <w:bCs w:val="0"/>
                <w:i w:val="0"/>
                <w:iCs w:val="0"/>
                <w:sz w:val="24"/>
                <w:szCs w:val="24"/>
                <w:highlight w:val="none"/>
                <w:u w:val="none" w:color="auto"/>
                <w:lang w:eastAsia="zh-CN"/>
              </w:rPr>
              <w:t>Cm—颗粒物控制措施控制效率，%；</w:t>
            </w:r>
          </w:p>
          <w:p w14:paraId="57DAD289">
            <w:pPr>
              <w:spacing w:line="360" w:lineRule="auto"/>
              <w:ind w:firstLine="1200" w:firstLineChars="500"/>
              <w:rPr>
                <w:rFonts w:hint="default" w:ascii="Times New Roman" w:hAnsi="Times New Roman" w:cs="Times New Roman"/>
                <w:b w:val="0"/>
                <w:bCs w:val="0"/>
                <w:i w:val="0"/>
                <w:iCs w:val="0"/>
                <w:sz w:val="24"/>
                <w:szCs w:val="24"/>
                <w:highlight w:val="none"/>
                <w:u w:val="none" w:color="auto"/>
                <w:lang w:eastAsia="zh-CN"/>
              </w:rPr>
            </w:pPr>
            <w:r>
              <w:rPr>
                <w:rFonts w:hint="default" w:ascii="Times New Roman" w:hAnsi="Times New Roman" w:cs="Times New Roman"/>
                <w:b w:val="0"/>
                <w:bCs w:val="0"/>
                <w:i w:val="0"/>
                <w:iCs w:val="0"/>
                <w:sz w:val="24"/>
                <w:szCs w:val="24"/>
                <w:highlight w:val="none"/>
                <w:u w:val="none" w:color="auto"/>
                <w:lang w:eastAsia="zh-CN"/>
              </w:rPr>
              <w:t>Tm—堆场类型控制效率，%。</w:t>
            </w:r>
          </w:p>
          <w:p w14:paraId="58BFA931">
            <w:pPr>
              <w:spacing w:line="360" w:lineRule="auto"/>
              <w:ind w:firstLine="480" w:firstLineChars="200"/>
              <w:rPr>
                <w:i w:val="0"/>
                <w:iCs w:val="0"/>
                <w:color w:val="auto"/>
                <w:sz w:val="24"/>
                <w:szCs w:val="24"/>
                <w:highlight w:val="none"/>
                <w:u w:val="none" w:color="auto"/>
              </w:rPr>
            </w:pPr>
            <w:r>
              <w:rPr>
                <w:rFonts w:hint="default" w:ascii="Times New Roman" w:hAnsi="Times New Roman" w:cs="Times New Roman"/>
                <w:b w:val="0"/>
                <w:bCs w:val="0"/>
                <w:i w:val="0"/>
                <w:iCs w:val="0"/>
                <w:color w:val="auto"/>
                <w:sz w:val="24"/>
                <w:szCs w:val="24"/>
                <w:highlight w:val="none"/>
                <w:u w:val="none" w:color="auto"/>
                <w:lang w:eastAsia="zh-CN"/>
              </w:rPr>
              <w:t>本厂区中</w:t>
            </w:r>
            <w:r>
              <w:rPr>
                <w:rFonts w:hint="eastAsia" w:cs="Times New Roman"/>
                <w:b w:val="0"/>
                <w:bCs w:val="0"/>
                <w:i w:val="0"/>
                <w:iCs w:val="0"/>
                <w:color w:val="auto"/>
                <w:sz w:val="24"/>
                <w:szCs w:val="24"/>
                <w:highlight w:val="none"/>
                <w:u w:val="none" w:color="auto"/>
                <w:lang w:eastAsia="zh-CN"/>
              </w:rPr>
              <w:t>料棚</w:t>
            </w:r>
            <w:r>
              <w:rPr>
                <w:rFonts w:hint="default" w:ascii="Times New Roman" w:hAnsi="Times New Roman" w:cs="Times New Roman"/>
                <w:b w:val="0"/>
                <w:bCs w:val="0"/>
                <w:i w:val="0"/>
                <w:iCs w:val="0"/>
                <w:color w:val="auto"/>
                <w:sz w:val="24"/>
                <w:szCs w:val="24"/>
                <w:highlight w:val="none"/>
                <w:u w:val="none" w:color="auto"/>
                <w:lang w:eastAsia="zh-CN"/>
              </w:rPr>
              <w:t>采取</w:t>
            </w:r>
            <w:r>
              <w:rPr>
                <w:rFonts w:hint="eastAsia" w:cs="Times New Roman"/>
                <w:b w:val="0"/>
                <w:bCs w:val="0"/>
                <w:i w:val="0"/>
                <w:iCs w:val="0"/>
                <w:color w:val="auto"/>
                <w:sz w:val="24"/>
                <w:szCs w:val="24"/>
                <w:highlight w:val="none"/>
                <w:u w:val="none" w:color="auto"/>
                <w:lang w:eastAsia="zh-CN"/>
              </w:rPr>
              <w:t>半封闭</w:t>
            </w:r>
            <w:r>
              <w:rPr>
                <w:rFonts w:hint="eastAsia" w:cs="Times New Roman"/>
                <w:b w:val="0"/>
                <w:bCs w:val="0"/>
                <w:i w:val="0"/>
                <w:iCs w:val="0"/>
                <w:color w:val="auto"/>
                <w:sz w:val="24"/>
                <w:szCs w:val="24"/>
                <w:highlight w:val="none"/>
                <w:u w:val="none" w:color="auto"/>
                <w:lang w:val="en-US" w:eastAsia="zh-CN"/>
              </w:rPr>
              <w:t>彩钢棚</w:t>
            </w:r>
            <w:r>
              <w:rPr>
                <w:rFonts w:hint="default" w:ascii="Times New Roman" w:hAnsi="Times New Roman" w:cs="Times New Roman"/>
                <w:b w:val="0"/>
                <w:bCs w:val="0"/>
                <w:i w:val="0"/>
                <w:iCs w:val="0"/>
                <w:color w:val="auto"/>
                <w:sz w:val="24"/>
                <w:szCs w:val="24"/>
                <w:highlight w:val="none"/>
                <w:u w:val="none" w:color="auto"/>
                <w:lang w:eastAsia="zh-CN"/>
              </w:rPr>
              <w:t>和洒水降尘控制措施，</w:t>
            </w:r>
            <w:r>
              <w:rPr>
                <w:rFonts w:hint="eastAsia" w:cs="Times New Roman"/>
                <w:b w:val="0"/>
                <w:bCs w:val="0"/>
                <w:i w:val="0"/>
                <w:iCs w:val="0"/>
                <w:color w:val="auto"/>
                <w:sz w:val="24"/>
                <w:szCs w:val="24"/>
                <w:highlight w:val="none"/>
                <w:u w:val="none" w:color="auto"/>
                <w:lang w:eastAsia="zh-CN"/>
              </w:rPr>
              <w:t>根据</w:t>
            </w:r>
            <w:r>
              <w:rPr>
                <w:rFonts w:hint="default" w:ascii="Times New Roman" w:hAnsi="Times New Roman" w:cs="Times New Roman"/>
                <w:b w:val="0"/>
                <w:bCs w:val="0"/>
                <w:i w:val="0"/>
                <w:iCs w:val="0"/>
                <w:color w:val="auto"/>
                <w:sz w:val="24"/>
                <w:szCs w:val="24"/>
                <w:highlight w:val="none"/>
                <w:u w:val="none" w:color="auto"/>
                <w:lang w:eastAsia="zh-CN"/>
              </w:rPr>
              <w:t>固体物料堆存颗粒物产排污核算系数手册</w:t>
            </w:r>
            <w:r>
              <w:rPr>
                <w:rFonts w:hint="eastAsia" w:cs="Times New Roman"/>
                <w:b w:val="0"/>
                <w:bCs w:val="0"/>
                <w:i w:val="0"/>
                <w:iCs w:val="0"/>
                <w:color w:val="auto"/>
                <w:sz w:val="24"/>
                <w:szCs w:val="24"/>
                <w:highlight w:val="none"/>
                <w:u w:val="none" w:color="auto"/>
                <w:lang w:eastAsia="zh-CN"/>
              </w:rPr>
              <w:t>附录</w:t>
            </w:r>
            <w:r>
              <w:rPr>
                <w:rFonts w:hint="eastAsia" w:cs="Times New Roman"/>
                <w:b w:val="0"/>
                <w:bCs w:val="0"/>
                <w:i w:val="0"/>
                <w:iCs w:val="0"/>
                <w:color w:val="auto"/>
                <w:sz w:val="24"/>
                <w:szCs w:val="24"/>
                <w:highlight w:val="none"/>
                <w:u w:val="none" w:color="auto"/>
                <w:lang w:val="en-US" w:eastAsia="zh-CN"/>
              </w:rPr>
              <w:t>，</w:t>
            </w:r>
            <w:r>
              <w:rPr>
                <w:rFonts w:hint="default" w:ascii="Times New Roman" w:hAnsi="Times New Roman" w:cs="Times New Roman"/>
                <w:b w:val="0"/>
                <w:bCs w:val="0"/>
                <w:i w:val="0"/>
                <w:iCs w:val="0"/>
                <w:color w:val="auto"/>
                <w:sz w:val="24"/>
                <w:szCs w:val="24"/>
                <w:highlight w:val="none"/>
                <w:u w:val="none" w:color="auto"/>
                <w:lang w:eastAsia="zh-CN"/>
              </w:rPr>
              <w:t>洒水控制效率为</w:t>
            </w:r>
            <w:r>
              <w:rPr>
                <w:rFonts w:hint="eastAsia" w:ascii="Times New Roman" w:hAnsi="Times New Roman" w:cs="Times New Roman"/>
                <w:b w:val="0"/>
                <w:bCs w:val="0"/>
                <w:i w:val="0"/>
                <w:iCs w:val="0"/>
                <w:color w:val="auto"/>
                <w:sz w:val="24"/>
                <w:szCs w:val="24"/>
                <w:highlight w:val="none"/>
                <w:u w:val="none" w:color="auto"/>
                <w:lang w:val="en-US" w:eastAsia="zh-CN"/>
              </w:rPr>
              <w:t>74</w:t>
            </w:r>
            <w:r>
              <w:rPr>
                <w:rFonts w:hint="default" w:ascii="Times New Roman" w:hAnsi="Times New Roman" w:cs="Times New Roman"/>
                <w:b w:val="0"/>
                <w:bCs w:val="0"/>
                <w:i w:val="0"/>
                <w:iCs w:val="0"/>
                <w:color w:val="auto"/>
                <w:sz w:val="24"/>
                <w:szCs w:val="24"/>
                <w:highlight w:val="none"/>
                <w:u w:val="none" w:color="auto"/>
                <w:lang w:eastAsia="zh-CN"/>
              </w:rPr>
              <w:t>%，</w:t>
            </w:r>
            <w:r>
              <w:rPr>
                <w:rFonts w:hint="eastAsia" w:cs="Times New Roman"/>
                <w:b w:val="0"/>
                <w:bCs w:val="0"/>
                <w:i w:val="0"/>
                <w:iCs w:val="0"/>
                <w:color w:val="auto"/>
                <w:sz w:val="24"/>
                <w:szCs w:val="24"/>
                <w:highlight w:val="none"/>
                <w:u w:val="none" w:color="auto"/>
                <w:lang w:val="en-US" w:eastAsia="zh-CN"/>
              </w:rPr>
              <w:t>彩钢棚覆盖效率为60%，</w:t>
            </w:r>
            <w:r>
              <w:rPr>
                <w:rFonts w:hint="default" w:ascii="Times New Roman" w:hAnsi="Times New Roman" w:cs="Times New Roman"/>
                <w:b w:val="0"/>
                <w:bCs w:val="0"/>
                <w:i w:val="0"/>
                <w:iCs w:val="0"/>
                <w:color w:val="auto"/>
                <w:sz w:val="24"/>
                <w:szCs w:val="24"/>
                <w:highlight w:val="none"/>
                <w:u w:val="none" w:color="auto"/>
                <w:lang w:eastAsia="zh-CN"/>
              </w:rPr>
              <w:t>核算得到</w:t>
            </w:r>
            <w:r>
              <w:rPr>
                <w:rFonts w:hint="eastAsia" w:cs="Times New Roman"/>
                <w:b w:val="0"/>
                <w:bCs w:val="0"/>
                <w:i w:val="0"/>
                <w:iCs w:val="0"/>
                <w:color w:val="auto"/>
                <w:sz w:val="24"/>
                <w:szCs w:val="24"/>
                <w:highlight w:val="none"/>
                <w:u w:val="none" w:color="auto"/>
                <w:lang w:eastAsia="zh-CN"/>
              </w:rPr>
              <w:t>颗粒物</w:t>
            </w:r>
            <w:r>
              <w:rPr>
                <w:rFonts w:hint="eastAsia" w:ascii="Times New Roman" w:hAnsi="Times New Roman" w:cs="Times New Roman"/>
                <w:b w:val="0"/>
                <w:bCs w:val="0"/>
                <w:i w:val="0"/>
                <w:iCs w:val="0"/>
                <w:color w:val="auto"/>
                <w:sz w:val="24"/>
                <w:szCs w:val="24"/>
                <w:highlight w:val="none"/>
                <w:u w:val="none" w:color="auto"/>
                <w:lang w:eastAsia="zh-CN"/>
              </w:rPr>
              <w:t>无组织排放量为</w:t>
            </w:r>
            <w:r>
              <w:rPr>
                <w:rFonts w:hint="eastAsia" w:cs="Times New Roman"/>
                <w:b w:val="0"/>
                <w:bCs w:val="0"/>
                <w:i w:val="0"/>
                <w:iCs w:val="0"/>
                <w:color w:val="auto"/>
                <w:sz w:val="24"/>
                <w:szCs w:val="24"/>
                <w:highlight w:val="none"/>
                <w:u w:val="none" w:color="auto"/>
                <w:lang w:val="en-US" w:eastAsia="zh-CN"/>
              </w:rPr>
              <w:t>16.57t/a。</w:t>
            </w:r>
          </w:p>
          <w:p w14:paraId="708B4517">
            <w:pPr>
              <w:spacing w:line="360" w:lineRule="auto"/>
              <w:ind w:firstLine="480"/>
              <w:rPr>
                <w:i w:val="0"/>
                <w:iCs w:val="0"/>
                <w:color w:val="auto"/>
                <w:sz w:val="24"/>
                <w:szCs w:val="24"/>
                <w:highlight w:val="none"/>
                <w:u w:val="none" w:color="auto"/>
              </w:rPr>
            </w:pPr>
            <w:r>
              <w:rPr>
                <w:rFonts w:hint="eastAsia" w:ascii="宋体" w:hAnsi="宋体"/>
                <w:i w:val="0"/>
                <w:iCs w:val="0"/>
                <w:color w:val="auto"/>
                <w:sz w:val="24"/>
                <w:szCs w:val="24"/>
                <w:highlight w:val="none"/>
                <w:u w:val="none" w:color="auto"/>
                <w:lang w:eastAsia="zh-CN"/>
              </w:rPr>
              <w:t>（</w:t>
            </w:r>
            <w:r>
              <w:rPr>
                <w:rFonts w:hint="eastAsia" w:cs="Times New Roman"/>
                <w:i w:val="0"/>
                <w:iCs w:val="0"/>
                <w:color w:val="auto"/>
                <w:sz w:val="24"/>
                <w:szCs w:val="24"/>
                <w:highlight w:val="none"/>
                <w:u w:val="none" w:color="auto"/>
                <w:lang w:val="en-US" w:eastAsia="zh-CN"/>
              </w:rPr>
              <w:t>4</w:t>
            </w:r>
            <w:r>
              <w:rPr>
                <w:rFonts w:hint="eastAsia" w:ascii="宋体" w:hAnsi="宋体"/>
                <w:i w:val="0"/>
                <w:iCs w:val="0"/>
                <w:color w:val="auto"/>
                <w:sz w:val="24"/>
                <w:szCs w:val="24"/>
                <w:highlight w:val="none"/>
                <w:u w:val="none" w:color="auto"/>
                <w:lang w:eastAsia="zh-CN"/>
              </w:rPr>
              <w:t>）</w:t>
            </w:r>
            <w:r>
              <w:rPr>
                <w:rFonts w:hint="eastAsia"/>
                <w:i w:val="0"/>
                <w:iCs w:val="0"/>
                <w:color w:val="auto"/>
                <w:sz w:val="24"/>
                <w:szCs w:val="24"/>
                <w:highlight w:val="none"/>
                <w:u w:val="none" w:color="auto"/>
                <w:lang w:val="en-US" w:eastAsia="zh-CN"/>
              </w:rPr>
              <w:t>上</w:t>
            </w:r>
            <w:r>
              <w:rPr>
                <w:i w:val="0"/>
                <w:iCs w:val="0"/>
                <w:color w:val="auto"/>
                <w:sz w:val="24"/>
                <w:szCs w:val="24"/>
                <w:highlight w:val="none"/>
                <w:u w:val="none" w:color="auto"/>
              </w:rPr>
              <w:t>料粉尘</w:t>
            </w:r>
          </w:p>
          <w:p w14:paraId="17ACE475">
            <w:pPr>
              <w:adjustRightInd w:val="0"/>
              <w:spacing w:line="360" w:lineRule="auto"/>
              <w:ind w:firstLine="480" w:firstLineChars="200"/>
              <w:jc w:val="both"/>
              <w:rPr>
                <w:rFonts w:hint="eastAsia"/>
                <w:i w:val="0"/>
                <w:iCs w:val="0"/>
                <w:color w:val="auto"/>
                <w:sz w:val="24"/>
                <w:szCs w:val="24"/>
                <w:highlight w:val="none"/>
                <w:u w:val="none" w:color="auto"/>
              </w:rPr>
            </w:pPr>
            <w:r>
              <w:rPr>
                <w:i w:val="0"/>
                <w:iCs w:val="0"/>
                <w:color w:val="auto"/>
                <w:sz w:val="24"/>
                <w:szCs w:val="24"/>
                <w:highlight w:val="none"/>
                <w:u w:val="none" w:color="auto"/>
              </w:rPr>
              <w:t>本项目</w:t>
            </w:r>
            <w:r>
              <w:rPr>
                <w:rFonts w:hint="eastAsia"/>
                <w:i w:val="0"/>
                <w:iCs w:val="0"/>
                <w:color w:val="auto"/>
                <w:sz w:val="24"/>
                <w:szCs w:val="24"/>
                <w:highlight w:val="none"/>
                <w:u w:val="none" w:color="auto"/>
                <w:lang w:eastAsia="zh-CN"/>
              </w:rPr>
              <w:t>砂子、</w:t>
            </w:r>
            <w:r>
              <w:rPr>
                <w:i w:val="0"/>
                <w:iCs w:val="0"/>
                <w:color w:val="auto"/>
                <w:sz w:val="24"/>
                <w:szCs w:val="24"/>
                <w:highlight w:val="none"/>
                <w:u w:val="none" w:color="auto"/>
              </w:rPr>
              <w:t>碎石原料</w:t>
            </w:r>
            <w:r>
              <w:rPr>
                <w:rFonts w:hint="eastAsia"/>
                <w:i w:val="0"/>
                <w:iCs w:val="0"/>
                <w:color w:val="auto"/>
                <w:sz w:val="24"/>
                <w:szCs w:val="24"/>
                <w:highlight w:val="none"/>
                <w:u w:val="none" w:color="auto"/>
              </w:rPr>
              <w:t>采用铲车输送至皮带输送机进料口，利用输送皮带送至搅拌楼，</w:t>
            </w:r>
            <w:r>
              <w:rPr>
                <w:rFonts w:hint="eastAsia"/>
                <w:i w:val="0"/>
                <w:iCs w:val="0"/>
                <w:color w:val="auto"/>
                <w:sz w:val="24"/>
                <w:szCs w:val="24"/>
                <w:highlight w:val="none"/>
                <w:u w:val="none" w:color="auto"/>
                <w:lang w:eastAsia="zh-CN"/>
              </w:rPr>
              <w:t>皮带输送机封闭运输，</w:t>
            </w:r>
            <w:r>
              <w:rPr>
                <w:i w:val="0"/>
                <w:iCs w:val="0"/>
                <w:color w:val="auto"/>
                <w:sz w:val="24"/>
                <w:szCs w:val="24"/>
                <w:highlight w:val="none"/>
                <w:u w:val="none" w:color="auto"/>
              </w:rPr>
              <w:t>在</w:t>
            </w:r>
            <w:r>
              <w:rPr>
                <w:rFonts w:hint="eastAsia"/>
                <w:i w:val="0"/>
                <w:iCs w:val="0"/>
                <w:color w:val="auto"/>
                <w:sz w:val="24"/>
                <w:szCs w:val="24"/>
                <w:highlight w:val="none"/>
                <w:u w:val="none" w:color="auto"/>
                <w:lang w:eastAsia="zh-CN"/>
              </w:rPr>
              <w:t>砂子、</w:t>
            </w:r>
            <w:r>
              <w:rPr>
                <w:i w:val="0"/>
                <w:iCs w:val="0"/>
                <w:color w:val="auto"/>
                <w:sz w:val="24"/>
                <w:szCs w:val="24"/>
                <w:highlight w:val="none"/>
                <w:u w:val="none" w:color="auto"/>
              </w:rPr>
              <w:t>碎石原料投入过程中会产生一定量的粉尘，由于粉尘颗粒自身具有重力作用，绝大多数会沉降下来，根据《逸散性工业粉尘控制技术》中粒料加工厂送料工序逸散尘排放因子，砂和砾石送料逸散尘排放因子为0.0006kg/t（进料），</w:t>
            </w:r>
            <w:r>
              <w:rPr>
                <w:rFonts w:hint="eastAsia"/>
                <w:i w:val="0"/>
                <w:iCs w:val="0"/>
                <w:color w:val="auto"/>
                <w:sz w:val="24"/>
                <w:szCs w:val="24"/>
                <w:highlight w:val="none"/>
                <w:u w:val="none" w:color="auto"/>
              </w:rPr>
              <w:t>骨料进料量约为</w:t>
            </w:r>
            <w:r>
              <w:rPr>
                <w:rFonts w:hint="eastAsia" w:cs="Times New Roman"/>
                <w:b w:val="0"/>
                <w:bCs w:val="0"/>
                <w:i w:val="0"/>
                <w:iCs w:val="0"/>
                <w:color w:val="auto"/>
                <w:sz w:val="24"/>
                <w:szCs w:val="24"/>
                <w:highlight w:val="none"/>
                <w:u w:val="none" w:color="auto"/>
                <w:lang w:val="en-US" w:eastAsia="zh-CN"/>
              </w:rPr>
              <w:t>180120.311</w:t>
            </w:r>
            <w:r>
              <w:rPr>
                <w:rFonts w:hint="eastAsia"/>
                <w:i w:val="0"/>
                <w:iCs w:val="0"/>
                <w:color w:val="auto"/>
                <w:sz w:val="24"/>
                <w:szCs w:val="24"/>
                <w:highlight w:val="none"/>
                <w:u w:val="none" w:color="auto"/>
              </w:rPr>
              <w:t>t</w:t>
            </w:r>
            <w:r>
              <w:rPr>
                <w:i w:val="0"/>
                <w:iCs w:val="0"/>
                <w:color w:val="auto"/>
                <w:sz w:val="24"/>
                <w:szCs w:val="24"/>
                <w:highlight w:val="none"/>
                <w:u w:val="none" w:color="auto"/>
              </w:rPr>
              <w:t>/</w:t>
            </w:r>
            <w:r>
              <w:rPr>
                <w:rFonts w:hint="eastAsia"/>
                <w:i w:val="0"/>
                <w:iCs w:val="0"/>
                <w:color w:val="auto"/>
                <w:sz w:val="24"/>
                <w:szCs w:val="24"/>
                <w:highlight w:val="none"/>
                <w:u w:val="none" w:color="auto"/>
              </w:rPr>
              <w:t>a，</w:t>
            </w:r>
            <w:r>
              <w:rPr>
                <w:i w:val="0"/>
                <w:iCs w:val="0"/>
                <w:color w:val="auto"/>
                <w:sz w:val="24"/>
                <w:szCs w:val="24"/>
                <w:highlight w:val="none"/>
                <w:u w:val="none" w:color="auto"/>
              </w:rPr>
              <w:t>则骨料</w:t>
            </w:r>
            <w:r>
              <w:rPr>
                <w:rFonts w:hint="eastAsia"/>
                <w:i w:val="0"/>
                <w:iCs w:val="0"/>
                <w:color w:val="auto"/>
                <w:sz w:val="24"/>
                <w:szCs w:val="24"/>
                <w:highlight w:val="none"/>
                <w:u w:val="none" w:color="auto"/>
                <w:lang w:val="en-US" w:eastAsia="zh-CN"/>
              </w:rPr>
              <w:t>上料</w:t>
            </w:r>
            <w:r>
              <w:rPr>
                <w:i w:val="0"/>
                <w:iCs w:val="0"/>
                <w:color w:val="auto"/>
                <w:sz w:val="24"/>
                <w:szCs w:val="24"/>
                <w:highlight w:val="none"/>
                <w:u w:val="none" w:color="auto"/>
              </w:rPr>
              <w:t>粉尘产生量为</w:t>
            </w:r>
            <w:r>
              <w:rPr>
                <w:rFonts w:hint="eastAsia"/>
                <w:i w:val="0"/>
                <w:iCs w:val="0"/>
                <w:color w:val="auto"/>
                <w:sz w:val="24"/>
                <w:szCs w:val="24"/>
                <w:highlight w:val="none"/>
                <w:u w:val="none" w:color="auto"/>
                <w:lang w:val="en-US" w:eastAsia="zh-CN"/>
              </w:rPr>
              <w:t>0.11</w:t>
            </w:r>
            <w:r>
              <w:rPr>
                <w:i w:val="0"/>
                <w:iCs w:val="0"/>
                <w:color w:val="auto"/>
                <w:sz w:val="24"/>
                <w:szCs w:val="24"/>
                <w:highlight w:val="none"/>
                <w:u w:val="none" w:color="auto"/>
              </w:rPr>
              <w:t>t/a，</w:t>
            </w:r>
            <w:r>
              <w:rPr>
                <w:rFonts w:hint="eastAsia"/>
                <w:i w:val="0"/>
                <w:iCs w:val="0"/>
                <w:color w:val="auto"/>
                <w:sz w:val="24"/>
                <w:szCs w:val="24"/>
                <w:highlight w:val="none"/>
                <w:u w:val="none" w:color="auto"/>
              </w:rPr>
              <w:t>项目拟在</w:t>
            </w:r>
            <w:r>
              <w:rPr>
                <w:rFonts w:hint="eastAsia"/>
                <w:i w:val="0"/>
                <w:iCs w:val="0"/>
                <w:color w:val="auto"/>
                <w:sz w:val="24"/>
                <w:szCs w:val="24"/>
                <w:highlight w:val="none"/>
                <w:u w:val="none" w:color="auto"/>
                <w:lang w:val="en-US" w:eastAsia="zh-CN"/>
              </w:rPr>
              <w:t>上料</w:t>
            </w:r>
            <w:r>
              <w:rPr>
                <w:rFonts w:hint="eastAsia"/>
                <w:i w:val="0"/>
                <w:iCs w:val="0"/>
                <w:color w:val="auto"/>
                <w:sz w:val="24"/>
                <w:szCs w:val="24"/>
                <w:highlight w:val="none"/>
                <w:u w:val="none" w:color="auto"/>
              </w:rPr>
              <w:t>过程中</w:t>
            </w:r>
            <w:r>
              <w:rPr>
                <w:rFonts w:hint="eastAsia"/>
                <w:i w:val="0"/>
                <w:iCs w:val="0"/>
                <w:color w:val="auto"/>
                <w:sz w:val="24"/>
                <w:szCs w:val="24"/>
                <w:highlight w:val="none"/>
                <w:u w:val="none" w:color="auto"/>
                <w:lang w:eastAsia="zh-CN"/>
              </w:rPr>
              <w:t>采取半封闭、</w:t>
            </w:r>
            <w:r>
              <w:rPr>
                <w:rFonts w:hint="eastAsia"/>
                <w:i w:val="0"/>
                <w:iCs w:val="0"/>
                <w:color w:val="auto"/>
                <w:sz w:val="24"/>
                <w:szCs w:val="24"/>
                <w:highlight w:val="none"/>
                <w:u w:val="none" w:color="auto"/>
              </w:rPr>
              <w:t>洒水降尘</w:t>
            </w:r>
            <w:r>
              <w:rPr>
                <w:rFonts w:hint="eastAsia"/>
                <w:i w:val="0"/>
                <w:iCs w:val="0"/>
                <w:color w:val="auto"/>
                <w:sz w:val="24"/>
                <w:szCs w:val="24"/>
                <w:highlight w:val="none"/>
                <w:u w:val="none" w:color="auto"/>
                <w:lang w:eastAsia="zh-CN"/>
              </w:rPr>
              <w:t>措施</w:t>
            </w:r>
            <w:r>
              <w:rPr>
                <w:rFonts w:hint="eastAsia"/>
                <w:i w:val="0"/>
                <w:iCs w:val="0"/>
                <w:color w:val="auto"/>
                <w:sz w:val="24"/>
                <w:szCs w:val="24"/>
                <w:highlight w:val="none"/>
                <w:u w:val="none" w:color="auto"/>
              </w:rPr>
              <w:t>以降低</w:t>
            </w:r>
            <w:r>
              <w:rPr>
                <w:rFonts w:hint="eastAsia"/>
                <w:i w:val="0"/>
                <w:iCs w:val="0"/>
                <w:color w:val="auto"/>
                <w:sz w:val="24"/>
                <w:szCs w:val="24"/>
                <w:highlight w:val="none"/>
                <w:u w:val="none" w:color="auto"/>
                <w:lang w:val="en-US" w:eastAsia="zh-CN"/>
              </w:rPr>
              <w:t>上料</w:t>
            </w:r>
            <w:r>
              <w:rPr>
                <w:rFonts w:hint="eastAsia"/>
                <w:i w:val="0"/>
                <w:iCs w:val="0"/>
                <w:color w:val="auto"/>
                <w:sz w:val="24"/>
                <w:szCs w:val="24"/>
                <w:highlight w:val="none"/>
                <w:u w:val="none" w:color="auto"/>
              </w:rPr>
              <w:t>粉尘的产生，抑尘效率按</w:t>
            </w:r>
            <w:r>
              <w:rPr>
                <w:rFonts w:hint="eastAsia"/>
                <w:i w:val="0"/>
                <w:iCs w:val="0"/>
                <w:color w:val="auto"/>
                <w:sz w:val="24"/>
                <w:szCs w:val="24"/>
                <w:highlight w:val="none"/>
                <w:u w:val="none" w:color="auto"/>
                <w:lang w:val="en-US" w:eastAsia="zh-CN"/>
              </w:rPr>
              <w:t>80</w:t>
            </w:r>
            <w:r>
              <w:rPr>
                <w:rFonts w:hint="eastAsia"/>
                <w:i w:val="0"/>
                <w:iCs w:val="0"/>
                <w:color w:val="auto"/>
                <w:sz w:val="24"/>
                <w:szCs w:val="24"/>
                <w:highlight w:val="none"/>
                <w:u w:val="none" w:color="auto"/>
              </w:rPr>
              <w:t>%计，则</w:t>
            </w:r>
            <w:r>
              <w:rPr>
                <w:rFonts w:hint="eastAsia"/>
                <w:i w:val="0"/>
                <w:iCs w:val="0"/>
                <w:color w:val="auto"/>
                <w:sz w:val="24"/>
                <w:szCs w:val="24"/>
                <w:highlight w:val="none"/>
                <w:u w:val="none" w:color="auto"/>
                <w:lang w:val="en-US" w:eastAsia="zh-CN"/>
              </w:rPr>
              <w:t>上料</w:t>
            </w:r>
            <w:r>
              <w:rPr>
                <w:rFonts w:hint="eastAsia"/>
                <w:i w:val="0"/>
                <w:iCs w:val="0"/>
                <w:color w:val="auto"/>
                <w:sz w:val="24"/>
                <w:szCs w:val="24"/>
                <w:highlight w:val="none"/>
                <w:u w:val="none" w:color="auto"/>
              </w:rPr>
              <w:t>粉尘排放量为</w:t>
            </w:r>
            <w:r>
              <w:rPr>
                <w:rFonts w:hint="eastAsia"/>
                <w:i w:val="0"/>
                <w:iCs w:val="0"/>
                <w:color w:val="auto"/>
                <w:sz w:val="24"/>
                <w:szCs w:val="24"/>
                <w:highlight w:val="none"/>
                <w:u w:val="none" w:color="auto"/>
                <w:lang w:val="en-US" w:eastAsia="zh-CN"/>
              </w:rPr>
              <w:t>0.022</w:t>
            </w:r>
            <w:r>
              <w:rPr>
                <w:rFonts w:hint="eastAsia"/>
                <w:i w:val="0"/>
                <w:iCs w:val="0"/>
                <w:color w:val="auto"/>
                <w:sz w:val="24"/>
                <w:szCs w:val="24"/>
                <w:highlight w:val="none"/>
                <w:u w:val="none" w:color="auto"/>
              </w:rPr>
              <w:t>t/a。</w:t>
            </w:r>
          </w:p>
          <w:p w14:paraId="719F2162">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eastAsia" w:ascii="Times New Roman" w:hAnsi="Times New Roman" w:cs="Times New Roman"/>
                <w:i w:val="0"/>
                <w:iCs w:val="0"/>
                <w:color w:val="auto"/>
                <w:sz w:val="24"/>
                <w:szCs w:val="24"/>
                <w:highlight w:val="none"/>
                <w:u w:val="none" w:color="auto"/>
              </w:rPr>
            </w:pPr>
            <w:r>
              <w:rPr>
                <w:rFonts w:hint="eastAsia" w:ascii="Times New Roman" w:hAnsi="Times New Roman" w:cs="Times New Roman"/>
                <w:i w:val="0"/>
                <w:iCs w:val="0"/>
                <w:color w:val="auto"/>
                <w:sz w:val="24"/>
                <w:szCs w:val="24"/>
                <w:highlight w:val="none"/>
                <w:u w:val="none" w:color="auto"/>
                <w:lang w:eastAsia="zh-CN"/>
              </w:rPr>
              <w:t>（</w:t>
            </w:r>
            <w:r>
              <w:rPr>
                <w:rFonts w:hint="eastAsia" w:ascii="Times New Roman" w:hAnsi="Times New Roman" w:cs="Times New Roman"/>
                <w:i w:val="0"/>
                <w:iCs w:val="0"/>
                <w:color w:val="auto"/>
                <w:sz w:val="24"/>
                <w:szCs w:val="24"/>
                <w:highlight w:val="none"/>
                <w:u w:val="none" w:color="auto"/>
                <w:lang w:val="en-US" w:eastAsia="zh-CN"/>
              </w:rPr>
              <w:t>5</w:t>
            </w:r>
            <w:r>
              <w:rPr>
                <w:rFonts w:hint="eastAsia" w:ascii="Times New Roman" w:hAnsi="Times New Roman" w:cs="Times New Roman"/>
                <w:i w:val="0"/>
                <w:iCs w:val="0"/>
                <w:color w:val="auto"/>
                <w:sz w:val="24"/>
                <w:szCs w:val="24"/>
                <w:highlight w:val="none"/>
                <w:u w:val="none" w:color="auto"/>
                <w:lang w:eastAsia="zh-CN"/>
              </w:rPr>
              <w:t>）</w:t>
            </w:r>
            <w:r>
              <w:rPr>
                <w:rFonts w:hint="eastAsia" w:ascii="Times New Roman" w:hAnsi="Times New Roman" w:cs="Times New Roman"/>
                <w:i w:val="0"/>
                <w:iCs w:val="0"/>
                <w:color w:val="auto"/>
                <w:sz w:val="24"/>
                <w:szCs w:val="24"/>
                <w:highlight w:val="none"/>
                <w:u w:val="none" w:color="auto"/>
              </w:rPr>
              <w:t>车辆运输扬尘</w:t>
            </w:r>
          </w:p>
          <w:p w14:paraId="5EA13E77">
            <w:pPr>
              <w:spacing w:line="360" w:lineRule="auto"/>
              <w:ind w:firstLine="480" w:firstLineChars="200"/>
              <w:rPr>
                <w:bCs/>
                <w:i w:val="0"/>
                <w:iCs w:val="0"/>
                <w:color w:val="auto"/>
                <w:kern w:val="0"/>
                <w:sz w:val="24"/>
                <w:szCs w:val="24"/>
                <w:highlight w:val="none"/>
                <w:u w:val="none" w:color="auto"/>
              </w:rPr>
            </w:pPr>
            <w:r>
              <w:rPr>
                <w:bCs/>
                <w:i w:val="0"/>
                <w:iCs w:val="0"/>
                <w:color w:val="auto"/>
                <w:kern w:val="0"/>
                <w:sz w:val="24"/>
                <w:szCs w:val="24"/>
                <w:highlight w:val="none"/>
                <w:u w:val="none" w:color="auto"/>
              </w:rPr>
              <w:t>车辆在行驶过程中产生的扬尘，在完全干燥的情况下，可按下列经验公式计算：</w:t>
            </w:r>
          </w:p>
          <w:p w14:paraId="7568101A">
            <w:pPr>
              <w:spacing w:line="360" w:lineRule="auto"/>
              <w:ind w:firstLine="1200" w:firstLineChars="500"/>
              <w:rPr>
                <w:bCs/>
                <w:i w:val="0"/>
                <w:iCs w:val="0"/>
                <w:color w:val="auto"/>
                <w:kern w:val="0"/>
                <w:sz w:val="24"/>
                <w:szCs w:val="24"/>
                <w:highlight w:val="none"/>
                <w:u w:val="none" w:color="auto"/>
                <w:vertAlign w:val="superscript"/>
              </w:rPr>
            </w:pPr>
            <w:r>
              <w:rPr>
                <w:bCs/>
                <w:i w:val="0"/>
                <w:iCs w:val="0"/>
                <w:color w:val="auto"/>
                <w:kern w:val="0"/>
                <w:sz w:val="24"/>
                <w:szCs w:val="24"/>
                <w:highlight w:val="none"/>
                <w:u w:val="none" w:color="auto"/>
              </w:rPr>
              <w:t>Q=0.123·（V/5）·（W/6.8）</w:t>
            </w:r>
            <w:r>
              <w:rPr>
                <w:bCs/>
                <w:i w:val="0"/>
                <w:iCs w:val="0"/>
                <w:color w:val="auto"/>
                <w:kern w:val="0"/>
                <w:sz w:val="24"/>
                <w:szCs w:val="24"/>
                <w:highlight w:val="none"/>
                <w:u w:val="none" w:color="auto"/>
                <w:vertAlign w:val="superscript"/>
              </w:rPr>
              <w:t>0.65</w:t>
            </w:r>
            <w:r>
              <w:rPr>
                <w:bCs/>
                <w:i w:val="0"/>
                <w:iCs w:val="0"/>
                <w:color w:val="auto"/>
                <w:kern w:val="0"/>
                <w:sz w:val="24"/>
                <w:szCs w:val="24"/>
                <w:highlight w:val="none"/>
                <w:u w:val="none" w:color="auto"/>
              </w:rPr>
              <w:t>·（P/0.05）</w:t>
            </w:r>
            <w:r>
              <w:rPr>
                <w:bCs/>
                <w:i w:val="0"/>
                <w:iCs w:val="0"/>
                <w:color w:val="auto"/>
                <w:kern w:val="0"/>
                <w:sz w:val="24"/>
                <w:szCs w:val="24"/>
                <w:highlight w:val="none"/>
                <w:u w:val="none" w:color="auto"/>
                <w:vertAlign w:val="superscript"/>
              </w:rPr>
              <w:t>0.72</w:t>
            </w:r>
          </w:p>
          <w:p w14:paraId="6CFA0A10">
            <w:pPr>
              <w:spacing w:line="360" w:lineRule="auto"/>
              <w:ind w:firstLine="480" w:firstLineChars="200"/>
              <w:rPr>
                <w:bCs/>
                <w:i w:val="0"/>
                <w:iCs w:val="0"/>
                <w:color w:val="auto"/>
                <w:kern w:val="0"/>
                <w:sz w:val="24"/>
                <w:szCs w:val="24"/>
                <w:highlight w:val="none"/>
                <w:u w:val="none" w:color="auto"/>
              </w:rPr>
            </w:pPr>
            <w:r>
              <w:rPr>
                <w:bCs/>
                <w:i w:val="0"/>
                <w:iCs w:val="0"/>
                <w:color w:val="auto"/>
                <w:kern w:val="0"/>
                <w:sz w:val="24"/>
                <w:szCs w:val="24"/>
                <w:highlight w:val="none"/>
                <w:u w:val="none" w:color="auto"/>
              </w:rPr>
              <w:t>式中：Q：汽车行驶时的扬尘，kg/km.辆；</w:t>
            </w:r>
          </w:p>
          <w:p w14:paraId="5D6005EB">
            <w:pPr>
              <w:spacing w:line="360" w:lineRule="auto"/>
              <w:ind w:firstLine="1200" w:firstLineChars="500"/>
              <w:rPr>
                <w:bCs/>
                <w:i w:val="0"/>
                <w:iCs w:val="0"/>
                <w:color w:val="auto"/>
                <w:kern w:val="0"/>
                <w:sz w:val="24"/>
                <w:szCs w:val="24"/>
                <w:highlight w:val="none"/>
                <w:u w:val="none" w:color="auto"/>
              </w:rPr>
            </w:pPr>
            <w:r>
              <w:rPr>
                <w:bCs/>
                <w:i w:val="0"/>
                <w:iCs w:val="0"/>
                <w:color w:val="auto"/>
                <w:kern w:val="0"/>
                <w:sz w:val="24"/>
                <w:szCs w:val="24"/>
                <w:highlight w:val="none"/>
                <w:u w:val="none" w:color="auto"/>
              </w:rPr>
              <w:t>V：汽车速度，km/h；</w:t>
            </w:r>
          </w:p>
          <w:p w14:paraId="3FDA66F6">
            <w:pPr>
              <w:spacing w:line="360" w:lineRule="auto"/>
              <w:ind w:firstLine="1200" w:firstLineChars="500"/>
              <w:rPr>
                <w:bCs/>
                <w:i w:val="0"/>
                <w:iCs w:val="0"/>
                <w:color w:val="auto"/>
                <w:kern w:val="0"/>
                <w:sz w:val="24"/>
                <w:szCs w:val="24"/>
                <w:highlight w:val="none"/>
                <w:u w:val="none" w:color="auto"/>
              </w:rPr>
            </w:pPr>
            <w:r>
              <w:rPr>
                <w:bCs/>
                <w:i w:val="0"/>
                <w:iCs w:val="0"/>
                <w:color w:val="auto"/>
                <w:kern w:val="0"/>
                <w:sz w:val="24"/>
                <w:szCs w:val="24"/>
                <w:highlight w:val="none"/>
                <w:u w:val="none" w:color="auto"/>
              </w:rPr>
              <w:t>W：汽车载重量，吨；</w:t>
            </w:r>
          </w:p>
          <w:p w14:paraId="7A35D573">
            <w:pPr>
              <w:spacing w:line="360" w:lineRule="auto"/>
              <w:ind w:firstLine="1200" w:firstLineChars="500"/>
              <w:rPr>
                <w:bCs/>
                <w:i w:val="0"/>
                <w:iCs w:val="0"/>
                <w:color w:val="auto"/>
                <w:kern w:val="0"/>
                <w:sz w:val="24"/>
                <w:szCs w:val="24"/>
                <w:highlight w:val="none"/>
                <w:u w:val="none" w:color="auto"/>
              </w:rPr>
            </w:pPr>
            <w:r>
              <w:rPr>
                <w:bCs/>
                <w:i w:val="0"/>
                <w:iCs w:val="0"/>
                <w:color w:val="auto"/>
                <w:kern w:val="0"/>
                <w:sz w:val="24"/>
                <w:szCs w:val="24"/>
                <w:highlight w:val="none"/>
                <w:u w:val="none" w:color="auto"/>
              </w:rPr>
              <w:t>P：道路表面粉尘量，kg/m</w:t>
            </w:r>
            <w:r>
              <w:rPr>
                <w:bCs/>
                <w:i w:val="0"/>
                <w:iCs w:val="0"/>
                <w:color w:val="auto"/>
                <w:kern w:val="0"/>
                <w:sz w:val="24"/>
                <w:szCs w:val="24"/>
                <w:highlight w:val="none"/>
                <w:u w:val="none" w:color="auto"/>
                <w:vertAlign w:val="superscript"/>
              </w:rPr>
              <w:t>3</w:t>
            </w:r>
            <w:r>
              <w:rPr>
                <w:bCs/>
                <w:i w:val="0"/>
                <w:iCs w:val="0"/>
                <w:color w:val="auto"/>
                <w:kern w:val="0"/>
                <w:sz w:val="24"/>
                <w:szCs w:val="24"/>
                <w:highlight w:val="none"/>
                <w:u w:val="none" w:color="auto"/>
              </w:rPr>
              <w:t>。</w:t>
            </w:r>
          </w:p>
          <w:p w14:paraId="5AF8EF48">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ascii="Times New Roman" w:hAnsi="Times New Roman" w:cs="Times New Roman"/>
                <w:bCs/>
                <w:i w:val="0"/>
                <w:iCs w:val="0"/>
                <w:color w:val="auto"/>
                <w:kern w:val="0"/>
                <w:sz w:val="24"/>
                <w:szCs w:val="24"/>
                <w:highlight w:val="none"/>
                <w:u w:val="none" w:color="auto"/>
              </w:rPr>
            </w:pPr>
            <w:r>
              <w:rPr>
                <w:rFonts w:ascii="Times New Roman" w:hAnsi="Times New Roman" w:cs="Times New Roman"/>
                <w:bCs/>
                <w:i w:val="0"/>
                <w:iCs w:val="0"/>
                <w:color w:val="auto"/>
                <w:kern w:val="0"/>
                <w:sz w:val="24"/>
                <w:szCs w:val="24"/>
                <w:highlight w:val="none"/>
                <w:u w:val="none" w:color="auto"/>
              </w:rPr>
              <w:t>本项目车辆在厂区内部行驶距离按</w:t>
            </w:r>
            <w:r>
              <w:rPr>
                <w:rFonts w:hint="eastAsia" w:ascii="Times New Roman" w:hAnsi="Times New Roman" w:cs="Times New Roman"/>
                <w:bCs/>
                <w:i w:val="0"/>
                <w:iCs w:val="0"/>
                <w:color w:val="auto"/>
                <w:kern w:val="0"/>
                <w:sz w:val="24"/>
                <w:szCs w:val="24"/>
                <w:highlight w:val="none"/>
                <w:u w:val="none" w:color="auto"/>
                <w:lang w:val="en-US" w:eastAsia="zh-CN"/>
              </w:rPr>
              <w:t>100</w:t>
            </w:r>
            <w:r>
              <w:rPr>
                <w:rFonts w:ascii="Times New Roman" w:hAnsi="Times New Roman" w:cs="Times New Roman"/>
                <w:bCs/>
                <w:i w:val="0"/>
                <w:iCs w:val="0"/>
                <w:color w:val="auto"/>
                <w:kern w:val="0"/>
                <w:sz w:val="24"/>
                <w:szCs w:val="24"/>
                <w:highlight w:val="none"/>
                <w:u w:val="none" w:color="auto"/>
              </w:rPr>
              <w:t>m计，平均每天发车空、重载各</w:t>
            </w:r>
            <w:r>
              <w:rPr>
                <w:rFonts w:hint="eastAsia" w:ascii="Times New Roman" w:hAnsi="Times New Roman" w:cs="Times New Roman"/>
                <w:bCs/>
                <w:i w:val="0"/>
                <w:iCs w:val="0"/>
                <w:color w:val="auto"/>
                <w:kern w:val="0"/>
                <w:sz w:val="24"/>
                <w:szCs w:val="24"/>
                <w:highlight w:val="none"/>
                <w:u w:val="none" w:color="auto"/>
                <w:lang w:val="en-US" w:eastAsia="zh-CN"/>
              </w:rPr>
              <w:t>47</w:t>
            </w:r>
            <w:r>
              <w:rPr>
                <w:rFonts w:ascii="Times New Roman" w:hAnsi="Times New Roman" w:cs="Times New Roman"/>
                <w:bCs/>
                <w:i w:val="0"/>
                <w:iCs w:val="0"/>
                <w:color w:val="auto"/>
                <w:kern w:val="0"/>
                <w:sz w:val="24"/>
                <w:szCs w:val="24"/>
                <w:highlight w:val="none"/>
                <w:u w:val="none" w:color="auto"/>
              </w:rPr>
              <w:t>车次；空车重约5t，重载车重约</w:t>
            </w:r>
            <w:r>
              <w:rPr>
                <w:rFonts w:hint="eastAsia" w:ascii="Times New Roman" w:hAnsi="Times New Roman" w:cs="Times New Roman"/>
                <w:bCs/>
                <w:i w:val="0"/>
                <w:iCs w:val="0"/>
                <w:color w:val="auto"/>
                <w:kern w:val="0"/>
                <w:sz w:val="24"/>
                <w:szCs w:val="24"/>
                <w:highlight w:val="none"/>
                <w:u w:val="none" w:color="auto"/>
                <w:lang w:val="en-US" w:eastAsia="zh-CN"/>
              </w:rPr>
              <w:t>35</w:t>
            </w:r>
            <w:r>
              <w:rPr>
                <w:rFonts w:ascii="Times New Roman" w:hAnsi="Times New Roman" w:cs="Times New Roman"/>
                <w:bCs/>
                <w:i w:val="0"/>
                <w:iCs w:val="0"/>
                <w:color w:val="auto"/>
                <w:kern w:val="0"/>
                <w:sz w:val="24"/>
                <w:szCs w:val="24"/>
                <w:highlight w:val="none"/>
                <w:u w:val="none" w:color="auto"/>
              </w:rPr>
              <w:t>t。以速度10km/h行驶，企业内部道路已硬化处理，</w:t>
            </w:r>
            <w:r>
              <w:rPr>
                <w:rFonts w:hint="eastAsia" w:ascii="Times New Roman" w:hAnsi="Times New Roman" w:cs="Times New Roman"/>
                <w:bCs/>
                <w:i w:val="0"/>
                <w:iCs w:val="0"/>
                <w:color w:val="auto"/>
                <w:kern w:val="0"/>
                <w:sz w:val="24"/>
                <w:szCs w:val="24"/>
                <w:highlight w:val="none"/>
                <w:u w:val="none" w:color="auto"/>
                <w:lang w:val="en-US" w:eastAsia="zh-CN"/>
              </w:rPr>
              <w:t>建设单位在运营期设置一台洒水车，定期</w:t>
            </w:r>
            <w:r>
              <w:rPr>
                <w:rFonts w:ascii="Times New Roman" w:hAnsi="Times New Roman" w:cs="Times New Roman"/>
                <w:bCs/>
                <w:i w:val="0"/>
                <w:iCs w:val="0"/>
                <w:color w:val="auto"/>
                <w:kern w:val="0"/>
                <w:sz w:val="24"/>
                <w:szCs w:val="24"/>
                <w:highlight w:val="none"/>
                <w:u w:val="none" w:color="auto"/>
              </w:rPr>
              <w:t>对厂区内地面</w:t>
            </w:r>
            <w:r>
              <w:rPr>
                <w:rFonts w:hint="eastAsia" w:ascii="Times New Roman" w:hAnsi="Times New Roman" w:cs="Times New Roman"/>
                <w:bCs/>
                <w:i w:val="0"/>
                <w:iCs w:val="0"/>
                <w:color w:val="auto"/>
                <w:kern w:val="0"/>
                <w:sz w:val="24"/>
                <w:szCs w:val="24"/>
                <w:highlight w:val="none"/>
                <w:u w:val="none" w:color="auto"/>
                <w:lang w:val="en-US" w:eastAsia="zh-CN"/>
              </w:rPr>
              <w:t>进行洒</w:t>
            </w:r>
            <w:r>
              <w:rPr>
                <w:rFonts w:ascii="Times New Roman" w:hAnsi="Times New Roman" w:cs="Times New Roman"/>
                <w:bCs/>
                <w:i w:val="0"/>
                <w:iCs w:val="0"/>
                <w:color w:val="auto"/>
                <w:kern w:val="0"/>
                <w:sz w:val="24"/>
                <w:szCs w:val="24"/>
                <w:highlight w:val="none"/>
                <w:u w:val="none" w:color="auto"/>
              </w:rPr>
              <w:t>水</w:t>
            </w:r>
            <w:r>
              <w:rPr>
                <w:rFonts w:hint="eastAsia" w:ascii="Times New Roman" w:hAnsi="Times New Roman" w:cs="Times New Roman"/>
                <w:bCs/>
                <w:i w:val="0"/>
                <w:iCs w:val="0"/>
                <w:color w:val="auto"/>
                <w:kern w:val="0"/>
                <w:sz w:val="24"/>
                <w:szCs w:val="24"/>
                <w:highlight w:val="none"/>
                <w:u w:val="none" w:color="auto"/>
                <w:lang w:val="en-US" w:eastAsia="zh-CN"/>
              </w:rPr>
              <w:t>降尘</w:t>
            </w:r>
            <w:r>
              <w:rPr>
                <w:rFonts w:ascii="Times New Roman" w:hAnsi="Times New Roman" w:cs="Times New Roman"/>
                <w:bCs/>
                <w:i w:val="0"/>
                <w:iCs w:val="0"/>
                <w:color w:val="auto"/>
                <w:kern w:val="0"/>
                <w:sz w:val="24"/>
                <w:szCs w:val="24"/>
                <w:highlight w:val="none"/>
                <w:u w:val="none" w:color="auto"/>
              </w:rPr>
              <w:t>，以减少道路扬尘。基于这种情况，道路表面粉尘量以0.01kg/m</w:t>
            </w:r>
            <w:r>
              <w:rPr>
                <w:rFonts w:ascii="Times New Roman" w:hAnsi="Times New Roman" w:cs="Times New Roman"/>
                <w:bCs/>
                <w:i w:val="0"/>
                <w:iCs w:val="0"/>
                <w:color w:val="auto"/>
                <w:kern w:val="0"/>
                <w:sz w:val="24"/>
                <w:szCs w:val="24"/>
                <w:highlight w:val="none"/>
                <w:u w:val="none" w:color="auto"/>
                <w:vertAlign w:val="superscript"/>
              </w:rPr>
              <w:t>3</w:t>
            </w:r>
            <w:r>
              <w:rPr>
                <w:rFonts w:ascii="Times New Roman" w:hAnsi="Times New Roman" w:cs="Times New Roman"/>
                <w:bCs/>
                <w:i w:val="0"/>
                <w:iCs w:val="0"/>
                <w:color w:val="auto"/>
                <w:kern w:val="0"/>
                <w:sz w:val="24"/>
                <w:szCs w:val="24"/>
                <w:highlight w:val="none"/>
                <w:u w:val="none" w:color="auto"/>
              </w:rPr>
              <w:t>计，则项目汽车动力起尘量为</w:t>
            </w:r>
            <w:r>
              <w:rPr>
                <w:rFonts w:hint="eastAsia" w:ascii="Times New Roman" w:hAnsi="Times New Roman" w:cs="Times New Roman"/>
                <w:bCs/>
                <w:i w:val="0"/>
                <w:iCs w:val="0"/>
                <w:color w:val="auto"/>
                <w:kern w:val="0"/>
                <w:sz w:val="24"/>
                <w:szCs w:val="24"/>
                <w:highlight w:val="none"/>
                <w:u w:val="none" w:color="auto"/>
                <w:lang w:val="en-US" w:eastAsia="zh-CN"/>
              </w:rPr>
              <w:t>0.324</w:t>
            </w:r>
            <w:r>
              <w:rPr>
                <w:rFonts w:ascii="Times New Roman" w:hAnsi="Times New Roman" w:cs="Times New Roman"/>
                <w:bCs/>
                <w:i w:val="0"/>
                <w:iCs w:val="0"/>
                <w:color w:val="auto"/>
                <w:kern w:val="0"/>
                <w:sz w:val="24"/>
                <w:szCs w:val="24"/>
                <w:highlight w:val="none"/>
                <w:u w:val="none" w:color="auto"/>
              </w:rPr>
              <w:t>t/a。</w:t>
            </w:r>
          </w:p>
          <w:p w14:paraId="06C28D68">
            <w:pPr>
              <w:adjustRightInd w:val="0"/>
              <w:spacing w:line="360" w:lineRule="auto"/>
              <w:ind w:firstLine="480" w:firstLineChars="200"/>
              <w:rPr>
                <w:rFonts w:hint="eastAsia" w:hAnsi="宋体"/>
                <w:i w:val="0"/>
                <w:iCs w:val="0"/>
                <w:color w:val="auto"/>
                <w:sz w:val="24"/>
                <w:szCs w:val="24"/>
                <w:highlight w:val="none"/>
                <w:u w:val="none" w:color="auto"/>
                <w:lang w:val="en-US" w:eastAsia="zh-CN"/>
              </w:rPr>
            </w:pPr>
            <w:r>
              <w:rPr>
                <w:rFonts w:hint="eastAsia" w:hAnsi="宋体"/>
                <w:i w:val="0"/>
                <w:iCs w:val="0"/>
                <w:color w:val="auto"/>
                <w:sz w:val="24"/>
                <w:szCs w:val="24"/>
                <w:highlight w:val="none"/>
                <w:u w:val="none" w:color="auto"/>
                <w:lang w:val="en-US" w:eastAsia="zh-CN"/>
              </w:rPr>
              <w:t>本项目</w:t>
            </w:r>
            <w:r>
              <w:rPr>
                <w:rFonts w:hint="eastAsia" w:hAnsi="宋体"/>
                <w:i w:val="0"/>
                <w:iCs w:val="0"/>
                <w:color w:val="auto"/>
                <w:sz w:val="24"/>
                <w:szCs w:val="24"/>
                <w:highlight w:val="none"/>
                <w:u w:val="none" w:color="auto"/>
              </w:rPr>
              <w:t>废气产排放情况详见</w:t>
            </w:r>
            <w:r>
              <w:rPr>
                <w:rFonts w:hint="eastAsia" w:hAnsi="宋体"/>
                <w:i w:val="0"/>
                <w:iCs w:val="0"/>
                <w:color w:val="auto"/>
                <w:sz w:val="24"/>
                <w:szCs w:val="24"/>
                <w:highlight w:val="none"/>
                <w:u w:val="none" w:color="auto"/>
                <w:lang w:val="en-US" w:eastAsia="zh-CN"/>
              </w:rPr>
              <w:t>下表</w:t>
            </w:r>
            <w:r>
              <w:rPr>
                <w:rFonts w:hint="eastAsia" w:hAnsi="宋体"/>
                <w:i w:val="0"/>
                <w:iCs w:val="0"/>
                <w:color w:val="auto"/>
                <w:sz w:val="24"/>
                <w:szCs w:val="24"/>
                <w:highlight w:val="none"/>
                <w:u w:val="none" w:color="auto"/>
              </w:rPr>
              <w:t>。</w:t>
            </w:r>
          </w:p>
          <w:p w14:paraId="125501D9">
            <w:pPr>
              <w:adjustRightInd w:val="0"/>
              <w:spacing w:line="360" w:lineRule="auto"/>
              <w:ind w:firstLine="480" w:firstLineChars="200"/>
              <w:rPr>
                <w:rFonts w:hint="eastAsia" w:hAnsi="宋体"/>
                <w:i w:val="0"/>
                <w:iCs w:val="0"/>
                <w:sz w:val="24"/>
                <w:szCs w:val="24"/>
                <w:highlight w:val="none"/>
                <w:u w:val="none" w:color="auto"/>
                <w:lang w:val="en-US" w:eastAsia="zh-CN"/>
              </w:rPr>
            </w:pPr>
          </w:p>
          <w:p w14:paraId="6FCD6F65">
            <w:pPr>
              <w:adjustRightInd w:val="0"/>
              <w:spacing w:line="360" w:lineRule="auto"/>
              <w:ind w:firstLine="480" w:firstLineChars="200"/>
              <w:rPr>
                <w:rFonts w:hint="eastAsia" w:hAnsi="宋体"/>
                <w:i w:val="0"/>
                <w:iCs w:val="0"/>
                <w:sz w:val="24"/>
                <w:szCs w:val="24"/>
                <w:highlight w:val="none"/>
                <w:u w:val="none" w:color="auto"/>
                <w:lang w:val="en-US" w:eastAsia="zh-CN"/>
              </w:rPr>
            </w:pPr>
          </w:p>
          <w:p w14:paraId="17AC94CD">
            <w:pPr>
              <w:adjustRightInd w:val="0"/>
              <w:spacing w:line="360" w:lineRule="auto"/>
              <w:ind w:firstLine="480" w:firstLineChars="200"/>
              <w:rPr>
                <w:rFonts w:hint="eastAsia" w:hAnsi="宋体"/>
                <w:i w:val="0"/>
                <w:iCs w:val="0"/>
                <w:sz w:val="24"/>
                <w:szCs w:val="24"/>
                <w:highlight w:val="none"/>
                <w:u w:val="none" w:color="auto"/>
                <w:lang w:val="en-US" w:eastAsia="zh-CN"/>
              </w:rPr>
            </w:pPr>
          </w:p>
          <w:p w14:paraId="6D3EEF52">
            <w:pPr>
              <w:adjustRightInd w:val="0"/>
              <w:spacing w:line="360" w:lineRule="auto"/>
              <w:ind w:firstLine="480" w:firstLineChars="200"/>
              <w:rPr>
                <w:rFonts w:hint="eastAsia" w:hAnsi="宋体"/>
                <w:i w:val="0"/>
                <w:iCs w:val="0"/>
                <w:sz w:val="24"/>
                <w:szCs w:val="24"/>
                <w:highlight w:val="none"/>
                <w:u w:val="none" w:color="auto"/>
                <w:lang w:val="en-US" w:eastAsia="zh-CN"/>
              </w:rPr>
            </w:pPr>
          </w:p>
          <w:p w14:paraId="3A5687D1">
            <w:pPr>
              <w:adjustRightInd w:val="0"/>
              <w:spacing w:line="360" w:lineRule="auto"/>
              <w:ind w:firstLine="480" w:firstLineChars="200"/>
              <w:rPr>
                <w:rFonts w:hint="eastAsia" w:hAnsi="宋体"/>
                <w:i w:val="0"/>
                <w:iCs w:val="0"/>
                <w:sz w:val="24"/>
                <w:szCs w:val="24"/>
                <w:highlight w:val="none"/>
                <w:u w:val="none" w:color="auto"/>
                <w:lang w:val="en-US" w:eastAsia="zh-CN"/>
              </w:rPr>
            </w:pPr>
          </w:p>
          <w:p w14:paraId="6B3CEC4C">
            <w:pPr>
              <w:adjustRightInd w:val="0"/>
              <w:spacing w:line="360" w:lineRule="auto"/>
              <w:ind w:firstLine="480" w:firstLineChars="200"/>
              <w:rPr>
                <w:rFonts w:hint="eastAsia" w:hAnsi="宋体"/>
                <w:i w:val="0"/>
                <w:iCs w:val="0"/>
                <w:sz w:val="24"/>
                <w:szCs w:val="24"/>
                <w:highlight w:val="none"/>
                <w:u w:val="none" w:color="auto"/>
                <w:lang w:val="en-US" w:eastAsia="zh-CN"/>
              </w:rPr>
            </w:pPr>
          </w:p>
          <w:p w14:paraId="60407011">
            <w:pPr>
              <w:adjustRightInd w:val="0"/>
              <w:spacing w:line="360" w:lineRule="auto"/>
              <w:ind w:firstLine="480" w:firstLineChars="200"/>
              <w:rPr>
                <w:rFonts w:hint="eastAsia" w:hAnsi="宋体"/>
                <w:i w:val="0"/>
                <w:iCs w:val="0"/>
                <w:sz w:val="24"/>
                <w:szCs w:val="24"/>
                <w:highlight w:val="none"/>
                <w:u w:val="none" w:color="auto"/>
                <w:lang w:val="en-US" w:eastAsia="zh-CN"/>
              </w:rPr>
            </w:pPr>
          </w:p>
          <w:p w14:paraId="24C4FD39">
            <w:pPr>
              <w:adjustRightInd w:val="0"/>
              <w:spacing w:line="360" w:lineRule="auto"/>
              <w:ind w:firstLine="480" w:firstLineChars="200"/>
              <w:rPr>
                <w:rFonts w:hint="eastAsia" w:hAnsi="宋体"/>
                <w:i w:val="0"/>
                <w:iCs w:val="0"/>
                <w:sz w:val="24"/>
                <w:szCs w:val="24"/>
                <w:highlight w:val="none"/>
                <w:u w:val="none" w:color="auto"/>
                <w:lang w:val="en-US" w:eastAsia="zh-CN"/>
              </w:rPr>
            </w:pPr>
          </w:p>
          <w:p w14:paraId="5C3EDD6C">
            <w:pPr>
              <w:adjustRightInd w:val="0"/>
              <w:spacing w:line="360" w:lineRule="auto"/>
              <w:ind w:firstLine="480" w:firstLineChars="200"/>
              <w:rPr>
                <w:rFonts w:hint="default" w:cs="Times New Roman"/>
                <w:b w:val="0"/>
                <w:bCs/>
                <w:sz w:val="24"/>
                <w:highlight w:val="cyan"/>
                <w:u w:val="single" w:color="auto"/>
                <w:lang w:val="en-US" w:eastAsia="zh-CN"/>
              </w:rPr>
            </w:pPr>
          </w:p>
        </w:tc>
      </w:tr>
    </w:tbl>
    <w:p w14:paraId="5B7682D6">
      <w:pPr>
        <w:pStyle w:val="21"/>
        <w:jc w:val="both"/>
        <w:outlineLvl w:val="0"/>
        <w:rPr>
          <w:rFonts w:ascii="黑体" w:hAnsi="黑体" w:eastAsia="黑体"/>
          <w:snapToGrid w:val="0"/>
          <w:sz w:val="30"/>
          <w:szCs w:val="30"/>
          <w:highlight w:val="cyan"/>
          <w:u w:val="single" w:color="auto"/>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p w14:paraId="072FBD57">
      <w:pPr>
        <w:pStyle w:val="72"/>
        <w:numPr>
          <w:ilvl w:val="0"/>
          <w:numId w:val="0"/>
        </w:numPr>
        <w:rPr>
          <w:rFonts w:hint="eastAsia"/>
          <w:highlight w:val="none"/>
          <w:u w:val="none" w:color="auto"/>
        </w:rPr>
      </w:pPr>
      <w:r>
        <w:rPr>
          <w:sz w:val="24"/>
          <w:szCs w:val="24"/>
          <w:highlight w:val="none"/>
          <w:u w:val="none" w:color="auto"/>
        </w:rPr>
        <mc:AlternateContent>
          <mc:Choice Requires="wps">
            <w:drawing>
              <wp:anchor distT="0" distB="0" distL="114300" distR="114300" simplePos="0" relativeHeight="251659264" behindDoc="0" locked="0" layoutInCell="1" allowOverlap="1">
                <wp:simplePos x="0" y="0"/>
                <wp:positionH relativeFrom="column">
                  <wp:posOffset>-210185</wp:posOffset>
                </wp:positionH>
                <wp:positionV relativeFrom="paragraph">
                  <wp:posOffset>-13335</wp:posOffset>
                </wp:positionV>
                <wp:extent cx="8646160" cy="5513070"/>
                <wp:effectExtent l="6350" t="6350" r="15240" b="14605"/>
                <wp:wrapNone/>
                <wp:docPr id="20" name="矩形 20"/>
                <wp:cNvGraphicFramePr/>
                <a:graphic xmlns:a="http://schemas.openxmlformats.org/drawingml/2006/main">
                  <a:graphicData uri="http://schemas.microsoft.com/office/word/2010/wordprocessingShape">
                    <wps:wsp>
                      <wps:cNvSpPr/>
                      <wps:spPr>
                        <a:xfrm>
                          <a:off x="1140460" y="1000760"/>
                          <a:ext cx="8646160" cy="5513070"/>
                        </a:xfrm>
                        <a:prstGeom prst="rect">
                          <a:avLst/>
                        </a:prstGeom>
                        <a:noFill/>
                        <a:ln w="1270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55pt;margin-top:-1.05pt;height:434.1pt;width:680.8pt;z-index:251659264;v-text-anchor:middle;mso-width-relative:page;mso-height-relative:page;" filled="f" stroked="t" coordsize="21600,21600" o:gfxdata="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JsBUOLZAAAACwEAAA8AAAAAAAAAAQAgAAAAIgAAAGRycy9kb3ducmV2LnhtbFBL&#10;AQIUABQAAAAIAIdO4kDFSHUcZwIAAMMEAAAOAAAAAAAAAAEAIAAAACgBAABkcnMvZTJvRG9jLnht&#10;bFBLBQYAAAAABgAGAFkBAAABBgAAAAA=&#10;">
                <v:fill on="f" focussize="0,0"/>
                <v:stroke weight="1pt" color="#000000 [3213]" joinstyle="round"/>
                <v:imagedata o:title=""/>
                <o:lock v:ext="edit" aspectratio="f"/>
              </v:rect>
            </w:pict>
          </mc:Fallback>
        </mc:AlternateContent>
      </w:r>
      <w:r>
        <w:rPr>
          <w:sz w:val="24"/>
          <w:szCs w:val="24"/>
          <w:highlight w:val="none"/>
          <w:u w:val="none" w:color="auto"/>
        </w:rPr>
        <w:t>表</w:t>
      </w:r>
      <w:r>
        <w:rPr>
          <w:rFonts w:hint="eastAsia"/>
          <w:sz w:val="24"/>
          <w:szCs w:val="24"/>
          <w:highlight w:val="none"/>
          <w:u w:val="none" w:color="auto"/>
          <w:lang w:val="en-US" w:eastAsia="zh-CN"/>
        </w:rPr>
        <w:t>4-4</w:t>
      </w:r>
      <w:r>
        <w:rPr>
          <w:sz w:val="24"/>
          <w:szCs w:val="24"/>
          <w:highlight w:val="none"/>
          <w:u w:val="none" w:color="auto"/>
        </w:rPr>
        <w:t xml:space="preserve">   </w:t>
      </w:r>
      <w:r>
        <w:rPr>
          <w:rFonts w:hint="eastAsia"/>
          <w:sz w:val="24"/>
          <w:szCs w:val="24"/>
          <w:highlight w:val="none"/>
          <w:u w:val="none" w:color="auto"/>
        </w:rPr>
        <w:t>本项目</w:t>
      </w:r>
      <w:r>
        <w:rPr>
          <w:sz w:val="24"/>
          <w:szCs w:val="24"/>
          <w:highlight w:val="none"/>
          <w:u w:val="none" w:color="auto"/>
        </w:rPr>
        <w:t>废气污染源源强核算结果及相关参数一览表</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991"/>
        <w:gridCol w:w="792"/>
        <w:gridCol w:w="558"/>
        <w:gridCol w:w="479"/>
        <w:gridCol w:w="871"/>
        <w:gridCol w:w="961"/>
        <w:gridCol w:w="763"/>
        <w:gridCol w:w="779"/>
        <w:gridCol w:w="825"/>
        <w:gridCol w:w="991"/>
        <w:gridCol w:w="467"/>
        <w:gridCol w:w="880"/>
        <w:gridCol w:w="846"/>
        <w:gridCol w:w="869"/>
        <w:gridCol w:w="822"/>
        <w:gridCol w:w="691"/>
      </w:tblGrid>
      <w:tr w14:paraId="5CE0E3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264" w:type="pct"/>
            <w:vMerge w:val="restart"/>
            <w:tcBorders>
              <w:tl2br w:val="nil"/>
              <w:tr2bl w:val="nil"/>
            </w:tcBorders>
            <w:noWrap w:val="0"/>
            <w:vAlign w:val="center"/>
          </w:tcPr>
          <w:p w14:paraId="3625503C">
            <w:pPr>
              <w:jc w:val="center"/>
              <w:rPr>
                <w:color w:val="auto"/>
                <w:kern w:val="21"/>
                <w:sz w:val="18"/>
                <w:szCs w:val="18"/>
                <w:highlight w:val="none"/>
                <w:u w:val="none" w:color="auto"/>
              </w:rPr>
            </w:pPr>
            <w:r>
              <w:rPr>
                <w:color w:val="auto"/>
                <w:kern w:val="21"/>
                <w:sz w:val="18"/>
                <w:szCs w:val="18"/>
                <w:highlight w:val="none"/>
                <w:u w:val="none" w:color="auto"/>
              </w:rPr>
              <w:t>工序</w:t>
            </w:r>
          </w:p>
        </w:tc>
        <w:tc>
          <w:tcPr>
            <w:tcW w:w="324" w:type="pct"/>
            <w:vMerge w:val="restart"/>
            <w:tcBorders>
              <w:tl2br w:val="nil"/>
              <w:tr2bl w:val="nil"/>
            </w:tcBorders>
            <w:noWrap w:val="0"/>
            <w:vAlign w:val="center"/>
          </w:tcPr>
          <w:p w14:paraId="7C41BF10">
            <w:pPr>
              <w:jc w:val="center"/>
              <w:rPr>
                <w:rFonts w:hint="eastAsia" w:eastAsia="宋体"/>
                <w:color w:val="auto"/>
                <w:kern w:val="21"/>
                <w:sz w:val="18"/>
                <w:szCs w:val="18"/>
                <w:highlight w:val="none"/>
                <w:u w:val="none" w:color="auto"/>
                <w:lang w:eastAsia="zh-CN"/>
              </w:rPr>
            </w:pPr>
            <w:r>
              <w:rPr>
                <w:color w:val="auto"/>
                <w:kern w:val="21"/>
                <w:sz w:val="18"/>
                <w:szCs w:val="18"/>
                <w:highlight w:val="none"/>
                <w:u w:val="none" w:color="auto"/>
              </w:rPr>
              <w:t>废气量m</w:t>
            </w:r>
            <w:r>
              <w:rPr>
                <w:color w:val="auto"/>
                <w:kern w:val="21"/>
                <w:sz w:val="18"/>
                <w:szCs w:val="18"/>
                <w:highlight w:val="none"/>
                <w:u w:val="none" w:color="auto"/>
                <w:vertAlign w:val="superscript"/>
              </w:rPr>
              <w:t>3</w:t>
            </w:r>
            <w:r>
              <w:rPr>
                <w:color w:val="auto"/>
                <w:kern w:val="21"/>
                <w:sz w:val="18"/>
                <w:szCs w:val="18"/>
                <w:highlight w:val="none"/>
                <w:u w:val="none" w:color="auto"/>
              </w:rPr>
              <w:t>/</w:t>
            </w:r>
            <w:r>
              <w:rPr>
                <w:rFonts w:hint="eastAsia"/>
                <w:color w:val="auto"/>
                <w:kern w:val="21"/>
                <w:sz w:val="18"/>
                <w:szCs w:val="18"/>
                <w:highlight w:val="none"/>
                <w:u w:val="none" w:color="auto"/>
                <w:lang w:val="en-US" w:eastAsia="zh-CN"/>
              </w:rPr>
              <w:t>a</w:t>
            </w:r>
          </w:p>
        </w:tc>
        <w:tc>
          <w:tcPr>
            <w:tcW w:w="280" w:type="pct"/>
            <w:vMerge w:val="restart"/>
            <w:tcBorders>
              <w:tl2br w:val="nil"/>
              <w:tr2bl w:val="nil"/>
            </w:tcBorders>
            <w:noWrap w:val="0"/>
            <w:vAlign w:val="center"/>
          </w:tcPr>
          <w:p w14:paraId="2C060021">
            <w:pPr>
              <w:jc w:val="center"/>
              <w:rPr>
                <w:color w:val="auto"/>
                <w:kern w:val="21"/>
                <w:sz w:val="18"/>
                <w:szCs w:val="18"/>
                <w:highlight w:val="none"/>
                <w:u w:val="none" w:color="auto"/>
              </w:rPr>
            </w:pPr>
            <w:r>
              <w:rPr>
                <w:color w:val="auto"/>
                <w:kern w:val="21"/>
                <w:sz w:val="18"/>
                <w:szCs w:val="18"/>
                <w:highlight w:val="none"/>
                <w:u w:val="none" w:color="auto"/>
              </w:rPr>
              <w:t>烟囱高度m/内径m</w:t>
            </w:r>
          </w:p>
        </w:tc>
        <w:tc>
          <w:tcPr>
            <w:tcW w:w="232" w:type="pct"/>
            <w:vMerge w:val="restart"/>
            <w:tcBorders>
              <w:tl2br w:val="nil"/>
              <w:tr2bl w:val="nil"/>
            </w:tcBorders>
            <w:noWrap w:val="0"/>
            <w:vAlign w:val="center"/>
          </w:tcPr>
          <w:p w14:paraId="505BE193">
            <w:pPr>
              <w:jc w:val="center"/>
              <w:rPr>
                <w:color w:val="auto"/>
                <w:kern w:val="21"/>
                <w:sz w:val="18"/>
                <w:szCs w:val="18"/>
                <w:highlight w:val="none"/>
                <w:u w:val="none" w:color="auto"/>
              </w:rPr>
            </w:pPr>
            <w:r>
              <w:rPr>
                <w:color w:val="auto"/>
                <w:kern w:val="21"/>
                <w:sz w:val="18"/>
                <w:szCs w:val="18"/>
                <w:highlight w:val="none"/>
                <w:u w:val="none" w:color="auto"/>
              </w:rPr>
              <w:t>污染物</w:t>
            </w:r>
          </w:p>
        </w:tc>
        <w:tc>
          <w:tcPr>
            <w:tcW w:w="1190" w:type="pct"/>
            <w:gridSpan w:val="4"/>
            <w:tcBorders>
              <w:tl2br w:val="nil"/>
              <w:tr2bl w:val="nil"/>
            </w:tcBorders>
            <w:noWrap w:val="0"/>
            <w:vAlign w:val="center"/>
          </w:tcPr>
          <w:p w14:paraId="785F1B95">
            <w:pPr>
              <w:jc w:val="center"/>
              <w:rPr>
                <w:color w:val="auto"/>
                <w:kern w:val="21"/>
                <w:sz w:val="18"/>
                <w:szCs w:val="18"/>
                <w:highlight w:val="none"/>
                <w:u w:val="none" w:color="auto"/>
              </w:rPr>
            </w:pPr>
            <w:r>
              <w:rPr>
                <w:color w:val="auto"/>
                <w:kern w:val="21"/>
                <w:sz w:val="18"/>
                <w:szCs w:val="18"/>
                <w:highlight w:val="none"/>
                <w:u w:val="none" w:color="auto"/>
              </w:rPr>
              <w:t>污染物产生</w:t>
            </w:r>
          </w:p>
        </w:tc>
        <w:tc>
          <w:tcPr>
            <w:tcW w:w="592" w:type="pct"/>
            <w:gridSpan w:val="2"/>
            <w:tcBorders>
              <w:tl2br w:val="nil"/>
              <w:tr2bl w:val="nil"/>
            </w:tcBorders>
            <w:noWrap w:val="0"/>
            <w:vAlign w:val="center"/>
          </w:tcPr>
          <w:p w14:paraId="51D0895C">
            <w:pPr>
              <w:jc w:val="center"/>
              <w:rPr>
                <w:color w:val="auto"/>
                <w:kern w:val="21"/>
                <w:sz w:val="18"/>
                <w:szCs w:val="18"/>
                <w:highlight w:val="none"/>
                <w:u w:val="none" w:color="auto"/>
              </w:rPr>
            </w:pPr>
            <w:r>
              <w:rPr>
                <w:color w:val="auto"/>
                <w:kern w:val="21"/>
                <w:sz w:val="18"/>
                <w:szCs w:val="18"/>
                <w:highlight w:val="none"/>
                <w:u w:val="none" w:color="auto"/>
              </w:rPr>
              <w:t>治理措施</w:t>
            </w:r>
          </w:p>
        </w:tc>
        <w:tc>
          <w:tcPr>
            <w:tcW w:w="324" w:type="pct"/>
            <w:vMerge w:val="restart"/>
            <w:tcBorders>
              <w:tl2br w:val="nil"/>
              <w:tr2bl w:val="nil"/>
            </w:tcBorders>
            <w:noWrap w:val="0"/>
            <w:vAlign w:val="center"/>
          </w:tcPr>
          <w:p w14:paraId="1F635A4D">
            <w:pPr>
              <w:jc w:val="center"/>
              <w:rPr>
                <w:color w:val="auto"/>
                <w:kern w:val="21"/>
                <w:sz w:val="18"/>
                <w:szCs w:val="18"/>
                <w:highlight w:val="none"/>
                <w:u w:val="none" w:color="auto"/>
              </w:rPr>
            </w:pPr>
            <w:r>
              <w:rPr>
                <w:color w:val="auto"/>
                <w:kern w:val="21"/>
                <w:sz w:val="18"/>
                <w:szCs w:val="18"/>
                <w:highlight w:val="none"/>
                <w:u w:val="none" w:color="auto"/>
              </w:rPr>
              <w:t>风机风量m</w:t>
            </w:r>
            <w:r>
              <w:rPr>
                <w:color w:val="auto"/>
                <w:kern w:val="21"/>
                <w:sz w:val="18"/>
                <w:szCs w:val="18"/>
                <w:highlight w:val="none"/>
                <w:u w:val="none" w:color="auto"/>
                <w:vertAlign w:val="superscript"/>
              </w:rPr>
              <w:t>3</w:t>
            </w:r>
            <w:r>
              <w:rPr>
                <w:color w:val="auto"/>
                <w:kern w:val="21"/>
                <w:sz w:val="18"/>
                <w:szCs w:val="18"/>
                <w:highlight w:val="none"/>
                <w:u w:val="none" w:color="auto"/>
              </w:rPr>
              <w:t>/</w:t>
            </w:r>
            <w:r>
              <w:rPr>
                <w:rFonts w:hint="eastAsia"/>
                <w:color w:val="auto"/>
                <w:kern w:val="21"/>
                <w:sz w:val="18"/>
                <w:szCs w:val="18"/>
                <w:highlight w:val="none"/>
                <w:u w:val="none" w:color="auto"/>
                <w:lang w:val="en-US" w:eastAsia="zh-CN"/>
              </w:rPr>
              <w:t>a</w:t>
            </w:r>
          </w:p>
        </w:tc>
        <w:tc>
          <w:tcPr>
            <w:tcW w:w="1238" w:type="pct"/>
            <w:gridSpan w:val="4"/>
            <w:tcBorders>
              <w:tl2br w:val="nil"/>
              <w:tr2bl w:val="nil"/>
            </w:tcBorders>
            <w:noWrap w:val="0"/>
            <w:vAlign w:val="center"/>
          </w:tcPr>
          <w:p w14:paraId="745F7F1C">
            <w:pPr>
              <w:jc w:val="center"/>
              <w:rPr>
                <w:color w:val="auto"/>
                <w:kern w:val="21"/>
                <w:sz w:val="18"/>
                <w:szCs w:val="18"/>
                <w:highlight w:val="none"/>
                <w:u w:val="none" w:color="auto"/>
              </w:rPr>
            </w:pPr>
            <w:r>
              <w:rPr>
                <w:color w:val="auto"/>
                <w:kern w:val="21"/>
                <w:sz w:val="18"/>
                <w:szCs w:val="18"/>
                <w:highlight w:val="none"/>
                <w:u w:val="none" w:color="auto"/>
              </w:rPr>
              <w:t>污染物排放</w:t>
            </w:r>
          </w:p>
        </w:tc>
        <w:tc>
          <w:tcPr>
            <w:tcW w:w="282" w:type="pct"/>
            <w:vMerge w:val="restart"/>
            <w:tcBorders>
              <w:tl2br w:val="nil"/>
              <w:tr2bl w:val="nil"/>
            </w:tcBorders>
            <w:noWrap w:val="0"/>
            <w:vAlign w:val="center"/>
          </w:tcPr>
          <w:p w14:paraId="45DC1C30">
            <w:pPr>
              <w:jc w:val="center"/>
              <w:rPr>
                <w:color w:val="auto"/>
                <w:kern w:val="21"/>
                <w:sz w:val="18"/>
                <w:szCs w:val="18"/>
                <w:highlight w:val="none"/>
                <w:u w:val="none" w:color="auto"/>
              </w:rPr>
            </w:pPr>
            <w:r>
              <w:rPr>
                <w:color w:val="auto"/>
                <w:kern w:val="21"/>
                <w:sz w:val="18"/>
                <w:szCs w:val="18"/>
                <w:highlight w:val="none"/>
                <w:u w:val="none" w:color="auto"/>
              </w:rPr>
              <w:t>排放</w:t>
            </w:r>
          </w:p>
          <w:p w14:paraId="5C85EAC8">
            <w:pPr>
              <w:jc w:val="center"/>
              <w:rPr>
                <w:color w:val="auto"/>
                <w:kern w:val="21"/>
                <w:sz w:val="18"/>
                <w:szCs w:val="18"/>
                <w:highlight w:val="none"/>
                <w:u w:val="none" w:color="auto"/>
              </w:rPr>
            </w:pPr>
            <w:r>
              <w:rPr>
                <w:color w:val="auto"/>
                <w:kern w:val="21"/>
                <w:sz w:val="18"/>
                <w:szCs w:val="18"/>
                <w:highlight w:val="none"/>
                <w:u w:val="none" w:color="auto"/>
              </w:rPr>
              <w:t>标准mg/m</w:t>
            </w:r>
            <w:r>
              <w:rPr>
                <w:color w:val="auto"/>
                <w:kern w:val="21"/>
                <w:sz w:val="18"/>
                <w:szCs w:val="18"/>
                <w:highlight w:val="none"/>
                <w:u w:val="none" w:color="auto"/>
                <w:vertAlign w:val="superscript"/>
              </w:rPr>
              <w:t>3</w:t>
            </w:r>
          </w:p>
        </w:tc>
        <w:tc>
          <w:tcPr>
            <w:tcW w:w="269" w:type="pct"/>
            <w:vMerge w:val="restart"/>
            <w:tcBorders>
              <w:tl2br w:val="nil"/>
              <w:tr2bl w:val="nil"/>
            </w:tcBorders>
            <w:noWrap w:val="0"/>
            <w:vAlign w:val="center"/>
          </w:tcPr>
          <w:p w14:paraId="428A2E87">
            <w:pPr>
              <w:jc w:val="center"/>
              <w:rPr>
                <w:color w:val="auto"/>
                <w:kern w:val="21"/>
                <w:sz w:val="18"/>
                <w:szCs w:val="18"/>
                <w:highlight w:val="none"/>
                <w:u w:val="none" w:color="auto"/>
              </w:rPr>
            </w:pPr>
            <w:r>
              <w:rPr>
                <w:color w:val="auto"/>
                <w:kern w:val="21"/>
                <w:sz w:val="18"/>
                <w:szCs w:val="18"/>
                <w:highlight w:val="none"/>
                <w:u w:val="none" w:color="auto"/>
              </w:rPr>
              <w:t>排放时间（h）</w:t>
            </w:r>
          </w:p>
        </w:tc>
      </w:tr>
      <w:tr w14:paraId="4B63C7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264" w:type="pct"/>
            <w:vMerge w:val="continue"/>
            <w:tcBorders>
              <w:tl2br w:val="nil"/>
              <w:tr2bl w:val="nil"/>
            </w:tcBorders>
            <w:noWrap w:val="0"/>
            <w:vAlign w:val="center"/>
          </w:tcPr>
          <w:p w14:paraId="0E31AE45">
            <w:pPr>
              <w:jc w:val="center"/>
              <w:rPr>
                <w:color w:val="auto"/>
                <w:kern w:val="21"/>
                <w:sz w:val="18"/>
                <w:szCs w:val="18"/>
                <w:highlight w:val="none"/>
                <w:u w:val="none" w:color="auto"/>
              </w:rPr>
            </w:pPr>
          </w:p>
        </w:tc>
        <w:tc>
          <w:tcPr>
            <w:tcW w:w="324" w:type="pct"/>
            <w:vMerge w:val="continue"/>
            <w:tcBorders>
              <w:tl2br w:val="nil"/>
              <w:tr2bl w:val="nil"/>
            </w:tcBorders>
            <w:noWrap w:val="0"/>
            <w:vAlign w:val="center"/>
          </w:tcPr>
          <w:p w14:paraId="11418241">
            <w:pPr>
              <w:jc w:val="center"/>
              <w:rPr>
                <w:color w:val="auto"/>
                <w:kern w:val="21"/>
                <w:sz w:val="18"/>
                <w:szCs w:val="18"/>
                <w:highlight w:val="none"/>
                <w:u w:val="none" w:color="auto"/>
              </w:rPr>
            </w:pPr>
          </w:p>
        </w:tc>
        <w:tc>
          <w:tcPr>
            <w:tcW w:w="280" w:type="pct"/>
            <w:vMerge w:val="continue"/>
            <w:tcBorders>
              <w:tl2br w:val="nil"/>
              <w:tr2bl w:val="nil"/>
            </w:tcBorders>
            <w:noWrap w:val="0"/>
            <w:vAlign w:val="center"/>
          </w:tcPr>
          <w:p w14:paraId="04B38B1F">
            <w:pPr>
              <w:jc w:val="center"/>
              <w:rPr>
                <w:color w:val="auto"/>
                <w:kern w:val="21"/>
                <w:sz w:val="18"/>
                <w:szCs w:val="18"/>
                <w:highlight w:val="none"/>
                <w:u w:val="none" w:color="auto"/>
              </w:rPr>
            </w:pPr>
          </w:p>
        </w:tc>
        <w:tc>
          <w:tcPr>
            <w:tcW w:w="232" w:type="pct"/>
            <w:vMerge w:val="continue"/>
            <w:tcBorders>
              <w:tl2br w:val="nil"/>
              <w:tr2bl w:val="nil"/>
            </w:tcBorders>
            <w:noWrap w:val="0"/>
            <w:vAlign w:val="center"/>
          </w:tcPr>
          <w:p w14:paraId="3035495C">
            <w:pPr>
              <w:jc w:val="center"/>
              <w:rPr>
                <w:color w:val="auto"/>
                <w:kern w:val="21"/>
                <w:sz w:val="18"/>
                <w:szCs w:val="18"/>
                <w:highlight w:val="none"/>
                <w:u w:val="none" w:color="auto"/>
              </w:rPr>
            </w:pPr>
          </w:p>
        </w:tc>
        <w:tc>
          <w:tcPr>
            <w:tcW w:w="202" w:type="pct"/>
            <w:tcBorders>
              <w:tl2br w:val="nil"/>
              <w:tr2bl w:val="nil"/>
            </w:tcBorders>
            <w:noWrap w:val="0"/>
            <w:vAlign w:val="center"/>
          </w:tcPr>
          <w:p w14:paraId="03310132">
            <w:pPr>
              <w:jc w:val="center"/>
              <w:rPr>
                <w:color w:val="auto"/>
                <w:kern w:val="21"/>
                <w:sz w:val="18"/>
                <w:szCs w:val="18"/>
                <w:highlight w:val="none"/>
                <w:u w:val="none" w:color="auto"/>
              </w:rPr>
            </w:pPr>
            <w:r>
              <w:rPr>
                <w:color w:val="auto"/>
                <w:kern w:val="21"/>
                <w:sz w:val="18"/>
                <w:szCs w:val="18"/>
                <w:highlight w:val="none"/>
                <w:u w:val="none" w:color="auto"/>
              </w:rPr>
              <w:t>核算</w:t>
            </w:r>
          </w:p>
          <w:p w14:paraId="0C632207">
            <w:pPr>
              <w:jc w:val="center"/>
              <w:rPr>
                <w:color w:val="auto"/>
                <w:kern w:val="21"/>
                <w:sz w:val="18"/>
                <w:szCs w:val="18"/>
                <w:highlight w:val="none"/>
                <w:u w:val="none" w:color="auto"/>
              </w:rPr>
            </w:pPr>
            <w:r>
              <w:rPr>
                <w:color w:val="auto"/>
                <w:kern w:val="21"/>
                <w:sz w:val="18"/>
                <w:szCs w:val="18"/>
                <w:highlight w:val="none"/>
                <w:u w:val="none" w:color="auto"/>
              </w:rPr>
              <w:t>方法</w:t>
            </w:r>
          </w:p>
        </w:tc>
        <w:tc>
          <w:tcPr>
            <w:tcW w:w="350" w:type="pct"/>
            <w:tcBorders>
              <w:tl2br w:val="nil"/>
              <w:tr2bl w:val="nil"/>
            </w:tcBorders>
            <w:noWrap w:val="0"/>
            <w:vAlign w:val="center"/>
          </w:tcPr>
          <w:p w14:paraId="1F7E106F">
            <w:pPr>
              <w:jc w:val="center"/>
              <w:rPr>
                <w:color w:val="auto"/>
                <w:kern w:val="21"/>
                <w:sz w:val="18"/>
                <w:szCs w:val="18"/>
                <w:highlight w:val="none"/>
                <w:u w:val="none" w:color="auto"/>
              </w:rPr>
            </w:pPr>
            <w:r>
              <w:rPr>
                <w:color w:val="auto"/>
                <w:kern w:val="21"/>
                <w:sz w:val="18"/>
                <w:szCs w:val="18"/>
                <w:highlight w:val="none"/>
                <w:u w:val="none" w:color="auto"/>
              </w:rPr>
              <w:t>浓度mg/m</w:t>
            </w:r>
            <w:r>
              <w:rPr>
                <w:color w:val="auto"/>
                <w:kern w:val="21"/>
                <w:sz w:val="18"/>
                <w:szCs w:val="18"/>
                <w:highlight w:val="none"/>
                <w:u w:val="none" w:color="auto"/>
                <w:vertAlign w:val="superscript"/>
              </w:rPr>
              <w:t>3</w:t>
            </w:r>
          </w:p>
        </w:tc>
        <w:tc>
          <w:tcPr>
            <w:tcW w:w="329" w:type="pct"/>
            <w:tcBorders>
              <w:tl2br w:val="nil"/>
              <w:tr2bl w:val="nil"/>
            </w:tcBorders>
            <w:noWrap w:val="0"/>
            <w:vAlign w:val="center"/>
          </w:tcPr>
          <w:p w14:paraId="5196E374">
            <w:pPr>
              <w:jc w:val="center"/>
              <w:rPr>
                <w:color w:val="auto"/>
                <w:kern w:val="21"/>
                <w:sz w:val="18"/>
                <w:szCs w:val="18"/>
                <w:highlight w:val="none"/>
                <w:u w:val="none" w:color="auto"/>
              </w:rPr>
            </w:pPr>
            <w:r>
              <w:rPr>
                <w:color w:val="auto"/>
                <w:kern w:val="21"/>
                <w:sz w:val="18"/>
                <w:szCs w:val="18"/>
                <w:highlight w:val="none"/>
                <w:u w:val="none" w:color="auto"/>
              </w:rPr>
              <w:t>产生量</w:t>
            </w:r>
            <w:r>
              <w:rPr>
                <w:rFonts w:hint="eastAsia"/>
                <w:color w:val="auto"/>
                <w:kern w:val="21"/>
                <w:sz w:val="18"/>
                <w:szCs w:val="18"/>
                <w:highlight w:val="none"/>
                <w:u w:val="none" w:color="auto"/>
                <w:lang w:val="en-US" w:eastAsia="zh-CN"/>
              </w:rPr>
              <w:t>t</w:t>
            </w:r>
            <w:r>
              <w:rPr>
                <w:color w:val="auto"/>
                <w:kern w:val="21"/>
                <w:sz w:val="18"/>
                <w:szCs w:val="18"/>
                <w:highlight w:val="none"/>
                <w:u w:val="none" w:color="auto"/>
              </w:rPr>
              <w:t>/a</w:t>
            </w:r>
          </w:p>
        </w:tc>
        <w:tc>
          <w:tcPr>
            <w:tcW w:w="308" w:type="pct"/>
            <w:tcBorders>
              <w:tl2br w:val="nil"/>
              <w:tr2bl w:val="nil"/>
            </w:tcBorders>
            <w:noWrap w:val="0"/>
            <w:vAlign w:val="center"/>
          </w:tcPr>
          <w:p w14:paraId="03491FFC">
            <w:pPr>
              <w:jc w:val="center"/>
              <w:rPr>
                <w:color w:val="auto"/>
                <w:kern w:val="21"/>
                <w:sz w:val="18"/>
                <w:szCs w:val="18"/>
                <w:highlight w:val="none"/>
                <w:u w:val="none" w:color="auto"/>
              </w:rPr>
            </w:pPr>
            <w:r>
              <w:rPr>
                <w:color w:val="auto"/>
                <w:kern w:val="21"/>
                <w:sz w:val="18"/>
                <w:szCs w:val="18"/>
                <w:highlight w:val="none"/>
                <w:u w:val="none" w:color="auto"/>
              </w:rPr>
              <w:t>速率kg/h</w:t>
            </w:r>
          </w:p>
        </w:tc>
        <w:tc>
          <w:tcPr>
            <w:tcW w:w="315" w:type="pct"/>
            <w:tcBorders>
              <w:tl2br w:val="nil"/>
              <w:tr2bl w:val="nil"/>
            </w:tcBorders>
            <w:noWrap w:val="0"/>
            <w:vAlign w:val="center"/>
          </w:tcPr>
          <w:p w14:paraId="139FE8F9">
            <w:pPr>
              <w:jc w:val="center"/>
              <w:rPr>
                <w:color w:val="auto"/>
                <w:kern w:val="21"/>
                <w:sz w:val="18"/>
                <w:szCs w:val="18"/>
                <w:highlight w:val="none"/>
                <w:u w:val="none" w:color="auto"/>
              </w:rPr>
            </w:pPr>
            <w:r>
              <w:rPr>
                <w:color w:val="auto"/>
                <w:kern w:val="21"/>
                <w:sz w:val="18"/>
                <w:szCs w:val="18"/>
                <w:highlight w:val="none"/>
                <w:u w:val="none" w:color="auto"/>
              </w:rPr>
              <w:t>工艺</w:t>
            </w:r>
          </w:p>
        </w:tc>
        <w:tc>
          <w:tcPr>
            <w:tcW w:w="277" w:type="pct"/>
            <w:tcBorders>
              <w:tl2br w:val="nil"/>
              <w:tr2bl w:val="nil"/>
            </w:tcBorders>
            <w:noWrap w:val="0"/>
            <w:vAlign w:val="center"/>
          </w:tcPr>
          <w:p w14:paraId="46480D27">
            <w:pPr>
              <w:jc w:val="center"/>
              <w:rPr>
                <w:color w:val="auto"/>
                <w:kern w:val="21"/>
                <w:sz w:val="18"/>
                <w:szCs w:val="18"/>
                <w:highlight w:val="none"/>
                <w:u w:val="none" w:color="auto"/>
              </w:rPr>
            </w:pPr>
            <w:r>
              <w:rPr>
                <w:color w:val="auto"/>
                <w:kern w:val="21"/>
                <w:sz w:val="18"/>
                <w:szCs w:val="18"/>
                <w:highlight w:val="none"/>
                <w:u w:val="none" w:color="auto"/>
              </w:rPr>
              <w:t>效率%</w:t>
            </w:r>
          </w:p>
        </w:tc>
        <w:tc>
          <w:tcPr>
            <w:tcW w:w="324" w:type="pct"/>
            <w:vMerge w:val="continue"/>
            <w:tcBorders>
              <w:tl2br w:val="nil"/>
              <w:tr2bl w:val="nil"/>
            </w:tcBorders>
            <w:noWrap w:val="0"/>
            <w:vAlign w:val="center"/>
          </w:tcPr>
          <w:p w14:paraId="64BE20F6">
            <w:pPr>
              <w:jc w:val="center"/>
              <w:rPr>
                <w:color w:val="auto"/>
                <w:kern w:val="21"/>
                <w:sz w:val="18"/>
                <w:szCs w:val="18"/>
                <w:highlight w:val="none"/>
                <w:u w:val="none" w:color="auto"/>
              </w:rPr>
            </w:pPr>
          </w:p>
        </w:tc>
        <w:tc>
          <w:tcPr>
            <w:tcW w:w="197" w:type="pct"/>
            <w:tcBorders>
              <w:tl2br w:val="nil"/>
              <w:tr2bl w:val="nil"/>
            </w:tcBorders>
            <w:noWrap w:val="0"/>
            <w:vAlign w:val="center"/>
          </w:tcPr>
          <w:p w14:paraId="180A36B8">
            <w:pPr>
              <w:jc w:val="center"/>
              <w:rPr>
                <w:color w:val="auto"/>
                <w:kern w:val="21"/>
                <w:sz w:val="18"/>
                <w:szCs w:val="18"/>
                <w:highlight w:val="none"/>
                <w:u w:val="none" w:color="auto"/>
              </w:rPr>
            </w:pPr>
            <w:r>
              <w:rPr>
                <w:color w:val="auto"/>
                <w:kern w:val="21"/>
                <w:sz w:val="18"/>
                <w:szCs w:val="18"/>
                <w:highlight w:val="none"/>
                <w:u w:val="none" w:color="auto"/>
              </w:rPr>
              <w:t>核算方法</w:t>
            </w:r>
          </w:p>
        </w:tc>
        <w:tc>
          <w:tcPr>
            <w:tcW w:w="353" w:type="pct"/>
            <w:tcBorders>
              <w:tl2br w:val="nil"/>
              <w:tr2bl w:val="nil"/>
            </w:tcBorders>
            <w:noWrap w:val="0"/>
            <w:vAlign w:val="center"/>
          </w:tcPr>
          <w:p w14:paraId="29598076">
            <w:pPr>
              <w:jc w:val="center"/>
              <w:rPr>
                <w:color w:val="auto"/>
                <w:kern w:val="21"/>
                <w:sz w:val="18"/>
                <w:szCs w:val="18"/>
                <w:highlight w:val="none"/>
                <w:u w:val="none" w:color="auto"/>
              </w:rPr>
            </w:pPr>
            <w:r>
              <w:rPr>
                <w:color w:val="auto"/>
                <w:kern w:val="21"/>
                <w:sz w:val="18"/>
                <w:szCs w:val="18"/>
                <w:highlight w:val="none"/>
                <w:u w:val="none" w:color="auto"/>
              </w:rPr>
              <w:t>浓度mg/m</w:t>
            </w:r>
            <w:r>
              <w:rPr>
                <w:color w:val="auto"/>
                <w:kern w:val="21"/>
                <w:sz w:val="18"/>
                <w:szCs w:val="18"/>
                <w:highlight w:val="none"/>
                <w:u w:val="none" w:color="auto"/>
                <w:vertAlign w:val="superscript"/>
              </w:rPr>
              <w:t>3</w:t>
            </w:r>
          </w:p>
        </w:tc>
        <w:tc>
          <w:tcPr>
            <w:tcW w:w="336" w:type="pct"/>
            <w:tcBorders>
              <w:tl2br w:val="nil"/>
              <w:tr2bl w:val="nil"/>
            </w:tcBorders>
            <w:noWrap w:val="0"/>
            <w:vAlign w:val="center"/>
          </w:tcPr>
          <w:p w14:paraId="4F280A5B">
            <w:pPr>
              <w:jc w:val="center"/>
              <w:rPr>
                <w:color w:val="auto"/>
                <w:kern w:val="21"/>
                <w:sz w:val="18"/>
                <w:szCs w:val="18"/>
                <w:highlight w:val="none"/>
                <w:u w:val="none" w:color="auto"/>
              </w:rPr>
            </w:pPr>
            <w:r>
              <w:rPr>
                <w:color w:val="auto"/>
                <w:kern w:val="21"/>
                <w:sz w:val="18"/>
                <w:szCs w:val="18"/>
                <w:highlight w:val="none"/>
                <w:u w:val="none" w:color="auto"/>
              </w:rPr>
              <w:t>排放量</w:t>
            </w:r>
            <w:r>
              <w:rPr>
                <w:rFonts w:hint="eastAsia"/>
                <w:color w:val="auto"/>
                <w:kern w:val="21"/>
                <w:sz w:val="18"/>
                <w:szCs w:val="18"/>
                <w:highlight w:val="none"/>
                <w:u w:val="none" w:color="auto"/>
                <w:lang w:val="en-US" w:eastAsia="zh-CN"/>
              </w:rPr>
              <w:t>t</w:t>
            </w:r>
            <w:r>
              <w:rPr>
                <w:color w:val="auto"/>
                <w:kern w:val="21"/>
                <w:sz w:val="18"/>
                <w:szCs w:val="18"/>
                <w:highlight w:val="none"/>
                <w:u w:val="none" w:color="auto"/>
              </w:rPr>
              <w:t>/a</w:t>
            </w:r>
          </w:p>
        </w:tc>
        <w:tc>
          <w:tcPr>
            <w:tcW w:w="351" w:type="pct"/>
            <w:tcBorders>
              <w:tl2br w:val="nil"/>
              <w:tr2bl w:val="nil"/>
            </w:tcBorders>
            <w:noWrap w:val="0"/>
            <w:vAlign w:val="center"/>
          </w:tcPr>
          <w:p w14:paraId="3B42CAFF">
            <w:pPr>
              <w:jc w:val="center"/>
              <w:rPr>
                <w:color w:val="auto"/>
                <w:kern w:val="21"/>
                <w:sz w:val="18"/>
                <w:szCs w:val="18"/>
                <w:highlight w:val="none"/>
                <w:u w:val="none" w:color="auto"/>
              </w:rPr>
            </w:pPr>
            <w:r>
              <w:rPr>
                <w:color w:val="auto"/>
                <w:kern w:val="21"/>
                <w:sz w:val="18"/>
                <w:szCs w:val="18"/>
                <w:highlight w:val="none"/>
                <w:u w:val="none" w:color="auto"/>
              </w:rPr>
              <w:t>速率kg/h</w:t>
            </w:r>
          </w:p>
        </w:tc>
        <w:tc>
          <w:tcPr>
            <w:tcW w:w="282" w:type="pct"/>
            <w:vMerge w:val="continue"/>
            <w:tcBorders>
              <w:tl2br w:val="nil"/>
              <w:tr2bl w:val="nil"/>
            </w:tcBorders>
            <w:noWrap w:val="0"/>
            <w:vAlign w:val="center"/>
          </w:tcPr>
          <w:p w14:paraId="053ACCA2">
            <w:pPr>
              <w:jc w:val="center"/>
              <w:rPr>
                <w:color w:val="auto"/>
                <w:kern w:val="21"/>
                <w:sz w:val="18"/>
                <w:szCs w:val="18"/>
                <w:highlight w:val="none"/>
                <w:u w:val="none" w:color="auto"/>
              </w:rPr>
            </w:pPr>
          </w:p>
        </w:tc>
        <w:tc>
          <w:tcPr>
            <w:tcW w:w="269" w:type="pct"/>
            <w:vMerge w:val="continue"/>
            <w:tcBorders>
              <w:tl2br w:val="nil"/>
              <w:tr2bl w:val="nil"/>
            </w:tcBorders>
            <w:noWrap w:val="0"/>
            <w:vAlign w:val="center"/>
          </w:tcPr>
          <w:p w14:paraId="110DE647">
            <w:pPr>
              <w:jc w:val="center"/>
              <w:rPr>
                <w:color w:val="auto"/>
                <w:kern w:val="21"/>
                <w:sz w:val="18"/>
                <w:szCs w:val="18"/>
                <w:highlight w:val="none"/>
                <w:u w:val="none" w:color="auto"/>
              </w:rPr>
            </w:pPr>
          </w:p>
        </w:tc>
      </w:tr>
      <w:tr w14:paraId="631E37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85" w:hRule="atLeast"/>
          <w:tblHeader/>
          <w:jc w:val="center"/>
        </w:trPr>
        <w:tc>
          <w:tcPr>
            <w:tcW w:w="264" w:type="pct"/>
            <w:tcBorders>
              <w:tl2br w:val="nil"/>
              <w:tr2bl w:val="nil"/>
            </w:tcBorders>
            <w:noWrap w:val="0"/>
            <w:vAlign w:val="center"/>
          </w:tcPr>
          <w:p w14:paraId="50B2C42A">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水泥</w:t>
            </w:r>
            <w:r>
              <w:rPr>
                <w:rFonts w:hint="eastAsia" w:eastAsia="宋体"/>
                <w:color w:val="auto"/>
                <w:kern w:val="21"/>
                <w:sz w:val="18"/>
                <w:szCs w:val="18"/>
                <w:highlight w:val="none"/>
                <w:u w:val="none" w:color="auto"/>
                <w:lang w:val="en-US" w:eastAsia="zh-CN"/>
              </w:rPr>
              <w:t>筒仓</w:t>
            </w:r>
            <w:r>
              <w:rPr>
                <w:rFonts w:hint="eastAsia"/>
                <w:color w:val="auto"/>
                <w:kern w:val="21"/>
                <w:sz w:val="18"/>
                <w:szCs w:val="18"/>
                <w:highlight w:val="none"/>
                <w:u w:val="none" w:color="auto"/>
                <w:lang w:val="en-US" w:eastAsia="zh-CN"/>
              </w:rPr>
              <w:t>1</w:t>
            </w:r>
            <w:r>
              <w:rPr>
                <w:rFonts w:hint="eastAsia" w:eastAsia="宋体"/>
                <w:color w:val="auto"/>
                <w:kern w:val="21"/>
                <w:sz w:val="18"/>
                <w:szCs w:val="18"/>
                <w:highlight w:val="none"/>
                <w:u w:val="none" w:color="auto"/>
                <w:lang w:val="en-US" w:eastAsia="zh-CN"/>
              </w:rPr>
              <w:t>粉尘</w:t>
            </w:r>
          </w:p>
        </w:tc>
        <w:tc>
          <w:tcPr>
            <w:tcW w:w="324" w:type="pct"/>
            <w:tcBorders>
              <w:tl2br w:val="nil"/>
              <w:tr2bl w:val="nil"/>
            </w:tcBorders>
            <w:shd w:val="clear" w:color="auto" w:fill="auto"/>
            <w:noWrap w:val="0"/>
            <w:vAlign w:val="center"/>
          </w:tcPr>
          <w:p w14:paraId="62292B66">
            <w:pPr>
              <w:jc w:val="center"/>
              <w:rPr>
                <w:rFonts w:hint="default"/>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9.9×10</w:t>
            </w:r>
            <w:r>
              <w:rPr>
                <w:rFonts w:hint="eastAsia"/>
                <w:color w:val="auto"/>
                <w:kern w:val="21"/>
                <w:sz w:val="18"/>
                <w:szCs w:val="18"/>
                <w:highlight w:val="none"/>
                <w:u w:val="none" w:color="auto"/>
                <w:vertAlign w:val="superscript"/>
                <w:lang w:val="en-US" w:eastAsia="zh-CN"/>
              </w:rPr>
              <w:t>5</w:t>
            </w:r>
          </w:p>
        </w:tc>
        <w:tc>
          <w:tcPr>
            <w:tcW w:w="280" w:type="pct"/>
            <w:tcBorders>
              <w:tl2br w:val="nil"/>
              <w:tr2bl w:val="nil"/>
            </w:tcBorders>
            <w:shd w:val="clear" w:color="auto" w:fill="auto"/>
            <w:noWrap w:val="0"/>
            <w:vAlign w:val="center"/>
          </w:tcPr>
          <w:p w14:paraId="7CD5F254">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17/0.3</w:t>
            </w:r>
          </w:p>
        </w:tc>
        <w:tc>
          <w:tcPr>
            <w:tcW w:w="232" w:type="pct"/>
            <w:vMerge w:val="restart"/>
            <w:tcBorders>
              <w:tl2br w:val="nil"/>
              <w:tr2bl w:val="nil"/>
            </w:tcBorders>
            <w:noWrap w:val="0"/>
            <w:vAlign w:val="center"/>
          </w:tcPr>
          <w:p w14:paraId="3E159504">
            <w:pPr>
              <w:jc w:val="center"/>
              <w:rPr>
                <w:rFonts w:hint="default" w:eastAsia="宋体"/>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颗粒物</w:t>
            </w:r>
          </w:p>
        </w:tc>
        <w:tc>
          <w:tcPr>
            <w:tcW w:w="202" w:type="pct"/>
            <w:vMerge w:val="restart"/>
            <w:tcBorders>
              <w:tl2br w:val="nil"/>
              <w:tr2bl w:val="nil"/>
            </w:tcBorders>
            <w:noWrap w:val="0"/>
            <w:vAlign w:val="center"/>
          </w:tcPr>
          <w:p w14:paraId="1DCDC7C0">
            <w:pPr>
              <w:jc w:val="center"/>
              <w:rPr>
                <w:rFonts w:hint="default" w:eastAsia="宋体"/>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产排污系数法</w:t>
            </w:r>
          </w:p>
        </w:tc>
        <w:tc>
          <w:tcPr>
            <w:tcW w:w="350" w:type="pct"/>
            <w:tcBorders>
              <w:tl2br w:val="nil"/>
              <w:tr2bl w:val="nil"/>
            </w:tcBorders>
            <w:shd w:val="clear" w:color="auto" w:fill="auto"/>
            <w:noWrap w:val="0"/>
            <w:vAlign w:val="center"/>
          </w:tcPr>
          <w:p w14:paraId="657FEC40">
            <w:pPr>
              <w:jc w:val="center"/>
              <w:rPr>
                <w:rFonts w:hint="default"/>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866.2</w:t>
            </w:r>
          </w:p>
        </w:tc>
        <w:tc>
          <w:tcPr>
            <w:tcW w:w="329" w:type="pct"/>
            <w:tcBorders>
              <w:tl2br w:val="nil"/>
              <w:tr2bl w:val="nil"/>
            </w:tcBorders>
            <w:shd w:val="clear" w:color="auto" w:fill="auto"/>
            <w:noWrap w:val="0"/>
            <w:vAlign w:val="center"/>
          </w:tcPr>
          <w:p w14:paraId="54EFFAAA">
            <w:pPr>
              <w:jc w:val="center"/>
              <w:rPr>
                <w:rFonts w:hint="default"/>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6.86</w:t>
            </w:r>
          </w:p>
        </w:tc>
        <w:tc>
          <w:tcPr>
            <w:tcW w:w="308" w:type="pct"/>
            <w:tcBorders>
              <w:tl2br w:val="nil"/>
              <w:tr2bl w:val="nil"/>
            </w:tcBorders>
            <w:shd w:val="clear" w:color="auto" w:fill="auto"/>
            <w:noWrap w:val="0"/>
            <w:vAlign w:val="center"/>
          </w:tcPr>
          <w:p w14:paraId="70BCCB5D">
            <w:pPr>
              <w:jc w:val="center"/>
              <w:rPr>
                <w:rFonts w:hint="default"/>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3.81</w:t>
            </w:r>
          </w:p>
        </w:tc>
        <w:tc>
          <w:tcPr>
            <w:tcW w:w="315" w:type="pct"/>
            <w:tcBorders>
              <w:tl2br w:val="nil"/>
              <w:tr2bl w:val="nil"/>
            </w:tcBorders>
            <w:noWrap w:val="0"/>
            <w:vAlign w:val="center"/>
          </w:tcPr>
          <w:p w14:paraId="672AA31B">
            <w:pPr>
              <w:jc w:val="center"/>
              <w:rPr>
                <w:rFonts w:hint="eastAsia"/>
                <w:i w:val="0"/>
                <w:iCs w:val="0"/>
                <w:color w:val="auto"/>
                <w:sz w:val="18"/>
                <w:szCs w:val="18"/>
                <w:highlight w:val="none"/>
                <w:u w:val="none" w:color="auto"/>
                <w:lang w:val="en-US" w:eastAsia="zh-CN"/>
              </w:rPr>
            </w:pPr>
            <w:r>
              <w:rPr>
                <w:rFonts w:hint="eastAsia"/>
                <w:i w:val="0"/>
                <w:iCs w:val="0"/>
                <w:color w:val="auto"/>
                <w:sz w:val="18"/>
                <w:szCs w:val="18"/>
                <w:highlight w:val="none"/>
                <w:u w:val="none" w:color="auto"/>
                <w:lang w:val="en-US" w:eastAsia="zh-CN"/>
              </w:rPr>
              <w:t>筒仓</w:t>
            </w:r>
            <w:r>
              <w:rPr>
                <w:rFonts w:hint="eastAsia"/>
                <w:i w:val="0"/>
                <w:iCs w:val="0"/>
                <w:color w:val="auto"/>
                <w:sz w:val="18"/>
                <w:szCs w:val="18"/>
                <w:highlight w:val="none"/>
                <w:u w:val="none" w:color="auto"/>
              </w:rPr>
              <w:t>自带脉冲袋式除尘器</w:t>
            </w:r>
            <w:r>
              <w:rPr>
                <w:rFonts w:hint="eastAsia"/>
                <w:i w:val="0"/>
                <w:iCs w:val="0"/>
                <w:color w:val="auto"/>
                <w:sz w:val="18"/>
                <w:szCs w:val="18"/>
                <w:highlight w:val="none"/>
                <w:u w:val="none" w:color="auto"/>
                <w:lang w:val="en-US" w:eastAsia="zh-CN"/>
              </w:rPr>
              <w:t>+底部排气口</w:t>
            </w:r>
          </w:p>
        </w:tc>
        <w:tc>
          <w:tcPr>
            <w:tcW w:w="277" w:type="pct"/>
            <w:tcBorders>
              <w:tl2br w:val="nil"/>
              <w:tr2bl w:val="nil"/>
            </w:tcBorders>
            <w:noWrap w:val="0"/>
            <w:vAlign w:val="center"/>
          </w:tcPr>
          <w:p w14:paraId="29B90C0B">
            <w:pPr>
              <w:jc w:val="center"/>
              <w:rPr>
                <w:rFonts w:hint="eastAsia" w:eastAsia="宋体"/>
                <w:color w:val="auto"/>
                <w:kern w:val="21"/>
                <w:sz w:val="18"/>
                <w:szCs w:val="18"/>
                <w:highlight w:val="none"/>
                <w:u w:val="none" w:color="auto"/>
                <w:lang w:val="en-US" w:eastAsia="zh-CN"/>
              </w:rPr>
            </w:pPr>
            <w:r>
              <w:rPr>
                <w:rFonts w:hint="eastAsia" w:eastAsia="宋体"/>
                <w:color w:val="auto"/>
                <w:kern w:val="21"/>
                <w:sz w:val="18"/>
                <w:szCs w:val="18"/>
                <w:highlight w:val="none"/>
                <w:u w:val="none" w:color="auto"/>
                <w:lang w:val="en-US" w:eastAsia="zh-CN"/>
              </w:rPr>
              <w:t>99.7</w:t>
            </w:r>
          </w:p>
        </w:tc>
        <w:tc>
          <w:tcPr>
            <w:tcW w:w="324" w:type="pct"/>
            <w:tcBorders>
              <w:tl2br w:val="nil"/>
              <w:tr2bl w:val="nil"/>
            </w:tcBorders>
            <w:shd w:val="clear" w:color="auto" w:fill="auto"/>
            <w:noWrap w:val="0"/>
            <w:vAlign w:val="center"/>
          </w:tcPr>
          <w:p w14:paraId="4995A548">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9.9×10</w:t>
            </w:r>
            <w:r>
              <w:rPr>
                <w:rFonts w:hint="eastAsia"/>
                <w:color w:val="auto"/>
                <w:kern w:val="21"/>
                <w:sz w:val="18"/>
                <w:szCs w:val="18"/>
                <w:highlight w:val="none"/>
                <w:u w:val="none" w:color="auto"/>
                <w:vertAlign w:val="superscript"/>
                <w:lang w:val="en-US" w:eastAsia="zh-CN"/>
              </w:rPr>
              <w:t>5</w:t>
            </w:r>
          </w:p>
        </w:tc>
        <w:tc>
          <w:tcPr>
            <w:tcW w:w="197" w:type="pct"/>
            <w:vMerge w:val="restart"/>
            <w:tcBorders>
              <w:tl2br w:val="nil"/>
              <w:tr2bl w:val="nil"/>
            </w:tcBorders>
            <w:noWrap w:val="0"/>
            <w:vAlign w:val="center"/>
          </w:tcPr>
          <w:p w14:paraId="3E68002B">
            <w:pPr>
              <w:jc w:val="center"/>
              <w:rPr>
                <w:rFonts w:hint="default" w:eastAsia="宋体"/>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产排污系数法</w:t>
            </w:r>
          </w:p>
        </w:tc>
        <w:tc>
          <w:tcPr>
            <w:tcW w:w="353" w:type="pct"/>
            <w:tcBorders>
              <w:tl2br w:val="nil"/>
              <w:tr2bl w:val="nil"/>
            </w:tcBorders>
            <w:shd w:val="clear" w:color="auto" w:fill="auto"/>
            <w:noWrap w:val="0"/>
            <w:vAlign w:val="center"/>
          </w:tcPr>
          <w:p w14:paraId="232F2D3C">
            <w:pPr>
              <w:jc w:val="center"/>
              <w:rPr>
                <w:rFonts w:hint="default"/>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2.6</w:t>
            </w:r>
          </w:p>
        </w:tc>
        <w:tc>
          <w:tcPr>
            <w:tcW w:w="336" w:type="pct"/>
            <w:tcBorders>
              <w:tl2br w:val="nil"/>
              <w:tr2bl w:val="nil"/>
            </w:tcBorders>
            <w:noWrap w:val="0"/>
            <w:vAlign w:val="center"/>
          </w:tcPr>
          <w:p w14:paraId="52DDFCF2">
            <w:pPr>
              <w:jc w:val="center"/>
              <w:rPr>
                <w:rFonts w:hint="default"/>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0.02</w:t>
            </w:r>
          </w:p>
        </w:tc>
        <w:tc>
          <w:tcPr>
            <w:tcW w:w="351" w:type="pct"/>
            <w:tcBorders>
              <w:tl2br w:val="nil"/>
              <w:tr2bl w:val="nil"/>
            </w:tcBorders>
            <w:noWrap w:val="0"/>
            <w:vAlign w:val="center"/>
          </w:tcPr>
          <w:p w14:paraId="710575FC">
            <w:pPr>
              <w:jc w:val="center"/>
              <w:rPr>
                <w:rFonts w:hint="default" w:eastAsia="宋体"/>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0.011</w:t>
            </w:r>
          </w:p>
        </w:tc>
        <w:tc>
          <w:tcPr>
            <w:tcW w:w="282" w:type="pct"/>
            <w:vMerge w:val="restart"/>
            <w:tcBorders>
              <w:tl2br w:val="nil"/>
              <w:tr2bl w:val="nil"/>
            </w:tcBorders>
            <w:noWrap w:val="0"/>
            <w:vAlign w:val="center"/>
          </w:tcPr>
          <w:p w14:paraId="2E3C2244">
            <w:pPr>
              <w:jc w:val="center"/>
              <w:rPr>
                <w:rFonts w:hint="default" w:eastAsia="宋体"/>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20</w:t>
            </w:r>
          </w:p>
        </w:tc>
        <w:tc>
          <w:tcPr>
            <w:tcW w:w="269" w:type="pct"/>
            <w:vMerge w:val="restart"/>
            <w:tcBorders>
              <w:tl2br w:val="nil"/>
              <w:tr2bl w:val="nil"/>
            </w:tcBorders>
            <w:noWrap w:val="0"/>
            <w:vAlign w:val="center"/>
          </w:tcPr>
          <w:p w14:paraId="299396A5">
            <w:pPr>
              <w:jc w:val="center"/>
              <w:rPr>
                <w:rFonts w:hint="default" w:eastAsia="宋体"/>
                <w:color w:val="auto"/>
                <w:kern w:val="21"/>
                <w:sz w:val="18"/>
                <w:szCs w:val="18"/>
                <w:highlight w:val="green"/>
                <w:u w:val="none" w:color="auto"/>
                <w:lang w:val="en-US" w:eastAsia="zh-CN"/>
              </w:rPr>
            </w:pPr>
            <w:r>
              <w:rPr>
                <w:rFonts w:hint="eastAsia"/>
                <w:color w:val="auto"/>
                <w:kern w:val="21"/>
                <w:sz w:val="18"/>
                <w:szCs w:val="18"/>
                <w:highlight w:val="none"/>
                <w:u w:val="none" w:color="auto"/>
                <w:lang w:val="en-US" w:eastAsia="zh-CN"/>
              </w:rPr>
              <w:t>1800</w:t>
            </w:r>
          </w:p>
        </w:tc>
      </w:tr>
      <w:tr w14:paraId="55F301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264" w:type="pct"/>
            <w:tcBorders>
              <w:tl2br w:val="nil"/>
              <w:tr2bl w:val="nil"/>
            </w:tcBorders>
            <w:noWrap w:val="0"/>
            <w:vAlign w:val="center"/>
          </w:tcPr>
          <w:p w14:paraId="32E046A3">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水泥</w:t>
            </w:r>
            <w:r>
              <w:rPr>
                <w:rFonts w:hint="eastAsia" w:eastAsia="宋体"/>
                <w:color w:val="auto"/>
                <w:kern w:val="21"/>
                <w:sz w:val="18"/>
                <w:szCs w:val="18"/>
                <w:highlight w:val="none"/>
                <w:u w:val="none" w:color="auto"/>
                <w:lang w:val="en-US" w:eastAsia="zh-CN"/>
              </w:rPr>
              <w:t>筒仓</w:t>
            </w:r>
            <w:r>
              <w:rPr>
                <w:rFonts w:hint="eastAsia"/>
                <w:color w:val="auto"/>
                <w:kern w:val="21"/>
                <w:sz w:val="18"/>
                <w:szCs w:val="18"/>
                <w:highlight w:val="none"/>
                <w:u w:val="none" w:color="auto"/>
                <w:lang w:val="en-US" w:eastAsia="zh-CN"/>
              </w:rPr>
              <w:t>2</w:t>
            </w:r>
            <w:r>
              <w:rPr>
                <w:rFonts w:hint="eastAsia" w:eastAsia="宋体"/>
                <w:color w:val="auto"/>
                <w:kern w:val="21"/>
                <w:sz w:val="18"/>
                <w:szCs w:val="18"/>
                <w:highlight w:val="none"/>
                <w:u w:val="none" w:color="auto"/>
                <w:lang w:val="en-US" w:eastAsia="zh-CN"/>
              </w:rPr>
              <w:t>粉尘</w:t>
            </w:r>
          </w:p>
        </w:tc>
        <w:tc>
          <w:tcPr>
            <w:tcW w:w="324" w:type="pct"/>
            <w:tcBorders>
              <w:tl2br w:val="nil"/>
              <w:tr2bl w:val="nil"/>
            </w:tcBorders>
            <w:shd w:val="clear" w:color="auto" w:fill="auto"/>
            <w:noWrap w:val="0"/>
            <w:vAlign w:val="center"/>
          </w:tcPr>
          <w:p w14:paraId="68F233B7">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9.9×10</w:t>
            </w:r>
            <w:r>
              <w:rPr>
                <w:rFonts w:hint="eastAsia"/>
                <w:color w:val="auto"/>
                <w:kern w:val="21"/>
                <w:sz w:val="18"/>
                <w:szCs w:val="18"/>
                <w:highlight w:val="none"/>
                <w:u w:val="none" w:color="auto"/>
                <w:vertAlign w:val="superscript"/>
                <w:lang w:val="en-US" w:eastAsia="zh-CN"/>
              </w:rPr>
              <w:t>5</w:t>
            </w:r>
          </w:p>
        </w:tc>
        <w:tc>
          <w:tcPr>
            <w:tcW w:w="280" w:type="pct"/>
            <w:tcBorders>
              <w:tl2br w:val="nil"/>
              <w:tr2bl w:val="nil"/>
            </w:tcBorders>
            <w:shd w:val="clear" w:color="auto" w:fill="auto"/>
            <w:noWrap w:val="0"/>
            <w:vAlign w:val="center"/>
          </w:tcPr>
          <w:p w14:paraId="3B8BD477">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17/0.3</w:t>
            </w:r>
          </w:p>
        </w:tc>
        <w:tc>
          <w:tcPr>
            <w:tcW w:w="232" w:type="pct"/>
            <w:vMerge w:val="continue"/>
            <w:tcBorders>
              <w:tl2br w:val="nil"/>
              <w:tr2bl w:val="nil"/>
            </w:tcBorders>
            <w:noWrap w:val="0"/>
            <w:vAlign w:val="center"/>
          </w:tcPr>
          <w:p w14:paraId="6157A5B5">
            <w:pPr>
              <w:jc w:val="center"/>
              <w:rPr>
                <w:rFonts w:hint="eastAsia" w:eastAsia="宋体"/>
                <w:color w:val="auto"/>
                <w:kern w:val="21"/>
                <w:sz w:val="18"/>
                <w:szCs w:val="18"/>
                <w:highlight w:val="none"/>
                <w:u w:val="none" w:color="auto"/>
                <w:lang w:val="en-US" w:eastAsia="zh-CN"/>
              </w:rPr>
            </w:pPr>
          </w:p>
        </w:tc>
        <w:tc>
          <w:tcPr>
            <w:tcW w:w="202" w:type="pct"/>
            <w:vMerge w:val="continue"/>
            <w:tcBorders>
              <w:tl2br w:val="nil"/>
              <w:tr2bl w:val="nil"/>
            </w:tcBorders>
            <w:noWrap w:val="0"/>
            <w:vAlign w:val="center"/>
          </w:tcPr>
          <w:p w14:paraId="38222987">
            <w:pPr>
              <w:jc w:val="center"/>
              <w:rPr>
                <w:rFonts w:hint="eastAsia"/>
                <w:color w:val="auto"/>
                <w:kern w:val="21"/>
                <w:sz w:val="18"/>
                <w:szCs w:val="18"/>
                <w:highlight w:val="none"/>
                <w:u w:val="none" w:color="auto"/>
                <w:lang w:val="en-US" w:eastAsia="zh-CN"/>
              </w:rPr>
            </w:pPr>
          </w:p>
        </w:tc>
        <w:tc>
          <w:tcPr>
            <w:tcW w:w="350" w:type="pct"/>
            <w:tcBorders>
              <w:tl2br w:val="nil"/>
              <w:tr2bl w:val="nil"/>
            </w:tcBorders>
            <w:shd w:val="clear" w:color="auto" w:fill="auto"/>
            <w:noWrap w:val="0"/>
            <w:vAlign w:val="center"/>
          </w:tcPr>
          <w:p w14:paraId="566F3CBF">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866.2</w:t>
            </w:r>
          </w:p>
        </w:tc>
        <w:tc>
          <w:tcPr>
            <w:tcW w:w="329" w:type="pct"/>
            <w:tcBorders>
              <w:tl2br w:val="nil"/>
              <w:tr2bl w:val="nil"/>
            </w:tcBorders>
            <w:shd w:val="clear" w:color="auto" w:fill="auto"/>
            <w:noWrap w:val="0"/>
            <w:vAlign w:val="center"/>
          </w:tcPr>
          <w:p w14:paraId="697C8E49">
            <w:pPr>
              <w:jc w:val="center"/>
              <w:rPr>
                <w:rFonts w:hint="default"/>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6.86</w:t>
            </w:r>
          </w:p>
        </w:tc>
        <w:tc>
          <w:tcPr>
            <w:tcW w:w="308" w:type="pct"/>
            <w:tcBorders>
              <w:tl2br w:val="nil"/>
              <w:tr2bl w:val="nil"/>
            </w:tcBorders>
            <w:shd w:val="clear" w:color="auto" w:fill="auto"/>
            <w:noWrap w:val="0"/>
            <w:vAlign w:val="center"/>
          </w:tcPr>
          <w:p w14:paraId="573D71E2">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3.81</w:t>
            </w:r>
          </w:p>
        </w:tc>
        <w:tc>
          <w:tcPr>
            <w:tcW w:w="315" w:type="pct"/>
            <w:tcBorders>
              <w:tl2br w:val="nil"/>
              <w:tr2bl w:val="nil"/>
            </w:tcBorders>
            <w:noWrap w:val="0"/>
            <w:vAlign w:val="center"/>
          </w:tcPr>
          <w:p w14:paraId="3A8DE4FA">
            <w:pPr>
              <w:jc w:val="center"/>
              <w:rPr>
                <w:rFonts w:hint="eastAsia"/>
                <w:i w:val="0"/>
                <w:iCs w:val="0"/>
                <w:color w:val="auto"/>
                <w:sz w:val="18"/>
                <w:szCs w:val="18"/>
                <w:highlight w:val="none"/>
                <w:u w:val="none" w:color="auto"/>
                <w:lang w:val="en-US" w:eastAsia="zh-CN"/>
              </w:rPr>
            </w:pPr>
            <w:r>
              <w:rPr>
                <w:rFonts w:hint="eastAsia"/>
                <w:i w:val="0"/>
                <w:iCs w:val="0"/>
                <w:color w:val="auto"/>
                <w:sz w:val="18"/>
                <w:szCs w:val="18"/>
                <w:highlight w:val="none"/>
                <w:u w:val="none" w:color="auto"/>
                <w:lang w:val="en-US" w:eastAsia="zh-CN"/>
              </w:rPr>
              <w:t>筒仓</w:t>
            </w:r>
            <w:r>
              <w:rPr>
                <w:rFonts w:hint="eastAsia"/>
                <w:i w:val="0"/>
                <w:iCs w:val="0"/>
                <w:color w:val="auto"/>
                <w:sz w:val="18"/>
                <w:szCs w:val="18"/>
                <w:highlight w:val="none"/>
                <w:u w:val="none" w:color="auto"/>
              </w:rPr>
              <w:t>自带脉冲袋式除尘器</w:t>
            </w:r>
            <w:r>
              <w:rPr>
                <w:rFonts w:hint="eastAsia"/>
                <w:i w:val="0"/>
                <w:iCs w:val="0"/>
                <w:color w:val="auto"/>
                <w:sz w:val="18"/>
                <w:szCs w:val="18"/>
                <w:highlight w:val="none"/>
                <w:u w:val="none" w:color="auto"/>
                <w:lang w:val="en-US" w:eastAsia="zh-CN"/>
              </w:rPr>
              <w:t>+底部排气口</w:t>
            </w:r>
          </w:p>
        </w:tc>
        <w:tc>
          <w:tcPr>
            <w:tcW w:w="277" w:type="pct"/>
            <w:tcBorders>
              <w:tl2br w:val="nil"/>
              <w:tr2bl w:val="nil"/>
            </w:tcBorders>
            <w:noWrap w:val="0"/>
            <w:vAlign w:val="center"/>
          </w:tcPr>
          <w:p w14:paraId="29B5251F">
            <w:pPr>
              <w:jc w:val="center"/>
              <w:rPr>
                <w:rFonts w:hint="eastAsia" w:eastAsia="宋体"/>
                <w:color w:val="auto"/>
                <w:kern w:val="21"/>
                <w:sz w:val="18"/>
                <w:szCs w:val="18"/>
                <w:highlight w:val="none"/>
                <w:u w:val="none" w:color="auto"/>
                <w:lang w:val="en-US" w:eastAsia="zh-CN"/>
              </w:rPr>
            </w:pPr>
            <w:r>
              <w:rPr>
                <w:rFonts w:hint="eastAsia" w:eastAsia="宋体"/>
                <w:color w:val="auto"/>
                <w:kern w:val="21"/>
                <w:sz w:val="18"/>
                <w:szCs w:val="18"/>
                <w:highlight w:val="none"/>
                <w:u w:val="none" w:color="auto"/>
                <w:lang w:val="en-US" w:eastAsia="zh-CN"/>
              </w:rPr>
              <w:t>99.7</w:t>
            </w:r>
          </w:p>
        </w:tc>
        <w:tc>
          <w:tcPr>
            <w:tcW w:w="324" w:type="pct"/>
            <w:tcBorders>
              <w:tl2br w:val="nil"/>
              <w:tr2bl w:val="nil"/>
            </w:tcBorders>
            <w:shd w:val="clear" w:color="auto" w:fill="auto"/>
            <w:noWrap w:val="0"/>
            <w:vAlign w:val="center"/>
          </w:tcPr>
          <w:p w14:paraId="309D9F4F">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9.9×10</w:t>
            </w:r>
            <w:r>
              <w:rPr>
                <w:rFonts w:hint="eastAsia"/>
                <w:color w:val="auto"/>
                <w:kern w:val="21"/>
                <w:sz w:val="18"/>
                <w:szCs w:val="18"/>
                <w:highlight w:val="none"/>
                <w:u w:val="none" w:color="auto"/>
                <w:vertAlign w:val="superscript"/>
                <w:lang w:val="en-US" w:eastAsia="zh-CN"/>
              </w:rPr>
              <w:t>5</w:t>
            </w:r>
          </w:p>
        </w:tc>
        <w:tc>
          <w:tcPr>
            <w:tcW w:w="197" w:type="pct"/>
            <w:vMerge w:val="continue"/>
            <w:tcBorders>
              <w:tl2br w:val="nil"/>
              <w:tr2bl w:val="nil"/>
            </w:tcBorders>
            <w:noWrap w:val="0"/>
            <w:vAlign w:val="center"/>
          </w:tcPr>
          <w:p w14:paraId="597E366C">
            <w:pPr>
              <w:jc w:val="center"/>
              <w:rPr>
                <w:rFonts w:hint="eastAsia"/>
                <w:color w:val="auto"/>
                <w:kern w:val="21"/>
                <w:sz w:val="18"/>
                <w:szCs w:val="18"/>
                <w:highlight w:val="none"/>
                <w:u w:val="none" w:color="auto"/>
                <w:lang w:val="en-US" w:eastAsia="zh-CN"/>
              </w:rPr>
            </w:pPr>
          </w:p>
        </w:tc>
        <w:tc>
          <w:tcPr>
            <w:tcW w:w="353" w:type="pct"/>
            <w:tcBorders>
              <w:tl2br w:val="nil"/>
              <w:tr2bl w:val="nil"/>
            </w:tcBorders>
            <w:shd w:val="clear" w:color="auto" w:fill="auto"/>
            <w:noWrap w:val="0"/>
            <w:vAlign w:val="center"/>
          </w:tcPr>
          <w:p w14:paraId="02816453">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2.6</w:t>
            </w:r>
          </w:p>
        </w:tc>
        <w:tc>
          <w:tcPr>
            <w:tcW w:w="336" w:type="pct"/>
            <w:tcBorders>
              <w:tl2br w:val="nil"/>
              <w:tr2bl w:val="nil"/>
            </w:tcBorders>
            <w:noWrap w:val="0"/>
            <w:vAlign w:val="center"/>
          </w:tcPr>
          <w:p w14:paraId="633A0806">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0.02</w:t>
            </w:r>
          </w:p>
        </w:tc>
        <w:tc>
          <w:tcPr>
            <w:tcW w:w="351" w:type="pct"/>
            <w:tcBorders>
              <w:tl2br w:val="nil"/>
              <w:tr2bl w:val="nil"/>
            </w:tcBorders>
            <w:noWrap w:val="0"/>
            <w:vAlign w:val="center"/>
          </w:tcPr>
          <w:p w14:paraId="46E2D0A1">
            <w:pPr>
              <w:jc w:val="center"/>
              <w:rPr>
                <w:rFonts w:hint="default" w:eastAsia="宋体"/>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0.011</w:t>
            </w:r>
          </w:p>
        </w:tc>
        <w:tc>
          <w:tcPr>
            <w:tcW w:w="282" w:type="pct"/>
            <w:vMerge w:val="continue"/>
            <w:tcBorders>
              <w:tl2br w:val="nil"/>
              <w:tr2bl w:val="nil"/>
            </w:tcBorders>
            <w:noWrap w:val="0"/>
            <w:vAlign w:val="center"/>
          </w:tcPr>
          <w:p w14:paraId="3B6BBA48">
            <w:pPr>
              <w:jc w:val="center"/>
              <w:rPr>
                <w:rFonts w:hint="eastAsia"/>
                <w:color w:val="auto"/>
                <w:kern w:val="21"/>
                <w:sz w:val="18"/>
                <w:szCs w:val="18"/>
                <w:highlight w:val="none"/>
                <w:u w:val="none" w:color="auto"/>
                <w:lang w:val="en-US" w:eastAsia="zh-CN"/>
              </w:rPr>
            </w:pPr>
          </w:p>
        </w:tc>
        <w:tc>
          <w:tcPr>
            <w:tcW w:w="269" w:type="pct"/>
            <w:vMerge w:val="continue"/>
            <w:tcBorders>
              <w:tl2br w:val="nil"/>
              <w:tr2bl w:val="nil"/>
            </w:tcBorders>
            <w:noWrap w:val="0"/>
            <w:vAlign w:val="center"/>
          </w:tcPr>
          <w:p w14:paraId="35655E55">
            <w:pPr>
              <w:jc w:val="center"/>
              <w:rPr>
                <w:rFonts w:hint="eastAsia"/>
                <w:color w:val="auto"/>
                <w:kern w:val="21"/>
                <w:sz w:val="18"/>
                <w:szCs w:val="18"/>
                <w:highlight w:val="none"/>
                <w:u w:val="none" w:color="auto"/>
                <w:lang w:val="en-US" w:eastAsia="zh-CN"/>
              </w:rPr>
            </w:pPr>
          </w:p>
        </w:tc>
      </w:tr>
      <w:tr w14:paraId="7E740D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264" w:type="pct"/>
            <w:tcBorders>
              <w:tl2br w:val="nil"/>
              <w:tr2bl w:val="nil"/>
            </w:tcBorders>
            <w:noWrap w:val="0"/>
            <w:vAlign w:val="center"/>
          </w:tcPr>
          <w:p w14:paraId="415356AA">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水泥</w:t>
            </w:r>
            <w:r>
              <w:rPr>
                <w:rFonts w:hint="eastAsia" w:eastAsia="宋体"/>
                <w:color w:val="auto"/>
                <w:kern w:val="21"/>
                <w:sz w:val="18"/>
                <w:szCs w:val="18"/>
                <w:highlight w:val="none"/>
                <w:u w:val="none" w:color="auto"/>
                <w:lang w:val="en-US" w:eastAsia="zh-CN"/>
              </w:rPr>
              <w:t>筒仓</w:t>
            </w:r>
            <w:r>
              <w:rPr>
                <w:rFonts w:hint="eastAsia"/>
                <w:color w:val="auto"/>
                <w:kern w:val="21"/>
                <w:sz w:val="18"/>
                <w:szCs w:val="18"/>
                <w:highlight w:val="none"/>
                <w:u w:val="none" w:color="auto"/>
                <w:lang w:val="en-US" w:eastAsia="zh-CN"/>
              </w:rPr>
              <w:t>3</w:t>
            </w:r>
            <w:r>
              <w:rPr>
                <w:rFonts w:hint="eastAsia" w:eastAsia="宋体"/>
                <w:color w:val="auto"/>
                <w:kern w:val="21"/>
                <w:sz w:val="18"/>
                <w:szCs w:val="18"/>
                <w:highlight w:val="none"/>
                <w:u w:val="none" w:color="auto"/>
                <w:lang w:val="en-US" w:eastAsia="zh-CN"/>
              </w:rPr>
              <w:t>粉尘</w:t>
            </w:r>
          </w:p>
        </w:tc>
        <w:tc>
          <w:tcPr>
            <w:tcW w:w="324" w:type="pct"/>
            <w:tcBorders>
              <w:tl2br w:val="nil"/>
              <w:tr2bl w:val="nil"/>
            </w:tcBorders>
            <w:shd w:val="clear" w:color="auto" w:fill="auto"/>
            <w:noWrap w:val="0"/>
            <w:vAlign w:val="center"/>
          </w:tcPr>
          <w:p w14:paraId="1C6B5861">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9.9×10</w:t>
            </w:r>
            <w:r>
              <w:rPr>
                <w:rFonts w:hint="eastAsia"/>
                <w:color w:val="auto"/>
                <w:kern w:val="21"/>
                <w:sz w:val="18"/>
                <w:szCs w:val="18"/>
                <w:highlight w:val="none"/>
                <w:u w:val="none" w:color="auto"/>
                <w:vertAlign w:val="superscript"/>
                <w:lang w:val="en-US" w:eastAsia="zh-CN"/>
              </w:rPr>
              <w:t>5</w:t>
            </w:r>
          </w:p>
        </w:tc>
        <w:tc>
          <w:tcPr>
            <w:tcW w:w="280" w:type="pct"/>
            <w:tcBorders>
              <w:tl2br w:val="nil"/>
              <w:tr2bl w:val="nil"/>
            </w:tcBorders>
            <w:shd w:val="clear" w:color="auto" w:fill="auto"/>
            <w:noWrap w:val="0"/>
            <w:vAlign w:val="center"/>
          </w:tcPr>
          <w:p w14:paraId="587DF5C4">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17/0.3</w:t>
            </w:r>
          </w:p>
        </w:tc>
        <w:tc>
          <w:tcPr>
            <w:tcW w:w="232" w:type="pct"/>
            <w:vMerge w:val="continue"/>
            <w:tcBorders>
              <w:tl2br w:val="nil"/>
              <w:tr2bl w:val="nil"/>
            </w:tcBorders>
            <w:noWrap w:val="0"/>
            <w:vAlign w:val="center"/>
          </w:tcPr>
          <w:p w14:paraId="03F36190">
            <w:pPr>
              <w:jc w:val="center"/>
              <w:rPr>
                <w:rFonts w:hint="eastAsia" w:eastAsia="宋体"/>
                <w:color w:val="auto"/>
                <w:kern w:val="21"/>
                <w:sz w:val="18"/>
                <w:szCs w:val="18"/>
                <w:highlight w:val="none"/>
                <w:u w:val="none" w:color="auto"/>
                <w:lang w:val="en-US" w:eastAsia="zh-CN"/>
              </w:rPr>
            </w:pPr>
          </w:p>
        </w:tc>
        <w:tc>
          <w:tcPr>
            <w:tcW w:w="202" w:type="pct"/>
            <w:vMerge w:val="continue"/>
            <w:tcBorders>
              <w:tl2br w:val="nil"/>
              <w:tr2bl w:val="nil"/>
            </w:tcBorders>
            <w:noWrap w:val="0"/>
            <w:vAlign w:val="center"/>
          </w:tcPr>
          <w:p w14:paraId="5683BFF2">
            <w:pPr>
              <w:jc w:val="center"/>
              <w:rPr>
                <w:rFonts w:hint="eastAsia"/>
                <w:color w:val="auto"/>
                <w:kern w:val="21"/>
                <w:sz w:val="18"/>
                <w:szCs w:val="18"/>
                <w:highlight w:val="none"/>
                <w:u w:val="none" w:color="auto"/>
                <w:lang w:val="en-US" w:eastAsia="zh-CN"/>
              </w:rPr>
            </w:pPr>
          </w:p>
        </w:tc>
        <w:tc>
          <w:tcPr>
            <w:tcW w:w="350" w:type="pct"/>
            <w:tcBorders>
              <w:tl2br w:val="nil"/>
              <w:tr2bl w:val="nil"/>
            </w:tcBorders>
            <w:shd w:val="clear" w:color="auto" w:fill="auto"/>
            <w:noWrap w:val="0"/>
            <w:vAlign w:val="center"/>
          </w:tcPr>
          <w:p w14:paraId="1242FFE5">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866.2</w:t>
            </w:r>
          </w:p>
        </w:tc>
        <w:tc>
          <w:tcPr>
            <w:tcW w:w="329" w:type="pct"/>
            <w:tcBorders>
              <w:tl2br w:val="nil"/>
              <w:tr2bl w:val="nil"/>
            </w:tcBorders>
            <w:shd w:val="clear" w:color="auto" w:fill="auto"/>
            <w:noWrap w:val="0"/>
            <w:vAlign w:val="center"/>
          </w:tcPr>
          <w:p w14:paraId="0807065A">
            <w:pPr>
              <w:jc w:val="center"/>
              <w:rPr>
                <w:rFonts w:hint="default"/>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6.86</w:t>
            </w:r>
          </w:p>
        </w:tc>
        <w:tc>
          <w:tcPr>
            <w:tcW w:w="308" w:type="pct"/>
            <w:tcBorders>
              <w:tl2br w:val="nil"/>
              <w:tr2bl w:val="nil"/>
            </w:tcBorders>
            <w:shd w:val="clear" w:color="auto" w:fill="auto"/>
            <w:noWrap w:val="0"/>
            <w:vAlign w:val="center"/>
          </w:tcPr>
          <w:p w14:paraId="197EEFDD">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3.81</w:t>
            </w:r>
          </w:p>
        </w:tc>
        <w:tc>
          <w:tcPr>
            <w:tcW w:w="315" w:type="pct"/>
            <w:tcBorders>
              <w:tl2br w:val="nil"/>
              <w:tr2bl w:val="nil"/>
            </w:tcBorders>
            <w:noWrap w:val="0"/>
            <w:vAlign w:val="center"/>
          </w:tcPr>
          <w:p w14:paraId="593B8982">
            <w:pPr>
              <w:jc w:val="center"/>
              <w:rPr>
                <w:rFonts w:hint="eastAsia"/>
                <w:i w:val="0"/>
                <w:iCs w:val="0"/>
                <w:color w:val="auto"/>
                <w:sz w:val="18"/>
                <w:szCs w:val="18"/>
                <w:highlight w:val="none"/>
                <w:u w:val="none" w:color="auto"/>
                <w:lang w:val="en-US" w:eastAsia="zh-CN"/>
              </w:rPr>
            </w:pPr>
            <w:r>
              <w:rPr>
                <w:rFonts w:hint="eastAsia"/>
                <w:i w:val="0"/>
                <w:iCs w:val="0"/>
                <w:color w:val="auto"/>
                <w:sz w:val="18"/>
                <w:szCs w:val="18"/>
                <w:highlight w:val="none"/>
                <w:u w:val="none" w:color="auto"/>
                <w:lang w:val="en-US" w:eastAsia="zh-CN"/>
              </w:rPr>
              <w:t>筒仓</w:t>
            </w:r>
            <w:r>
              <w:rPr>
                <w:rFonts w:hint="eastAsia"/>
                <w:i w:val="0"/>
                <w:iCs w:val="0"/>
                <w:color w:val="auto"/>
                <w:sz w:val="18"/>
                <w:szCs w:val="18"/>
                <w:highlight w:val="none"/>
                <w:u w:val="none" w:color="auto"/>
              </w:rPr>
              <w:t>自带脉冲袋式除尘器</w:t>
            </w:r>
            <w:r>
              <w:rPr>
                <w:rFonts w:hint="eastAsia"/>
                <w:i w:val="0"/>
                <w:iCs w:val="0"/>
                <w:color w:val="auto"/>
                <w:sz w:val="18"/>
                <w:szCs w:val="18"/>
                <w:highlight w:val="none"/>
                <w:u w:val="none" w:color="auto"/>
                <w:lang w:val="en-US" w:eastAsia="zh-CN"/>
              </w:rPr>
              <w:t>+底部排气口</w:t>
            </w:r>
          </w:p>
        </w:tc>
        <w:tc>
          <w:tcPr>
            <w:tcW w:w="277" w:type="pct"/>
            <w:tcBorders>
              <w:tl2br w:val="nil"/>
              <w:tr2bl w:val="nil"/>
            </w:tcBorders>
            <w:noWrap w:val="0"/>
            <w:vAlign w:val="center"/>
          </w:tcPr>
          <w:p w14:paraId="4212F62A">
            <w:pPr>
              <w:jc w:val="center"/>
              <w:rPr>
                <w:rFonts w:hint="eastAsia" w:eastAsia="宋体"/>
                <w:color w:val="auto"/>
                <w:kern w:val="21"/>
                <w:sz w:val="18"/>
                <w:szCs w:val="18"/>
                <w:highlight w:val="none"/>
                <w:u w:val="none" w:color="auto"/>
                <w:lang w:val="en-US" w:eastAsia="zh-CN"/>
              </w:rPr>
            </w:pPr>
            <w:r>
              <w:rPr>
                <w:rFonts w:hint="eastAsia" w:eastAsia="宋体"/>
                <w:color w:val="auto"/>
                <w:kern w:val="21"/>
                <w:sz w:val="18"/>
                <w:szCs w:val="18"/>
                <w:highlight w:val="none"/>
                <w:u w:val="none" w:color="auto"/>
                <w:lang w:val="en-US" w:eastAsia="zh-CN"/>
              </w:rPr>
              <w:t>99.7</w:t>
            </w:r>
          </w:p>
        </w:tc>
        <w:tc>
          <w:tcPr>
            <w:tcW w:w="324" w:type="pct"/>
            <w:tcBorders>
              <w:tl2br w:val="nil"/>
              <w:tr2bl w:val="nil"/>
            </w:tcBorders>
            <w:shd w:val="clear" w:color="auto" w:fill="auto"/>
            <w:noWrap w:val="0"/>
            <w:vAlign w:val="center"/>
          </w:tcPr>
          <w:p w14:paraId="7BA6BD37">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9.9×10</w:t>
            </w:r>
            <w:r>
              <w:rPr>
                <w:rFonts w:hint="eastAsia"/>
                <w:color w:val="auto"/>
                <w:kern w:val="21"/>
                <w:sz w:val="18"/>
                <w:szCs w:val="18"/>
                <w:highlight w:val="none"/>
                <w:u w:val="none" w:color="auto"/>
                <w:vertAlign w:val="superscript"/>
                <w:lang w:val="en-US" w:eastAsia="zh-CN"/>
              </w:rPr>
              <w:t>5</w:t>
            </w:r>
          </w:p>
        </w:tc>
        <w:tc>
          <w:tcPr>
            <w:tcW w:w="197" w:type="pct"/>
            <w:vMerge w:val="continue"/>
            <w:tcBorders>
              <w:tl2br w:val="nil"/>
              <w:tr2bl w:val="nil"/>
            </w:tcBorders>
            <w:noWrap w:val="0"/>
            <w:vAlign w:val="center"/>
          </w:tcPr>
          <w:p w14:paraId="1C4FD5FB">
            <w:pPr>
              <w:jc w:val="center"/>
              <w:rPr>
                <w:rFonts w:hint="eastAsia"/>
                <w:color w:val="auto"/>
                <w:kern w:val="21"/>
                <w:sz w:val="18"/>
                <w:szCs w:val="18"/>
                <w:highlight w:val="none"/>
                <w:u w:val="none" w:color="auto"/>
                <w:lang w:val="en-US" w:eastAsia="zh-CN"/>
              </w:rPr>
            </w:pPr>
          </w:p>
        </w:tc>
        <w:tc>
          <w:tcPr>
            <w:tcW w:w="353" w:type="pct"/>
            <w:tcBorders>
              <w:tl2br w:val="nil"/>
              <w:tr2bl w:val="nil"/>
            </w:tcBorders>
            <w:shd w:val="clear" w:color="auto" w:fill="auto"/>
            <w:noWrap w:val="0"/>
            <w:vAlign w:val="center"/>
          </w:tcPr>
          <w:p w14:paraId="15D2CDEC">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2.6</w:t>
            </w:r>
          </w:p>
        </w:tc>
        <w:tc>
          <w:tcPr>
            <w:tcW w:w="336" w:type="pct"/>
            <w:tcBorders>
              <w:tl2br w:val="nil"/>
              <w:tr2bl w:val="nil"/>
            </w:tcBorders>
            <w:noWrap w:val="0"/>
            <w:vAlign w:val="center"/>
          </w:tcPr>
          <w:p w14:paraId="73326F5F">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0.02</w:t>
            </w:r>
          </w:p>
        </w:tc>
        <w:tc>
          <w:tcPr>
            <w:tcW w:w="351" w:type="pct"/>
            <w:tcBorders>
              <w:tl2br w:val="nil"/>
              <w:tr2bl w:val="nil"/>
            </w:tcBorders>
            <w:noWrap w:val="0"/>
            <w:vAlign w:val="center"/>
          </w:tcPr>
          <w:p w14:paraId="09025A50">
            <w:pPr>
              <w:jc w:val="center"/>
              <w:rPr>
                <w:rFonts w:hint="default" w:eastAsia="宋体"/>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0.011</w:t>
            </w:r>
          </w:p>
        </w:tc>
        <w:tc>
          <w:tcPr>
            <w:tcW w:w="282" w:type="pct"/>
            <w:vMerge w:val="continue"/>
            <w:tcBorders>
              <w:tl2br w:val="nil"/>
              <w:tr2bl w:val="nil"/>
            </w:tcBorders>
            <w:noWrap w:val="0"/>
            <w:vAlign w:val="center"/>
          </w:tcPr>
          <w:p w14:paraId="16C1C7D2">
            <w:pPr>
              <w:jc w:val="center"/>
              <w:rPr>
                <w:rFonts w:hint="eastAsia"/>
                <w:color w:val="auto"/>
                <w:kern w:val="21"/>
                <w:sz w:val="18"/>
                <w:szCs w:val="18"/>
                <w:highlight w:val="none"/>
                <w:u w:val="none" w:color="auto"/>
                <w:lang w:val="en-US" w:eastAsia="zh-CN"/>
              </w:rPr>
            </w:pPr>
          </w:p>
        </w:tc>
        <w:tc>
          <w:tcPr>
            <w:tcW w:w="269" w:type="pct"/>
            <w:vMerge w:val="continue"/>
            <w:tcBorders>
              <w:tl2br w:val="nil"/>
              <w:tr2bl w:val="nil"/>
            </w:tcBorders>
            <w:noWrap w:val="0"/>
            <w:vAlign w:val="center"/>
          </w:tcPr>
          <w:p w14:paraId="4F4E26C6">
            <w:pPr>
              <w:jc w:val="center"/>
              <w:rPr>
                <w:rFonts w:hint="eastAsia"/>
                <w:color w:val="auto"/>
                <w:kern w:val="21"/>
                <w:sz w:val="18"/>
                <w:szCs w:val="18"/>
                <w:highlight w:val="none"/>
                <w:u w:val="none" w:color="auto"/>
                <w:lang w:val="en-US" w:eastAsia="zh-CN"/>
              </w:rPr>
            </w:pPr>
          </w:p>
        </w:tc>
      </w:tr>
      <w:tr w14:paraId="35FD13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264" w:type="pct"/>
            <w:tcBorders>
              <w:tl2br w:val="nil"/>
              <w:tr2bl w:val="nil"/>
            </w:tcBorders>
            <w:noWrap w:val="0"/>
            <w:vAlign w:val="center"/>
          </w:tcPr>
          <w:p w14:paraId="16109F85">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水泥</w:t>
            </w:r>
            <w:r>
              <w:rPr>
                <w:rFonts w:hint="eastAsia" w:eastAsia="宋体"/>
                <w:color w:val="auto"/>
                <w:kern w:val="21"/>
                <w:sz w:val="18"/>
                <w:szCs w:val="18"/>
                <w:highlight w:val="none"/>
                <w:u w:val="none" w:color="auto"/>
                <w:lang w:val="en-US" w:eastAsia="zh-CN"/>
              </w:rPr>
              <w:t>筒仓</w:t>
            </w:r>
            <w:r>
              <w:rPr>
                <w:rFonts w:hint="eastAsia"/>
                <w:color w:val="auto"/>
                <w:kern w:val="21"/>
                <w:sz w:val="18"/>
                <w:szCs w:val="18"/>
                <w:highlight w:val="none"/>
                <w:u w:val="none" w:color="auto"/>
                <w:lang w:val="en-US" w:eastAsia="zh-CN"/>
              </w:rPr>
              <w:t>4</w:t>
            </w:r>
            <w:r>
              <w:rPr>
                <w:rFonts w:hint="eastAsia" w:eastAsia="宋体"/>
                <w:color w:val="auto"/>
                <w:kern w:val="21"/>
                <w:sz w:val="18"/>
                <w:szCs w:val="18"/>
                <w:highlight w:val="none"/>
                <w:u w:val="none" w:color="auto"/>
                <w:lang w:val="en-US" w:eastAsia="zh-CN"/>
              </w:rPr>
              <w:t>粉尘</w:t>
            </w:r>
          </w:p>
        </w:tc>
        <w:tc>
          <w:tcPr>
            <w:tcW w:w="324" w:type="pct"/>
            <w:tcBorders>
              <w:tl2br w:val="nil"/>
              <w:tr2bl w:val="nil"/>
            </w:tcBorders>
            <w:shd w:val="clear" w:color="auto" w:fill="auto"/>
            <w:noWrap w:val="0"/>
            <w:vAlign w:val="center"/>
          </w:tcPr>
          <w:p w14:paraId="1D4AFF7E">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9.9×10</w:t>
            </w:r>
            <w:r>
              <w:rPr>
                <w:rFonts w:hint="eastAsia"/>
                <w:color w:val="auto"/>
                <w:kern w:val="21"/>
                <w:sz w:val="18"/>
                <w:szCs w:val="18"/>
                <w:highlight w:val="none"/>
                <w:u w:val="none" w:color="auto"/>
                <w:vertAlign w:val="superscript"/>
                <w:lang w:val="en-US" w:eastAsia="zh-CN"/>
              </w:rPr>
              <w:t>5</w:t>
            </w:r>
          </w:p>
        </w:tc>
        <w:tc>
          <w:tcPr>
            <w:tcW w:w="280" w:type="pct"/>
            <w:tcBorders>
              <w:tl2br w:val="nil"/>
              <w:tr2bl w:val="nil"/>
            </w:tcBorders>
            <w:shd w:val="clear" w:color="auto" w:fill="auto"/>
            <w:noWrap w:val="0"/>
            <w:vAlign w:val="center"/>
          </w:tcPr>
          <w:p w14:paraId="6E53CF79">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17/0.3</w:t>
            </w:r>
          </w:p>
        </w:tc>
        <w:tc>
          <w:tcPr>
            <w:tcW w:w="232" w:type="pct"/>
            <w:vMerge w:val="continue"/>
            <w:tcBorders>
              <w:tl2br w:val="nil"/>
              <w:tr2bl w:val="nil"/>
            </w:tcBorders>
            <w:noWrap w:val="0"/>
            <w:vAlign w:val="center"/>
          </w:tcPr>
          <w:p w14:paraId="6BDF9CD1">
            <w:pPr>
              <w:jc w:val="center"/>
              <w:rPr>
                <w:rFonts w:hint="eastAsia" w:eastAsia="宋体"/>
                <w:color w:val="auto"/>
                <w:kern w:val="21"/>
                <w:sz w:val="18"/>
                <w:szCs w:val="18"/>
                <w:highlight w:val="none"/>
                <w:u w:val="none" w:color="auto"/>
                <w:lang w:val="en-US" w:eastAsia="zh-CN"/>
              </w:rPr>
            </w:pPr>
          </w:p>
        </w:tc>
        <w:tc>
          <w:tcPr>
            <w:tcW w:w="202" w:type="pct"/>
            <w:vMerge w:val="continue"/>
            <w:tcBorders>
              <w:tl2br w:val="nil"/>
              <w:tr2bl w:val="nil"/>
            </w:tcBorders>
            <w:noWrap w:val="0"/>
            <w:vAlign w:val="center"/>
          </w:tcPr>
          <w:p w14:paraId="400BEE8E">
            <w:pPr>
              <w:jc w:val="center"/>
              <w:rPr>
                <w:rFonts w:hint="eastAsia"/>
                <w:color w:val="auto"/>
                <w:kern w:val="21"/>
                <w:sz w:val="18"/>
                <w:szCs w:val="18"/>
                <w:highlight w:val="none"/>
                <w:u w:val="none" w:color="auto"/>
                <w:lang w:val="en-US" w:eastAsia="zh-CN"/>
              </w:rPr>
            </w:pPr>
          </w:p>
        </w:tc>
        <w:tc>
          <w:tcPr>
            <w:tcW w:w="350" w:type="pct"/>
            <w:tcBorders>
              <w:tl2br w:val="nil"/>
              <w:tr2bl w:val="nil"/>
            </w:tcBorders>
            <w:shd w:val="clear" w:color="auto" w:fill="auto"/>
            <w:noWrap w:val="0"/>
            <w:vAlign w:val="center"/>
          </w:tcPr>
          <w:p w14:paraId="7D80B768">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866.2</w:t>
            </w:r>
          </w:p>
        </w:tc>
        <w:tc>
          <w:tcPr>
            <w:tcW w:w="329" w:type="pct"/>
            <w:tcBorders>
              <w:tl2br w:val="nil"/>
              <w:tr2bl w:val="nil"/>
            </w:tcBorders>
            <w:shd w:val="clear" w:color="auto" w:fill="auto"/>
            <w:noWrap w:val="0"/>
            <w:vAlign w:val="center"/>
          </w:tcPr>
          <w:p w14:paraId="75B7A076">
            <w:pPr>
              <w:jc w:val="center"/>
              <w:rPr>
                <w:rFonts w:hint="default"/>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6.86</w:t>
            </w:r>
          </w:p>
        </w:tc>
        <w:tc>
          <w:tcPr>
            <w:tcW w:w="308" w:type="pct"/>
            <w:tcBorders>
              <w:tl2br w:val="nil"/>
              <w:tr2bl w:val="nil"/>
            </w:tcBorders>
            <w:shd w:val="clear" w:color="auto" w:fill="auto"/>
            <w:noWrap w:val="0"/>
            <w:vAlign w:val="center"/>
          </w:tcPr>
          <w:p w14:paraId="67B7BDE0">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3.81</w:t>
            </w:r>
          </w:p>
        </w:tc>
        <w:tc>
          <w:tcPr>
            <w:tcW w:w="315" w:type="pct"/>
            <w:tcBorders>
              <w:tl2br w:val="nil"/>
              <w:tr2bl w:val="nil"/>
            </w:tcBorders>
            <w:noWrap w:val="0"/>
            <w:vAlign w:val="center"/>
          </w:tcPr>
          <w:p w14:paraId="673542B4">
            <w:pPr>
              <w:jc w:val="center"/>
              <w:rPr>
                <w:rFonts w:hint="eastAsia"/>
                <w:i w:val="0"/>
                <w:iCs w:val="0"/>
                <w:color w:val="auto"/>
                <w:sz w:val="18"/>
                <w:szCs w:val="18"/>
                <w:highlight w:val="none"/>
                <w:u w:val="none" w:color="auto"/>
                <w:lang w:val="en-US" w:eastAsia="zh-CN"/>
              </w:rPr>
            </w:pPr>
            <w:r>
              <w:rPr>
                <w:rFonts w:hint="eastAsia"/>
                <w:i w:val="0"/>
                <w:iCs w:val="0"/>
                <w:color w:val="auto"/>
                <w:sz w:val="18"/>
                <w:szCs w:val="18"/>
                <w:highlight w:val="none"/>
                <w:u w:val="none" w:color="auto"/>
                <w:lang w:val="en-US" w:eastAsia="zh-CN"/>
              </w:rPr>
              <w:t>筒仓</w:t>
            </w:r>
            <w:r>
              <w:rPr>
                <w:rFonts w:hint="eastAsia"/>
                <w:i w:val="0"/>
                <w:iCs w:val="0"/>
                <w:color w:val="auto"/>
                <w:sz w:val="18"/>
                <w:szCs w:val="18"/>
                <w:highlight w:val="none"/>
                <w:u w:val="none" w:color="auto"/>
              </w:rPr>
              <w:t>自带脉冲袋式除尘器</w:t>
            </w:r>
            <w:r>
              <w:rPr>
                <w:rFonts w:hint="eastAsia"/>
                <w:i w:val="0"/>
                <w:iCs w:val="0"/>
                <w:color w:val="auto"/>
                <w:sz w:val="18"/>
                <w:szCs w:val="18"/>
                <w:highlight w:val="none"/>
                <w:u w:val="none" w:color="auto"/>
                <w:lang w:val="en-US" w:eastAsia="zh-CN"/>
              </w:rPr>
              <w:t>+底部排气口</w:t>
            </w:r>
          </w:p>
        </w:tc>
        <w:tc>
          <w:tcPr>
            <w:tcW w:w="277" w:type="pct"/>
            <w:tcBorders>
              <w:tl2br w:val="nil"/>
              <w:tr2bl w:val="nil"/>
            </w:tcBorders>
            <w:noWrap w:val="0"/>
            <w:vAlign w:val="center"/>
          </w:tcPr>
          <w:p w14:paraId="64ED8D13">
            <w:pPr>
              <w:jc w:val="center"/>
              <w:rPr>
                <w:rFonts w:hint="eastAsia" w:eastAsia="宋体"/>
                <w:color w:val="auto"/>
                <w:kern w:val="21"/>
                <w:sz w:val="18"/>
                <w:szCs w:val="18"/>
                <w:highlight w:val="none"/>
                <w:u w:val="none" w:color="auto"/>
                <w:lang w:val="en-US" w:eastAsia="zh-CN"/>
              </w:rPr>
            </w:pPr>
            <w:r>
              <w:rPr>
                <w:rFonts w:hint="eastAsia" w:eastAsia="宋体"/>
                <w:color w:val="auto"/>
                <w:kern w:val="21"/>
                <w:sz w:val="18"/>
                <w:szCs w:val="18"/>
                <w:highlight w:val="none"/>
                <w:u w:val="none" w:color="auto"/>
                <w:lang w:val="en-US" w:eastAsia="zh-CN"/>
              </w:rPr>
              <w:t>99.7</w:t>
            </w:r>
          </w:p>
        </w:tc>
        <w:tc>
          <w:tcPr>
            <w:tcW w:w="324" w:type="pct"/>
            <w:tcBorders>
              <w:tl2br w:val="nil"/>
              <w:tr2bl w:val="nil"/>
            </w:tcBorders>
            <w:shd w:val="clear" w:color="auto" w:fill="auto"/>
            <w:noWrap w:val="0"/>
            <w:vAlign w:val="center"/>
          </w:tcPr>
          <w:p w14:paraId="2091DB94">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9.9×10</w:t>
            </w:r>
            <w:r>
              <w:rPr>
                <w:rFonts w:hint="eastAsia"/>
                <w:color w:val="auto"/>
                <w:kern w:val="21"/>
                <w:sz w:val="18"/>
                <w:szCs w:val="18"/>
                <w:highlight w:val="none"/>
                <w:u w:val="none" w:color="auto"/>
                <w:vertAlign w:val="superscript"/>
                <w:lang w:val="en-US" w:eastAsia="zh-CN"/>
              </w:rPr>
              <w:t>5</w:t>
            </w:r>
          </w:p>
        </w:tc>
        <w:tc>
          <w:tcPr>
            <w:tcW w:w="197" w:type="pct"/>
            <w:vMerge w:val="continue"/>
            <w:tcBorders>
              <w:tl2br w:val="nil"/>
              <w:tr2bl w:val="nil"/>
            </w:tcBorders>
            <w:noWrap w:val="0"/>
            <w:vAlign w:val="center"/>
          </w:tcPr>
          <w:p w14:paraId="210BCAAD">
            <w:pPr>
              <w:jc w:val="center"/>
              <w:rPr>
                <w:rFonts w:hint="eastAsia"/>
                <w:color w:val="auto"/>
                <w:kern w:val="21"/>
                <w:sz w:val="18"/>
                <w:szCs w:val="18"/>
                <w:highlight w:val="none"/>
                <w:u w:val="none" w:color="auto"/>
                <w:lang w:val="en-US" w:eastAsia="zh-CN"/>
              </w:rPr>
            </w:pPr>
          </w:p>
        </w:tc>
        <w:tc>
          <w:tcPr>
            <w:tcW w:w="353" w:type="pct"/>
            <w:tcBorders>
              <w:tl2br w:val="nil"/>
              <w:tr2bl w:val="nil"/>
            </w:tcBorders>
            <w:shd w:val="clear" w:color="auto" w:fill="auto"/>
            <w:noWrap w:val="0"/>
            <w:vAlign w:val="center"/>
          </w:tcPr>
          <w:p w14:paraId="08E8AFA8">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2.6</w:t>
            </w:r>
          </w:p>
        </w:tc>
        <w:tc>
          <w:tcPr>
            <w:tcW w:w="336" w:type="pct"/>
            <w:tcBorders>
              <w:tl2br w:val="nil"/>
              <w:tr2bl w:val="nil"/>
            </w:tcBorders>
            <w:noWrap w:val="0"/>
            <w:vAlign w:val="center"/>
          </w:tcPr>
          <w:p w14:paraId="2F1FB791">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0.02</w:t>
            </w:r>
          </w:p>
        </w:tc>
        <w:tc>
          <w:tcPr>
            <w:tcW w:w="351" w:type="pct"/>
            <w:tcBorders>
              <w:tl2br w:val="nil"/>
              <w:tr2bl w:val="nil"/>
            </w:tcBorders>
            <w:noWrap w:val="0"/>
            <w:vAlign w:val="center"/>
          </w:tcPr>
          <w:p w14:paraId="5D6623B4">
            <w:pPr>
              <w:jc w:val="center"/>
              <w:rPr>
                <w:rFonts w:hint="default" w:eastAsia="宋体"/>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0.011</w:t>
            </w:r>
          </w:p>
        </w:tc>
        <w:tc>
          <w:tcPr>
            <w:tcW w:w="282" w:type="pct"/>
            <w:vMerge w:val="continue"/>
            <w:tcBorders>
              <w:tl2br w:val="nil"/>
              <w:tr2bl w:val="nil"/>
            </w:tcBorders>
            <w:noWrap w:val="0"/>
            <w:vAlign w:val="center"/>
          </w:tcPr>
          <w:p w14:paraId="64026C4C">
            <w:pPr>
              <w:jc w:val="center"/>
              <w:rPr>
                <w:rFonts w:hint="eastAsia"/>
                <w:color w:val="auto"/>
                <w:kern w:val="21"/>
                <w:sz w:val="18"/>
                <w:szCs w:val="18"/>
                <w:highlight w:val="none"/>
                <w:u w:val="none" w:color="auto"/>
                <w:lang w:val="en-US" w:eastAsia="zh-CN"/>
              </w:rPr>
            </w:pPr>
          </w:p>
        </w:tc>
        <w:tc>
          <w:tcPr>
            <w:tcW w:w="269" w:type="pct"/>
            <w:vMerge w:val="continue"/>
            <w:tcBorders>
              <w:tl2br w:val="nil"/>
              <w:tr2bl w:val="nil"/>
            </w:tcBorders>
            <w:noWrap w:val="0"/>
            <w:vAlign w:val="center"/>
          </w:tcPr>
          <w:p w14:paraId="4D1609AD">
            <w:pPr>
              <w:jc w:val="center"/>
              <w:rPr>
                <w:rFonts w:hint="eastAsia"/>
                <w:color w:val="auto"/>
                <w:kern w:val="21"/>
                <w:sz w:val="18"/>
                <w:szCs w:val="18"/>
                <w:highlight w:val="none"/>
                <w:u w:val="none" w:color="auto"/>
                <w:lang w:val="en-US" w:eastAsia="zh-CN"/>
              </w:rPr>
            </w:pPr>
          </w:p>
        </w:tc>
      </w:tr>
      <w:tr w14:paraId="360E1F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264" w:type="pct"/>
            <w:tcBorders>
              <w:tl2br w:val="nil"/>
              <w:tr2bl w:val="nil"/>
            </w:tcBorders>
            <w:noWrap w:val="0"/>
            <w:vAlign w:val="center"/>
          </w:tcPr>
          <w:p w14:paraId="787D764D">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水泥</w:t>
            </w:r>
            <w:r>
              <w:rPr>
                <w:rFonts w:hint="eastAsia" w:eastAsia="宋体"/>
                <w:color w:val="auto"/>
                <w:kern w:val="21"/>
                <w:sz w:val="18"/>
                <w:szCs w:val="18"/>
                <w:highlight w:val="none"/>
                <w:u w:val="none" w:color="auto"/>
                <w:lang w:val="en-US" w:eastAsia="zh-CN"/>
              </w:rPr>
              <w:t>筒仓</w:t>
            </w:r>
            <w:r>
              <w:rPr>
                <w:rFonts w:hint="eastAsia"/>
                <w:color w:val="auto"/>
                <w:kern w:val="21"/>
                <w:sz w:val="18"/>
                <w:szCs w:val="18"/>
                <w:highlight w:val="none"/>
                <w:u w:val="none" w:color="auto"/>
                <w:lang w:val="en-US" w:eastAsia="zh-CN"/>
              </w:rPr>
              <w:t>5</w:t>
            </w:r>
            <w:r>
              <w:rPr>
                <w:rFonts w:hint="eastAsia" w:eastAsia="宋体"/>
                <w:color w:val="auto"/>
                <w:kern w:val="21"/>
                <w:sz w:val="18"/>
                <w:szCs w:val="18"/>
                <w:highlight w:val="none"/>
                <w:u w:val="none" w:color="auto"/>
                <w:lang w:val="en-US" w:eastAsia="zh-CN"/>
              </w:rPr>
              <w:t>粉尘</w:t>
            </w:r>
          </w:p>
        </w:tc>
        <w:tc>
          <w:tcPr>
            <w:tcW w:w="324" w:type="pct"/>
            <w:tcBorders>
              <w:tl2br w:val="nil"/>
              <w:tr2bl w:val="nil"/>
            </w:tcBorders>
            <w:shd w:val="clear" w:color="auto" w:fill="auto"/>
            <w:noWrap w:val="0"/>
            <w:vAlign w:val="center"/>
          </w:tcPr>
          <w:p w14:paraId="1B8ECFCD">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9.9×10</w:t>
            </w:r>
            <w:r>
              <w:rPr>
                <w:rFonts w:hint="eastAsia"/>
                <w:color w:val="auto"/>
                <w:kern w:val="21"/>
                <w:sz w:val="18"/>
                <w:szCs w:val="18"/>
                <w:highlight w:val="none"/>
                <w:u w:val="none" w:color="auto"/>
                <w:vertAlign w:val="superscript"/>
                <w:lang w:val="en-US" w:eastAsia="zh-CN"/>
              </w:rPr>
              <w:t>5</w:t>
            </w:r>
          </w:p>
        </w:tc>
        <w:tc>
          <w:tcPr>
            <w:tcW w:w="280" w:type="pct"/>
            <w:tcBorders>
              <w:tl2br w:val="nil"/>
              <w:tr2bl w:val="nil"/>
            </w:tcBorders>
            <w:shd w:val="clear" w:color="auto" w:fill="auto"/>
            <w:noWrap w:val="0"/>
            <w:vAlign w:val="center"/>
          </w:tcPr>
          <w:p w14:paraId="0E8D28ED">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17/0.3</w:t>
            </w:r>
          </w:p>
        </w:tc>
        <w:tc>
          <w:tcPr>
            <w:tcW w:w="232" w:type="pct"/>
            <w:vMerge w:val="continue"/>
            <w:tcBorders>
              <w:tl2br w:val="nil"/>
              <w:tr2bl w:val="nil"/>
            </w:tcBorders>
            <w:noWrap w:val="0"/>
            <w:vAlign w:val="center"/>
          </w:tcPr>
          <w:p w14:paraId="7C590F7B">
            <w:pPr>
              <w:jc w:val="center"/>
              <w:rPr>
                <w:rFonts w:hint="eastAsia" w:eastAsia="宋体"/>
                <w:color w:val="auto"/>
                <w:kern w:val="21"/>
                <w:sz w:val="18"/>
                <w:szCs w:val="18"/>
                <w:highlight w:val="none"/>
                <w:u w:val="none" w:color="auto"/>
                <w:lang w:val="en-US" w:eastAsia="zh-CN"/>
              </w:rPr>
            </w:pPr>
          </w:p>
        </w:tc>
        <w:tc>
          <w:tcPr>
            <w:tcW w:w="202" w:type="pct"/>
            <w:vMerge w:val="continue"/>
            <w:tcBorders>
              <w:tl2br w:val="nil"/>
              <w:tr2bl w:val="nil"/>
            </w:tcBorders>
            <w:noWrap w:val="0"/>
            <w:vAlign w:val="center"/>
          </w:tcPr>
          <w:p w14:paraId="089A237B">
            <w:pPr>
              <w:jc w:val="center"/>
              <w:rPr>
                <w:rFonts w:hint="eastAsia"/>
                <w:color w:val="auto"/>
                <w:kern w:val="21"/>
                <w:sz w:val="18"/>
                <w:szCs w:val="18"/>
                <w:highlight w:val="none"/>
                <w:u w:val="none" w:color="auto"/>
                <w:lang w:val="en-US" w:eastAsia="zh-CN"/>
              </w:rPr>
            </w:pPr>
          </w:p>
        </w:tc>
        <w:tc>
          <w:tcPr>
            <w:tcW w:w="350" w:type="pct"/>
            <w:tcBorders>
              <w:tl2br w:val="nil"/>
              <w:tr2bl w:val="nil"/>
            </w:tcBorders>
            <w:shd w:val="clear" w:color="auto" w:fill="auto"/>
            <w:noWrap w:val="0"/>
            <w:vAlign w:val="center"/>
          </w:tcPr>
          <w:p w14:paraId="50910888">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866.2</w:t>
            </w:r>
          </w:p>
        </w:tc>
        <w:tc>
          <w:tcPr>
            <w:tcW w:w="329" w:type="pct"/>
            <w:tcBorders>
              <w:tl2br w:val="nil"/>
              <w:tr2bl w:val="nil"/>
            </w:tcBorders>
            <w:shd w:val="clear" w:color="auto" w:fill="auto"/>
            <w:noWrap w:val="0"/>
            <w:vAlign w:val="center"/>
          </w:tcPr>
          <w:p w14:paraId="227DE9ED">
            <w:pPr>
              <w:jc w:val="center"/>
              <w:rPr>
                <w:rFonts w:hint="default"/>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6.86</w:t>
            </w:r>
          </w:p>
        </w:tc>
        <w:tc>
          <w:tcPr>
            <w:tcW w:w="308" w:type="pct"/>
            <w:tcBorders>
              <w:tl2br w:val="nil"/>
              <w:tr2bl w:val="nil"/>
            </w:tcBorders>
            <w:shd w:val="clear" w:color="auto" w:fill="auto"/>
            <w:noWrap w:val="0"/>
            <w:vAlign w:val="center"/>
          </w:tcPr>
          <w:p w14:paraId="22BFBE03">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3.81</w:t>
            </w:r>
          </w:p>
        </w:tc>
        <w:tc>
          <w:tcPr>
            <w:tcW w:w="315" w:type="pct"/>
            <w:tcBorders>
              <w:tl2br w:val="nil"/>
              <w:tr2bl w:val="nil"/>
            </w:tcBorders>
            <w:noWrap w:val="0"/>
            <w:vAlign w:val="center"/>
          </w:tcPr>
          <w:p w14:paraId="6B90D903">
            <w:pPr>
              <w:jc w:val="center"/>
              <w:rPr>
                <w:rFonts w:hint="eastAsia"/>
                <w:i w:val="0"/>
                <w:iCs w:val="0"/>
                <w:color w:val="auto"/>
                <w:sz w:val="18"/>
                <w:szCs w:val="18"/>
                <w:highlight w:val="none"/>
                <w:u w:val="none" w:color="auto"/>
                <w:lang w:val="en-US" w:eastAsia="zh-CN"/>
              </w:rPr>
            </w:pPr>
            <w:r>
              <w:rPr>
                <w:rFonts w:hint="eastAsia"/>
                <w:i w:val="0"/>
                <w:iCs w:val="0"/>
                <w:color w:val="auto"/>
                <w:sz w:val="18"/>
                <w:szCs w:val="18"/>
                <w:highlight w:val="none"/>
                <w:u w:val="none" w:color="auto"/>
                <w:lang w:val="en-US" w:eastAsia="zh-CN"/>
              </w:rPr>
              <w:t>筒仓</w:t>
            </w:r>
            <w:r>
              <w:rPr>
                <w:rFonts w:hint="eastAsia"/>
                <w:i w:val="0"/>
                <w:iCs w:val="0"/>
                <w:color w:val="auto"/>
                <w:sz w:val="18"/>
                <w:szCs w:val="18"/>
                <w:highlight w:val="none"/>
                <w:u w:val="none" w:color="auto"/>
              </w:rPr>
              <w:t>自带脉冲袋式除尘器</w:t>
            </w:r>
            <w:r>
              <w:rPr>
                <w:rFonts w:hint="eastAsia"/>
                <w:i w:val="0"/>
                <w:iCs w:val="0"/>
                <w:color w:val="auto"/>
                <w:sz w:val="18"/>
                <w:szCs w:val="18"/>
                <w:highlight w:val="none"/>
                <w:u w:val="none" w:color="auto"/>
                <w:lang w:val="en-US" w:eastAsia="zh-CN"/>
              </w:rPr>
              <w:t>+底部排气口</w:t>
            </w:r>
          </w:p>
        </w:tc>
        <w:tc>
          <w:tcPr>
            <w:tcW w:w="277" w:type="pct"/>
            <w:tcBorders>
              <w:tl2br w:val="nil"/>
              <w:tr2bl w:val="nil"/>
            </w:tcBorders>
            <w:noWrap w:val="0"/>
            <w:vAlign w:val="center"/>
          </w:tcPr>
          <w:p w14:paraId="46007F17">
            <w:pPr>
              <w:jc w:val="center"/>
              <w:rPr>
                <w:rFonts w:hint="eastAsia" w:eastAsia="宋体"/>
                <w:color w:val="auto"/>
                <w:kern w:val="21"/>
                <w:sz w:val="18"/>
                <w:szCs w:val="18"/>
                <w:highlight w:val="none"/>
                <w:u w:val="none" w:color="auto"/>
                <w:lang w:val="en-US" w:eastAsia="zh-CN"/>
              </w:rPr>
            </w:pPr>
            <w:r>
              <w:rPr>
                <w:rFonts w:hint="eastAsia" w:eastAsia="宋体"/>
                <w:color w:val="auto"/>
                <w:kern w:val="21"/>
                <w:sz w:val="18"/>
                <w:szCs w:val="18"/>
                <w:highlight w:val="none"/>
                <w:u w:val="none" w:color="auto"/>
                <w:lang w:val="en-US" w:eastAsia="zh-CN"/>
              </w:rPr>
              <w:t>99.7</w:t>
            </w:r>
          </w:p>
        </w:tc>
        <w:tc>
          <w:tcPr>
            <w:tcW w:w="324" w:type="pct"/>
            <w:tcBorders>
              <w:tl2br w:val="nil"/>
              <w:tr2bl w:val="nil"/>
            </w:tcBorders>
            <w:shd w:val="clear" w:color="auto" w:fill="auto"/>
            <w:noWrap w:val="0"/>
            <w:vAlign w:val="center"/>
          </w:tcPr>
          <w:p w14:paraId="5071AA3C">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9.9×10</w:t>
            </w:r>
            <w:r>
              <w:rPr>
                <w:rFonts w:hint="eastAsia"/>
                <w:color w:val="auto"/>
                <w:kern w:val="21"/>
                <w:sz w:val="18"/>
                <w:szCs w:val="18"/>
                <w:highlight w:val="none"/>
                <w:u w:val="none" w:color="auto"/>
                <w:vertAlign w:val="superscript"/>
                <w:lang w:val="en-US" w:eastAsia="zh-CN"/>
              </w:rPr>
              <w:t>5</w:t>
            </w:r>
          </w:p>
        </w:tc>
        <w:tc>
          <w:tcPr>
            <w:tcW w:w="197" w:type="pct"/>
            <w:vMerge w:val="continue"/>
            <w:tcBorders>
              <w:tl2br w:val="nil"/>
              <w:tr2bl w:val="nil"/>
            </w:tcBorders>
            <w:noWrap w:val="0"/>
            <w:vAlign w:val="center"/>
          </w:tcPr>
          <w:p w14:paraId="7CAE4A5D">
            <w:pPr>
              <w:jc w:val="center"/>
              <w:rPr>
                <w:rFonts w:hint="eastAsia"/>
                <w:color w:val="auto"/>
                <w:kern w:val="21"/>
                <w:sz w:val="18"/>
                <w:szCs w:val="18"/>
                <w:highlight w:val="none"/>
                <w:u w:val="none" w:color="auto"/>
                <w:lang w:val="en-US" w:eastAsia="zh-CN"/>
              </w:rPr>
            </w:pPr>
          </w:p>
        </w:tc>
        <w:tc>
          <w:tcPr>
            <w:tcW w:w="353" w:type="pct"/>
            <w:tcBorders>
              <w:tl2br w:val="nil"/>
              <w:tr2bl w:val="nil"/>
            </w:tcBorders>
            <w:shd w:val="clear" w:color="auto" w:fill="auto"/>
            <w:noWrap w:val="0"/>
            <w:vAlign w:val="center"/>
          </w:tcPr>
          <w:p w14:paraId="725C48D8">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2.6</w:t>
            </w:r>
          </w:p>
        </w:tc>
        <w:tc>
          <w:tcPr>
            <w:tcW w:w="336" w:type="pct"/>
            <w:tcBorders>
              <w:tl2br w:val="nil"/>
              <w:tr2bl w:val="nil"/>
            </w:tcBorders>
            <w:noWrap w:val="0"/>
            <w:vAlign w:val="center"/>
          </w:tcPr>
          <w:p w14:paraId="0A6EE224">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0.02</w:t>
            </w:r>
          </w:p>
        </w:tc>
        <w:tc>
          <w:tcPr>
            <w:tcW w:w="351" w:type="pct"/>
            <w:tcBorders>
              <w:tl2br w:val="nil"/>
              <w:tr2bl w:val="nil"/>
            </w:tcBorders>
            <w:noWrap w:val="0"/>
            <w:vAlign w:val="center"/>
          </w:tcPr>
          <w:p w14:paraId="1F9CB292">
            <w:pPr>
              <w:jc w:val="center"/>
              <w:rPr>
                <w:rFonts w:hint="default" w:eastAsia="宋体"/>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0.011</w:t>
            </w:r>
          </w:p>
        </w:tc>
        <w:tc>
          <w:tcPr>
            <w:tcW w:w="282" w:type="pct"/>
            <w:vMerge w:val="continue"/>
            <w:tcBorders>
              <w:tl2br w:val="nil"/>
              <w:tr2bl w:val="nil"/>
            </w:tcBorders>
            <w:noWrap w:val="0"/>
            <w:vAlign w:val="center"/>
          </w:tcPr>
          <w:p w14:paraId="04996738">
            <w:pPr>
              <w:jc w:val="center"/>
              <w:rPr>
                <w:rFonts w:hint="eastAsia"/>
                <w:color w:val="auto"/>
                <w:kern w:val="21"/>
                <w:sz w:val="18"/>
                <w:szCs w:val="18"/>
                <w:highlight w:val="none"/>
                <w:u w:val="none" w:color="auto"/>
                <w:lang w:val="en-US" w:eastAsia="zh-CN"/>
              </w:rPr>
            </w:pPr>
          </w:p>
        </w:tc>
        <w:tc>
          <w:tcPr>
            <w:tcW w:w="269" w:type="pct"/>
            <w:vMerge w:val="continue"/>
            <w:tcBorders>
              <w:tl2br w:val="nil"/>
              <w:tr2bl w:val="nil"/>
            </w:tcBorders>
            <w:noWrap w:val="0"/>
            <w:vAlign w:val="center"/>
          </w:tcPr>
          <w:p w14:paraId="10B4EADE">
            <w:pPr>
              <w:jc w:val="center"/>
              <w:rPr>
                <w:rFonts w:hint="eastAsia"/>
                <w:color w:val="auto"/>
                <w:kern w:val="21"/>
                <w:sz w:val="18"/>
                <w:szCs w:val="18"/>
                <w:highlight w:val="none"/>
                <w:u w:val="none" w:color="auto"/>
                <w:lang w:val="en-US" w:eastAsia="zh-CN"/>
              </w:rPr>
            </w:pPr>
          </w:p>
        </w:tc>
      </w:tr>
      <w:tr w14:paraId="5463A7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264" w:type="pct"/>
            <w:tcBorders>
              <w:tl2br w:val="nil"/>
              <w:tr2bl w:val="nil"/>
            </w:tcBorders>
            <w:noWrap w:val="0"/>
            <w:vAlign w:val="center"/>
          </w:tcPr>
          <w:p w14:paraId="3B2BF3F4">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水泥</w:t>
            </w:r>
            <w:r>
              <w:rPr>
                <w:rFonts w:hint="eastAsia" w:eastAsia="宋体"/>
                <w:color w:val="auto"/>
                <w:kern w:val="21"/>
                <w:sz w:val="18"/>
                <w:szCs w:val="18"/>
                <w:highlight w:val="none"/>
                <w:u w:val="none" w:color="auto"/>
                <w:lang w:val="en-US" w:eastAsia="zh-CN"/>
              </w:rPr>
              <w:t>筒仓</w:t>
            </w:r>
            <w:r>
              <w:rPr>
                <w:rFonts w:hint="eastAsia"/>
                <w:color w:val="auto"/>
                <w:kern w:val="21"/>
                <w:sz w:val="18"/>
                <w:szCs w:val="18"/>
                <w:highlight w:val="none"/>
                <w:u w:val="none" w:color="auto"/>
                <w:lang w:val="en-US" w:eastAsia="zh-CN"/>
              </w:rPr>
              <w:t>6</w:t>
            </w:r>
            <w:r>
              <w:rPr>
                <w:rFonts w:hint="eastAsia" w:eastAsia="宋体"/>
                <w:color w:val="auto"/>
                <w:kern w:val="21"/>
                <w:sz w:val="18"/>
                <w:szCs w:val="18"/>
                <w:highlight w:val="none"/>
                <w:u w:val="none" w:color="auto"/>
                <w:lang w:val="en-US" w:eastAsia="zh-CN"/>
              </w:rPr>
              <w:t>粉尘</w:t>
            </w:r>
          </w:p>
        </w:tc>
        <w:tc>
          <w:tcPr>
            <w:tcW w:w="324" w:type="pct"/>
            <w:tcBorders>
              <w:tl2br w:val="nil"/>
              <w:tr2bl w:val="nil"/>
            </w:tcBorders>
            <w:shd w:val="clear" w:color="auto" w:fill="auto"/>
            <w:noWrap w:val="0"/>
            <w:vAlign w:val="center"/>
          </w:tcPr>
          <w:p w14:paraId="4F7F6441">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9.9×10</w:t>
            </w:r>
            <w:r>
              <w:rPr>
                <w:rFonts w:hint="eastAsia"/>
                <w:color w:val="auto"/>
                <w:kern w:val="21"/>
                <w:sz w:val="18"/>
                <w:szCs w:val="18"/>
                <w:highlight w:val="none"/>
                <w:u w:val="none" w:color="auto"/>
                <w:vertAlign w:val="superscript"/>
                <w:lang w:val="en-US" w:eastAsia="zh-CN"/>
              </w:rPr>
              <w:t>5</w:t>
            </w:r>
          </w:p>
        </w:tc>
        <w:tc>
          <w:tcPr>
            <w:tcW w:w="280" w:type="pct"/>
            <w:tcBorders>
              <w:tl2br w:val="nil"/>
              <w:tr2bl w:val="nil"/>
            </w:tcBorders>
            <w:shd w:val="clear" w:color="auto" w:fill="auto"/>
            <w:noWrap w:val="0"/>
            <w:vAlign w:val="center"/>
          </w:tcPr>
          <w:p w14:paraId="758AF6A1">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17/0.3</w:t>
            </w:r>
          </w:p>
        </w:tc>
        <w:tc>
          <w:tcPr>
            <w:tcW w:w="232" w:type="pct"/>
            <w:vMerge w:val="continue"/>
            <w:tcBorders>
              <w:tl2br w:val="nil"/>
              <w:tr2bl w:val="nil"/>
            </w:tcBorders>
            <w:noWrap w:val="0"/>
            <w:vAlign w:val="center"/>
          </w:tcPr>
          <w:p w14:paraId="067669FD">
            <w:pPr>
              <w:jc w:val="center"/>
              <w:rPr>
                <w:rFonts w:hint="eastAsia" w:eastAsia="宋体"/>
                <w:color w:val="auto"/>
                <w:kern w:val="21"/>
                <w:sz w:val="18"/>
                <w:szCs w:val="18"/>
                <w:highlight w:val="none"/>
                <w:u w:val="none" w:color="auto"/>
                <w:lang w:val="en-US" w:eastAsia="zh-CN"/>
              </w:rPr>
            </w:pPr>
          </w:p>
        </w:tc>
        <w:tc>
          <w:tcPr>
            <w:tcW w:w="202" w:type="pct"/>
            <w:vMerge w:val="continue"/>
            <w:tcBorders>
              <w:tl2br w:val="nil"/>
              <w:tr2bl w:val="nil"/>
            </w:tcBorders>
            <w:noWrap w:val="0"/>
            <w:vAlign w:val="center"/>
          </w:tcPr>
          <w:p w14:paraId="4EBDE5A7">
            <w:pPr>
              <w:jc w:val="center"/>
              <w:rPr>
                <w:rFonts w:hint="eastAsia"/>
                <w:color w:val="auto"/>
                <w:kern w:val="21"/>
                <w:sz w:val="18"/>
                <w:szCs w:val="18"/>
                <w:highlight w:val="none"/>
                <w:u w:val="none" w:color="auto"/>
                <w:lang w:val="en-US" w:eastAsia="zh-CN"/>
              </w:rPr>
            </w:pPr>
          </w:p>
        </w:tc>
        <w:tc>
          <w:tcPr>
            <w:tcW w:w="350" w:type="pct"/>
            <w:tcBorders>
              <w:tl2br w:val="nil"/>
              <w:tr2bl w:val="nil"/>
            </w:tcBorders>
            <w:shd w:val="clear" w:color="auto" w:fill="auto"/>
            <w:noWrap w:val="0"/>
            <w:vAlign w:val="center"/>
          </w:tcPr>
          <w:p w14:paraId="360F56C1">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866.2</w:t>
            </w:r>
          </w:p>
        </w:tc>
        <w:tc>
          <w:tcPr>
            <w:tcW w:w="329" w:type="pct"/>
            <w:tcBorders>
              <w:tl2br w:val="nil"/>
              <w:tr2bl w:val="nil"/>
            </w:tcBorders>
            <w:shd w:val="clear" w:color="auto" w:fill="auto"/>
            <w:noWrap w:val="0"/>
            <w:vAlign w:val="center"/>
          </w:tcPr>
          <w:p w14:paraId="7A43BCC2">
            <w:pPr>
              <w:jc w:val="center"/>
              <w:rPr>
                <w:rFonts w:hint="default"/>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6.86</w:t>
            </w:r>
          </w:p>
        </w:tc>
        <w:tc>
          <w:tcPr>
            <w:tcW w:w="308" w:type="pct"/>
            <w:tcBorders>
              <w:tl2br w:val="nil"/>
              <w:tr2bl w:val="nil"/>
            </w:tcBorders>
            <w:shd w:val="clear" w:color="auto" w:fill="auto"/>
            <w:noWrap w:val="0"/>
            <w:vAlign w:val="center"/>
          </w:tcPr>
          <w:p w14:paraId="292399DB">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3.81</w:t>
            </w:r>
          </w:p>
        </w:tc>
        <w:tc>
          <w:tcPr>
            <w:tcW w:w="315" w:type="pct"/>
            <w:tcBorders>
              <w:tl2br w:val="nil"/>
              <w:tr2bl w:val="nil"/>
            </w:tcBorders>
            <w:noWrap w:val="0"/>
            <w:vAlign w:val="center"/>
          </w:tcPr>
          <w:p w14:paraId="4524AC45">
            <w:pPr>
              <w:jc w:val="center"/>
              <w:rPr>
                <w:rFonts w:hint="eastAsia"/>
                <w:i w:val="0"/>
                <w:iCs w:val="0"/>
                <w:color w:val="auto"/>
                <w:sz w:val="18"/>
                <w:szCs w:val="18"/>
                <w:highlight w:val="none"/>
                <w:u w:val="none" w:color="auto"/>
                <w:lang w:val="en-US" w:eastAsia="zh-CN"/>
              </w:rPr>
            </w:pPr>
            <w:r>
              <w:rPr>
                <w:rFonts w:hint="eastAsia"/>
                <w:i w:val="0"/>
                <w:iCs w:val="0"/>
                <w:color w:val="auto"/>
                <w:sz w:val="18"/>
                <w:szCs w:val="18"/>
                <w:highlight w:val="none"/>
                <w:u w:val="none" w:color="auto"/>
                <w:lang w:val="en-US" w:eastAsia="zh-CN"/>
              </w:rPr>
              <w:t>筒仓</w:t>
            </w:r>
            <w:r>
              <w:rPr>
                <w:rFonts w:hint="eastAsia"/>
                <w:i w:val="0"/>
                <w:iCs w:val="0"/>
                <w:color w:val="auto"/>
                <w:sz w:val="18"/>
                <w:szCs w:val="18"/>
                <w:highlight w:val="none"/>
                <w:u w:val="none" w:color="auto"/>
              </w:rPr>
              <w:t>自带脉冲袋式除尘器</w:t>
            </w:r>
            <w:r>
              <w:rPr>
                <w:rFonts w:hint="eastAsia"/>
                <w:i w:val="0"/>
                <w:iCs w:val="0"/>
                <w:color w:val="auto"/>
                <w:sz w:val="18"/>
                <w:szCs w:val="18"/>
                <w:highlight w:val="none"/>
                <w:u w:val="none" w:color="auto"/>
                <w:lang w:val="en-US" w:eastAsia="zh-CN"/>
              </w:rPr>
              <w:t>+底部排气口</w:t>
            </w:r>
          </w:p>
        </w:tc>
        <w:tc>
          <w:tcPr>
            <w:tcW w:w="277" w:type="pct"/>
            <w:tcBorders>
              <w:tl2br w:val="nil"/>
              <w:tr2bl w:val="nil"/>
            </w:tcBorders>
            <w:noWrap w:val="0"/>
            <w:vAlign w:val="center"/>
          </w:tcPr>
          <w:p w14:paraId="1A1F1F79">
            <w:pPr>
              <w:jc w:val="center"/>
              <w:rPr>
                <w:rFonts w:hint="eastAsia" w:eastAsia="宋体"/>
                <w:color w:val="auto"/>
                <w:kern w:val="21"/>
                <w:sz w:val="18"/>
                <w:szCs w:val="18"/>
                <w:highlight w:val="none"/>
                <w:u w:val="none" w:color="auto"/>
                <w:lang w:val="en-US" w:eastAsia="zh-CN"/>
              </w:rPr>
            </w:pPr>
            <w:r>
              <w:rPr>
                <w:rFonts w:hint="eastAsia" w:eastAsia="宋体"/>
                <w:color w:val="auto"/>
                <w:kern w:val="21"/>
                <w:sz w:val="18"/>
                <w:szCs w:val="18"/>
                <w:highlight w:val="none"/>
                <w:u w:val="none" w:color="auto"/>
                <w:lang w:val="en-US" w:eastAsia="zh-CN"/>
              </w:rPr>
              <w:t>99.7</w:t>
            </w:r>
          </w:p>
        </w:tc>
        <w:tc>
          <w:tcPr>
            <w:tcW w:w="324" w:type="pct"/>
            <w:tcBorders>
              <w:tl2br w:val="nil"/>
              <w:tr2bl w:val="nil"/>
            </w:tcBorders>
            <w:shd w:val="clear" w:color="auto" w:fill="auto"/>
            <w:noWrap w:val="0"/>
            <w:vAlign w:val="center"/>
          </w:tcPr>
          <w:p w14:paraId="41B893B3">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9.9×10</w:t>
            </w:r>
            <w:r>
              <w:rPr>
                <w:rFonts w:hint="eastAsia"/>
                <w:color w:val="auto"/>
                <w:kern w:val="21"/>
                <w:sz w:val="18"/>
                <w:szCs w:val="18"/>
                <w:highlight w:val="none"/>
                <w:u w:val="none" w:color="auto"/>
                <w:vertAlign w:val="superscript"/>
                <w:lang w:val="en-US" w:eastAsia="zh-CN"/>
              </w:rPr>
              <w:t>5</w:t>
            </w:r>
          </w:p>
        </w:tc>
        <w:tc>
          <w:tcPr>
            <w:tcW w:w="197" w:type="pct"/>
            <w:vMerge w:val="continue"/>
            <w:tcBorders>
              <w:tl2br w:val="nil"/>
              <w:tr2bl w:val="nil"/>
            </w:tcBorders>
            <w:noWrap w:val="0"/>
            <w:vAlign w:val="center"/>
          </w:tcPr>
          <w:p w14:paraId="614FAFA3">
            <w:pPr>
              <w:jc w:val="center"/>
              <w:rPr>
                <w:rFonts w:hint="eastAsia"/>
                <w:color w:val="auto"/>
                <w:kern w:val="21"/>
                <w:sz w:val="18"/>
                <w:szCs w:val="18"/>
                <w:highlight w:val="none"/>
                <w:u w:val="none" w:color="auto"/>
                <w:lang w:val="en-US" w:eastAsia="zh-CN"/>
              </w:rPr>
            </w:pPr>
          </w:p>
        </w:tc>
        <w:tc>
          <w:tcPr>
            <w:tcW w:w="353" w:type="pct"/>
            <w:tcBorders>
              <w:tl2br w:val="nil"/>
              <w:tr2bl w:val="nil"/>
            </w:tcBorders>
            <w:shd w:val="clear" w:color="auto" w:fill="auto"/>
            <w:noWrap w:val="0"/>
            <w:vAlign w:val="center"/>
          </w:tcPr>
          <w:p w14:paraId="0FA1E903">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2.6</w:t>
            </w:r>
          </w:p>
        </w:tc>
        <w:tc>
          <w:tcPr>
            <w:tcW w:w="336" w:type="pct"/>
            <w:tcBorders>
              <w:tl2br w:val="nil"/>
              <w:tr2bl w:val="nil"/>
            </w:tcBorders>
            <w:noWrap w:val="0"/>
            <w:vAlign w:val="center"/>
          </w:tcPr>
          <w:p w14:paraId="1C37AC93">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0.02</w:t>
            </w:r>
          </w:p>
        </w:tc>
        <w:tc>
          <w:tcPr>
            <w:tcW w:w="351" w:type="pct"/>
            <w:tcBorders>
              <w:tl2br w:val="nil"/>
              <w:tr2bl w:val="nil"/>
            </w:tcBorders>
            <w:noWrap w:val="0"/>
            <w:vAlign w:val="center"/>
          </w:tcPr>
          <w:p w14:paraId="4511F6DC">
            <w:pPr>
              <w:jc w:val="center"/>
              <w:rPr>
                <w:rFonts w:hint="default" w:eastAsia="宋体"/>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0.011</w:t>
            </w:r>
          </w:p>
        </w:tc>
        <w:tc>
          <w:tcPr>
            <w:tcW w:w="282" w:type="pct"/>
            <w:vMerge w:val="continue"/>
            <w:tcBorders>
              <w:tl2br w:val="nil"/>
              <w:tr2bl w:val="nil"/>
            </w:tcBorders>
            <w:noWrap w:val="0"/>
            <w:vAlign w:val="center"/>
          </w:tcPr>
          <w:p w14:paraId="5B6710B5">
            <w:pPr>
              <w:jc w:val="center"/>
              <w:rPr>
                <w:rFonts w:hint="eastAsia"/>
                <w:color w:val="auto"/>
                <w:kern w:val="21"/>
                <w:sz w:val="18"/>
                <w:szCs w:val="18"/>
                <w:highlight w:val="none"/>
                <w:u w:val="none" w:color="auto"/>
                <w:lang w:val="en-US" w:eastAsia="zh-CN"/>
              </w:rPr>
            </w:pPr>
          </w:p>
        </w:tc>
        <w:tc>
          <w:tcPr>
            <w:tcW w:w="269" w:type="pct"/>
            <w:vMerge w:val="continue"/>
            <w:tcBorders>
              <w:tl2br w:val="nil"/>
              <w:tr2bl w:val="nil"/>
            </w:tcBorders>
            <w:noWrap w:val="0"/>
            <w:vAlign w:val="center"/>
          </w:tcPr>
          <w:p w14:paraId="78C2E454">
            <w:pPr>
              <w:jc w:val="center"/>
              <w:rPr>
                <w:rFonts w:hint="eastAsia"/>
                <w:color w:val="auto"/>
                <w:kern w:val="21"/>
                <w:sz w:val="18"/>
                <w:szCs w:val="18"/>
                <w:highlight w:val="none"/>
                <w:u w:val="none" w:color="auto"/>
                <w:lang w:val="en-US" w:eastAsia="zh-CN"/>
              </w:rPr>
            </w:pPr>
          </w:p>
        </w:tc>
      </w:tr>
      <w:tr w14:paraId="6311A4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264" w:type="pct"/>
            <w:tcBorders>
              <w:tl2br w:val="nil"/>
              <w:tr2bl w:val="nil"/>
            </w:tcBorders>
            <w:shd w:val="clear" w:color="auto" w:fill="auto"/>
            <w:noWrap w:val="0"/>
            <w:vAlign w:val="center"/>
          </w:tcPr>
          <w:p w14:paraId="29AEF68B">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粉煤灰筒仓1粉尘</w:t>
            </w:r>
          </w:p>
        </w:tc>
        <w:tc>
          <w:tcPr>
            <w:tcW w:w="324" w:type="pct"/>
            <w:tcBorders>
              <w:tl2br w:val="nil"/>
              <w:tr2bl w:val="nil"/>
            </w:tcBorders>
            <w:shd w:val="clear" w:color="auto" w:fill="auto"/>
            <w:noWrap w:val="0"/>
            <w:vAlign w:val="center"/>
          </w:tcPr>
          <w:p w14:paraId="12FAB6BB">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9.9×10</w:t>
            </w:r>
            <w:r>
              <w:rPr>
                <w:rFonts w:hint="eastAsia"/>
                <w:color w:val="auto"/>
                <w:kern w:val="21"/>
                <w:sz w:val="18"/>
                <w:szCs w:val="18"/>
                <w:highlight w:val="none"/>
                <w:u w:val="none" w:color="auto"/>
                <w:vertAlign w:val="superscript"/>
                <w:lang w:val="en-US" w:eastAsia="zh-CN"/>
              </w:rPr>
              <w:t>5</w:t>
            </w:r>
          </w:p>
        </w:tc>
        <w:tc>
          <w:tcPr>
            <w:tcW w:w="280" w:type="pct"/>
            <w:tcBorders>
              <w:tl2br w:val="nil"/>
              <w:tr2bl w:val="nil"/>
            </w:tcBorders>
            <w:shd w:val="clear" w:color="auto" w:fill="auto"/>
            <w:noWrap w:val="0"/>
            <w:vAlign w:val="center"/>
          </w:tcPr>
          <w:p w14:paraId="0B3FAC2E">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17/0.3</w:t>
            </w:r>
          </w:p>
        </w:tc>
        <w:tc>
          <w:tcPr>
            <w:tcW w:w="232" w:type="pct"/>
            <w:vMerge w:val="continue"/>
            <w:tcBorders>
              <w:tl2br w:val="nil"/>
              <w:tr2bl w:val="nil"/>
            </w:tcBorders>
            <w:noWrap w:val="0"/>
            <w:vAlign w:val="center"/>
          </w:tcPr>
          <w:p w14:paraId="23CB3A25">
            <w:pPr>
              <w:jc w:val="center"/>
              <w:rPr>
                <w:rFonts w:hint="eastAsia" w:eastAsia="宋体"/>
                <w:color w:val="auto"/>
                <w:kern w:val="21"/>
                <w:sz w:val="18"/>
                <w:szCs w:val="18"/>
                <w:highlight w:val="none"/>
                <w:u w:val="none" w:color="auto"/>
                <w:lang w:val="en-US" w:eastAsia="zh-CN"/>
              </w:rPr>
            </w:pPr>
          </w:p>
        </w:tc>
        <w:tc>
          <w:tcPr>
            <w:tcW w:w="202" w:type="pct"/>
            <w:vMerge w:val="continue"/>
            <w:tcBorders>
              <w:tl2br w:val="nil"/>
              <w:tr2bl w:val="nil"/>
            </w:tcBorders>
            <w:noWrap w:val="0"/>
            <w:vAlign w:val="center"/>
          </w:tcPr>
          <w:p w14:paraId="051FB5BA">
            <w:pPr>
              <w:jc w:val="center"/>
              <w:rPr>
                <w:rFonts w:hint="eastAsia"/>
                <w:color w:val="auto"/>
                <w:kern w:val="21"/>
                <w:sz w:val="18"/>
                <w:szCs w:val="18"/>
                <w:highlight w:val="none"/>
                <w:u w:val="none" w:color="auto"/>
                <w:lang w:val="en-US" w:eastAsia="zh-CN"/>
              </w:rPr>
            </w:pPr>
          </w:p>
        </w:tc>
        <w:tc>
          <w:tcPr>
            <w:tcW w:w="350" w:type="pct"/>
            <w:tcBorders>
              <w:tl2br w:val="nil"/>
              <w:tr2bl w:val="nil"/>
            </w:tcBorders>
            <w:shd w:val="clear" w:color="auto" w:fill="auto"/>
            <w:noWrap w:val="0"/>
            <w:vAlign w:val="center"/>
          </w:tcPr>
          <w:p w14:paraId="7AAC03B2">
            <w:pPr>
              <w:jc w:val="center"/>
              <w:rPr>
                <w:rFonts w:hint="default"/>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131.3.</w:t>
            </w:r>
          </w:p>
        </w:tc>
        <w:tc>
          <w:tcPr>
            <w:tcW w:w="329" w:type="pct"/>
            <w:tcBorders>
              <w:tl2br w:val="nil"/>
              <w:tr2bl w:val="nil"/>
            </w:tcBorders>
            <w:shd w:val="clear" w:color="auto" w:fill="auto"/>
            <w:noWrap w:val="0"/>
            <w:vAlign w:val="center"/>
          </w:tcPr>
          <w:p w14:paraId="41B92391">
            <w:pPr>
              <w:jc w:val="center"/>
              <w:rPr>
                <w:rFonts w:hint="default" w:cs="Times New Roman"/>
                <w:color w:val="auto"/>
                <w:kern w:val="21"/>
                <w:sz w:val="18"/>
                <w:szCs w:val="18"/>
                <w:highlight w:val="none"/>
                <w:u w:val="none" w:color="auto"/>
                <w:lang w:val="en-US" w:eastAsia="zh-CN" w:bidi="ar-SA"/>
              </w:rPr>
            </w:pPr>
            <w:r>
              <w:rPr>
                <w:rFonts w:hint="eastAsia" w:cs="Times New Roman"/>
                <w:color w:val="auto"/>
                <w:kern w:val="21"/>
                <w:sz w:val="18"/>
                <w:szCs w:val="18"/>
                <w:highlight w:val="none"/>
                <w:u w:val="none" w:color="auto"/>
                <w:lang w:val="en-US" w:eastAsia="zh-CN" w:bidi="ar-SA"/>
              </w:rPr>
              <w:t>1.04</w:t>
            </w:r>
          </w:p>
        </w:tc>
        <w:tc>
          <w:tcPr>
            <w:tcW w:w="308" w:type="pct"/>
            <w:tcBorders>
              <w:tl2br w:val="nil"/>
              <w:tr2bl w:val="nil"/>
            </w:tcBorders>
            <w:shd w:val="clear" w:color="auto" w:fill="auto"/>
            <w:noWrap w:val="0"/>
            <w:vAlign w:val="center"/>
          </w:tcPr>
          <w:p w14:paraId="6D631AA7">
            <w:pPr>
              <w:jc w:val="center"/>
              <w:rPr>
                <w:rFonts w:hint="default"/>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0.6</w:t>
            </w:r>
          </w:p>
        </w:tc>
        <w:tc>
          <w:tcPr>
            <w:tcW w:w="315" w:type="pct"/>
            <w:tcBorders>
              <w:tl2br w:val="nil"/>
              <w:tr2bl w:val="nil"/>
            </w:tcBorders>
            <w:shd w:val="clear" w:color="auto" w:fill="auto"/>
            <w:noWrap w:val="0"/>
            <w:vAlign w:val="center"/>
          </w:tcPr>
          <w:p w14:paraId="78149117">
            <w:pPr>
              <w:jc w:val="center"/>
              <w:rPr>
                <w:rFonts w:hint="eastAsia"/>
                <w:i w:val="0"/>
                <w:iCs w:val="0"/>
                <w:color w:val="auto"/>
                <w:sz w:val="18"/>
                <w:szCs w:val="18"/>
                <w:highlight w:val="none"/>
                <w:u w:val="none" w:color="auto"/>
                <w:lang w:val="en-US" w:eastAsia="zh-CN"/>
              </w:rPr>
            </w:pPr>
            <w:r>
              <w:rPr>
                <w:rFonts w:hint="eastAsia"/>
                <w:i w:val="0"/>
                <w:iCs w:val="0"/>
                <w:color w:val="auto"/>
                <w:sz w:val="18"/>
                <w:szCs w:val="18"/>
                <w:highlight w:val="none"/>
                <w:u w:val="none" w:color="auto"/>
                <w:lang w:val="en-US" w:eastAsia="zh-CN"/>
              </w:rPr>
              <w:t>筒仓</w:t>
            </w:r>
            <w:r>
              <w:rPr>
                <w:rFonts w:hint="eastAsia"/>
                <w:i w:val="0"/>
                <w:iCs w:val="0"/>
                <w:color w:val="auto"/>
                <w:sz w:val="18"/>
                <w:szCs w:val="18"/>
                <w:highlight w:val="none"/>
                <w:u w:val="none" w:color="auto"/>
              </w:rPr>
              <w:t>自带脉冲袋式除尘器</w:t>
            </w:r>
            <w:r>
              <w:rPr>
                <w:rFonts w:hint="eastAsia"/>
                <w:i w:val="0"/>
                <w:iCs w:val="0"/>
                <w:color w:val="auto"/>
                <w:sz w:val="18"/>
                <w:szCs w:val="18"/>
                <w:highlight w:val="none"/>
                <w:u w:val="none" w:color="auto"/>
                <w:lang w:val="en-US" w:eastAsia="zh-CN"/>
              </w:rPr>
              <w:t>+底部排气口</w:t>
            </w:r>
          </w:p>
        </w:tc>
        <w:tc>
          <w:tcPr>
            <w:tcW w:w="277" w:type="pct"/>
            <w:tcBorders>
              <w:tl2br w:val="nil"/>
              <w:tr2bl w:val="nil"/>
            </w:tcBorders>
            <w:shd w:val="clear" w:color="auto" w:fill="auto"/>
            <w:noWrap w:val="0"/>
            <w:vAlign w:val="center"/>
          </w:tcPr>
          <w:p w14:paraId="1C367860">
            <w:pPr>
              <w:jc w:val="center"/>
              <w:rPr>
                <w:rFonts w:hint="eastAsia"/>
                <w:i w:val="0"/>
                <w:iCs w:val="0"/>
                <w:color w:val="auto"/>
                <w:sz w:val="18"/>
                <w:szCs w:val="18"/>
                <w:highlight w:val="none"/>
                <w:u w:val="none" w:color="auto"/>
                <w:lang w:val="en-US" w:eastAsia="zh-CN"/>
              </w:rPr>
            </w:pPr>
            <w:r>
              <w:rPr>
                <w:rFonts w:hint="eastAsia"/>
                <w:i w:val="0"/>
                <w:iCs w:val="0"/>
                <w:color w:val="auto"/>
                <w:sz w:val="18"/>
                <w:szCs w:val="18"/>
                <w:highlight w:val="none"/>
                <w:u w:val="none" w:color="auto"/>
                <w:lang w:val="en-US" w:eastAsia="zh-CN"/>
              </w:rPr>
              <w:t>99.7</w:t>
            </w:r>
          </w:p>
        </w:tc>
        <w:tc>
          <w:tcPr>
            <w:tcW w:w="324" w:type="pct"/>
            <w:tcBorders>
              <w:tl2br w:val="nil"/>
              <w:tr2bl w:val="nil"/>
            </w:tcBorders>
            <w:shd w:val="clear" w:color="auto" w:fill="auto"/>
            <w:noWrap w:val="0"/>
            <w:vAlign w:val="center"/>
          </w:tcPr>
          <w:p w14:paraId="4D37D505">
            <w:pPr>
              <w:jc w:val="center"/>
              <w:rPr>
                <w:rFonts w:hint="eastAsia"/>
                <w:i w:val="0"/>
                <w:iCs w:val="0"/>
                <w:color w:val="auto"/>
                <w:sz w:val="18"/>
                <w:szCs w:val="18"/>
                <w:highlight w:val="none"/>
                <w:u w:val="none" w:color="auto"/>
                <w:lang w:val="en-US" w:eastAsia="zh-CN"/>
              </w:rPr>
            </w:pPr>
            <w:r>
              <w:rPr>
                <w:rFonts w:hint="eastAsia"/>
                <w:color w:val="auto"/>
                <w:kern w:val="21"/>
                <w:sz w:val="18"/>
                <w:szCs w:val="18"/>
                <w:highlight w:val="none"/>
                <w:u w:val="none" w:color="auto"/>
                <w:lang w:val="en-US" w:eastAsia="zh-CN"/>
              </w:rPr>
              <w:t>9.9×10</w:t>
            </w:r>
            <w:r>
              <w:rPr>
                <w:rFonts w:hint="eastAsia"/>
                <w:color w:val="auto"/>
                <w:kern w:val="21"/>
                <w:sz w:val="18"/>
                <w:szCs w:val="18"/>
                <w:highlight w:val="none"/>
                <w:u w:val="none" w:color="auto"/>
                <w:vertAlign w:val="superscript"/>
                <w:lang w:val="en-US" w:eastAsia="zh-CN"/>
              </w:rPr>
              <w:t>5</w:t>
            </w:r>
          </w:p>
        </w:tc>
        <w:tc>
          <w:tcPr>
            <w:tcW w:w="197" w:type="pct"/>
            <w:vMerge w:val="continue"/>
            <w:tcBorders>
              <w:tl2br w:val="nil"/>
              <w:tr2bl w:val="nil"/>
            </w:tcBorders>
            <w:noWrap w:val="0"/>
            <w:vAlign w:val="center"/>
          </w:tcPr>
          <w:p w14:paraId="4512A88A">
            <w:pPr>
              <w:jc w:val="center"/>
              <w:rPr>
                <w:rFonts w:hint="eastAsia"/>
                <w:color w:val="auto"/>
                <w:kern w:val="21"/>
                <w:sz w:val="18"/>
                <w:szCs w:val="18"/>
                <w:highlight w:val="none"/>
                <w:u w:val="none" w:color="auto"/>
                <w:lang w:val="en-US" w:eastAsia="zh-CN"/>
              </w:rPr>
            </w:pPr>
          </w:p>
        </w:tc>
        <w:tc>
          <w:tcPr>
            <w:tcW w:w="353" w:type="pct"/>
            <w:tcBorders>
              <w:tl2br w:val="nil"/>
              <w:tr2bl w:val="nil"/>
            </w:tcBorders>
            <w:shd w:val="clear" w:color="auto" w:fill="auto"/>
            <w:noWrap w:val="0"/>
            <w:vAlign w:val="center"/>
          </w:tcPr>
          <w:p w14:paraId="4231A46E">
            <w:pPr>
              <w:jc w:val="center"/>
              <w:rPr>
                <w:rFonts w:hint="default"/>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0.39</w:t>
            </w:r>
          </w:p>
        </w:tc>
        <w:tc>
          <w:tcPr>
            <w:tcW w:w="336" w:type="pct"/>
            <w:tcBorders>
              <w:tl2br w:val="nil"/>
              <w:tr2bl w:val="nil"/>
            </w:tcBorders>
            <w:shd w:val="clear" w:color="auto" w:fill="auto"/>
            <w:noWrap w:val="0"/>
            <w:vAlign w:val="center"/>
          </w:tcPr>
          <w:p w14:paraId="791DF53A">
            <w:pPr>
              <w:jc w:val="center"/>
              <w:rPr>
                <w:rFonts w:hint="default" w:ascii="Times New Roman" w:hAnsi="Times New Roman" w:eastAsia="宋体" w:cs="Times New Roman"/>
                <w:color w:val="auto"/>
                <w:kern w:val="21"/>
                <w:sz w:val="18"/>
                <w:szCs w:val="18"/>
                <w:highlight w:val="none"/>
                <w:u w:val="none" w:color="auto"/>
                <w:lang w:val="en-US" w:eastAsia="zh-CN" w:bidi="ar-SA"/>
              </w:rPr>
            </w:pPr>
            <w:r>
              <w:rPr>
                <w:rFonts w:hint="eastAsia" w:cs="Times New Roman"/>
                <w:color w:val="auto"/>
                <w:kern w:val="21"/>
                <w:sz w:val="18"/>
                <w:szCs w:val="18"/>
                <w:highlight w:val="none"/>
                <w:u w:val="none" w:color="auto"/>
                <w:lang w:val="en-US" w:eastAsia="zh-CN" w:bidi="ar-SA"/>
              </w:rPr>
              <w:t>0.003</w:t>
            </w:r>
          </w:p>
        </w:tc>
        <w:tc>
          <w:tcPr>
            <w:tcW w:w="351" w:type="pct"/>
            <w:tcBorders>
              <w:tl2br w:val="nil"/>
              <w:tr2bl w:val="nil"/>
            </w:tcBorders>
            <w:shd w:val="clear" w:color="auto" w:fill="auto"/>
            <w:noWrap w:val="0"/>
            <w:vAlign w:val="center"/>
          </w:tcPr>
          <w:p w14:paraId="4C653194">
            <w:pPr>
              <w:jc w:val="center"/>
              <w:rPr>
                <w:rFonts w:hint="default" w:ascii="Times New Roman" w:hAnsi="Times New Roman" w:eastAsia="宋体" w:cs="Times New Roman"/>
                <w:color w:val="auto"/>
                <w:kern w:val="21"/>
                <w:sz w:val="18"/>
                <w:szCs w:val="18"/>
                <w:highlight w:val="none"/>
                <w:u w:val="none" w:color="auto"/>
                <w:lang w:val="en-US" w:eastAsia="zh-CN" w:bidi="ar-SA"/>
              </w:rPr>
            </w:pPr>
            <w:r>
              <w:rPr>
                <w:rFonts w:hint="eastAsia" w:cs="Times New Roman"/>
                <w:color w:val="auto"/>
                <w:kern w:val="21"/>
                <w:sz w:val="18"/>
                <w:szCs w:val="18"/>
                <w:highlight w:val="none"/>
                <w:u w:val="none" w:color="auto"/>
                <w:lang w:val="en-US" w:eastAsia="zh-CN" w:bidi="ar-SA"/>
              </w:rPr>
              <w:t>0.0015</w:t>
            </w:r>
          </w:p>
        </w:tc>
        <w:tc>
          <w:tcPr>
            <w:tcW w:w="282" w:type="pct"/>
            <w:vMerge w:val="continue"/>
            <w:tcBorders>
              <w:tl2br w:val="nil"/>
              <w:tr2bl w:val="nil"/>
            </w:tcBorders>
            <w:shd w:val="clear" w:color="auto" w:fill="auto"/>
            <w:noWrap w:val="0"/>
            <w:vAlign w:val="center"/>
          </w:tcPr>
          <w:p w14:paraId="77A64A9C">
            <w:pPr>
              <w:jc w:val="center"/>
              <w:rPr>
                <w:rFonts w:hint="eastAsia" w:ascii="Times New Roman" w:hAnsi="Times New Roman" w:eastAsia="宋体" w:cs="Times New Roman"/>
                <w:color w:val="auto"/>
                <w:kern w:val="21"/>
                <w:sz w:val="18"/>
                <w:szCs w:val="18"/>
                <w:highlight w:val="none"/>
                <w:u w:val="none" w:color="auto"/>
                <w:lang w:val="en-US" w:eastAsia="zh-CN" w:bidi="ar-SA"/>
              </w:rPr>
            </w:pPr>
          </w:p>
        </w:tc>
        <w:tc>
          <w:tcPr>
            <w:tcW w:w="269" w:type="pct"/>
            <w:vMerge w:val="continue"/>
            <w:tcBorders>
              <w:tl2br w:val="nil"/>
              <w:tr2bl w:val="nil"/>
            </w:tcBorders>
            <w:noWrap w:val="0"/>
            <w:vAlign w:val="center"/>
          </w:tcPr>
          <w:p w14:paraId="5E9C475D">
            <w:pPr>
              <w:jc w:val="center"/>
              <w:rPr>
                <w:rFonts w:hint="eastAsia"/>
                <w:color w:val="auto"/>
                <w:kern w:val="21"/>
                <w:sz w:val="18"/>
                <w:szCs w:val="18"/>
                <w:highlight w:val="green"/>
                <w:u w:val="none" w:color="auto"/>
                <w:lang w:val="en-US" w:eastAsia="zh-CN"/>
              </w:rPr>
            </w:pPr>
          </w:p>
        </w:tc>
      </w:tr>
      <w:tr w14:paraId="01AEBD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264" w:type="pct"/>
            <w:tcBorders>
              <w:tl2br w:val="nil"/>
              <w:tr2bl w:val="nil"/>
            </w:tcBorders>
            <w:shd w:val="clear" w:color="auto" w:fill="auto"/>
            <w:noWrap w:val="0"/>
            <w:vAlign w:val="center"/>
          </w:tcPr>
          <w:p w14:paraId="70899B93">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粉煤灰筒仓2粉尘</w:t>
            </w:r>
          </w:p>
        </w:tc>
        <w:tc>
          <w:tcPr>
            <w:tcW w:w="324" w:type="pct"/>
            <w:tcBorders>
              <w:tl2br w:val="nil"/>
              <w:tr2bl w:val="nil"/>
            </w:tcBorders>
            <w:shd w:val="clear" w:color="auto" w:fill="auto"/>
            <w:noWrap w:val="0"/>
            <w:vAlign w:val="center"/>
          </w:tcPr>
          <w:p w14:paraId="6C5E8955">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9.9×10</w:t>
            </w:r>
            <w:r>
              <w:rPr>
                <w:rFonts w:hint="eastAsia"/>
                <w:color w:val="auto"/>
                <w:kern w:val="21"/>
                <w:sz w:val="18"/>
                <w:szCs w:val="18"/>
                <w:highlight w:val="none"/>
                <w:u w:val="none" w:color="auto"/>
                <w:vertAlign w:val="superscript"/>
                <w:lang w:val="en-US" w:eastAsia="zh-CN"/>
              </w:rPr>
              <w:t>5</w:t>
            </w:r>
          </w:p>
        </w:tc>
        <w:tc>
          <w:tcPr>
            <w:tcW w:w="280" w:type="pct"/>
            <w:tcBorders>
              <w:tl2br w:val="nil"/>
              <w:tr2bl w:val="nil"/>
            </w:tcBorders>
            <w:shd w:val="clear" w:color="auto" w:fill="auto"/>
            <w:noWrap w:val="0"/>
            <w:vAlign w:val="center"/>
          </w:tcPr>
          <w:p w14:paraId="3FCC59B3">
            <w:pPr>
              <w:jc w:val="center"/>
              <w:rPr>
                <w:rFonts w:hint="eastAsia"/>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17/0.3</w:t>
            </w:r>
          </w:p>
        </w:tc>
        <w:tc>
          <w:tcPr>
            <w:tcW w:w="232" w:type="pct"/>
            <w:vMerge w:val="continue"/>
            <w:tcBorders>
              <w:tl2br w:val="nil"/>
              <w:tr2bl w:val="nil"/>
            </w:tcBorders>
            <w:noWrap w:val="0"/>
            <w:vAlign w:val="center"/>
          </w:tcPr>
          <w:p w14:paraId="024B3981">
            <w:pPr>
              <w:jc w:val="center"/>
              <w:rPr>
                <w:rFonts w:hint="eastAsia" w:eastAsia="宋体"/>
                <w:color w:val="auto"/>
                <w:kern w:val="21"/>
                <w:sz w:val="18"/>
                <w:szCs w:val="18"/>
                <w:highlight w:val="none"/>
                <w:u w:val="none" w:color="auto"/>
                <w:lang w:val="en-US" w:eastAsia="zh-CN"/>
              </w:rPr>
            </w:pPr>
          </w:p>
        </w:tc>
        <w:tc>
          <w:tcPr>
            <w:tcW w:w="202" w:type="pct"/>
            <w:vMerge w:val="continue"/>
            <w:tcBorders>
              <w:tl2br w:val="nil"/>
              <w:tr2bl w:val="nil"/>
            </w:tcBorders>
            <w:noWrap w:val="0"/>
            <w:vAlign w:val="center"/>
          </w:tcPr>
          <w:p w14:paraId="50187879">
            <w:pPr>
              <w:jc w:val="center"/>
              <w:rPr>
                <w:rFonts w:hint="eastAsia"/>
                <w:color w:val="auto"/>
                <w:kern w:val="21"/>
                <w:sz w:val="18"/>
                <w:szCs w:val="18"/>
                <w:highlight w:val="none"/>
                <w:u w:val="none" w:color="auto"/>
                <w:lang w:val="en-US" w:eastAsia="zh-CN"/>
              </w:rPr>
            </w:pPr>
          </w:p>
        </w:tc>
        <w:tc>
          <w:tcPr>
            <w:tcW w:w="350" w:type="pct"/>
            <w:tcBorders>
              <w:tl2br w:val="nil"/>
              <w:tr2bl w:val="nil"/>
            </w:tcBorders>
            <w:shd w:val="clear" w:color="auto" w:fill="auto"/>
            <w:noWrap w:val="0"/>
            <w:vAlign w:val="center"/>
          </w:tcPr>
          <w:p w14:paraId="33AD53E1">
            <w:pPr>
              <w:jc w:val="center"/>
              <w:rPr>
                <w:rFonts w:hint="default"/>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131.3</w:t>
            </w:r>
          </w:p>
        </w:tc>
        <w:tc>
          <w:tcPr>
            <w:tcW w:w="329" w:type="pct"/>
            <w:tcBorders>
              <w:tl2br w:val="nil"/>
              <w:tr2bl w:val="nil"/>
            </w:tcBorders>
            <w:shd w:val="clear" w:color="auto" w:fill="auto"/>
            <w:noWrap w:val="0"/>
            <w:vAlign w:val="center"/>
          </w:tcPr>
          <w:p w14:paraId="49DBCF79">
            <w:pPr>
              <w:jc w:val="center"/>
              <w:rPr>
                <w:rFonts w:hint="default" w:cs="Times New Roman"/>
                <w:color w:val="auto"/>
                <w:kern w:val="21"/>
                <w:sz w:val="18"/>
                <w:szCs w:val="18"/>
                <w:highlight w:val="none"/>
                <w:u w:val="none" w:color="auto"/>
                <w:lang w:val="en-US" w:eastAsia="zh-CN" w:bidi="ar-SA"/>
              </w:rPr>
            </w:pPr>
            <w:r>
              <w:rPr>
                <w:rFonts w:hint="eastAsia" w:cs="Times New Roman"/>
                <w:color w:val="auto"/>
                <w:kern w:val="21"/>
                <w:sz w:val="18"/>
                <w:szCs w:val="18"/>
                <w:highlight w:val="none"/>
                <w:u w:val="none" w:color="auto"/>
                <w:lang w:val="en-US" w:eastAsia="zh-CN" w:bidi="ar-SA"/>
              </w:rPr>
              <w:t>1.04</w:t>
            </w:r>
          </w:p>
        </w:tc>
        <w:tc>
          <w:tcPr>
            <w:tcW w:w="308" w:type="pct"/>
            <w:tcBorders>
              <w:tl2br w:val="nil"/>
              <w:tr2bl w:val="nil"/>
            </w:tcBorders>
            <w:shd w:val="clear" w:color="auto" w:fill="auto"/>
            <w:noWrap w:val="0"/>
            <w:vAlign w:val="center"/>
          </w:tcPr>
          <w:p w14:paraId="38DB4EE4">
            <w:pPr>
              <w:jc w:val="center"/>
              <w:rPr>
                <w:rFonts w:hint="default"/>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0.6</w:t>
            </w:r>
          </w:p>
        </w:tc>
        <w:tc>
          <w:tcPr>
            <w:tcW w:w="315" w:type="pct"/>
            <w:tcBorders>
              <w:tl2br w:val="nil"/>
              <w:tr2bl w:val="nil"/>
            </w:tcBorders>
            <w:shd w:val="clear" w:color="auto" w:fill="auto"/>
            <w:noWrap w:val="0"/>
            <w:vAlign w:val="center"/>
          </w:tcPr>
          <w:p w14:paraId="0E875F69">
            <w:pPr>
              <w:jc w:val="center"/>
              <w:rPr>
                <w:rFonts w:hint="eastAsia"/>
                <w:i w:val="0"/>
                <w:iCs w:val="0"/>
                <w:color w:val="auto"/>
                <w:sz w:val="18"/>
                <w:szCs w:val="18"/>
                <w:highlight w:val="none"/>
                <w:u w:val="none" w:color="auto"/>
                <w:lang w:val="en-US" w:eastAsia="zh-CN"/>
              </w:rPr>
            </w:pPr>
            <w:r>
              <w:rPr>
                <w:rFonts w:hint="eastAsia"/>
                <w:i w:val="0"/>
                <w:iCs w:val="0"/>
                <w:color w:val="auto"/>
                <w:sz w:val="18"/>
                <w:szCs w:val="18"/>
                <w:highlight w:val="none"/>
                <w:u w:val="none" w:color="auto"/>
                <w:lang w:val="en-US" w:eastAsia="zh-CN"/>
              </w:rPr>
              <w:t>筒仓</w:t>
            </w:r>
            <w:r>
              <w:rPr>
                <w:rFonts w:hint="eastAsia"/>
                <w:i w:val="0"/>
                <w:iCs w:val="0"/>
                <w:color w:val="auto"/>
                <w:sz w:val="18"/>
                <w:szCs w:val="18"/>
                <w:highlight w:val="none"/>
                <w:u w:val="none" w:color="auto"/>
              </w:rPr>
              <w:t>自带脉冲袋式除尘器</w:t>
            </w:r>
            <w:r>
              <w:rPr>
                <w:rFonts w:hint="eastAsia"/>
                <w:i w:val="0"/>
                <w:iCs w:val="0"/>
                <w:color w:val="auto"/>
                <w:sz w:val="18"/>
                <w:szCs w:val="18"/>
                <w:highlight w:val="none"/>
                <w:u w:val="none" w:color="auto"/>
                <w:lang w:val="en-US" w:eastAsia="zh-CN"/>
              </w:rPr>
              <w:t>+底部排气口</w:t>
            </w:r>
          </w:p>
        </w:tc>
        <w:tc>
          <w:tcPr>
            <w:tcW w:w="277" w:type="pct"/>
            <w:tcBorders>
              <w:tl2br w:val="nil"/>
              <w:tr2bl w:val="nil"/>
            </w:tcBorders>
            <w:shd w:val="clear" w:color="auto" w:fill="auto"/>
            <w:noWrap w:val="0"/>
            <w:vAlign w:val="center"/>
          </w:tcPr>
          <w:p w14:paraId="6ADD2E24">
            <w:pPr>
              <w:jc w:val="center"/>
              <w:rPr>
                <w:rFonts w:hint="eastAsia"/>
                <w:i w:val="0"/>
                <w:iCs w:val="0"/>
                <w:color w:val="auto"/>
                <w:sz w:val="18"/>
                <w:szCs w:val="18"/>
                <w:highlight w:val="none"/>
                <w:u w:val="none" w:color="auto"/>
                <w:lang w:val="en-US" w:eastAsia="zh-CN"/>
              </w:rPr>
            </w:pPr>
            <w:r>
              <w:rPr>
                <w:rFonts w:hint="eastAsia"/>
                <w:i w:val="0"/>
                <w:iCs w:val="0"/>
                <w:color w:val="auto"/>
                <w:sz w:val="18"/>
                <w:szCs w:val="18"/>
                <w:highlight w:val="none"/>
                <w:u w:val="none" w:color="auto"/>
                <w:lang w:val="en-US" w:eastAsia="zh-CN"/>
              </w:rPr>
              <w:t>99.7</w:t>
            </w:r>
          </w:p>
        </w:tc>
        <w:tc>
          <w:tcPr>
            <w:tcW w:w="324" w:type="pct"/>
            <w:tcBorders>
              <w:tl2br w:val="nil"/>
              <w:tr2bl w:val="nil"/>
            </w:tcBorders>
            <w:shd w:val="clear" w:color="auto" w:fill="auto"/>
            <w:noWrap w:val="0"/>
            <w:vAlign w:val="center"/>
          </w:tcPr>
          <w:p w14:paraId="6BDBB9FA">
            <w:pPr>
              <w:jc w:val="center"/>
              <w:rPr>
                <w:rFonts w:hint="eastAsia"/>
                <w:i w:val="0"/>
                <w:iCs w:val="0"/>
                <w:color w:val="auto"/>
                <w:sz w:val="18"/>
                <w:szCs w:val="18"/>
                <w:highlight w:val="none"/>
                <w:u w:val="none" w:color="auto"/>
                <w:lang w:val="en-US" w:eastAsia="zh-CN"/>
              </w:rPr>
            </w:pPr>
            <w:r>
              <w:rPr>
                <w:rFonts w:hint="eastAsia"/>
                <w:color w:val="auto"/>
                <w:kern w:val="21"/>
                <w:sz w:val="18"/>
                <w:szCs w:val="18"/>
                <w:highlight w:val="none"/>
                <w:u w:val="none" w:color="auto"/>
                <w:lang w:val="en-US" w:eastAsia="zh-CN"/>
              </w:rPr>
              <w:t>9.9×10</w:t>
            </w:r>
            <w:r>
              <w:rPr>
                <w:rFonts w:hint="eastAsia"/>
                <w:color w:val="auto"/>
                <w:kern w:val="21"/>
                <w:sz w:val="18"/>
                <w:szCs w:val="18"/>
                <w:highlight w:val="none"/>
                <w:u w:val="none" w:color="auto"/>
                <w:vertAlign w:val="superscript"/>
                <w:lang w:val="en-US" w:eastAsia="zh-CN"/>
              </w:rPr>
              <w:t>5</w:t>
            </w:r>
          </w:p>
        </w:tc>
        <w:tc>
          <w:tcPr>
            <w:tcW w:w="197" w:type="pct"/>
            <w:vMerge w:val="continue"/>
            <w:tcBorders>
              <w:tl2br w:val="nil"/>
              <w:tr2bl w:val="nil"/>
            </w:tcBorders>
            <w:noWrap w:val="0"/>
            <w:vAlign w:val="center"/>
          </w:tcPr>
          <w:p w14:paraId="32E7B01C">
            <w:pPr>
              <w:jc w:val="center"/>
              <w:rPr>
                <w:rFonts w:hint="eastAsia"/>
                <w:color w:val="auto"/>
                <w:kern w:val="21"/>
                <w:sz w:val="18"/>
                <w:szCs w:val="18"/>
                <w:highlight w:val="none"/>
                <w:u w:val="none" w:color="auto"/>
                <w:lang w:val="en-US" w:eastAsia="zh-CN"/>
              </w:rPr>
            </w:pPr>
          </w:p>
        </w:tc>
        <w:tc>
          <w:tcPr>
            <w:tcW w:w="353" w:type="pct"/>
            <w:tcBorders>
              <w:tl2br w:val="nil"/>
              <w:tr2bl w:val="nil"/>
            </w:tcBorders>
            <w:shd w:val="clear" w:color="auto" w:fill="auto"/>
            <w:noWrap w:val="0"/>
            <w:vAlign w:val="center"/>
          </w:tcPr>
          <w:p w14:paraId="778CC29E">
            <w:pPr>
              <w:jc w:val="center"/>
              <w:rPr>
                <w:rFonts w:hint="default"/>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0.39</w:t>
            </w:r>
          </w:p>
        </w:tc>
        <w:tc>
          <w:tcPr>
            <w:tcW w:w="336" w:type="pct"/>
            <w:tcBorders>
              <w:tl2br w:val="nil"/>
              <w:tr2bl w:val="nil"/>
            </w:tcBorders>
            <w:shd w:val="clear" w:color="auto" w:fill="auto"/>
            <w:noWrap w:val="0"/>
            <w:vAlign w:val="center"/>
          </w:tcPr>
          <w:p w14:paraId="0A96690A">
            <w:pPr>
              <w:jc w:val="center"/>
              <w:rPr>
                <w:rFonts w:hint="default" w:ascii="Times New Roman" w:hAnsi="Times New Roman" w:eastAsia="宋体" w:cs="Times New Roman"/>
                <w:color w:val="auto"/>
                <w:kern w:val="21"/>
                <w:sz w:val="18"/>
                <w:szCs w:val="18"/>
                <w:highlight w:val="none"/>
                <w:u w:val="none" w:color="auto"/>
                <w:lang w:val="en-US" w:eastAsia="zh-CN" w:bidi="ar-SA"/>
              </w:rPr>
            </w:pPr>
            <w:r>
              <w:rPr>
                <w:rFonts w:hint="eastAsia" w:cs="Times New Roman"/>
                <w:color w:val="auto"/>
                <w:kern w:val="21"/>
                <w:sz w:val="18"/>
                <w:szCs w:val="18"/>
                <w:highlight w:val="none"/>
                <w:u w:val="none" w:color="auto"/>
                <w:lang w:val="en-US" w:eastAsia="zh-CN" w:bidi="ar-SA"/>
              </w:rPr>
              <w:t>0.003</w:t>
            </w:r>
          </w:p>
        </w:tc>
        <w:tc>
          <w:tcPr>
            <w:tcW w:w="351" w:type="pct"/>
            <w:tcBorders>
              <w:tl2br w:val="nil"/>
              <w:tr2bl w:val="nil"/>
            </w:tcBorders>
            <w:shd w:val="clear" w:color="auto" w:fill="auto"/>
            <w:noWrap w:val="0"/>
            <w:vAlign w:val="center"/>
          </w:tcPr>
          <w:p w14:paraId="2760BF40">
            <w:pPr>
              <w:jc w:val="center"/>
              <w:rPr>
                <w:rFonts w:hint="default" w:ascii="Times New Roman" w:hAnsi="Times New Roman" w:eastAsia="宋体" w:cs="Times New Roman"/>
                <w:color w:val="auto"/>
                <w:kern w:val="21"/>
                <w:sz w:val="18"/>
                <w:szCs w:val="18"/>
                <w:highlight w:val="none"/>
                <w:u w:val="none" w:color="auto"/>
                <w:lang w:val="en-US" w:eastAsia="zh-CN" w:bidi="ar-SA"/>
              </w:rPr>
            </w:pPr>
            <w:r>
              <w:rPr>
                <w:rFonts w:hint="eastAsia" w:cs="Times New Roman"/>
                <w:color w:val="auto"/>
                <w:kern w:val="21"/>
                <w:sz w:val="18"/>
                <w:szCs w:val="18"/>
                <w:highlight w:val="none"/>
                <w:u w:val="none" w:color="auto"/>
                <w:lang w:val="en-US" w:eastAsia="zh-CN" w:bidi="ar-SA"/>
              </w:rPr>
              <w:t>0.0015</w:t>
            </w:r>
          </w:p>
        </w:tc>
        <w:tc>
          <w:tcPr>
            <w:tcW w:w="282" w:type="pct"/>
            <w:vMerge w:val="continue"/>
            <w:tcBorders>
              <w:tl2br w:val="nil"/>
              <w:tr2bl w:val="nil"/>
            </w:tcBorders>
            <w:shd w:val="clear" w:color="auto" w:fill="auto"/>
            <w:noWrap w:val="0"/>
            <w:vAlign w:val="center"/>
          </w:tcPr>
          <w:p w14:paraId="588B20E1">
            <w:pPr>
              <w:jc w:val="center"/>
              <w:rPr>
                <w:rFonts w:hint="eastAsia" w:ascii="Times New Roman" w:hAnsi="Times New Roman" w:eastAsia="宋体" w:cs="Times New Roman"/>
                <w:color w:val="auto"/>
                <w:kern w:val="21"/>
                <w:sz w:val="18"/>
                <w:szCs w:val="18"/>
                <w:highlight w:val="none"/>
                <w:u w:val="none" w:color="auto"/>
                <w:lang w:val="en-US" w:eastAsia="zh-CN" w:bidi="ar-SA"/>
              </w:rPr>
            </w:pPr>
          </w:p>
        </w:tc>
        <w:tc>
          <w:tcPr>
            <w:tcW w:w="269" w:type="pct"/>
            <w:vMerge w:val="continue"/>
            <w:tcBorders>
              <w:tl2br w:val="nil"/>
              <w:tr2bl w:val="nil"/>
            </w:tcBorders>
            <w:noWrap w:val="0"/>
            <w:vAlign w:val="center"/>
          </w:tcPr>
          <w:p w14:paraId="211FD2ED">
            <w:pPr>
              <w:jc w:val="center"/>
              <w:rPr>
                <w:rFonts w:hint="eastAsia"/>
                <w:color w:val="auto"/>
                <w:kern w:val="21"/>
                <w:sz w:val="18"/>
                <w:szCs w:val="18"/>
                <w:highlight w:val="green"/>
                <w:u w:val="none" w:color="auto"/>
                <w:lang w:val="en-US" w:eastAsia="zh-CN"/>
              </w:rPr>
            </w:pPr>
          </w:p>
        </w:tc>
      </w:tr>
      <w:tr w14:paraId="092C0C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264" w:type="pct"/>
            <w:tcBorders>
              <w:tl2br w:val="nil"/>
              <w:tr2bl w:val="nil"/>
            </w:tcBorders>
            <w:shd w:val="clear" w:color="auto" w:fill="auto"/>
            <w:noWrap w:val="0"/>
            <w:vAlign w:val="center"/>
          </w:tcPr>
          <w:p w14:paraId="3CEABA49">
            <w:pPr>
              <w:jc w:val="center"/>
              <w:rPr>
                <w:rFonts w:hint="default" w:ascii="Times New Roman" w:hAnsi="Times New Roman" w:eastAsia="宋体" w:cs="Times New Roman"/>
                <w:color w:val="auto"/>
                <w:kern w:val="21"/>
                <w:sz w:val="18"/>
                <w:szCs w:val="18"/>
                <w:highlight w:val="none"/>
                <w:u w:val="single" w:color="auto"/>
                <w:lang w:val="en-US" w:eastAsia="zh-CN" w:bidi="ar-SA"/>
              </w:rPr>
            </w:pPr>
            <w:r>
              <w:rPr>
                <w:rFonts w:hint="eastAsia" w:eastAsia="宋体"/>
                <w:color w:val="auto"/>
                <w:kern w:val="21"/>
                <w:sz w:val="18"/>
                <w:szCs w:val="18"/>
                <w:highlight w:val="none"/>
                <w:u w:val="single" w:color="auto"/>
                <w:lang w:val="en-US" w:eastAsia="zh-CN"/>
              </w:rPr>
              <w:t>搅拌机</w:t>
            </w:r>
            <w:r>
              <w:rPr>
                <w:rFonts w:hint="eastAsia"/>
                <w:color w:val="auto"/>
                <w:kern w:val="21"/>
                <w:sz w:val="18"/>
                <w:szCs w:val="18"/>
                <w:highlight w:val="none"/>
                <w:u w:val="single" w:color="auto"/>
                <w:lang w:val="en-US" w:eastAsia="zh-CN"/>
              </w:rPr>
              <w:t>1</w:t>
            </w:r>
            <w:r>
              <w:rPr>
                <w:rFonts w:hint="eastAsia" w:eastAsia="宋体"/>
                <w:color w:val="auto"/>
                <w:kern w:val="21"/>
                <w:sz w:val="18"/>
                <w:szCs w:val="18"/>
                <w:highlight w:val="none"/>
                <w:u w:val="single" w:color="auto"/>
                <w:lang w:val="en-US" w:eastAsia="zh-CN"/>
              </w:rPr>
              <w:t>粉尘</w:t>
            </w:r>
          </w:p>
        </w:tc>
        <w:tc>
          <w:tcPr>
            <w:tcW w:w="324" w:type="pct"/>
            <w:tcBorders>
              <w:tl2br w:val="nil"/>
              <w:tr2bl w:val="nil"/>
            </w:tcBorders>
            <w:shd w:val="clear" w:color="auto" w:fill="auto"/>
            <w:noWrap w:val="0"/>
            <w:vAlign w:val="center"/>
          </w:tcPr>
          <w:p w14:paraId="677C2CD3">
            <w:pPr>
              <w:jc w:val="center"/>
              <w:rPr>
                <w:rFonts w:hint="default" w:ascii="Times New Roman" w:hAnsi="Times New Roman" w:eastAsia="宋体" w:cs="Times New Roman"/>
                <w:color w:val="auto"/>
                <w:kern w:val="21"/>
                <w:sz w:val="18"/>
                <w:szCs w:val="18"/>
                <w:highlight w:val="none"/>
                <w:u w:val="single" w:color="auto"/>
                <w:lang w:val="en-US" w:eastAsia="zh-CN" w:bidi="ar-SA"/>
              </w:rPr>
            </w:pPr>
            <w:r>
              <w:rPr>
                <w:rFonts w:hint="eastAsia"/>
                <w:color w:val="auto"/>
                <w:kern w:val="21"/>
                <w:sz w:val="18"/>
                <w:szCs w:val="18"/>
                <w:highlight w:val="none"/>
                <w:u w:val="single" w:color="auto"/>
                <w:lang w:val="en-US" w:eastAsia="zh-CN"/>
              </w:rPr>
              <w:t>9.0×10</w:t>
            </w:r>
            <w:r>
              <w:rPr>
                <w:rFonts w:hint="eastAsia"/>
                <w:color w:val="auto"/>
                <w:kern w:val="21"/>
                <w:sz w:val="18"/>
                <w:szCs w:val="18"/>
                <w:highlight w:val="none"/>
                <w:u w:val="single" w:color="auto"/>
                <w:vertAlign w:val="superscript"/>
                <w:lang w:val="en-US" w:eastAsia="zh-CN"/>
              </w:rPr>
              <w:t>6</w:t>
            </w:r>
          </w:p>
        </w:tc>
        <w:tc>
          <w:tcPr>
            <w:tcW w:w="280" w:type="pct"/>
            <w:tcBorders>
              <w:tl2br w:val="nil"/>
              <w:tr2bl w:val="nil"/>
            </w:tcBorders>
            <w:shd w:val="clear" w:color="auto" w:fill="auto"/>
            <w:noWrap w:val="0"/>
            <w:vAlign w:val="center"/>
          </w:tcPr>
          <w:p w14:paraId="552439B0">
            <w:pPr>
              <w:jc w:val="center"/>
              <w:rPr>
                <w:rFonts w:hint="eastAsia" w:ascii="Times New Roman" w:hAnsi="Times New Roman" w:eastAsia="宋体" w:cs="Times New Roman"/>
                <w:color w:val="auto"/>
                <w:kern w:val="21"/>
                <w:sz w:val="18"/>
                <w:szCs w:val="18"/>
                <w:highlight w:val="none"/>
                <w:u w:val="single" w:color="auto"/>
                <w:lang w:val="en-US" w:eastAsia="zh-CN" w:bidi="ar-SA"/>
              </w:rPr>
            </w:pPr>
            <w:r>
              <w:rPr>
                <w:rFonts w:hint="eastAsia"/>
                <w:color w:val="auto"/>
                <w:kern w:val="21"/>
                <w:sz w:val="18"/>
                <w:szCs w:val="18"/>
                <w:highlight w:val="none"/>
                <w:u w:val="single" w:color="auto"/>
                <w:lang w:val="en-US" w:eastAsia="zh-CN"/>
              </w:rPr>
              <w:t>17/0.3</w:t>
            </w:r>
          </w:p>
        </w:tc>
        <w:tc>
          <w:tcPr>
            <w:tcW w:w="232" w:type="pct"/>
            <w:vMerge w:val="continue"/>
            <w:tcBorders>
              <w:tl2br w:val="nil"/>
              <w:tr2bl w:val="nil"/>
            </w:tcBorders>
            <w:noWrap w:val="0"/>
            <w:vAlign w:val="center"/>
          </w:tcPr>
          <w:p w14:paraId="06C72AA1">
            <w:pPr>
              <w:jc w:val="center"/>
              <w:rPr>
                <w:rFonts w:hint="eastAsia" w:eastAsia="宋体"/>
                <w:color w:val="auto"/>
                <w:kern w:val="21"/>
                <w:sz w:val="18"/>
                <w:szCs w:val="18"/>
                <w:highlight w:val="none"/>
                <w:u w:val="single" w:color="auto"/>
                <w:lang w:val="en-US" w:eastAsia="zh-CN"/>
              </w:rPr>
            </w:pPr>
          </w:p>
        </w:tc>
        <w:tc>
          <w:tcPr>
            <w:tcW w:w="202" w:type="pct"/>
            <w:vMerge w:val="continue"/>
            <w:tcBorders>
              <w:tl2br w:val="nil"/>
              <w:tr2bl w:val="nil"/>
            </w:tcBorders>
            <w:noWrap w:val="0"/>
            <w:vAlign w:val="center"/>
          </w:tcPr>
          <w:p w14:paraId="300BBCD5">
            <w:pPr>
              <w:jc w:val="center"/>
              <w:rPr>
                <w:rFonts w:hint="eastAsia"/>
                <w:color w:val="auto"/>
                <w:kern w:val="21"/>
                <w:sz w:val="18"/>
                <w:szCs w:val="18"/>
                <w:highlight w:val="none"/>
                <w:u w:val="single" w:color="auto"/>
                <w:lang w:val="en-US" w:eastAsia="zh-CN"/>
              </w:rPr>
            </w:pPr>
          </w:p>
        </w:tc>
        <w:tc>
          <w:tcPr>
            <w:tcW w:w="350" w:type="pct"/>
            <w:tcBorders>
              <w:tl2br w:val="nil"/>
              <w:tr2bl w:val="nil"/>
            </w:tcBorders>
            <w:shd w:val="clear" w:color="auto" w:fill="auto"/>
            <w:noWrap w:val="0"/>
            <w:vAlign w:val="center"/>
          </w:tcPr>
          <w:p w14:paraId="66C0BC21">
            <w:pPr>
              <w:jc w:val="center"/>
              <w:rPr>
                <w:rFonts w:hint="default" w:ascii="Times New Roman" w:hAnsi="Times New Roman" w:eastAsia="宋体" w:cs="Times New Roman"/>
                <w:color w:val="auto"/>
                <w:kern w:val="21"/>
                <w:sz w:val="18"/>
                <w:szCs w:val="18"/>
                <w:highlight w:val="none"/>
                <w:u w:val="single" w:color="auto"/>
                <w:lang w:val="en-US" w:eastAsia="zh-CN" w:bidi="ar-SA"/>
              </w:rPr>
            </w:pPr>
            <w:r>
              <w:rPr>
                <w:rFonts w:hint="eastAsia"/>
                <w:color w:val="auto"/>
                <w:kern w:val="21"/>
                <w:sz w:val="18"/>
                <w:szCs w:val="18"/>
                <w:highlight w:val="none"/>
                <w:u w:val="single" w:color="auto"/>
                <w:lang w:val="en-US" w:eastAsia="zh-CN"/>
              </w:rPr>
              <w:t>2600</w:t>
            </w:r>
          </w:p>
        </w:tc>
        <w:tc>
          <w:tcPr>
            <w:tcW w:w="329" w:type="pct"/>
            <w:tcBorders>
              <w:tl2br w:val="nil"/>
              <w:tr2bl w:val="nil"/>
            </w:tcBorders>
            <w:shd w:val="clear" w:color="auto" w:fill="auto"/>
            <w:noWrap w:val="0"/>
            <w:vAlign w:val="center"/>
          </w:tcPr>
          <w:p w14:paraId="5B33482A">
            <w:pPr>
              <w:jc w:val="center"/>
              <w:rPr>
                <w:rFonts w:hint="default" w:ascii="Times New Roman" w:hAnsi="Times New Roman" w:eastAsia="宋体" w:cs="Times New Roman"/>
                <w:color w:val="auto"/>
                <w:kern w:val="21"/>
                <w:sz w:val="18"/>
                <w:szCs w:val="18"/>
                <w:highlight w:val="none"/>
                <w:u w:val="single" w:color="auto"/>
                <w:lang w:val="en-US" w:eastAsia="zh-CN" w:bidi="ar-SA"/>
              </w:rPr>
            </w:pPr>
            <w:r>
              <w:rPr>
                <w:rFonts w:hint="eastAsia"/>
                <w:color w:val="auto"/>
                <w:kern w:val="21"/>
                <w:sz w:val="18"/>
                <w:szCs w:val="18"/>
                <w:highlight w:val="none"/>
                <w:u w:val="single" w:color="auto"/>
                <w:lang w:val="en-US" w:eastAsia="zh-CN"/>
              </w:rPr>
              <w:t>23.4</w:t>
            </w:r>
          </w:p>
        </w:tc>
        <w:tc>
          <w:tcPr>
            <w:tcW w:w="308" w:type="pct"/>
            <w:tcBorders>
              <w:tl2br w:val="nil"/>
              <w:tr2bl w:val="nil"/>
            </w:tcBorders>
            <w:shd w:val="clear" w:color="auto" w:fill="auto"/>
            <w:noWrap w:val="0"/>
            <w:vAlign w:val="center"/>
          </w:tcPr>
          <w:p w14:paraId="03997A42">
            <w:pPr>
              <w:jc w:val="center"/>
              <w:rPr>
                <w:rFonts w:hint="default" w:ascii="Times New Roman" w:hAnsi="Times New Roman" w:eastAsia="宋体" w:cs="Times New Roman"/>
                <w:color w:val="auto"/>
                <w:kern w:val="21"/>
                <w:sz w:val="18"/>
                <w:szCs w:val="18"/>
                <w:highlight w:val="green"/>
                <w:u w:val="single" w:color="auto"/>
                <w:lang w:val="en-US" w:eastAsia="zh-CN" w:bidi="ar-SA"/>
              </w:rPr>
            </w:pPr>
            <w:r>
              <w:rPr>
                <w:rFonts w:hint="eastAsia"/>
                <w:color w:val="auto"/>
                <w:kern w:val="21"/>
                <w:sz w:val="18"/>
                <w:szCs w:val="18"/>
                <w:highlight w:val="none"/>
                <w:u w:val="single" w:color="auto"/>
                <w:lang w:val="en-US" w:eastAsia="zh-CN"/>
              </w:rPr>
              <w:t>12.18</w:t>
            </w:r>
          </w:p>
        </w:tc>
        <w:tc>
          <w:tcPr>
            <w:tcW w:w="315" w:type="pct"/>
            <w:tcBorders>
              <w:tl2br w:val="nil"/>
              <w:tr2bl w:val="nil"/>
            </w:tcBorders>
            <w:shd w:val="clear" w:color="auto" w:fill="auto"/>
            <w:noWrap w:val="0"/>
            <w:vAlign w:val="center"/>
          </w:tcPr>
          <w:p w14:paraId="73DC8360">
            <w:pPr>
              <w:jc w:val="center"/>
              <w:rPr>
                <w:rFonts w:hint="eastAsia" w:ascii="Times New Roman" w:hAnsi="Times New Roman" w:eastAsia="宋体" w:cs="Times New Roman"/>
                <w:color w:val="auto"/>
                <w:kern w:val="0"/>
                <w:sz w:val="18"/>
                <w:szCs w:val="18"/>
                <w:highlight w:val="none"/>
                <w:u w:val="single" w:color="auto"/>
                <w:lang w:val="en-US" w:eastAsia="zh-CN" w:bidi="ar"/>
              </w:rPr>
            </w:pPr>
            <w:r>
              <w:rPr>
                <w:rFonts w:hint="eastAsia"/>
                <w:i w:val="0"/>
                <w:iCs w:val="0"/>
                <w:color w:val="auto"/>
                <w:sz w:val="18"/>
                <w:szCs w:val="18"/>
                <w:highlight w:val="none"/>
                <w:u w:val="single" w:color="auto"/>
              </w:rPr>
              <w:t>脉冲袋式除尘器</w:t>
            </w:r>
          </w:p>
        </w:tc>
        <w:tc>
          <w:tcPr>
            <w:tcW w:w="277" w:type="pct"/>
            <w:tcBorders>
              <w:tl2br w:val="nil"/>
              <w:tr2bl w:val="nil"/>
            </w:tcBorders>
            <w:shd w:val="clear" w:color="auto" w:fill="auto"/>
            <w:noWrap w:val="0"/>
            <w:vAlign w:val="center"/>
          </w:tcPr>
          <w:p w14:paraId="014EC2DC">
            <w:pPr>
              <w:jc w:val="center"/>
              <w:rPr>
                <w:rFonts w:hint="eastAsia" w:ascii="Times New Roman" w:hAnsi="Times New Roman" w:eastAsia="宋体" w:cs="Times New Roman"/>
                <w:color w:val="auto"/>
                <w:kern w:val="21"/>
                <w:sz w:val="18"/>
                <w:szCs w:val="18"/>
                <w:highlight w:val="none"/>
                <w:u w:val="single" w:color="auto"/>
                <w:lang w:val="en-US" w:eastAsia="zh-CN" w:bidi="ar-SA"/>
              </w:rPr>
            </w:pPr>
            <w:r>
              <w:rPr>
                <w:rFonts w:hint="eastAsia" w:eastAsia="宋体"/>
                <w:color w:val="auto"/>
                <w:kern w:val="21"/>
                <w:sz w:val="18"/>
                <w:szCs w:val="18"/>
                <w:highlight w:val="none"/>
                <w:u w:val="single" w:color="auto"/>
                <w:lang w:val="en-US" w:eastAsia="zh-CN"/>
              </w:rPr>
              <w:t>99.7</w:t>
            </w:r>
          </w:p>
        </w:tc>
        <w:tc>
          <w:tcPr>
            <w:tcW w:w="324" w:type="pct"/>
            <w:tcBorders>
              <w:tl2br w:val="nil"/>
              <w:tr2bl w:val="nil"/>
            </w:tcBorders>
            <w:shd w:val="clear" w:color="auto" w:fill="auto"/>
            <w:noWrap w:val="0"/>
            <w:vAlign w:val="center"/>
          </w:tcPr>
          <w:p w14:paraId="0BFA99D0">
            <w:pPr>
              <w:jc w:val="center"/>
              <w:rPr>
                <w:rFonts w:hint="eastAsia" w:ascii="Times New Roman" w:hAnsi="Times New Roman" w:eastAsia="宋体" w:cs="Times New Roman"/>
                <w:color w:val="auto"/>
                <w:kern w:val="21"/>
                <w:sz w:val="18"/>
                <w:szCs w:val="18"/>
                <w:highlight w:val="none"/>
                <w:u w:val="single" w:color="auto"/>
                <w:lang w:val="en-US" w:eastAsia="zh-CN" w:bidi="ar-SA"/>
              </w:rPr>
            </w:pPr>
            <w:r>
              <w:rPr>
                <w:rFonts w:hint="eastAsia"/>
                <w:color w:val="auto"/>
                <w:kern w:val="21"/>
                <w:sz w:val="18"/>
                <w:szCs w:val="18"/>
                <w:highlight w:val="none"/>
                <w:u w:val="single" w:color="auto"/>
                <w:lang w:val="en-US" w:eastAsia="zh-CN"/>
              </w:rPr>
              <w:t>9.0×10</w:t>
            </w:r>
            <w:r>
              <w:rPr>
                <w:rFonts w:hint="eastAsia"/>
                <w:color w:val="auto"/>
                <w:kern w:val="21"/>
                <w:sz w:val="18"/>
                <w:szCs w:val="18"/>
                <w:highlight w:val="none"/>
                <w:u w:val="single" w:color="auto"/>
                <w:vertAlign w:val="superscript"/>
                <w:lang w:val="en-US" w:eastAsia="zh-CN"/>
              </w:rPr>
              <w:t>6</w:t>
            </w:r>
          </w:p>
        </w:tc>
        <w:tc>
          <w:tcPr>
            <w:tcW w:w="197" w:type="pct"/>
            <w:vMerge w:val="continue"/>
            <w:tcBorders>
              <w:tl2br w:val="nil"/>
              <w:tr2bl w:val="nil"/>
            </w:tcBorders>
            <w:noWrap w:val="0"/>
            <w:vAlign w:val="center"/>
          </w:tcPr>
          <w:p w14:paraId="1695D056">
            <w:pPr>
              <w:jc w:val="center"/>
              <w:rPr>
                <w:rFonts w:hint="eastAsia"/>
                <w:color w:val="auto"/>
                <w:kern w:val="21"/>
                <w:sz w:val="18"/>
                <w:szCs w:val="18"/>
                <w:highlight w:val="none"/>
                <w:u w:val="single" w:color="auto"/>
                <w:lang w:val="en-US" w:eastAsia="zh-CN"/>
              </w:rPr>
            </w:pPr>
          </w:p>
        </w:tc>
        <w:tc>
          <w:tcPr>
            <w:tcW w:w="353" w:type="pct"/>
            <w:tcBorders>
              <w:tl2br w:val="nil"/>
              <w:tr2bl w:val="nil"/>
            </w:tcBorders>
            <w:shd w:val="clear" w:color="auto" w:fill="auto"/>
            <w:noWrap w:val="0"/>
            <w:vAlign w:val="center"/>
          </w:tcPr>
          <w:p w14:paraId="29A6FB1D">
            <w:pPr>
              <w:jc w:val="center"/>
              <w:rPr>
                <w:rFonts w:hint="default" w:ascii="Times New Roman" w:hAnsi="Times New Roman" w:eastAsia="宋体" w:cs="Times New Roman"/>
                <w:color w:val="auto"/>
                <w:kern w:val="21"/>
                <w:sz w:val="18"/>
                <w:szCs w:val="18"/>
                <w:highlight w:val="none"/>
                <w:u w:val="single" w:color="auto"/>
                <w:lang w:val="en-US" w:eastAsia="zh-CN" w:bidi="ar-SA"/>
              </w:rPr>
            </w:pPr>
            <w:r>
              <w:rPr>
                <w:rFonts w:hint="eastAsia"/>
                <w:color w:val="auto"/>
                <w:kern w:val="21"/>
                <w:sz w:val="18"/>
                <w:szCs w:val="18"/>
                <w:highlight w:val="none"/>
                <w:u w:val="single" w:color="auto"/>
                <w:lang w:val="en-US" w:eastAsia="zh-CN"/>
              </w:rPr>
              <w:t>7.78</w:t>
            </w:r>
          </w:p>
        </w:tc>
        <w:tc>
          <w:tcPr>
            <w:tcW w:w="336" w:type="pct"/>
            <w:tcBorders>
              <w:tl2br w:val="nil"/>
              <w:tr2bl w:val="nil"/>
            </w:tcBorders>
            <w:shd w:val="clear" w:color="auto" w:fill="auto"/>
            <w:noWrap w:val="0"/>
            <w:vAlign w:val="center"/>
          </w:tcPr>
          <w:p w14:paraId="48DE035E">
            <w:pPr>
              <w:jc w:val="center"/>
              <w:rPr>
                <w:rFonts w:hint="default" w:ascii="Times New Roman" w:hAnsi="Times New Roman" w:eastAsia="宋体" w:cs="Times New Roman"/>
                <w:color w:val="auto"/>
                <w:kern w:val="21"/>
                <w:sz w:val="18"/>
                <w:szCs w:val="18"/>
                <w:highlight w:val="none"/>
                <w:u w:val="single" w:color="auto"/>
                <w:lang w:val="en-US" w:eastAsia="zh-CN" w:bidi="ar-SA"/>
              </w:rPr>
            </w:pPr>
            <w:r>
              <w:rPr>
                <w:rFonts w:hint="eastAsia" w:cs="Times New Roman"/>
                <w:color w:val="auto"/>
                <w:kern w:val="21"/>
                <w:sz w:val="18"/>
                <w:szCs w:val="18"/>
                <w:highlight w:val="none"/>
                <w:u w:val="single" w:color="auto"/>
                <w:lang w:val="en-US" w:eastAsia="zh-CN" w:bidi="ar-SA"/>
              </w:rPr>
              <w:t>0.07</w:t>
            </w:r>
          </w:p>
        </w:tc>
        <w:tc>
          <w:tcPr>
            <w:tcW w:w="351" w:type="pct"/>
            <w:tcBorders>
              <w:tl2br w:val="nil"/>
              <w:tr2bl w:val="nil"/>
            </w:tcBorders>
            <w:shd w:val="clear" w:color="auto" w:fill="auto"/>
            <w:noWrap w:val="0"/>
            <w:vAlign w:val="center"/>
          </w:tcPr>
          <w:p w14:paraId="106AD74F">
            <w:pPr>
              <w:jc w:val="center"/>
              <w:rPr>
                <w:rFonts w:hint="default" w:ascii="Times New Roman" w:hAnsi="Times New Roman" w:eastAsia="宋体" w:cs="Times New Roman"/>
                <w:color w:val="auto"/>
                <w:kern w:val="21"/>
                <w:sz w:val="18"/>
                <w:szCs w:val="18"/>
                <w:highlight w:val="green"/>
                <w:u w:val="single" w:color="auto"/>
                <w:lang w:val="en-US" w:eastAsia="zh-CN" w:bidi="ar-SA"/>
              </w:rPr>
            </w:pPr>
            <w:r>
              <w:rPr>
                <w:rFonts w:hint="eastAsia"/>
                <w:color w:val="auto"/>
                <w:kern w:val="21"/>
                <w:sz w:val="18"/>
                <w:szCs w:val="18"/>
                <w:highlight w:val="none"/>
                <w:u w:val="single" w:color="auto"/>
                <w:lang w:val="en-US" w:eastAsia="zh-CN"/>
              </w:rPr>
              <w:t>0.037</w:t>
            </w:r>
          </w:p>
        </w:tc>
        <w:tc>
          <w:tcPr>
            <w:tcW w:w="282" w:type="pct"/>
            <w:vMerge w:val="restart"/>
            <w:tcBorders>
              <w:tl2br w:val="nil"/>
              <w:tr2bl w:val="nil"/>
            </w:tcBorders>
            <w:noWrap w:val="0"/>
            <w:vAlign w:val="center"/>
          </w:tcPr>
          <w:p w14:paraId="17D26A66">
            <w:pPr>
              <w:jc w:val="center"/>
              <w:rPr>
                <w:rFonts w:hint="default" w:eastAsia="宋体"/>
                <w:color w:val="auto"/>
                <w:kern w:val="21"/>
                <w:sz w:val="18"/>
                <w:szCs w:val="18"/>
                <w:highlight w:val="none"/>
                <w:u w:val="single" w:color="auto"/>
                <w:lang w:val="en-US" w:eastAsia="zh-CN"/>
              </w:rPr>
            </w:pPr>
            <w:r>
              <w:rPr>
                <w:rFonts w:hint="eastAsia"/>
                <w:color w:val="auto"/>
                <w:kern w:val="21"/>
                <w:sz w:val="18"/>
                <w:szCs w:val="18"/>
                <w:highlight w:val="none"/>
                <w:u w:val="single" w:color="auto"/>
                <w:lang w:val="en-US" w:eastAsia="zh-CN"/>
              </w:rPr>
              <w:t>20</w:t>
            </w:r>
          </w:p>
        </w:tc>
        <w:tc>
          <w:tcPr>
            <w:tcW w:w="269" w:type="pct"/>
            <w:vMerge w:val="restart"/>
            <w:tcBorders>
              <w:tl2br w:val="nil"/>
              <w:tr2bl w:val="nil"/>
            </w:tcBorders>
            <w:noWrap w:val="0"/>
            <w:vAlign w:val="center"/>
          </w:tcPr>
          <w:p w14:paraId="2B67D5ED">
            <w:pPr>
              <w:jc w:val="center"/>
              <w:rPr>
                <w:rFonts w:hint="default"/>
                <w:color w:val="auto"/>
                <w:kern w:val="21"/>
                <w:sz w:val="18"/>
                <w:szCs w:val="18"/>
                <w:highlight w:val="none"/>
                <w:u w:val="single" w:color="auto"/>
                <w:lang w:val="en-US" w:eastAsia="zh-CN"/>
              </w:rPr>
            </w:pPr>
            <w:r>
              <w:rPr>
                <w:rFonts w:hint="eastAsia"/>
                <w:color w:val="auto"/>
                <w:kern w:val="21"/>
                <w:sz w:val="18"/>
                <w:szCs w:val="18"/>
                <w:highlight w:val="none"/>
                <w:u w:val="single" w:color="auto"/>
                <w:lang w:val="en-US" w:eastAsia="zh-CN"/>
              </w:rPr>
              <w:t>1920</w:t>
            </w:r>
          </w:p>
        </w:tc>
      </w:tr>
      <w:tr w14:paraId="6005E6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264" w:type="pct"/>
            <w:tcBorders>
              <w:tl2br w:val="nil"/>
              <w:tr2bl w:val="nil"/>
            </w:tcBorders>
            <w:shd w:val="clear" w:color="auto" w:fill="auto"/>
            <w:noWrap w:val="0"/>
            <w:vAlign w:val="center"/>
          </w:tcPr>
          <w:p w14:paraId="458DC119">
            <w:pPr>
              <w:jc w:val="center"/>
              <w:rPr>
                <w:rFonts w:hint="eastAsia" w:eastAsia="宋体"/>
                <w:color w:val="auto"/>
                <w:kern w:val="21"/>
                <w:sz w:val="18"/>
                <w:szCs w:val="18"/>
                <w:highlight w:val="none"/>
                <w:u w:val="single" w:color="auto"/>
                <w:lang w:val="en-US" w:eastAsia="zh-CN"/>
              </w:rPr>
            </w:pPr>
            <w:r>
              <w:rPr>
                <w:rFonts w:hint="eastAsia" w:eastAsia="宋体"/>
                <w:color w:val="auto"/>
                <w:kern w:val="21"/>
                <w:sz w:val="18"/>
                <w:szCs w:val="18"/>
                <w:highlight w:val="none"/>
                <w:u w:val="single" w:color="auto"/>
                <w:lang w:val="en-US" w:eastAsia="zh-CN"/>
              </w:rPr>
              <w:t>搅拌机</w:t>
            </w:r>
            <w:r>
              <w:rPr>
                <w:rFonts w:hint="eastAsia"/>
                <w:color w:val="auto"/>
                <w:kern w:val="21"/>
                <w:sz w:val="18"/>
                <w:szCs w:val="18"/>
                <w:highlight w:val="none"/>
                <w:u w:val="single" w:color="auto"/>
                <w:lang w:val="en-US" w:eastAsia="zh-CN"/>
              </w:rPr>
              <w:t>2</w:t>
            </w:r>
            <w:r>
              <w:rPr>
                <w:rFonts w:hint="eastAsia" w:eastAsia="宋体"/>
                <w:color w:val="auto"/>
                <w:kern w:val="21"/>
                <w:sz w:val="18"/>
                <w:szCs w:val="18"/>
                <w:highlight w:val="none"/>
                <w:u w:val="single" w:color="auto"/>
                <w:lang w:val="en-US" w:eastAsia="zh-CN"/>
              </w:rPr>
              <w:t>粉尘</w:t>
            </w:r>
          </w:p>
        </w:tc>
        <w:tc>
          <w:tcPr>
            <w:tcW w:w="324" w:type="pct"/>
            <w:tcBorders>
              <w:tl2br w:val="nil"/>
              <w:tr2bl w:val="nil"/>
            </w:tcBorders>
            <w:shd w:val="clear" w:color="auto" w:fill="auto"/>
            <w:noWrap w:val="0"/>
            <w:vAlign w:val="center"/>
          </w:tcPr>
          <w:p w14:paraId="064EDC41">
            <w:pPr>
              <w:jc w:val="center"/>
              <w:rPr>
                <w:rFonts w:hint="eastAsia" w:eastAsia="宋体"/>
                <w:color w:val="auto"/>
                <w:kern w:val="21"/>
                <w:sz w:val="18"/>
                <w:szCs w:val="18"/>
                <w:highlight w:val="none"/>
                <w:u w:val="single" w:color="auto"/>
                <w:lang w:val="en-US" w:eastAsia="zh-CN"/>
              </w:rPr>
            </w:pPr>
            <w:r>
              <w:rPr>
                <w:rFonts w:hint="eastAsia"/>
                <w:color w:val="auto"/>
                <w:kern w:val="21"/>
                <w:sz w:val="18"/>
                <w:szCs w:val="18"/>
                <w:highlight w:val="none"/>
                <w:u w:val="single" w:color="auto"/>
                <w:lang w:val="en-US" w:eastAsia="zh-CN"/>
              </w:rPr>
              <w:t>9.0×10</w:t>
            </w:r>
            <w:r>
              <w:rPr>
                <w:rFonts w:hint="eastAsia"/>
                <w:color w:val="auto"/>
                <w:kern w:val="21"/>
                <w:sz w:val="18"/>
                <w:szCs w:val="18"/>
                <w:highlight w:val="none"/>
                <w:u w:val="single" w:color="auto"/>
                <w:vertAlign w:val="superscript"/>
                <w:lang w:val="en-US" w:eastAsia="zh-CN"/>
              </w:rPr>
              <w:t>6</w:t>
            </w:r>
          </w:p>
        </w:tc>
        <w:tc>
          <w:tcPr>
            <w:tcW w:w="280" w:type="pct"/>
            <w:tcBorders>
              <w:tl2br w:val="nil"/>
              <w:tr2bl w:val="nil"/>
            </w:tcBorders>
            <w:shd w:val="clear" w:color="auto" w:fill="auto"/>
            <w:noWrap w:val="0"/>
            <w:vAlign w:val="center"/>
          </w:tcPr>
          <w:p w14:paraId="5CDC6E32">
            <w:pPr>
              <w:jc w:val="center"/>
              <w:rPr>
                <w:rFonts w:hint="eastAsia" w:eastAsia="宋体"/>
                <w:color w:val="auto"/>
                <w:kern w:val="21"/>
                <w:sz w:val="18"/>
                <w:szCs w:val="18"/>
                <w:highlight w:val="none"/>
                <w:u w:val="single" w:color="auto"/>
                <w:lang w:val="en-US" w:eastAsia="zh-CN"/>
              </w:rPr>
            </w:pPr>
            <w:r>
              <w:rPr>
                <w:rFonts w:hint="eastAsia"/>
                <w:color w:val="auto"/>
                <w:kern w:val="21"/>
                <w:sz w:val="18"/>
                <w:szCs w:val="18"/>
                <w:highlight w:val="none"/>
                <w:u w:val="single" w:color="auto"/>
                <w:lang w:val="en-US" w:eastAsia="zh-CN"/>
              </w:rPr>
              <w:t>17/0.3</w:t>
            </w:r>
          </w:p>
        </w:tc>
        <w:tc>
          <w:tcPr>
            <w:tcW w:w="232" w:type="pct"/>
            <w:vMerge w:val="continue"/>
            <w:tcBorders>
              <w:tl2br w:val="nil"/>
              <w:tr2bl w:val="nil"/>
            </w:tcBorders>
            <w:noWrap w:val="0"/>
            <w:vAlign w:val="center"/>
          </w:tcPr>
          <w:p w14:paraId="62A487C3">
            <w:pPr>
              <w:jc w:val="center"/>
              <w:rPr>
                <w:rFonts w:hint="eastAsia" w:eastAsia="宋体"/>
                <w:color w:val="auto"/>
                <w:kern w:val="21"/>
                <w:sz w:val="18"/>
                <w:szCs w:val="18"/>
                <w:highlight w:val="none"/>
                <w:u w:val="single" w:color="auto"/>
                <w:lang w:val="en-US" w:eastAsia="zh-CN"/>
              </w:rPr>
            </w:pPr>
          </w:p>
        </w:tc>
        <w:tc>
          <w:tcPr>
            <w:tcW w:w="202" w:type="pct"/>
            <w:vMerge w:val="continue"/>
            <w:tcBorders>
              <w:tl2br w:val="nil"/>
              <w:tr2bl w:val="nil"/>
            </w:tcBorders>
            <w:noWrap w:val="0"/>
            <w:vAlign w:val="center"/>
          </w:tcPr>
          <w:p w14:paraId="3C7FD7A6">
            <w:pPr>
              <w:jc w:val="center"/>
              <w:rPr>
                <w:rFonts w:hint="eastAsia"/>
                <w:color w:val="auto"/>
                <w:kern w:val="21"/>
                <w:sz w:val="18"/>
                <w:szCs w:val="18"/>
                <w:highlight w:val="none"/>
                <w:u w:val="single" w:color="auto"/>
                <w:lang w:val="en-US" w:eastAsia="zh-CN"/>
              </w:rPr>
            </w:pPr>
          </w:p>
        </w:tc>
        <w:tc>
          <w:tcPr>
            <w:tcW w:w="350" w:type="pct"/>
            <w:tcBorders>
              <w:tl2br w:val="nil"/>
              <w:tr2bl w:val="nil"/>
            </w:tcBorders>
            <w:shd w:val="clear" w:color="auto" w:fill="auto"/>
            <w:noWrap w:val="0"/>
            <w:vAlign w:val="center"/>
          </w:tcPr>
          <w:p w14:paraId="3CD6C2A7">
            <w:pPr>
              <w:jc w:val="center"/>
              <w:rPr>
                <w:rFonts w:hint="default"/>
                <w:color w:val="auto"/>
                <w:kern w:val="21"/>
                <w:sz w:val="18"/>
                <w:szCs w:val="18"/>
                <w:highlight w:val="none"/>
                <w:u w:val="single" w:color="auto"/>
                <w:lang w:val="en-US" w:eastAsia="zh-CN"/>
              </w:rPr>
            </w:pPr>
            <w:r>
              <w:rPr>
                <w:rFonts w:hint="eastAsia"/>
                <w:color w:val="auto"/>
                <w:kern w:val="21"/>
                <w:sz w:val="18"/>
                <w:szCs w:val="18"/>
                <w:highlight w:val="none"/>
                <w:u w:val="single" w:color="auto"/>
                <w:lang w:val="en-US" w:eastAsia="zh-CN"/>
              </w:rPr>
              <w:t>2600</w:t>
            </w:r>
          </w:p>
        </w:tc>
        <w:tc>
          <w:tcPr>
            <w:tcW w:w="329" w:type="pct"/>
            <w:tcBorders>
              <w:tl2br w:val="nil"/>
              <w:tr2bl w:val="nil"/>
            </w:tcBorders>
            <w:shd w:val="clear" w:color="auto" w:fill="auto"/>
            <w:noWrap w:val="0"/>
            <w:vAlign w:val="center"/>
          </w:tcPr>
          <w:p w14:paraId="5458F499">
            <w:pPr>
              <w:jc w:val="center"/>
              <w:rPr>
                <w:rFonts w:hint="default"/>
                <w:color w:val="auto"/>
                <w:kern w:val="21"/>
                <w:sz w:val="18"/>
                <w:szCs w:val="18"/>
                <w:highlight w:val="none"/>
                <w:u w:val="single" w:color="auto"/>
                <w:lang w:val="en-US" w:eastAsia="zh-CN"/>
              </w:rPr>
            </w:pPr>
            <w:r>
              <w:rPr>
                <w:rFonts w:hint="eastAsia"/>
                <w:color w:val="auto"/>
                <w:kern w:val="21"/>
                <w:sz w:val="18"/>
                <w:szCs w:val="18"/>
                <w:highlight w:val="none"/>
                <w:u w:val="single" w:color="auto"/>
                <w:lang w:val="en-US" w:eastAsia="zh-CN"/>
              </w:rPr>
              <w:t>23.4</w:t>
            </w:r>
          </w:p>
        </w:tc>
        <w:tc>
          <w:tcPr>
            <w:tcW w:w="308" w:type="pct"/>
            <w:tcBorders>
              <w:tl2br w:val="nil"/>
              <w:tr2bl w:val="nil"/>
            </w:tcBorders>
            <w:shd w:val="clear" w:color="auto" w:fill="auto"/>
            <w:noWrap w:val="0"/>
            <w:vAlign w:val="center"/>
          </w:tcPr>
          <w:p w14:paraId="11928454">
            <w:pPr>
              <w:jc w:val="center"/>
              <w:rPr>
                <w:rFonts w:hint="default"/>
                <w:color w:val="auto"/>
                <w:kern w:val="21"/>
                <w:sz w:val="18"/>
                <w:szCs w:val="18"/>
                <w:highlight w:val="none"/>
                <w:u w:val="single" w:color="auto"/>
                <w:lang w:val="en-US" w:eastAsia="zh-CN"/>
              </w:rPr>
            </w:pPr>
            <w:r>
              <w:rPr>
                <w:rFonts w:hint="eastAsia"/>
                <w:color w:val="auto"/>
                <w:kern w:val="21"/>
                <w:sz w:val="18"/>
                <w:szCs w:val="18"/>
                <w:highlight w:val="none"/>
                <w:u w:val="single" w:color="auto"/>
                <w:lang w:val="en-US" w:eastAsia="zh-CN"/>
              </w:rPr>
              <w:t>12.18</w:t>
            </w:r>
          </w:p>
        </w:tc>
        <w:tc>
          <w:tcPr>
            <w:tcW w:w="315" w:type="pct"/>
            <w:tcBorders>
              <w:tl2br w:val="nil"/>
              <w:tr2bl w:val="nil"/>
            </w:tcBorders>
            <w:shd w:val="clear" w:color="auto" w:fill="auto"/>
            <w:noWrap w:val="0"/>
            <w:vAlign w:val="center"/>
          </w:tcPr>
          <w:p w14:paraId="55203084">
            <w:pPr>
              <w:jc w:val="center"/>
              <w:rPr>
                <w:rFonts w:hint="eastAsia"/>
                <w:i w:val="0"/>
                <w:iCs w:val="0"/>
                <w:color w:val="auto"/>
                <w:sz w:val="18"/>
                <w:szCs w:val="18"/>
                <w:highlight w:val="none"/>
                <w:u w:val="single" w:color="auto"/>
              </w:rPr>
            </w:pPr>
            <w:r>
              <w:rPr>
                <w:rFonts w:hint="eastAsia"/>
                <w:i w:val="0"/>
                <w:iCs w:val="0"/>
                <w:color w:val="auto"/>
                <w:sz w:val="18"/>
                <w:szCs w:val="18"/>
                <w:highlight w:val="none"/>
                <w:u w:val="single" w:color="auto"/>
              </w:rPr>
              <w:t>脉冲袋式除尘器</w:t>
            </w:r>
          </w:p>
        </w:tc>
        <w:tc>
          <w:tcPr>
            <w:tcW w:w="277" w:type="pct"/>
            <w:tcBorders>
              <w:tl2br w:val="nil"/>
              <w:tr2bl w:val="nil"/>
            </w:tcBorders>
            <w:shd w:val="clear" w:color="auto" w:fill="auto"/>
            <w:noWrap w:val="0"/>
            <w:vAlign w:val="center"/>
          </w:tcPr>
          <w:p w14:paraId="19C57AAE">
            <w:pPr>
              <w:jc w:val="center"/>
              <w:rPr>
                <w:rFonts w:hint="eastAsia" w:eastAsia="宋体"/>
                <w:color w:val="auto"/>
                <w:kern w:val="21"/>
                <w:sz w:val="18"/>
                <w:szCs w:val="18"/>
                <w:highlight w:val="none"/>
                <w:u w:val="single" w:color="auto"/>
                <w:lang w:val="en-US" w:eastAsia="zh-CN"/>
              </w:rPr>
            </w:pPr>
            <w:r>
              <w:rPr>
                <w:rFonts w:hint="eastAsia" w:eastAsia="宋体"/>
                <w:color w:val="auto"/>
                <w:kern w:val="21"/>
                <w:sz w:val="18"/>
                <w:szCs w:val="18"/>
                <w:highlight w:val="none"/>
                <w:u w:val="single" w:color="auto"/>
                <w:lang w:val="en-US" w:eastAsia="zh-CN"/>
              </w:rPr>
              <w:t>99.7</w:t>
            </w:r>
          </w:p>
        </w:tc>
        <w:tc>
          <w:tcPr>
            <w:tcW w:w="324" w:type="pct"/>
            <w:tcBorders>
              <w:tl2br w:val="nil"/>
              <w:tr2bl w:val="nil"/>
            </w:tcBorders>
            <w:shd w:val="clear" w:color="auto" w:fill="auto"/>
            <w:noWrap w:val="0"/>
            <w:vAlign w:val="center"/>
          </w:tcPr>
          <w:p w14:paraId="42591F1F">
            <w:pPr>
              <w:jc w:val="center"/>
              <w:rPr>
                <w:rFonts w:hint="eastAsia"/>
                <w:color w:val="auto"/>
                <w:kern w:val="21"/>
                <w:sz w:val="18"/>
                <w:szCs w:val="18"/>
                <w:highlight w:val="none"/>
                <w:u w:val="single" w:color="auto"/>
                <w:lang w:val="en-US" w:eastAsia="zh-CN"/>
              </w:rPr>
            </w:pPr>
            <w:r>
              <w:rPr>
                <w:rFonts w:hint="eastAsia"/>
                <w:color w:val="auto"/>
                <w:kern w:val="21"/>
                <w:sz w:val="18"/>
                <w:szCs w:val="18"/>
                <w:highlight w:val="none"/>
                <w:u w:val="single" w:color="auto"/>
                <w:lang w:val="en-US" w:eastAsia="zh-CN"/>
              </w:rPr>
              <w:t>9.0×10</w:t>
            </w:r>
            <w:r>
              <w:rPr>
                <w:rFonts w:hint="eastAsia"/>
                <w:color w:val="auto"/>
                <w:kern w:val="21"/>
                <w:sz w:val="18"/>
                <w:szCs w:val="18"/>
                <w:highlight w:val="none"/>
                <w:u w:val="single" w:color="auto"/>
                <w:vertAlign w:val="superscript"/>
                <w:lang w:val="en-US" w:eastAsia="zh-CN"/>
              </w:rPr>
              <w:t>6</w:t>
            </w:r>
          </w:p>
        </w:tc>
        <w:tc>
          <w:tcPr>
            <w:tcW w:w="197" w:type="pct"/>
            <w:vMerge w:val="continue"/>
            <w:tcBorders>
              <w:tl2br w:val="nil"/>
              <w:tr2bl w:val="nil"/>
            </w:tcBorders>
            <w:noWrap w:val="0"/>
            <w:vAlign w:val="center"/>
          </w:tcPr>
          <w:p w14:paraId="5CBAA09F">
            <w:pPr>
              <w:jc w:val="center"/>
              <w:rPr>
                <w:rFonts w:hint="eastAsia"/>
                <w:color w:val="auto"/>
                <w:kern w:val="21"/>
                <w:sz w:val="18"/>
                <w:szCs w:val="18"/>
                <w:highlight w:val="none"/>
                <w:u w:val="single" w:color="auto"/>
                <w:lang w:val="en-US" w:eastAsia="zh-CN"/>
              </w:rPr>
            </w:pPr>
          </w:p>
        </w:tc>
        <w:tc>
          <w:tcPr>
            <w:tcW w:w="353" w:type="pct"/>
            <w:tcBorders>
              <w:tl2br w:val="nil"/>
              <w:tr2bl w:val="nil"/>
            </w:tcBorders>
            <w:shd w:val="clear" w:color="auto" w:fill="auto"/>
            <w:noWrap w:val="0"/>
            <w:vAlign w:val="center"/>
          </w:tcPr>
          <w:p w14:paraId="0F7034A4">
            <w:pPr>
              <w:jc w:val="center"/>
              <w:rPr>
                <w:rFonts w:hint="default"/>
                <w:color w:val="auto"/>
                <w:kern w:val="21"/>
                <w:sz w:val="18"/>
                <w:szCs w:val="18"/>
                <w:highlight w:val="none"/>
                <w:u w:val="single" w:color="auto"/>
                <w:lang w:val="en-US" w:eastAsia="zh-CN"/>
              </w:rPr>
            </w:pPr>
            <w:r>
              <w:rPr>
                <w:rFonts w:hint="eastAsia"/>
                <w:color w:val="auto"/>
                <w:kern w:val="21"/>
                <w:sz w:val="18"/>
                <w:szCs w:val="18"/>
                <w:highlight w:val="none"/>
                <w:u w:val="single" w:color="auto"/>
                <w:lang w:val="en-US" w:eastAsia="zh-CN"/>
              </w:rPr>
              <w:t>7.78</w:t>
            </w:r>
          </w:p>
        </w:tc>
        <w:tc>
          <w:tcPr>
            <w:tcW w:w="336" w:type="pct"/>
            <w:tcBorders>
              <w:tl2br w:val="nil"/>
              <w:tr2bl w:val="nil"/>
            </w:tcBorders>
            <w:shd w:val="clear" w:color="auto" w:fill="auto"/>
            <w:noWrap w:val="0"/>
            <w:vAlign w:val="center"/>
          </w:tcPr>
          <w:p w14:paraId="1A27EDBA">
            <w:pPr>
              <w:jc w:val="center"/>
              <w:rPr>
                <w:rFonts w:hint="default" w:cs="Times New Roman"/>
                <w:color w:val="auto"/>
                <w:kern w:val="21"/>
                <w:sz w:val="18"/>
                <w:szCs w:val="18"/>
                <w:highlight w:val="none"/>
                <w:u w:val="single" w:color="auto"/>
                <w:lang w:val="en-US" w:eastAsia="zh-CN" w:bidi="ar-SA"/>
              </w:rPr>
            </w:pPr>
            <w:r>
              <w:rPr>
                <w:rFonts w:hint="eastAsia" w:cs="Times New Roman"/>
                <w:color w:val="auto"/>
                <w:kern w:val="21"/>
                <w:sz w:val="18"/>
                <w:szCs w:val="18"/>
                <w:highlight w:val="none"/>
                <w:u w:val="single" w:color="auto"/>
                <w:lang w:val="en-US" w:eastAsia="zh-CN" w:bidi="ar-SA"/>
              </w:rPr>
              <w:t>0.07</w:t>
            </w:r>
          </w:p>
        </w:tc>
        <w:tc>
          <w:tcPr>
            <w:tcW w:w="351" w:type="pct"/>
            <w:tcBorders>
              <w:tl2br w:val="nil"/>
              <w:tr2bl w:val="nil"/>
            </w:tcBorders>
            <w:shd w:val="clear" w:color="auto" w:fill="auto"/>
            <w:noWrap w:val="0"/>
            <w:vAlign w:val="center"/>
          </w:tcPr>
          <w:p w14:paraId="5828C6B1">
            <w:pPr>
              <w:jc w:val="center"/>
              <w:rPr>
                <w:rFonts w:hint="default" w:eastAsia="宋体"/>
                <w:color w:val="auto"/>
                <w:kern w:val="21"/>
                <w:sz w:val="18"/>
                <w:szCs w:val="18"/>
                <w:highlight w:val="none"/>
                <w:u w:val="single" w:color="auto"/>
                <w:lang w:val="en-US" w:eastAsia="zh-CN"/>
              </w:rPr>
            </w:pPr>
            <w:r>
              <w:rPr>
                <w:rFonts w:hint="eastAsia"/>
                <w:color w:val="auto"/>
                <w:kern w:val="21"/>
                <w:sz w:val="18"/>
                <w:szCs w:val="18"/>
                <w:highlight w:val="none"/>
                <w:u w:val="single" w:color="auto"/>
                <w:lang w:val="en-US" w:eastAsia="zh-CN"/>
              </w:rPr>
              <w:t>0.037</w:t>
            </w:r>
          </w:p>
        </w:tc>
        <w:tc>
          <w:tcPr>
            <w:tcW w:w="282" w:type="pct"/>
            <w:vMerge w:val="continue"/>
            <w:tcBorders>
              <w:tl2br w:val="nil"/>
              <w:tr2bl w:val="nil"/>
            </w:tcBorders>
            <w:noWrap w:val="0"/>
            <w:vAlign w:val="center"/>
          </w:tcPr>
          <w:p w14:paraId="61B0228D">
            <w:pPr>
              <w:jc w:val="center"/>
              <w:rPr>
                <w:rFonts w:hint="eastAsia"/>
                <w:color w:val="auto"/>
                <w:kern w:val="21"/>
                <w:sz w:val="18"/>
                <w:szCs w:val="18"/>
                <w:highlight w:val="none"/>
                <w:u w:val="single" w:color="auto"/>
                <w:lang w:val="en-US" w:eastAsia="zh-CN"/>
              </w:rPr>
            </w:pPr>
          </w:p>
        </w:tc>
        <w:tc>
          <w:tcPr>
            <w:tcW w:w="269" w:type="pct"/>
            <w:vMerge w:val="continue"/>
            <w:tcBorders>
              <w:tl2br w:val="nil"/>
              <w:tr2bl w:val="nil"/>
            </w:tcBorders>
            <w:noWrap w:val="0"/>
            <w:vAlign w:val="center"/>
          </w:tcPr>
          <w:p w14:paraId="1E93C04C">
            <w:pPr>
              <w:jc w:val="center"/>
              <w:rPr>
                <w:rFonts w:hint="eastAsia"/>
                <w:color w:val="auto"/>
                <w:kern w:val="21"/>
                <w:sz w:val="18"/>
                <w:szCs w:val="18"/>
                <w:highlight w:val="none"/>
                <w:u w:val="single" w:color="auto"/>
                <w:lang w:val="en-US" w:eastAsia="zh-CN"/>
              </w:rPr>
            </w:pPr>
          </w:p>
        </w:tc>
      </w:tr>
      <w:tr w14:paraId="5294C7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264" w:type="pct"/>
            <w:tcBorders>
              <w:tl2br w:val="nil"/>
              <w:tr2bl w:val="nil"/>
            </w:tcBorders>
            <w:shd w:val="clear" w:color="auto" w:fill="auto"/>
            <w:noWrap w:val="0"/>
            <w:vAlign w:val="center"/>
          </w:tcPr>
          <w:p w14:paraId="0D67E920">
            <w:pPr>
              <w:jc w:val="center"/>
              <w:rPr>
                <w:rFonts w:hint="default" w:ascii="Times New Roman" w:hAnsi="Times New Roman" w:eastAsia="宋体" w:cs="Times New Roman"/>
                <w:color w:val="auto"/>
                <w:kern w:val="21"/>
                <w:sz w:val="18"/>
                <w:szCs w:val="18"/>
                <w:highlight w:val="none"/>
                <w:u w:val="none" w:color="auto"/>
                <w:lang w:val="en-US" w:eastAsia="zh-CN" w:bidi="ar-SA"/>
              </w:rPr>
            </w:pPr>
            <w:r>
              <w:rPr>
                <w:rFonts w:hint="eastAsia" w:cs="Times New Roman"/>
                <w:b w:val="0"/>
                <w:bCs w:val="0"/>
                <w:i w:val="0"/>
                <w:iCs w:val="0"/>
                <w:color w:val="auto"/>
                <w:sz w:val="18"/>
                <w:szCs w:val="18"/>
                <w:highlight w:val="none"/>
                <w:u w:val="none" w:color="auto"/>
                <w:lang w:eastAsia="zh-CN"/>
              </w:rPr>
              <w:t>料棚</w:t>
            </w:r>
            <w:r>
              <w:rPr>
                <w:rFonts w:hint="eastAsia" w:ascii="Times New Roman" w:hAnsi="Times New Roman" w:cs="Times New Roman"/>
                <w:b w:val="0"/>
                <w:bCs w:val="0"/>
                <w:i w:val="0"/>
                <w:iCs w:val="0"/>
                <w:color w:val="auto"/>
                <w:sz w:val="18"/>
                <w:szCs w:val="18"/>
                <w:highlight w:val="none"/>
                <w:u w:val="none" w:color="auto"/>
                <w:lang w:eastAsia="zh-CN"/>
              </w:rPr>
              <w:t>装卸及堆存粉尘</w:t>
            </w:r>
          </w:p>
        </w:tc>
        <w:tc>
          <w:tcPr>
            <w:tcW w:w="324" w:type="pct"/>
            <w:tcBorders>
              <w:tl2br w:val="nil"/>
              <w:tr2bl w:val="nil"/>
            </w:tcBorders>
            <w:shd w:val="clear" w:color="auto" w:fill="auto"/>
            <w:noWrap w:val="0"/>
            <w:vAlign w:val="center"/>
          </w:tcPr>
          <w:p w14:paraId="797EA2AB">
            <w:pPr>
              <w:jc w:val="center"/>
              <w:rPr>
                <w:rFonts w:hint="default" w:ascii="Times New Roman" w:hAnsi="Times New Roman" w:eastAsia="宋体" w:cs="Times New Roman"/>
                <w:color w:val="auto"/>
                <w:kern w:val="21"/>
                <w:sz w:val="18"/>
                <w:szCs w:val="18"/>
                <w:highlight w:val="none"/>
                <w:u w:val="none" w:color="auto"/>
                <w:lang w:val="en-US" w:eastAsia="zh-CN" w:bidi="ar-SA"/>
              </w:rPr>
            </w:pPr>
            <w:r>
              <w:rPr>
                <w:rFonts w:hint="eastAsia"/>
                <w:color w:val="auto"/>
                <w:kern w:val="21"/>
                <w:sz w:val="18"/>
                <w:szCs w:val="18"/>
                <w:highlight w:val="none"/>
                <w:u w:val="none" w:color="auto"/>
                <w:lang w:val="en-US" w:eastAsia="zh-CN"/>
              </w:rPr>
              <w:t>--</w:t>
            </w:r>
          </w:p>
        </w:tc>
        <w:tc>
          <w:tcPr>
            <w:tcW w:w="280" w:type="pct"/>
            <w:tcBorders>
              <w:tl2br w:val="nil"/>
              <w:tr2bl w:val="nil"/>
            </w:tcBorders>
            <w:shd w:val="clear" w:color="auto" w:fill="auto"/>
            <w:noWrap w:val="0"/>
            <w:vAlign w:val="center"/>
          </w:tcPr>
          <w:p w14:paraId="6A40B996">
            <w:pPr>
              <w:jc w:val="center"/>
              <w:rPr>
                <w:rFonts w:hint="default" w:ascii="Times New Roman" w:hAnsi="Times New Roman" w:eastAsia="宋体" w:cs="Times New Roman"/>
                <w:color w:val="auto"/>
                <w:kern w:val="21"/>
                <w:sz w:val="18"/>
                <w:szCs w:val="18"/>
                <w:highlight w:val="none"/>
                <w:u w:val="none" w:color="auto"/>
                <w:lang w:val="en-US" w:eastAsia="zh-CN" w:bidi="ar-SA"/>
              </w:rPr>
            </w:pPr>
            <w:r>
              <w:rPr>
                <w:rFonts w:hint="eastAsia"/>
                <w:color w:val="auto"/>
                <w:kern w:val="21"/>
                <w:sz w:val="18"/>
                <w:szCs w:val="18"/>
                <w:highlight w:val="none"/>
                <w:u w:val="none" w:color="auto"/>
                <w:lang w:val="en-US" w:eastAsia="zh-CN"/>
              </w:rPr>
              <w:t>--</w:t>
            </w:r>
          </w:p>
        </w:tc>
        <w:tc>
          <w:tcPr>
            <w:tcW w:w="232" w:type="pct"/>
            <w:vMerge w:val="continue"/>
            <w:tcBorders>
              <w:tl2br w:val="nil"/>
              <w:tr2bl w:val="nil"/>
            </w:tcBorders>
            <w:noWrap w:val="0"/>
            <w:vAlign w:val="center"/>
          </w:tcPr>
          <w:p w14:paraId="38CC2285">
            <w:pPr>
              <w:jc w:val="center"/>
              <w:rPr>
                <w:rFonts w:hint="default" w:eastAsia="宋体"/>
                <w:color w:val="auto"/>
                <w:kern w:val="21"/>
                <w:sz w:val="18"/>
                <w:szCs w:val="18"/>
                <w:highlight w:val="none"/>
                <w:u w:val="none" w:color="auto"/>
                <w:lang w:val="en-US" w:eastAsia="zh-CN"/>
              </w:rPr>
            </w:pPr>
          </w:p>
        </w:tc>
        <w:tc>
          <w:tcPr>
            <w:tcW w:w="202" w:type="pct"/>
            <w:vMerge w:val="continue"/>
            <w:tcBorders>
              <w:tl2br w:val="nil"/>
              <w:tr2bl w:val="nil"/>
            </w:tcBorders>
            <w:noWrap w:val="0"/>
            <w:vAlign w:val="center"/>
          </w:tcPr>
          <w:p w14:paraId="38908C0D">
            <w:pPr>
              <w:jc w:val="center"/>
              <w:rPr>
                <w:color w:val="auto"/>
                <w:kern w:val="21"/>
                <w:sz w:val="18"/>
                <w:szCs w:val="18"/>
                <w:highlight w:val="none"/>
                <w:u w:val="none" w:color="auto"/>
              </w:rPr>
            </w:pPr>
          </w:p>
        </w:tc>
        <w:tc>
          <w:tcPr>
            <w:tcW w:w="350" w:type="pct"/>
            <w:tcBorders>
              <w:tl2br w:val="nil"/>
              <w:tr2bl w:val="nil"/>
            </w:tcBorders>
            <w:noWrap w:val="0"/>
            <w:vAlign w:val="center"/>
          </w:tcPr>
          <w:p w14:paraId="4521F770">
            <w:pPr>
              <w:jc w:val="center"/>
              <w:rPr>
                <w:rFonts w:hint="default" w:eastAsia="宋体"/>
                <w:color w:val="auto"/>
                <w:kern w:val="21"/>
                <w:sz w:val="18"/>
                <w:szCs w:val="18"/>
                <w:highlight w:val="none"/>
                <w:u w:val="none" w:color="auto"/>
                <w:lang w:val="en-US" w:eastAsia="zh-CN"/>
              </w:rPr>
            </w:pPr>
            <w:r>
              <w:rPr>
                <w:rFonts w:hint="eastAsia" w:eastAsia="宋体"/>
                <w:color w:val="auto"/>
                <w:kern w:val="21"/>
                <w:sz w:val="18"/>
                <w:szCs w:val="18"/>
                <w:highlight w:val="none"/>
                <w:u w:val="none" w:color="auto"/>
                <w:lang w:val="en-US" w:eastAsia="zh-CN"/>
              </w:rPr>
              <w:t>--</w:t>
            </w:r>
          </w:p>
        </w:tc>
        <w:tc>
          <w:tcPr>
            <w:tcW w:w="329" w:type="pct"/>
            <w:tcBorders>
              <w:tl2br w:val="nil"/>
              <w:tr2bl w:val="nil"/>
            </w:tcBorders>
            <w:noWrap w:val="0"/>
            <w:vAlign w:val="center"/>
          </w:tcPr>
          <w:p w14:paraId="7DB0E0D8">
            <w:pPr>
              <w:jc w:val="center"/>
              <w:rPr>
                <w:rFonts w:hint="default" w:eastAsia="宋体"/>
                <w:color w:val="auto"/>
                <w:kern w:val="21"/>
                <w:sz w:val="18"/>
                <w:szCs w:val="18"/>
                <w:highlight w:val="green"/>
                <w:u w:val="none" w:color="auto"/>
                <w:lang w:val="en-US" w:eastAsia="zh-CN"/>
              </w:rPr>
            </w:pPr>
            <w:r>
              <w:rPr>
                <w:rFonts w:hint="eastAsia"/>
                <w:color w:val="auto"/>
                <w:kern w:val="21"/>
                <w:sz w:val="18"/>
                <w:szCs w:val="18"/>
                <w:highlight w:val="none"/>
                <w:u w:val="none" w:color="auto"/>
                <w:lang w:val="en-US" w:eastAsia="zh-CN"/>
              </w:rPr>
              <w:t>159.36</w:t>
            </w:r>
          </w:p>
        </w:tc>
        <w:tc>
          <w:tcPr>
            <w:tcW w:w="308" w:type="pct"/>
            <w:tcBorders>
              <w:tl2br w:val="nil"/>
              <w:tr2bl w:val="nil"/>
            </w:tcBorders>
            <w:noWrap w:val="0"/>
            <w:vAlign w:val="center"/>
          </w:tcPr>
          <w:p w14:paraId="058907AD">
            <w:pPr>
              <w:jc w:val="center"/>
              <w:rPr>
                <w:rFonts w:hint="default" w:eastAsia="宋体"/>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66.4</w:t>
            </w:r>
          </w:p>
        </w:tc>
        <w:tc>
          <w:tcPr>
            <w:tcW w:w="315" w:type="pct"/>
            <w:tcBorders>
              <w:tl2br w:val="nil"/>
              <w:tr2bl w:val="nil"/>
            </w:tcBorders>
            <w:shd w:val="clear" w:color="auto" w:fill="auto"/>
            <w:noWrap w:val="0"/>
            <w:vAlign w:val="center"/>
          </w:tcPr>
          <w:p w14:paraId="71C769E2">
            <w:pPr>
              <w:jc w:val="center"/>
              <w:rPr>
                <w:rFonts w:hint="default" w:ascii="Times New Roman" w:hAnsi="Times New Roman" w:eastAsia="宋体" w:cs="Times New Roman"/>
                <w:i w:val="0"/>
                <w:iCs w:val="0"/>
                <w:color w:val="auto"/>
                <w:kern w:val="2"/>
                <w:sz w:val="18"/>
                <w:szCs w:val="18"/>
                <w:highlight w:val="none"/>
                <w:u w:val="none" w:color="auto"/>
                <w:lang w:val="en-US" w:eastAsia="zh-CN" w:bidi="ar-SA"/>
              </w:rPr>
            </w:pPr>
            <w:r>
              <w:rPr>
                <w:rFonts w:hint="eastAsia"/>
                <w:color w:val="auto"/>
                <w:kern w:val="21"/>
                <w:sz w:val="18"/>
                <w:szCs w:val="18"/>
                <w:highlight w:val="none"/>
                <w:u w:val="none" w:color="auto"/>
                <w:lang w:val="en-US" w:eastAsia="zh-CN"/>
              </w:rPr>
              <w:t>半封闭彩钢棚</w:t>
            </w:r>
            <w:r>
              <w:rPr>
                <w:rFonts w:hint="eastAsia" w:eastAsia="宋体"/>
                <w:color w:val="auto"/>
                <w:kern w:val="21"/>
                <w:sz w:val="18"/>
                <w:szCs w:val="18"/>
                <w:highlight w:val="none"/>
                <w:u w:val="none" w:color="auto"/>
                <w:lang w:val="en-US" w:eastAsia="zh-CN"/>
              </w:rPr>
              <w:t>、</w:t>
            </w:r>
            <w:r>
              <w:rPr>
                <w:rFonts w:hint="eastAsia"/>
                <w:color w:val="auto"/>
                <w:kern w:val="21"/>
                <w:sz w:val="18"/>
                <w:szCs w:val="18"/>
                <w:highlight w:val="none"/>
                <w:u w:val="none" w:color="auto"/>
                <w:lang w:val="en-US" w:eastAsia="zh-CN"/>
              </w:rPr>
              <w:t>洒水</w:t>
            </w:r>
            <w:r>
              <w:rPr>
                <w:rFonts w:hint="eastAsia" w:eastAsia="宋体"/>
                <w:color w:val="auto"/>
                <w:kern w:val="21"/>
                <w:sz w:val="18"/>
                <w:szCs w:val="18"/>
                <w:highlight w:val="none"/>
                <w:u w:val="none" w:color="auto"/>
                <w:lang w:val="en-US" w:eastAsia="zh-CN"/>
              </w:rPr>
              <w:t>降尘</w:t>
            </w:r>
          </w:p>
        </w:tc>
        <w:tc>
          <w:tcPr>
            <w:tcW w:w="277" w:type="pct"/>
            <w:tcBorders>
              <w:tl2br w:val="nil"/>
              <w:tr2bl w:val="nil"/>
            </w:tcBorders>
            <w:shd w:val="clear" w:color="auto" w:fill="auto"/>
            <w:noWrap w:val="0"/>
            <w:vAlign w:val="center"/>
          </w:tcPr>
          <w:p w14:paraId="23EE6657">
            <w:pPr>
              <w:jc w:val="center"/>
              <w:rPr>
                <w:rFonts w:hint="default" w:ascii="Times New Roman" w:hAnsi="Times New Roman" w:eastAsia="宋体" w:cs="Times New Roman"/>
                <w:color w:val="auto"/>
                <w:kern w:val="21"/>
                <w:sz w:val="18"/>
                <w:szCs w:val="18"/>
                <w:highlight w:val="none"/>
                <w:u w:val="none" w:color="auto"/>
                <w:lang w:val="en-US" w:eastAsia="zh-CN" w:bidi="ar-SA"/>
              </w:rPr>
            </w:pPr>
            <w:r>
              <w:rPr>
                <w:rFonts w:hint="eastAsia"/>
                <w:color w:val="auto"/>
                <w:kern w:val="21"/>
                <w:sz w:val="18"/>
                <w:szCs w:val="18"/>
                <w:highlight w:val="none"/>
                <w:u w:val="none" w:color="auto"/>
                <w:lang w:val="en-US" w:eastAsia="zh-CN"/>
              </w:rPr>
              <w:t>60+74</w:t>
            </w:r>
          </w:p>
        </w:tc>
        <w:tc>
          <w:tcPr>
            <w:tcW w:w="324" w:type="pct"/>
            <w:tcBorders>
              <w:tl2br w:val="nil"/>
              <w:tr2bl w:val="nil"/>
            </w:tcBorders>
            <w:noWrap w:val="0"/>
            <w:vAlign w:val="center"/>
          </w:tcPr>
          <w:p w14:paraId="47E5D14E">
            <w:pPr>
              <w:jc w:val="center"/>
              <w:rPr>
                <w:rFonts w:hint="default" w:eastAsia="宋体"/>
                <w:color w:val="auto"/>
                <w:kern w:val="21"/>
                <w:sz w:val="18"/>
                <w:szCs w:val="18"/>
                <w:highlight w:val="none"/>
                <w:u w:val="none" w:color="auto"/>
                <w:lang w:val="en-US" w:eastAsia="zh-CN"/>
              </w:rPr>
            </w:pPr>
            <w:r>
              <w:rPr>
                <w:rFonts w:hint="eastAsia" w:eastAsia="宋体"/>
                <w:color w:val="auto"/>
                <w:kern w:val="21"/>
                <w:sz w:val="18"/>
                <w:szCs w:val="18"/>
                <w:highlight w:val="none"/>
                <w:u w:val="none" w:color="auto"/>
                <w:lang w:val="en-US" w:eastAsia="zh-CN"/>
              </w:rPr>
              <w:t>--</w:t>
            </w:r>
          </w:p>
        </w:tc>
        <w:tc>
          <w:tcPr>
            <w:tcW w:w="197" w:type="pct"/>
            <w:vMerge w:val="continue"/>
            <w:tcBorders>
              <w:tl2br w:val="nil"/>
              <w:tr2bl w:val="nil"/>
            </w:tcBorders>
            <w:noWrap w:val="0"/>
            <w:vAlign w:val="center"/>
          </w:tcPr>
          <w:p w14:paraId="1D271599">
            <w:pPr>
              <w:jc w:val="center"/>
              <w:rPr>
                <w:color w:val="auto"/>
                <w:kern w:val="21"/>
                <w:sz w:val="18"/>
                <w:szCs w:val="18"/>
                <w:highlight w:val="none"/>
                <w:u w:val="none" w:color="auto"/>
              </w:rPr>
            </w:pPr>
          </w:p>
        </w:tc>
        <w:tc>
          <w:tcPr>
            <w:tcW w:w="353" w:type="pct"/>
            <w:tcBorders>
              <w:tl2br w:val="nil"/>
              <w:tr2bl w:val="nil"/>
            </w:tcBorders>
            <w:noWrap w:val="0"/>
            <w:vAlign w:val="center"/>
          </w:tcPr>
          <w:p w14:paraId="7FCC7C69">
            <w:pPr>
              <w:jc w:val="center"/>
              <w:rPr>
                <w:rFonts w:hint="default" w:eastAsia="宋体"/>
                <w:color w:val="auto"/>
                <w:kern w:val="21"/>
                <w:sz w:val="18"/>
                <w:szCs w:val="18"/>
                <w:highlight w:val="none"/>
                <w:u w:val="none" w:color="auto"/>
                <w:lang w:val="en-US" w:eastAsia="zh-CN"/>
              </w:rPr>
            </w:pPr>
            <w:r>
              <w:rPr>
                <w:rFonts w:hint="eastAsia" w:eastAsia="宋体"/>
                <w:color w:val="auto"/>
                <w:kern w:val="21"/>
                <w:sz w:val="18"/>
                <w:szCs w:val="18"/>
                <w:highlight w:val="none"/>
                <w:u w:val="none" w:color="auto"/>
                <w:lang w:val="en-US" w:eastAsia="zh-CN"/>
              </w:rPr>
              <w:t>--</w:t>
            </w:r>
          </w:p>
        </w:tc>
        <w:tc>
          <w:tcPr>
            <w:tcW w:w="336" w:type="pct"/>
            <w:tcBorders>
              <w:tl2br w:val="nil"/>
              <w:tr2bl w:val="nil"/>
            </w:tcBorders>
            <w:noWrap w:val="0"/>
            <w:vAlign w:val="center"/>
          </w:tcPr>
          <w:p w14:paraId="6F5DD544">
            <w:pPr>
              <w:jc w:val="center"/>
              <w:rPr>
                <w:rFonts w:hint="default" w:eastAsia="宋体"/>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16.57</w:t>
            </w:r>
          </w:p>
        </w:tc>
        <w:tc>
          <w:tcPr>
            <w:tcW w:w="351" w:type="pct"/>
            <w:tcBorders>
              <w:tl2br w:val="nil"/>
              <w:tr2bl w:val="nil"/>
            </w:tcBorders>
            <w:noWrap w:val="0"/>
            <w:vAlign w:val="center"/>
          </w:tcPr>
          <w:p w14:paraId="6E2CD0AB">
            <w:pPr>
              <w:jc w:val="center"/>
              <w:rPr>
                <w:rFonts w:hint="default" w:eastAsia="宋体"/>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6.9</w:t>
            </w:r>
          </w:p>
        </w:tc>
        <w:tc>
          <w:tcPr>
            <w:tcW w:w="282" w:type="pct"/>
            <w:vMerge w:val="restart"/>
            <w:tcBorders>
              <w:tl2br w:val="nil"/>
              <w:tr2bl w:val="nil"/>
            </w:tcBorders>
            <w:shd w:val="clear" w:color="auto" w:fill="auto"/>
            <w:noWrap w:val="0"/>
            <w:vAlign w:val="center"/>
          </w:tcPr>
          <w:p w14:paraId="28F4F8E5">
            <w:pPr>
              <w:jc w:val="center"/>
              <w:rPr>
                <w:rFonts w:hint="default" w:ascii="Times New Roman" w:hAnsi="Times New Roman" w:eastAsia="宋体" w:cs="Times New Roman"/>
                <w:color w:val="auto"/>
                <w:kern w:val="21"/>
                <w:sz w:val="18"/>
                <w:szCs w:val="18"/>
                <w:highlight w:val="none"/>
                <w:u w:val="none" w:color="auto"/>
                <w:lang w:val="en-US" w:eastAsia="zh-CN" w:bidi="ar-SA"/>
              </w:rPr>
            </w:pPr>
            <w:r>
              <w:rPr>
                <w:rFonts w:hint="eastAsia"/>
                <w:color w:val="auto"/>
                <w:kern w:val="21"/>
                <w:sz w:val="18"/>
                <w:szCs w:val="18"/>
                <w:highlight w:val="none"/>
                <w:u w:val="none" w:color="auto"/>
                <w:lang w:val="en-US" w:eastAsia="zh-CN"/>
              </w:rPr>
              <w:t>0.5</w:t>
            </w:r>
          </w:p>
        </w:tc>
        <w:tc>
          <w:tcPr>
            <w:tcW w:w="269" w:type="pct"/>
            <w:vMerge w:val="restart"/>
            <w:tcBorders>
              <w:tl2br w:val="nil"/>
              <w:tr2bl w:val="nil"/>
            </w:tcBorders>
            <w:shd w:val="clear" w:color="auto" w:fill="auto"/>
            <w:noWrap w:val="0"/>
            <w:vAlign w:val="center"/>
          </w:tcPr>
          <w:p w14:paraId="7822CF86">
            <w:pPr>
              <w:jc w:val="center"/>
              <w:rPr>
                <w:rFonts w:hint="default" w:ascii="Times New Roman" w:hAnsi="Times New Roman" w:eastAsia="宋体" w:cs="Times New Roman"/>
                <w:color w:val="auto"/>
                <w:kern w:val="21"/>
                <w:sz w:val="18"/>
                <w:szCs w:val="18"/>
                <w:highlight w:val="green"/>
                <w:u w:val="none" w:color="auto"/>
                <w:lang w:val="en-US" w:eastAsia="zh-CN" w:bidi="ar-SA"/>
              </w:rPr>
            </w:pPr>
            <w:r>
              <w:rPr>
                <w:rFonts w:hint="eastAsia"/>
                <w:color w:val="auto"/>
                <w:kern w:val="21"/>
                <w:sz w:val="18"/>
                <w:szCs w:val="18"/>
                <w:highlight w:val="none"/>
                <w:u w:val="none" w:color="auto"/>
                <w:lang w:val="en-US" w:eastAsia="zh-CN"/>
              </w:rPr>
              <w:t>2400</w:t>
            </w:r>
          </w:p>
        </w:tc>
      </w:tr>
      <w:tr w14:paraId="3FF8B7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0" w:hRule="atLeast"/>
          <w:tblHeader/>
          <w:jc w:val="center"/>
        </w:trPr>
        <w:tc>
          <w:tcPr>
            <w:tcW w:w="264" w:type="pct"/>
            <w:tcBorders>
              <w:tl2br w:val="nil"/>
              <w:tr2bl w:val="nil"/>
            </w:tcBorders>
            <w:noWrap w:val="0"/>
            <w:vAlign w:val="center"/>
          </w:tcPr>
          <w:p w14:paraId="31260F39">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auto"/>
                <w:kern w:val="21"/>
                <w:sz w:val="18"/>
                <w:szCs w:val="18"/>
                <w:highlight w:val="none"/>
                <w:u w:val="none" w:color="auto"/>
                <w:lang w:val="en-US" w:eastAsia="zh-CN"/>
              </w:rPr>
            </w:pPr>
            <w:r>
              <w:rPr>
                <w:rFonts w:hint="eastAsia" w:eastAsia="宋体"/>
                <w:color w:val="auto"/>
                <w:kern w:val="21"/>
                <w:sz w:val="18"/>
                <w:szCs w:val="18"/>
                <w:highlight w:val="none"/>
                <w:u w:val="none" w:color="auto"/>
                <w:lang w:val="en-US" w:eastAsia="zh-CN"/>
              </w:rPr>
              <w:t>上料粉尘</w:t>
            </w:r>
          </w:p>
        </w:tc>
        <w:tc>
          <w:tcPr>
            <w:tcW w:w="324" w:type="pct"/>
            <w:tcBorders>
              <w:tl2br w:val="nil"/>
              <w:tr2bl w:val="nil"/>
            </w:tcBorders>
            <w:noWrap w:val="0"/>
            <w:vAlign w:val="center"/>
          </w:tcPr>
          <w:p w14:paraId="72AB2713">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auto"/>
                <w:kern w:val="21"/>
                <w:sz w:val="18"/>
                <w:szCs w:val="18"/>
                <w:highlight w:val="none"/>
                <w:u w:val="none" w:color="auto"/>
                <w:lang w:val="en-US" w:eastAsia="zh-CN"/>
              </w:rPr>
            </w:pPr>
            <w:r>
              <w:rPr>
                <w:rFonts w:hint="eastAsia" w:eastAsia="宋体"/>
                <w:color w:val="auto"/>
                <w:kern w:val="21"/>
                <w:sz w:val="18"/>
                <w:szCs w:val="18"/>
                <w:highlight w:val="none"/>
                <w:u w:val="none" w:color="auto"/>
                <w:lang w:val="en-US" w:eastAsia="zh-CN"/>
              </w:rPr>
              <w:t>--</w:t>
            </w:r>
          </w:p>
        </w:tc>
        <w:tc>
          <w:tcPr>
            <w:tcW w:w="280" w:type="pct"/>
            <w:tcBorders>
              <w:tl2br w:val="nil"/>
              <w:tr2bl w:val="nil"/>
            </w:tcBorders>
            <w:noWrap w:val="0"/>
            <w:vAlign w:val="center"/>
          </w:tcPr>
          <w:p w14:paraId="25300643">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auto"/>
                <w:kern w:val="21"/>
                <w:sz w:val="18"/>
                <w:szCs w:val="18"/>
                <w:highlight w:val="none"/>
                <w:u w:val="none" w:color="auto"/>
                <w:lang w:val="en-US" w:eastAsia="zh-CN"/>
              </w:rPr>
            </w:pPr>
            <w:r>
              <w:rPr>
                <w:rFonts w:hint="eastAsia" w:eastAsia="宋体"/>
                <w:color w:val="auto"/>
                <w:kern w:val="21"/>
                <w:sz w:val="18"/>
                <w:szCs w:val="18"/>
                <w:highlight w:val="none"/>
                <w:u w:val="none" w:color="auto"/>
                <w:lang w:val="en-US" w:eastAsia="zh-CN"/>
              </w:rPr>
              <w:t>--</w:t>
            </w:r>
          </w:p>
        </w:tc>
        <w:tc>
          <w:tcPr>
            <w:tcW w:w="232" w:type="pct"/>
            <w:vMerge w:val="continue"/>
            <w:tcBorders>
              <w:tl2br w:val="nil"/>
              <w:tr2bl w:val="nil"/>
            </w:tcBorders>
            <w:noWrap w:val="0"/>
            <w:vAlign w:val="center"/>
          </w:tcPr>
          <w:p w14:paraId="763883FC">
            <w:pPr>
              <w:keepNext w:val="0"/>
              <w:keepLines w:val="0"/>
              <w:pageBreakBefore w:val="0"/>
              <w:widowControl w:val="0"/>
              <w:kinsoku/>
              <w:wordWrap/>
              <w:overflowPunct/>
              <w:topLinePunct w:val="0"/>
              <w:autoSpaceDE/>
              <w:autoSpaceDN/>
              <w:bidi w:val="0"/>
              <w:adjustRightInd/>
              <w:snapToGrid/>
              <w:jc w:val="center"/>
              <w:textAlignment w:val="auto"/>
              <w:rPr>
                <w:color w:val="auto"/>
                <w:kern w:val="21"/>
                <w:sz w:val="18"/>
                <w:szCs w:val="18"/>
                <w:highlight w:val="none"/>
                <w:u w:val="none" w:color="auto"/>
              </w:rPr>
            </w:pPr>
          </w:p>
        </w:tc>
        <w:tc>
          <w:tcPr>
            <w:tcW w:w="202" w:type="pct"/>
            <w:vMerge w:val="restart"/>
            <w:tcBorders>
              <w:tl2br w:val="nil"/>
              <w:tr2bl w:val="nil"/>
            </w:tcBorders>
            <w:noWrap w:val="0"/>
            <w:vAlign w:val="center"/>
          </w:tcPr>
          <w:p w14:paraId="586FCF92">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olor w:val="auto"/>
                <w:kern w:val="21"/>
                <w:sz w:val="18"/>
                <w:szCs w:val="18"/>
                <w:highlight w:val="none"/>
                <w:u w:val="none" w:color="auto"/>
                <w:lang w:eastAsia="zh-CN"/>
              </w:rPr>
            </w:pPr>
            <w:r>
              <w:rPr>
                <w:rFonts w:hint="eastAsia"/>
                <w:color w:val="auto"/>
                <w:kern w:val="21"/>
                <w:sz w:val="18"/>
                <w:szCs w:val="18"/>
                <w:highlight w:val="none"/>
                <w:u w:val="none" w:color="auto"/>
                <w:lang w:eastAsia="zh-CN"/>
              </w:rPr>
              <w:t>经验公式法</w:t>
            </w:r>
          </w:p>
        </w:tc>
        <w:tc>
          <w:tcPr>
            <w:tcW w:w="350" w:type="pct"/>
            <w:tcBorders>
              <w:tl2br w:val="nil"/>
              <w:tr2bl w:val="nil"/>
            </w:tcBorders>
            <w:noWrap w:val="0"/>
            <w:vAlign w:val="center"/>
          </w:tcPr>
          <w:p w14:paraId="491BB362">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auto"/>
                <w:kern w:val="21"/>
                <w:sz w:val="18"/>
                <w:szCs w:val="18"/>
                <w:highlight w:val="none"/>
                <w:u w:val="none" w:color="auto"/>
                <w:lang w:val="en-US" w:eastAsia="zh-CN"/>
              </w:rPr>
            </w:pPr>
            <w:r>
              <w:rPr>
                <w:rFonts w:hint="eastAsia" w:eastAsia="宋体"/>
                <w:color w:val="auto"/>
                <w:kern w:val="21"/>
                <w:sz w:val="18"/>
                <w:szCs w:val="18"/>
                <w:highlight w:val="none"/>
                <w:u w:val="none" w:color="auto"/>
                <w:lang w:val="en-US" w:eastAsia="zh-CN"/>
              </w:rPr>
              <w:t>--</w:t>
            </w:r>
          </w:p>
        </w:tc>
        <w:tc>
          <w:tcPr>
            <w:tcW w:w="329" w:type="pct"/>
            <w:tcBorders>
              <w:tl2br w:val="nil"/>
              <w:tr2bl w:val="nil"/>
            </w:tcBorders>
            <w:noWrap w:val="0"/>
            <w:vAlign w:val="center"/>
          </w:tcPr>
          <w:p w14:paraId="5E7300AE">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0.11</w:t>
            </w:r>
          </w:p>
        </w:tc>
        <w:tc>
          <w:tcPr>
            <w:tcW w:w="308" w:type="pct"/>
            <w:tcBorders>
              <w:tl2br w:val="nil"/>
              <w:tr2bl w:val="nil"/>
            </w:tcBorders>
            <w:noWrap w:val="0"/>
            <w:vAlign w:val="center"/>
          </w:tcPr>
          <w:p w14:paraId="4DDB7437">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0.046</w:t>
            </w:r>
          </w:p>
        </w:tc>
        <w:tc>
          <w:tcPr>
            <w:tcW w:w="315" w:type="pct"/>
            <w:tcBorders>
              <w:tl2br w:val="nil"/>
              <w:tr2bl w:val="nil"/>
            </w:tcBorders>
            <w:noWrap w:val="0"/>
            <w:vAlign w:val="center"/>
          </w:tcPr>
          <w:p w14:paraId="4D4895C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半封闭+</w:t>
            </w:r>
            <w:r>
              <w:rPr>
                <w:rFonts w:hint="eastAsia" w:eastAsia="宋体"/>
                <w:color w:val="auto"/>
                <w:kern w:val="21"/>
                <w:sz w:val="18"/>
                <w:szCs w:val="18"/>
                <w:highlight w:val="none"/>
                <w:u w:val="none" w:color="auto"/>
                <w:lang w:val="en-US" w:eastAsia="zh-CN"/>
              </w:rPr>
              <w:t>洒水降尘</w:t>
            </w:r>
          </w:p>
        </w:tc>
        <w:tc>
          <w:tcPr>
            <w:tcW w:w="277" w:type="pct"/>
            <w:tcBorders>
              <w:tl2br w:val="nil"/>
              <w:tr2bl w:val="nil"/>
            </w:tcBorders>
            <w:noWrap w:val="0"/>
            <w:vAlign w:val="center"/>
          </w:tcPr>
          <w:p w14:paraId="4E47184D">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8</w:t>
            </w:r>
            <w:r>
              <w:rPr>
                <w:rFonts w:hint="eastAsia" w:eastAsia="宋体"/>
                <w:color w:val="auto"/>
                <w:kern w:val="21"/>
                <w:sz w:val="18"/>
                <w:szCs w:val="18"/>
                <w:highlight w:val="none"/>
                <w:u w:val="none" w:color="auto"/>
                <w:lang w:val="en-US" w:eastAsia="zh-CN"/>
              </w:rPr>
              <w:t>0</w:t>
            </w:r>
          </w:p>
        </w:tc>
        <w:tc>
          <w:tcPr>
            <w:tcW w:w="324" w:type="pct"/>
            <w:tcBorders>
              <w:tl2br w:val="nil"/>
              <w:tr2bl w:val="nil"/>
            </w:tcBorders>
            <w:noWrap w:val="0"/>
            <w:vAlign w:val="center"/>
          </w:tcPr>
          <w:p w14:paraId="1E4577DC">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w:t>
            </w:r>
          </w:p>
        </w:tc>
        <w:tc>
          <w:tcPr>
            <w:tcW w:w="197" w:type="pct"/>
            <w:vMerge w:val="restart"/>
            <w:tcBorders>
              <w:tl2br w:val="nil"/>
              <w:tr2bl w:val="nil"/>
            </w:tcBorders>
            <w:noWrap w:val="0"/>
            <w:vAlign w:val="center"/>
          </w:tcPr>
          <w:p w14:paraId="069CB264">
            <w:pPr>
              <w:keepNext w:val="0"/>
              <w:keepLines w:val="0"/>
              <w:pageBreakBefore w:val="0"/>
              <w:widowControl w:val="0"/>
              <w:kinsoku/>
              <w:wordWrap/>
              <w:overflowPunct/>
              <w:topLinePunct w:val="0"/>
              <w:autoSpaceDE/>
              <w:autoSpaceDN/>
              <w:bidi w:val="0"/>
              <w:adjustRightInd/>
              <w:snapToGrid/>
              <w:jc w:val="center"/>
              <w:textAlignment w:val="auto"/>
              <w:rPr>
                <w:color w:val="auto"/>
                <w:kern w:val="21"/>
                <w:sz w:val="18"/>
                <w:szCs w:val="18"/>
                <w:highlight w:val="none"/>
                <w:u w:val="none" w:color="auto"/>
              </w:rPr>
            </w:pPr>
            <w:r>
              <w:rPr>
                <w:rFonts w:hint="eastAsia"/>
                <w:color w:val="auto"/>
                <w:kern w:val="21"/>
                <w:sz w:val="18"/>
                <w:szCs w:val="18"/>
                <w:highlight w:val="none"/>
                <w:u w:val="none" w:color="auto"/>
                <w:lang w:eastAsia="zh-CN"/>
              </w:rPr>
              <w:t>经验公式法</w:t>
            </w:r>
          </w:p>
        </w:tc>
        <w:tc>
          <w:tcPr>
            <w:tcW w:w="353" w:type="pct"/>
            <w:tcBorders>
              <w:tl2br w:val="nil"/>
              <w:tr2bl w:val="nil"/>
            </w:tcBorders>
            <w:noWrap w:val="0"/>
            <w:vAlign w:val="center"/>
          </w:tcPr>
          <w:p w14:paraId="261611FF">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auto"/>
                <w:kern w:val="21"/>
                <w:sz w:val="18"/>
                <w:szCs w:val="18"/>
                <w:highlight w:val="none"/>
                <w:u w:val="none" w:color="auto"/>
                <w:lang w:val="en-US" w:eastAsia="zh-CN"/>
              </w:rPr>
            </w:pPr>
            <w:r>
              <w:rPr>
                <w:rFonts w:hint="eastAsia" w:eastAsia="宋体"/>
                <w:color w:val="auto"/>
                <w:kern w:val="21"/>
                <w:sz w:val="18"/>
                <w:szCs w:val="18"/>
                <w:highlight w:val="none"/>
                <w:u w:val="none" w:color="auto"/>
                <w:lang w:val="en-US" w:eastAsia="zh-CN"/>
              </w:rPr>
              <w:t>--</w:t>
            </w:r>
          </w:p>
        </w:tc>
        <w:tc>
          <w:tcPr>
            <w:tcW w:w="336" w:type="pct"/>
            <w:tcBorders>
              <w:tl2br w:val="nil"/>
              <w:tr2bl w:val="nil"/>
            </w:tcBorders>
            <w:noWrap w:val="0"/>
            <w:vAlign w:val="center"/>
          </w:tcPr>
          <w:p w14:paraId="5C6141B5">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0.022</w:t>
            </w:r>
          </w:p>
        </w:tc>
        <w:tc>
          <w:tcPr>
            <w:tcW w:w="351" w:type="pct"/>
            <w:tcBorders>
              <w:tl2br w:val="nil"/>
              <w:tr2bl w:val="nil"/>
            </w:tcBorders>
            <w:noWrap w:val="0"/>
            <w:vAlign w:val="center"/>
          </w:tcPr>
          <w:p w14:paraId="7792BABF">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auto"/>
                <w:kern w:val="21"/>
                <w:sz w:val="18"/>
                <w:szCs w:val="18"/>
                <w:highlight w:val="none"/>
                <w:u w:val="none" w:color="auto"/>
                <w:lang w:val="en-US" w:eastAsia="zh-CN"/>
              </w:rPr>
            </w:pPr>
            <w:r>
              <w:rPr>
                <w:rFonts w:hint="eastAsia" w:eastAsia="宋体"/>
                <w:color w:val="auto"/>
                <w:kern w:val="21"/>
                <w:sz w:val="18"/>
                <w:szCs w:val="18"/>
                <w:highlight w:val="none"/>
                <w:u w:val="none" w:color="auto"/>
                <w:lang w:val="en-US" w:eastAsia="zh-CN"/>
              </w:rPr>
              <w:t>0.0</w:t>
            </w:r>
            <w:r>
              <w:rPr>
                <w:rFonts w:hint="eastAsia"/>
                <w:color w:val="auto"/>
                <w:kern w:val="21"/>
                <w:sz w:val="18"/>
                <w:szCs w:val="18"/>
                <w:highlight w:val="none"/>
                <w:u w:val="none" w:color="auto"/>
                <w:lang w:val="en-US" w:eastAsia="zh-CN"/>
              </w:rPr>
              <w:t>09</w:t>
            </w:r>
          </w:p>
        </w:tc>
        <w:tc>
          <w:tcPr>
            <w:tcW w:w="282" w:type="pct"/>
            <w:vMerge w:val="continue"/>
            <w:tcBorders>
              <w:tl2br w:val="nil"/>
              <w:tr2bl w:val="nil"/>
            </w:tcBorders>
            <w:noWrap w:val="0"/>
            <w:vAlign w:val="center"/>
          </w:tcPr>
          <w:p w14:paraId="01CAB4E9">
            <w:pPr>
              <w:jc w:val="center"/>
              <w:rPr>
                <w:rFonts w:hint="default" w:eastAsia="宋体"/>
                <w:color w:val="auto"/>
                <w:kern w:val="21"/>
                <w:sz w:val="18"/>
                <w:szCs w:val="18"/>
                <w:highlight w:val="green"/>
                <w:u w:val="none" w:color="auto"/>
                <w:lang w:val="en-US" w:eastAsia="zh-CN"/>
              </w:rPr>
            </w:pPr>
          </w:p>
        </w:tc>
        <w:tc>
          <w:tcPr>
            <w:tcW w:w="269" w:type="pct"/>
            <w:vMerge w:val="continue"/>
            <w:tcBorders>
              <w:tl2br w:val="nil"/>
              <w:tr2bl w:val="nil"/>
            </w:tcBorders>
            <w:noWrap w:val="0"/>
            <w:vAlign w:val="center"/>
          </w:tcPr>
          <w:p w14:paraId="14172189">
            <w:pPr>
              <w:jc w:val="center"/>
              <w:rPr>
                <w:rFonts w:hint="default" w:eastAsia="宋体"/>
                <w:color w:val="auto"/>
                <w:kern w:val="21"/>
                <w:sz w:val="18"/>
                <w:szCs w:val="18"/>
                <w:highlight w:val="green"/>
                <w:u w:val="none" w:color="auto"/>
                <w:lang w:val="en-US" w:eastAsia="zh-CN"/>
              </w:rPr>
            </w:pPr>
          </w:p>
        </w:tc>
      </w:tr>
      <w:tr w14:paraId="38E584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264" w:type="pct"/>
            <w:tcBorders>
              <w:tl2br w:val="nil"/>
              <w:tr2bl w:val="nil"/>
            </w:tcBorders>
            <w:noWrap w:val="0"/>
            <w:vAlign w:val="center"/>
          </w:tcPr>
          <w:p w14:paraId="5FC90AA0">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auto"/>
                <w:kern w:val="21"/>
                <w:sz w:val="18"/>
                <w:szCs w:val="18"/>
                <w:highlight w:val="none"/>
                <w:u w:val="none" w:color="auto"/>
                <w:lang w:val="en-US" w:eastAsia="zh-CN"/>
              </w:rPr>
            </w:pPr>
            <w:r>
              <w:rPr>
                <w:rFonts w:hint="eastAsia" w:eastAsia="宋体"/>
                <w:color w:val="auto"/>
                <w:kern w:val="21"/>
                <w:sz w:val="18"/>
                <w:szCs w:val="18"/>
                <w:highlight w:val="none"/>
                <w:u w:val="none" w:color="auto"/>
                <w:lang w:val="en-US" w:eastAsia="zh-CN"/>
              </w:rPr>
              <w:t>车辆运输扬尘</w:t>
            </w:r>
          </w:p>
        </w:tc>
        <w:tc>
          <w:tcPr>
            <w:tcW w:w="324" w:type="pct"/>
            <w:tcBorders>
              <w:tl2br w:val="nil"/>
              <w:tr2bl w:val="nil"/>
            </w:tcBorders>
            <w:noWrap w:val="0"/>
            <w:vAlign w:val="center"/>
          </w:tcPr>
          <w:p w14:paraId="4DD0EE24">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olor w:val="auto"/>
                <w:kern w:val="21"/>
                <w:sz w:val="18"/>
                <w:szCs w:val="18"/>
                <w:highlight w:val="none"/>
                <w:u w:val="none" w:color="auto"/>
                <w:lang w:val="en-US" w:eastAsia="zh-CN"/>
              </w:rPr>
            </w:pPr>
            <w:r>
              <w:rPr>
                <w:rFonts w:hint="eastAsia" w:eastAsia="宋体"/>
                <w:color w:val="auto"/>
                <w:kern w:val="21"/>
                <w:sz w:val="18"/>
                <w:szCs w:val="18"/>
                <w:highlight w:val="none"/>
                <w:u w:val="none" w:color="auto"/>
                <w:lang w:val="en-US" w:eastAsia="zh-CN"/>
              </w:rPr>
              <w:t>--</w:t>
            </w:r>
          </w:p>
        </w:tc>
        <w:tc>
          <w:tcPr>
            <w:tcW w:w="280" w:type="pct"/>
            <w:tcBorders>
              <w:tl2br w:val="nil"/>
              <w:tr2bl w:val="nil"/>
            </w:tcBorders>
            <w:noWrap w:val="0"/>
            <w:vAlign w:val="center"/>
          </w:tcPr>
          <w:p w14:paraId="4D061C52">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olor w:val="auto"/>
                <w:kern w:val="21"/>
                <w:sz w:val="18"/>
                <w:szCs w:val="18"/>
                <w:highlight w:val="none"/>
                <w:u w:val="none" w:color="auto"/>
                <w:lang w:val="en-US" w:eastAsia="zh-CN"/>
              </w:rPr>
            </w:pPr>
            <w:r>
              <w:rPr>
                <w:rFonts w:hint="eastAsia" w:eastAsia="宋体"/>
                <w:color w:val="auto"/>
                <w:kern w:val="21"/>
                <w:sz w:val="18"/>
                <w:szCs w:val="18"/>
                <w:highlight w:val="none"/>
                <w:u w:val="none" w:color="auto"/>
                <w:lang w:val="en-US" w:eastAsia="zh-CN"/>
              </w:rPr>
              <w:t>--</w:t>
            </w:r>
          </w:p>
        </w:tc>
        <w:tc>
          <w:tcPr>
            <w:tcW w:w="232" w:type="pct"/>
            <w:vMerge w:val="continue"/>
            <w:tcBorders>
              <w:tl2br w:val="nil"/>
              <w:tr2bl w:val="nil"/>
            </w:tcBorders>
            <w:noWrap w:val="0"/>
            <w:vAlign w:val="center"/>
          </w:tcPr>
          <w:p w14:paraId="78C0D479">
            <w:pPr>
              <w:keepNext w:val="0"/>
              <w:keepLines w:val="0"/>
              <w:pageBreakBefore w:val="0"/>
              <w:widowControl w:val="0"/>
              <w:kinsoku/>
              <w:wordWrap/>
              <w:overflowPunct/>
              <w:topLinePunct w:val="0"/>
              <w:autoSpaceDE/>
              <w:autoSpaceDN/>
              <w:bidi w:val="0"/>
              <w:adjustRightInd/>
              <w:snapToGrid/>
              <w:jc w:val="center"/>
              <w:textAlignment w:val="auto"/>
              <w:rPr>
                <w:color w:val="auto"/>
                <w:kern w:val="21"/>
                <w:sz w:val="18"/>
                <w:szCs w:val="18"/>
                <w:highlight w:val="green"/>
                <w:u w:val="none" w:color="auto"/>
              </w:rPr>
            </w:pPr>
          </w:p>
        </w:tc>
        <w:tc>
          <w:tcPr>
            <w:tcW w:w="202" w:type="pct"/>
            <w:vMerge w:val="continue"/>
            <w:tcBorders>
              <w:tl2br w:val="nil"/>
              <w:tr2bl w:val="nil"/>
            </w:tcBorders>
            <w:noWrap w:val="0"/>
            <w:vAlign w:val="center"/>
          </w:tcPr>
          <w:p w14:paraId="1FBA7979">
            <w:pPr>
              <w:keepNext w:val="0"/>
              <w:keepLines w:val="0"/>
              <w:pageBreakBefore w:val="0"/>
              <w:widowControl w:val="0"/>
              <w:kinsoku/>
              <w:wordWrap/>
              <w:overflowPunct/>
              <w:topLinePunct w:val="0"/>
              <w:autoSpaceDE/>
              <w:autoSpaceDN/>
              <w:bidi w:val="0"/>
              <w:adjustRightInd/>
              <w:snapToGrid/>
              <w:jc w:val="center"/>
              <w:textAlignment w:val="auto"/>
              <w:rPr>
                <w:color w:val="auto"/>
                <w:kern w:val="21"/>
                <w:sz w:val="18"/>
                <w:szCs w:val="18"/>
                <w:highlight w:val="green"/>
                <w:u w:val="none" w:color="auto"/>
              </w:rPr>
            </w:pPr>
          </w:p>
        </w:tc>
        <w:tc>
          <w:tcPr>
            <w:tcW w:w="350" w:type="pct"/>
            <w:tcBorders>
              <w:tl2br w:val="nil"/>
              <w:tr2bl w:val="nil"/>
            </w:tcBorders>
            <w:noWrap w:val="0"/>
            <w:vAlign w:val="center"/>
          </w:tcPr>
          <w:p w14:paraId="56487FBD">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auto"/>
                <w:kern w:val="21"/>
                <w:sz w:val="18"/>
                <w:szCs w:val="18"/>
                <w:highlight w:val="none"/>
                <w:u w:val="none" w:color="auto"/>
                <w:lang w:val="en-US" w:eastAsia="zh-CN"/>
              </w:rPr>
            </w:pPr>
            <w:r>
              <w:rPr>
                <w:rFonts w:hint="eastAsia" w:eastAsia="宋体"/>
                <w:color w:val="auto"/>
                <w:kern w:val="21"/>
                <w:sz w:val="18"/>
                <w:szCs w:val="18"/>
                <w:highlight w:val="none"/>
                <w:u w:val="none" w:color="auto"/>
                <w:lang w:val="en-US" w:eastAsia="zh-CN"/>
              </w:rPr>
              <w:t>--</w:t>
            </w:r>
          </w:p>
        </w:tc>
        <w:tc>
          <w:tcPr>
            <w:tcW w:w="329" w:type="pct"/>
            <w:tcBorders>
              <w:tl2br w:val="nil"/>
              <w:tr2bl w:val="nil"/>
            </w:tcBorders>
            <w:noWrap w:val="0"/>
            <w:vAlign w:val="center"/>
          </w:tcPr>
          <w:p w14:paraId="2DC9F4EB">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0.324</w:t>
            </w:r>
          </w:p>
        </w:tc>
        <w:tc>
          <w:tcPr>
            <w:tcW w:w="308" w:type="pct"/>
            <w:tcBorders>
              <w:tl2br w:val="nil"/>
              <w:tr2bl w:val="nil"/>
            </w:tcBorders>
            <w:noWrap w:val="0"/>
            <w:vAlign w:val="center"/>
          </w:tcPr>
          <w:p w14:paraId="4E364D53">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0.14</w:t>
            </w:r>
          </w:p>
        </w:tc>
        <w:tc>
          <w:tcPr>
            <w:tcW w:w="315" w:type="pct"/>
            <w:tcBorders>
              <w:tl2br w:val="nil"/>
              <w:tr2bl w:val="nil"/>
            </w:tcBorders>
            <w:noWrap w:val="0"/>
            <w:vAlign w:val="center"/>
          </w:tcPr>
          <w:p w14:paraId="3B8C687C">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olor w:val="auto"/>
                <w:kern w:val="21"/>
                <w:sz w:val="18"/>
                <w:szCs w:val="18"/>
                <w:highlight w:val="none"/>
                <w:u w:val="none" w:color="auto"/>
                <w:lang w:val="en-US" w:eastAsia="zh-CN"/>
              </w:rPr>
            </w:pPr>
            <w:r>
              <w:rPr>
                <w:rFonts w:hint="eastAsia" w:eastAsia="宋体"/>
                <w:color w:val="auto"/>
                <w:kern w:val="21"/>
                <w:sz w:val="18"/>
                <w:szCs w:val="18"/>
                <w:highlight w:val="none"/>
                <w:u w:val="none" w:color="auto"/>
                <w:lang w:val="en-US" w:eastAsia="zh-CN"/>
              </w:rPr>
              <w:t>洒水降尘</w:t>
            </w:r>
          </w:p>
        </w:tc>
        <w:tc>
          <w:tcPr>
            <w:tcW w:w="277" w:type="pct"/>
            <w:tcBorders>
              <w:tl2br w:val="nil"/>
              <w:tr2bl w:val="nil"/>
            </w:tcBorders>
            <w:noWrap w:val="0"/>
            <w:vAlign w:val="center"/>
          </w:tcPr>
          <w:p w14:paraId="2D0F7575">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auto"/>
                <w:kern w:val="21"/>
                <w:sz w:val="18"/>
                <w:szCs w:val="18"/>
                <w:highlight w:val="none"/>
                <w:u w:val="none" w:color="auto"/>
                <w:lang w:val="en-US" w:eastAsia="zh-CN"/>
              </w:rPr>
            </w:pPr>
            <w:r>
              <w:rPr>
                <w:rFonts w:hint="eastAsia" w:eastAsia="宋体"/>
                <w:color w:val="auto"/>
                <w:kern w:val="21"/>
                <w:sz w:val="18"/>
                <w:szCs w:val="18"/>
                <w:highlight w:val="none"/>
                <w:u w:val="none" w:color="auto"/>
                <w:lang w:val="en-US" w:eastAsia="zh-CN"/>
              </w:rPr>
              <w:t>--</w:t>
            </w:r>
          </w:p>
        </w:tc>
        <w:tc>
          <w:tcPr>
            <w:tcW w:w="324" w:type="pct"/>
            <w:tcBorders>
              <w:tl2br w:val="nil"/>
              <w:tr2bl w:val="nil"/>
            </w:tcBorders>
            <w:noWrap w:val="0"/>
            <w:vAlign w:val="center"/>
          </w:tcPr>
          <w:p w14:paraId="5FEF3E64">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auto"/>
                <w:kern w:val="21"/>
                <w:sz w:val="18"/>
                <w:szCs w:val="18"/>
                <w:highlight w:val="none"/>
                <w:u w:val="none" w:color="auto"/>
                <w:lang w:val="en-US" w:eastAsia="zh-CN"/>
              </w:rPr>
            </w:pPr>
            <w:r>
              <w:rPr>
                <w:rFonts w:hint="eastAsia" w:eastAsia="宋体"/>
                <w:color w:val="auto"/>
                <w:kern w:val="21"/>
                <w:sz w:val="18"/>
                <w:szCs w:val="18"/>
                <w:highlight w:val="none"/>
                <w:u w:val="none" w:color="auto"/>
                <w:lang w:val="en-US" w:eastAsia="zh-CN"/>
              </w:rPr>
              <w:t>--</w:t>
            </w:r>
          </w:p>
        </w:tc>
        <w:tc>
          <w:tcPr>
            <w:tcW w:w="197" w:type="pct"/>
            <w:vMerge w:val="continue"/>
            <w:tcBorders>
              <w:tl2br w:val="nil"/>
              <w:tr2bl w:val="nil"/>
            </w:tcBorders>
            <w:noWrap w:val="0"/>
            <w:vAlign w:val="center"/>
          </w:tcPr>
          <w:p w14:paraId="3584418D">
            <w:pPr>
              <w:keepNext w:val="0"/>
              <w:keepLines w:val="0"/>
              <w:pageBreakBefore w:val="0"/>
              <w:widowControl w:val="0"/>
              <w:kinsoku/>
              <w:wordWrap/>
              <w:overflowPunct/>
              <w:topLinePunct w:val="0"/>
              <w:autoSpaceDE/>
              <w:autoSpaceDN/>
              <w:bidi w:val="0"/>
              <w:adjustRightInd/>
              <w:snapToGrid/>
              <w:jc w:val="center"/>
              <w:textAlignment w:val="auto"/>
              <w:rPr>
                <w:color w:val="auto"/>
                <w:kern w:val="21"/>
                <w:sz w:val="18"/>
                <w:szCs w:val="18"/>
                <w:highlight w:val="green"/>
                <w:u w:val="none" w:color="auto"/>
              </w:rPr>
            </w:pPr>
          </w:p>
        </w:tc>
        <w:tc>
          <w:tcPr>
            <w:tcW w:w="353" w:type="pct"/>
            <w:tcBorders>
              <w:tl2br w:val="nil"/>
              <w:tr2bl w:val="nil"/>
            </w:tcBorders>
            <w:noWrap w:val="0"/>
            <w:vAlign w:val="center"/>
          </w:tcPr>
          <w:p w14:paraId="16F08B6D">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color w:val="auto"/>
                <w:kern w:val="21"/>
                <w:sz w:val="18"/>
                <w:szCs w:val="18"/>
                <w:highlight w:val="none"/>
                <w:u w:val="none" w:color="auto"/>
                <w:lang w:val="en-US" w:eastAsia="zh-CN"/>
              </w:rPr>
            </w:pPr>
            <w:r>
              <w:rPr>
                <w:rFonts w:hint="eastAsia" w:eastAsia="宋体"/>
                <w:color w:val="auto"/>
                <w:kern w:val="21"/>
                <w:sz w:val="18"/>
                <w:szCs w:val="18"/>
                <w:highlight w:val="none"/>
                <w:u w:val="none" w:color="auto"/>
                <w:lang w:val="en-US" w:eastAsia="zh-CN"/>
              </w:rPr>
              <w:t>--</w:t>
            </w:r>
          </w:p>
        </w:tc>
        <w:tc>
          <w:tcPr>
            <w:tcW w:w="336" w:type="pct"/>
            <w:tcBorders>
              <w:tl2br w:val="nil"/>
              <w:tr2bl w:val="nil"/>
            </w:tcBorders>
            <w:shd w:val="clear" w:color="auto" w:fill="auto"/>
            <w:noWrap w:val="0"/>
            <w:vAlign w:val="center"/>
          </w:tcPr>
          <w:p w14:paraId="272C84D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1"/>
                <w:sz w:val="18"/>
                <w:szCs w:val="18"/>
                <w:highlight w:val="none"/>
                <w:u w:val="none" w:color="auto"/>
                <w:lang w:val="en-US" w:eastAsia="zh-CN" w:bidi="ar-SA"/>
              </w:rPr>
            </w:pPr>
            <w:r>
              <w:rPr>
                <w:rFonts w:hint="eastAsia"/>
                <w:color w:val="auto"/>
                <w:kern w:val="21"/>
                <w:sz w:val="18"/>
                <w:szCs w:val="18"/>
                <w:highlight w:val="none"/>
                <w:u w:val="none" w:color="auto"/>
                <w:lang w:val="en-US" w:eastAsia="zh-CN"/>
              </w:rPr>
              <w:t>0.324</w:t>
            </w:r>
          </w:p>
        </w:tc>
        <w:tc>
          <w:tcPr>
            <w:tcW w:w="351" w:type="pct"/>
            <w:tcBorders>
              <w:tl2br w:val="nil"/>
              <w:tr2bl w:val="nil"/>
            </w:tcBorders>
            <w:shd w:val="clear" w:color="auto" w:fill="auto"/>
            <w:noWrap w:val="0"/>
            <w:vAlign w:val="center"/>
          </w:tcPr>
          <w:p w14:paraId="1A9E3A0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1"/>
                <w:sz w:val="18"/>
                <w:szCs w:val="18"/>
                <w:highlight w:val="none"/>
                <w:u w:val="none" w:color="auto"/>
                <w:lang w:val="en-US" w:eastAsia="zh-CN" w:bidi="ar-SA"/>
              </w:rPr>
            </w:pPr>
            <w:r>
              <w:rPr>
                <w:rFonts w:hint="eastAsia"/>
                <w:color w:val="auto"/>
                <w:kern w:val="21"/>
                <w:sz w:val="18"/>
                <w:szCs w:val="18"/>
                <w:highlight w:val="none"/>
                <w:u w:val="none" w:color="auto"/>
                <w:lang w:val="en-US" w:eastAsia="zh-CN"/>
              </w:rPr>
              <w:t>0.14</w:t>
            </w:r>
          </w:p>
        </w:tc>
        <w:tc>
          <w:tcPr>
            <w:tcW w:w="282" w:type="pct"/>
            <w:vMerge w:val="continue"/>
            <w:tcBorders>
              <w:tl2br w:val="nil"/>
              <w:tr2bl w:val="nil"/>
            </w:tcBorders>
            <w:noWrap w:val="0"/>
            <w:vAlign w:val="center"/>
          </w:tcPr>
          <w:p w14:paraId="796DAC0B">
            <w:pPr>
              <w:jc w:val="center"/>
              <w:rPr>
                <w:rFonts w:hint="default" w:eastAsia="宋体"/>
                <w:color w:val="auto"/>
                <w:kern w:val="21"/>
                <w:sz w:val="18"/>
                <w:szCs w:val="18"/>
                <w:highlight w:val="green"/>
                <w:u w:val="none" w:color="auto"/>
                <w:lang w:val="en-US" w:eastAsia="zh-CN"/>
              </w:rPr>
            </w:pPr>
          </w:p>
        </w:tc>
        <w:tc>
          <w:tcPr>
            <w:tcW w:w="269" w:type="pct"/>
            <w:vMerge w:val="continue"/>
            <w:tcBorders>
              <w:tl2br w:val="nil"/>
              <w:tr2bl w:val="nil"/>
            </w:tcBorders>
            <w:noWrap w:val="0"/>
            <w:vAlign w:val="center"/>
          </w:tcPr>
          <w:p w14:paraId="4A0844A3">
            <w:pPr>
              <w:jc w:val="center"/>
              <w:rPr>
                <w:rFonts w:hint="default" w:eastAsia="宋体"/>
                <w:color w:val="auto"/>
                <w:kern w:val="21"/>
                <w:sz w:val="18"/>
                <w:szCs w:val="18"/>
                <w:highlight w:val="green"/>
                <w:u w:val="none" w:color="auto"/>
                <w:lang w:val="en-US" w:eastAsia="zh-CN"/>
              </w:rPr>
            </w:pPr>
          </w:p>
        </w:tc>
      </w:tr>
      <w:tr w14:paraId="5E38AE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264" w:type="pct"/>
            <w:tcBorders>
              <w:tl2br w:val="nil"/>
              <w:tr2bl w:val="nil"/>
            </w:tcBorders>
            <w:noWrap w:val="0"/>
            <w:vAlign w:val="center"/>
          </w:tcPr>
          <w:p w14:paraId="1330AA6F">
            <w:pPr>
              <w:jc w:val="center"/>
              <w:rPr>
                <w:rFonts w:hint="default" w:eastAsia="宋体"/>
                <w:color w:val="auto"/>
                <w:kern w:val="21"/>
                <w:sz w:val="18"/>
                <w:szCs w:val="18"/>
                <w:highlight w:val="none"/>
                <w:u w:val="none" w:color="auto"/>
                <w:lang w:val="en-US" w:eastAsia="zh-CN"/>
              </w:rPr>
            </w:pPr>
            <w:r>
              <w:rPr>
                <w:rFonts w:hint="eastAsia" w:eastAsia="宋体"/>
                <w:color w:val="auto"/>
                <w:kern w:val="21"/>
                <w:sz w:val="18"/>
                <w:szCs w:val="18"/>
                <w:highlight w:val="none"/>
                <w:u w:val="none" w:color="auto"/>
                <w:lang w:val="en-US" w:eastAsia="zh-CN"/>
              </w:rPr>
              <w:t>合计</w:t>
            </w:r>
          </w:p>
        </w:tc>
        <w:tc>
          <w:tcPr>
            <w:tcW w:w="324" w:type="pct"/>
            <w:tcBorders>
              <w:tl2br w:val="nil"/>
              <w:tr2bl w:val="nil"/>
            </w:tcBorders>
            <w:noWrap w:val="0"/>
            <w:vAlign w:val="center"/>
          </w:tcPr>
          <w:p w14:paraId="56E43FB7">
            <w:pPr>
              <w:jc w:val="center"/>
              <w:rPr>
                <w:rFonts w:hint="eastAsia" w:eastAsia="宋体"/>
                <w:color w:val="auto"/>
                <w:kern w:val="21"/>
                <w:sz w:val="18"/>
                <w:szCs w:val="18"/>
                <w:highlight w:val="none"/>
                <w:u w:val="none" w:color="auto"/>
                <w:lang w:val="en-US" w:eastAsia="zh-CN"/>
              </w:rPr>
            </w:pPr>
          </w:p>
        </w:tc>
        <w:tc>
          <w:tcPr>
            <w:tcW w:w="280" w:type="pct"/>
            <w:tcBorders>
              <w:tl2br w:val="nil"/>
              <w:tr2bl w:val="nil"/>
            </w:tcBorders>
            <w:noWrap w:val="0"/>
            <w:vAlign w:val="center"/>
          </w:tcPr>
          <w:p w14:paraId="3379243E">
            <w:pPr>
              <w:jc w:val="center"/>
              <w:rPr>
                <w:rFonts w:hint="eastAsia" w:eastAsia="宋体"/>
                <w:color w:val="auto"/>
                <w:kern w:val="21"/>
                <w:sz w:val="18"/>
                <w:szCs w:val="18"/>
                <w:highlight w:val="none"/>
                <w:u w:val="none" w:color="auto"/>
                <w:lang w:val="en-US" w:eastAsia="zh-CN"/>
              </w:rPr>
            </w:pPr>
          </w:p>
        </w:tc>
        <w:tc>
          <w:tcPr>
            <w:tcW w:w="232" w:type="pct"/>
            <w:tcBorders>
              <w:tl2br w:val="nil"/>
              <w:tr2bl w:val="nil"/>
            </w:tcBorders>
            <w:noWrap w:val="0"/>
            <w:vAlign w:val="center"/>
          </w:tcPr>
          <w:p w14:paraId="37701208">
            <w:pPr>
              <w:jc w:val="center"/>
              <w:rPr>
                <w:color w:val="auto"/>
                <w:kern w:val="21"/>
                <w:sz w:val="18"/>
                <w:szCs w:val="18"/>
                <w:highlight w:val="none"/>
                <w:u w:val="none" w:color="auto"/>
              </w:rPr>
            </w:pPr>
          </w:p>
        </w:tc>
        <w:tc>
          <w:tcPr>
            <w:tcW w:w="202" w:type="pct"/>
            <w:tcBorders>
              <w:tl2br w:val="nil"/>
              <w:tr2bl w:val="nil"/>
            </w:tcBorders>
            <w:noWrap w:val="0"/>
            <w:vAlign w:val="center"/>
          </w:tcPr>
          <w:p w14:paraId="10A03D20">
            <w:pPr>
              <w:jc w:val="center"/>
              <w:rPr>
                <w:color w:val="auto"/>
                <w:kern w:val="21"/>
                <w:sz w:val="18"/>
                <w:szCs w:val="18"/>
                <w:highlight w:val="none"/>
                <w:u w:val="none" w:color="auto"/>
              </w:rPr>
            </w:pPr>
          </w:p>
        </w:tc>
        <w:tc>
          <w:tcPr>
            <w:tcW w:w="350" w:type="pct"/>
            <w:tcBorders>
              <w:tl2br w:val="nil"/>
              <w:tr2bl w:val="nil"/>
            </w:tcBorders>
            <w:noWrap w:val="0"/>
            <w:vAlign w:val="center"/>
          </w:tcPr>
          <w:p w14:paraId="06881E5E">
            <w:pPr>
              <w:jc w:val="center"/>
              <w:rPr>
                <w:rFonts w:hint="eastAsia" w:eastAsia="宋体"/>
                <w:color w:val="auto"/>
                <w:kern w:val="21"/>
                <w:sz w:val="18"/>
                <w:szCs w:val="18"/>
                <w:highlight w:val="none"/>
                <w:u w:val="none" w:color="auto"/>
                <w:lang w:val="en-US" w:eastAsia="zh-CN"/>
              </w:rPr>
            </w:pPr>
          </w:p>
        </w:tc>
        <w:tc>
          <w:tcPr>
            <w:tcW w:w="329" w:type="pct"/>
            <w:tcBorders>
              <w:tl2br w:val="nil"/>
              <w:tr2bl w:val="nil"/>
            </w:tcBorders>
            <w:noWrap w:val="0"/>
            <w:vAlign w:val="center"/>
          </w:tcPr>
          <w:p w14:paraId="1A6B0184">
            <w:pPr>
              <w:jc w:val="center"/>
              <w:rPr>
                <w:rFonts w:hint="default" w:eastAsia="宋体"/>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249.834</w:t>
            </w:r>
          </w:p>
        </w:tc>
        <w:tc>
          <w:tcPr>
            <w:tcW w:w="308" w:type="pct"/>
            <w:tcBorders>
              <w:tl2br w:val="nil"/>
              <w:tr2bl w:val="nil"/>
            </w:tcBorders>
            <w:noWrap w:val="0"/>
            <w:vAlign w:val="center"/>
          </w:tcPr>
          <w:p w14:paraId="0D751236">
            <w:pPr>
              <w:jc w:val="center"/>
              <w:rPr>
                <w:rFonts w:hint="eastAsia" w:eastAsia="宋体"/>
                <w:color w:val="auto"/>
                <w:kern w:val="21"/>
                <w:sz w:val="18"/>
                <w:szCs w:val="18"/>
                <w:highlight w:val="none"/>
                <w:u w:val="none" w:color="auto"/>
                <w:lang w:val="en-US" w:eastAsia="zh-CN"/>
              </w:rPr>
            </w:pPr>
          </w:p>
        </w:tc>
        <w:tc>
          <w:tcPr>
            <w:tcW w:w="315" w:type="pct"/>
            <w:tcBorders>
              <w:tl2br w:val="nil"/>
              <w:tr2bl w:val="nil"/>
            </w:tcBorders>
            <w:noWrap w:val="0"/>
            <w:vAlign w:val="center"/>
          </w:tcPr>
          <w:p w14:paraId="24F71F94">
            <w:pPr>
              <w:jc w:val="center"/>
              <w:rPr>
                <w:rFonts w:hint="eastAsia" w:eastAsia="宋体"/>
                <w:color w:val="auto"/>
                <w:kern w:val="21"/>
                <w:sz w:val="18"/>
                <w:szCs w:val="18"/>
                <w:highlight w:val="none"/>
                <w:u w:val="none" w:color="auto"/>
                <w:lang w:val="en-US" w:eastAsia="zh-CN"/>
              </w:rPr>
            </w:pPr>
          </w:p>
        </w:tc>
        <w:tc>
          <w:tcPr>
            <w:tcW w:w="277" w:type="pct"/>
            <w:tcBorders>
              <w:tl2br w:val="nil"/>
              <w:tr2bl w:val="nil"/>
            </w:tcBorders>
            <w:noWrap w:val="0"/>
            <w:vAlign w:val="center"/>
          </w:tcPr>
          <w:p w14:paraId="05A6F403">
            <w:pPr>
              <w:jc w:val="center"/>
              <w:rPr>
                <w:rFonts w:hint="eastAsia" w:eastAsia="宋体"/>
                <w:color w:val="auto"/>
                <w:kern w:val="21"/>
                <w:sz w:val="18"/>
                <w:szCs w:val="18"/>
                <w:highlight w:val="none"/>
                <w:u w:val="none" w:color="auto"/>
                <w:lang w:val="en-US" w:eastAsia="zh-CN"/>
              </w:rPr>
            </w:pPr>
          </w:p>
        </w:tc>
        <w:tc>
          <w:tcPr>
            <w:tcW w:w="324" w:type="pct"/>
            <w:tcBorders>
              <w:tl2br w:val="nil"/>
              <w:tr2bl w:val="nil"/>
            </w:tcBorders>
            <w:noWrap w:val="0"/>
            <w:vAlign w:val="center"/>
          </w:tcPr>
          <w:p w14:paraId="25D9CDFB">
            <w:pPr>
              <w:jc w:val="center"/>
              <w:rPr>
                <w:rFonts w:hint="eastAsia" w:eastAsia="宋体"/>
                <w:color w:val="auto"/>
                <w:kern w:val="21"/>
                <w:sz w:val="18"/>
                <w:szCs w:val="18"/>
                <w:highlight w:val="none"/>
                <w:u w:val="none" w:color="auto"/>
                <w:lang w:val="en-US" w:eastAsia="zh-CN"/>
              </w:rPr>
            </w:pPr>
          </w:p>
        </w:tc>
        <w:tc>
          <w:tcPr>
            <w:tcW w:w="197" w:type="pct"/>
            <w:tcBorders>
              <w:tl2br w:val="nil"/>
              <w:tr2bl w:val="nil"/>
            </w:tcBorders>
            <w:noWrap w:val="0"/>
            <w:vAlign w:val="center"/>
          </w:tcPr>
          <w:p w14:paraId="0CA5888F">
            <w:pPr>
              <w:jc w:val="center"/>
              <w:rPr>
                <w:color w:val="auto"/>
                <w:kern w:val="21"/>
                <w:sz w:val="18"/>
                <w:szCs w:val="18"/>
                <w:highlight w:val="none"/>
                <w:u w:val="none" w:color="auto"/>
              </w:rPr>
            </w:pPr>
          </w:p>
        </w:tc>
        <w:tc>
          <w:tcPr>
            <w:tcW w:w="353" w:type="pct"/>
            <w:tcBorders>
              <w:tl2br w:val="nil"/>
              <w:tr2bl w:val="nil"/>
            </w:tcBorders>
            <w:noWrap w:val="0"/>
            <w:vAlign w:val="center"/>
          </w:tcPr>
          <w:p w14:paraId="173A1A7A">
            <w:pPr>
              <w:jc w:val="center"/>
              <w:rPr>
                <w:rFonts w:hint="eastAsia" w:eastAsia="宋体"/>
                <w:color w:val="auto"/>
                <w:kern w:val="21"/>
                <w:sz w:val="18"/>
                <w:szCs w:val="18"/>
                <w:highlight w:val="none"/>
                <w:u w:val="none" w:color="auto"/>
                <w:lang w:val="en-US" w:eastAsia="zh-CN"/>
              </w:rPr>
            </w:pPr>
          </w:p>
        </w:tc>
        <w:tc>
          <w:tcPr>
            <w:tcW w:w="336" w:type="pct"/>
            <w:tcBorders>
              <w:tl2br w:val="nil"/>
              <w:tr2bl w:val="nil"/>
            </w:tcBorders>
            <w:noWrap w:val="0"/>
            <w:vAlign w:val="center"/>
          </w:tcPr>
          <w:p w14:paraId="2EDDC1C8">
            <w:pPr>
              <w:jc w:val="center"/>
              <w:rPr>
                <w:rFonts w:hint="default" w:eastAsia="宋体"/>
                <w:color w:val="auto"/>
                <w:kern w:val="21"/>
                <w:sz w:val="18"/>
                <w:szCs w:val="18"/>
                <w:highlight w:val="none"/>
                <w:u w:val="none" w:color="auto"/>
                <w:lang w:val="en-US" w:eastAsia="zh-CN"/>
              </w:rPr>
            </w:pPr>
            <w:r>
              <w:rPr>
                <w:rFonts w:hint="eastAsia"/>
                <w:color w:val="auto"/>
                <w:kern w:val="21"/>
                <w:sz w:val="18"/>
                <w:szCs w:val="18"/>
                <w:highlight w:val="none"/>
                <w:u w:val="none" w:color="auto"/>
                <w:lang w:val="en-US" w:eastAsia="zh-CN"/>
              </w:rPr>
              <w:t>17.182</w:t>
            </w:r>
          </w:p>
        </w:tc>
        <w:tc>
          <w:tcPr>
            <w:tcW w:w="351" w:type="pct"/>
            <w:tcBorders>
              <w:tl2br w:val="nil"/>
              <w:tr2bl w:val="nil"/>
            </w:tcBorders>
            <w:noWrap w:val="0"/>
            <w:vAlign w:val="center"/>
          </w:tcPr>
          <w:p w14:paraId="0FC27961">
            <w:pPr>
              <w:jc w:val="center"/>
              <w:rPr>
                <w:rFonts w:hint="eastAsia" w:eastAsia="宋体"/>
                <w:color w:val="auto"/>
                <w:kern w:val="21"/>
                <w:sz w:val="18"/>
                <w:szCs w:val="18"/>
                <w:highlight w:val="none"/>
                <w:u w:val="none" w:color="auto"/>
                <w:lang w:val="en-US" w:eastAsia="zh-CN"/>
              </w:rPr>
            </w:pPr>
          </w:p>
        </w:tc>
        <w:tc>
          <w:tcPr>
            <w:tcW w:w="282" w:type="pct"/>
            <w:tcBorders>
              <w:tl2br w:val="nil"/>
              <w:tr2bl w:val="nil"/>
            </w:tcBorders>
            <w:noWrap w:val="0"/>
            <w:vAlign w:val="center"/>
          </w:tcPr>
          <w:p w14:paraId="48FDE3E4">
            <w:pPr>
              <w:jc w:val="center"/>
              <w:rPr>
                <w:rFonts w:hint="default" w:eastAsia="宋体"/>
                <w:color w:val="auto"/>
                <w:kern w:val="21"/>
                <w:sz w:val="18"/>
                <w:szCs w:val="18"/>
                <w:highlight w:val="green"/>
                <w:u w:val="none" w:color="auto"/>
                <w:lang w:val="en-US" w:eastAsia="zh-CN"/>
              </w:rPr>
            </w:pPr>
          </w:p>
        </w:tc>
        <w:tc>
          <w:tcPr>
            <w:tcW w:w="269" w:type="pct"/>
            <w:tcBorders>
              <w:tl2br w:val="nil"/>
              <w:tr2bl w:val="nil"/>
            </w:tcBorders>
            <w:noWrap w:val="0"/>
            <w:vAlign w:val="center"/>
          </w:tcPr>
          <w:p w14:paraId="2500F52E">
            <w:pPr>
              <w:jc w:val="center"/>
              <w:rPr>
                <w:rFonts w:hint="default" w:eastAsia="宋体"/>
                <w:color w:val="auto"/>
                <w:kern w:val="21"/>
                <w:sz w:val="18"/>
                <w:szCs w:val="18"/>
                <w:highlight w:val="green"/>
                <w:u w:val="none" w:color="auto"/>
                <w:lang w:val="en-US" w:eastAsia="zh-CN"/>
              </w:rPr>
            </w:pPr>
          </w:p>
        </w:tc>
      </w:tr>
    </w:tbl>
    <w:p w14:paraId="1FE51A92">
      <w:pPr>
        <w:pStyle w:val="21"/>
        <w:jc w:val="both"/>
        <w:outlineLvl w:val="0"/>
        <w:rPr>
          <w:rFonts w:ascii="黑体" w:hAnsi="黑体" w:eastAsia="黑体"/>
          <w:snapToGrid w:val="0"/>
          <w:sz w:val="30"/>
          <w:szCs w:val="30"/>
          <w:highlight w:val="cyan"/>
        </w:rPr>
        <w:sectPr>
          <w:pgSz w:w="16840" w:h="11907" w:orient="landscape"/>
          <w:pgMar w:top="1531" w:right="1701" w:bottom="1531" w:left="2127" w:header="851" w:footer="851" w:gutter="0"/>
          <w:pgBorders>
            <w:top w:val="none" w:sz="0" w:space="0"/>
            <w:left w:val="none" w:sz="0" w:space="0"/>
            <w:bottom w:val="none" w:sz="0" w:space="0"/>
            <w:right w:val="none" w:sz="0" w:space="0"/>
          </w:pgBorders>
          <w:cols w:space="720" w:num="1"/>
          <w:docGrid w:linePitch="312" w:charSpace="0"/>
        </w:sectPr>
      </w:pPr>
    </w:p>
    <w:tbl>
      <w:tblPr>
        <w:tblStyle w:val="25"/>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96"/>
        <w:gridCol w:w="8685"/>
      </w:tblGrid>
      <w:tr w14:paraId="767FA6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546" w:hRule="atLeast"/>
          <w:jc w:val="center"/>
        </w:trPr>
        <w:tc>
          <w:tcPr>
            <w:tcW w:w="285" w:type="dxa"/>
            <w:noWrap w:val="0"/>
            <w:tcMar>
              <w:left w:w="28" w:type="dxa"/>
              <w:right w:w="28" w:type="dxa"/>
            </w:tcMar>
            <w:vAlign w:val="center"/>
          </w:tcPr>
          <w:p w14:paraId="7A465AF1">
            <w:pPr>
              <w:adjustRightInd w:val="0"/>
              <w:snapToGrid w:val="0"/>
              <w:jc w:val="center"/>
              <w:rPr>
                <w:rFonts w:hint="eastAsia" w:ascii="宋体" w:hAnsi="宋体" w:cs="宋体"/>
                <w:bCs/>
                <w:sz w:val="24"/>
                <w:szCs w:val="24"/>
                <w:highlight w:val="none"/>
              </w:rPr>
            </w:pPr>
            <w:r>
              <w:rPr>
                <w:rFonts w:hint="eastAsia" w:ascii="宋体" w:hAnsi="宋体" w:cs="宋体"/>
                <w:bCs/>
                <w:sz w:val="24"/>
                <w:szCs w:val="24"/>
                <w:highlight w:val="none"/>
              </w:rPr>
              <w:t>运营</w:t>
            </w:r>
          </w:p>
          <w:p w14:paraId="1B36085D">
            <w:pPr>
              <w:adjustRightInd w:val="0"/>
              <w:snapToGrid w:val="0"/>
              <w:jc w:val="center"/>
              <w:rPr>
                <w:rFonts w:hint="eastAsia" w:ascii="宋体" w:hAnsi="宋体" w:cs="宋体"/>
                <w:bCs/>
                <w:sz w:val="24"/>
                <w:szCs w:val="24"/>
                <w:highlight w:val="none"/>
              </w:rPr>
            </w:pPr>
            <w:r>
              <w:rPr>
                <w:rFonts w:hint="eastAsia" w:ascii="宋体" w:hAnsi="宋体" w:cs="宋体"/>
                <w:bCs/>
                <w:sz w:val="24"/>
                <w:szCs w:val="24"/>
                <w:highlight w:val="none"/>
              </w:rPr>
              <w:t>期环</w:t>
            </w:r>
          </w:p>
          <w:p w14:paraId="39456A34">
            <w:pPr>
              <w:adjustRightInd w:val="0"/>
              <w:snapToGrid w:val="0"/>
              <w:jc w:val="center"/>
              <w:rPr>
                <w:rFonts w:hint="eastAsia" w:ascii="宋体" w:hAnsi="宋体" w:cs="宋体"/>
                <w:bCs/>
                <w:sz w:val="24"/>
                <w:szCs w:val="24"/>
                <w:highlight w:val="none"/>
              </w:rPr>
            </w:pPr>
            <w:r>
              <w:rPr>
                <w:rFonts w:hint="eastAsia" w:ascii="宋体" w:hAnsi="宋体" w:cs="宋体"/>
                <w:bCs/>
                <w:sz w:val="24"/>
                <w:szCs w:val="24"/>
                <w:highlight w:val="none"/>
              </w:rPr>
              <w:t>境影</w:t>
            </w:r>
          </w:p>
          <w:p w14:paraId="68E59929">
            <w:pPr>
              <w:adjustRightInd w:val="0"/>
              <w:snapToGrid w:val="0"/>
              <w:jc w:val="center"/>
              <w:rPr>
                <w:rFonts w:hint="eastAsia" w:ascii="宋体" w:hAnsi="宋体" w:cs="宋体"/>
                <w:bCs/>
                <w:sz w:val="24"/>
                <w:szCs w:val="24"/>
                <w:highlight w:val="none"/>
              </w:rPr>
            </w:pPr>
            <w:r>
              <w:rPr>
                <w:rFonts w:hint="eastAsia" w:ascii="宋体" w:hAnsi="宋体" w:cs="宋体"/>
                <w:bCs/>
                <w:sz w:val="24"/>
                <w:szCs w:val="24"/>
                <w:highlight w:val="none"/>
              </w:rPr>
              <w:t>响和</w:t>
            </w:r>
          </w:p>
          <w:p w14:paraId="0B71D1AC">
            <w:pPr>
              <w:adjustRightInd w:val="0"/>
              <w:snapToGrid w:val="0"/>
              <w:jc w:val="center"/>
              <w:rPr>
                <w:rFonts w:hint="eastAsia" w:ascii="宋体" w:hAnsi="宋体" w:cs="宋体"/>
                <w:bCs/>
                <w:sz w:val="24"/>
                <w:szCs w:val="24"/>
                <w:highlight w:val="none"/>
              </w:rPr>
            </w:pPr>
            <w:r>
              <w:rPr>
                <w:rFonts w:hint="eastAsia" w:ascii="宋体" w:hAnsi="宋体" w:cs="宋体"/>
                <w:bCs/>
                <w:sz w:val="24"/>
                <w:szCs w:val="24"/>
                <w:highlight w:val="none"/>
              </w:rPr>
              <w:t>保护</w:t>
            </w:r>
          </w:p>
          <w:p w14:paraId="2E9D3C7D">
            <w:pPr>
              <w:adjustRightInd w:val="0"/>
              <w:snapToGrid w:val="0"/>
              <w:jc w:val="center"/>
              <w:rPr>
                <w:rFonts w:ascii="宋体" w:hAnsi="宋体" w:cs="宋体"/>
                <w:bCs/>
                <w:sz w:val="24"/>
                <w:szCs w:val="24"/>
                <w:highlight w:val="none"/>
              </w:rPr>
            </w:pPr>
            <w:r>
              <w:rPr>
                <w:rFonts w:hint="eastAsia" w:ascii="宋体" w:hAnsi="宋体" w:cs="宋体"/>
                <w:bCs/>
                <w:sz w:val="24"/>
                <w:szCs w:val="24"/>
                <w:highlight w:val="none"/>
              </w:rPr>
              <w:t>措施</w:t>
            </w:r>
          </w:p>
        </w:tc>
        <w:tc>
          <w:tcPr>
            <w:tcW w:w="8696" w:type="dxa"/>
            <w:noWrap w:val="0"/>
            <w:vAlign w:val="top"/>
          </w:tcPr>
          <w:p w14:paraId="05C9810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i w:val="0"/>
                <w:iCs w:val="0"/>
                <w:sz w:val="24"/>
                <w:szCs w:val="24"/>
                <w:highlight w:val="none"/>
                <w:u w:val="none"/>
              </w:rPr>
            </w:pPr>
            <w:r>
              <w:rPr>
                <w:rFonts w:hint="eastAsia"/>
                <w:b w:val="0"/>
                <w:bCs w:val="0"/>
                <w:i w:val="0"/>
                <w:iCs w:val="0"/>
                <w:sz w:val="24"/>
                <w:szCs w:val="24"/>
                <w:highlight w:val="none"/>
                <w:u w:val="none"/>
                <w:lang w:val="en-US" w:eastAsia="zh-CN"/>
              </w:rPr>
              <w:t>1.2</w:t>
            </w:r>
            <w:r>
              <w:rPr>
                <w:rFonts w:hint="eastAsia"/>
                <w:b w:val="0"/>
                <w:bCs w:val="0"/>
                <w:i w:val="0"/>
                <w:iCs w:val="0"/>
                <w:sz w:val="24"/>
                <w:szCs w:val="24"/>
                <w:highlight w:val="none"/>
                <w:u w:val="none"/>
              </w:rPr>
              <w:t>废气治理措施</w:t>
            </w:r>
            <w:r>
              <w:rPr>
                <w:rFonts w:hint="eastAsia"/>
                <w:b w:val="0"/>
                <w:bCs w:val="0"/>
                <w:i w:val="0"/>
                <w:iCs w:val="0"/>
                <w:sz w:val="24"/>
                <w:szCs w:val="24"/>
                <w:highlight w:val="none"/>
                <w:u w:val="none"/>
                <w:lang w:val="en-US" w:eastAsia="zh-CN"/>
              </w:rPr>
              <w:t>及可行性</w:t>
            </w:r>
          </w:p>
          <w:p w14:paraId="187B1F73">
            <w:pPr>
              <w:pStyle w:val="69"/>
              <w:adjustRightInd w:val="0"/>
              <w:spacing w:before="0" w:after="0" w:line="360" w:lineRule="auto"/>
              <w:ind w:firstLine="480" w:firstLineChars="200"/>
              <w:rPr>
                <w:rFonts w:ascii="Times New Roman" w:hAnsi="Times New Roman" w:eastAsia="宋体" w:cs="Times New Roman"/>
                <w:i w:val="0"/>
                <w:iCs w:val="0"/>
                <w:color w:val="auto"/>
                <w:kern w:val="2"/>
                <w:sz w:val="24"/>
                <w:szCs w:val="24"/>
                <w:highlight w:val="none"/>
                <w:u w:val="none"/>
                <w:lang w:val="en-US" w:eastAsia="zh-CN" w:bidi="ar-SA"/>
              </w:rPr>
            </w:pPr>
            <w:bookmarkStart w:id="10" w:name="_Hlk132272020"/>
            <w:r>
              <w:rPr>
                <w:rFonts w:ascii="Times New Roman" w:hAnsi="Times New Roman" w:eastAsia="宋体" w:cs="Times New Roman"/>
                <w:i w:val="0"/>
                <w:iCs w:val="0"/>
                <w:color w:val="auto"/>
                <w:kern w:val="2"/>
                <w:sz w:val="24"/>
                <w:szCs w:val="24"/>
                <w:highlight w:val="none"/>
                <w:u w:val="none"/>
                <w:lang w:val="en-US" w:eastAsia="zh-CN" w:bidi="ar-SA"/>
              </w:rPr>
              <w:t>项目</w:t>
            </w:r>
            <w:r>
              <w:rPr>
                <w:rFonts w:hint="eastAsia" w:ascii="Times New Roman" w:hAnsi="Times New Roman" w:cs="Times New Roman"/>
                <w:i w:val="0"/>
                <w:iCs w:val="0"/>
                <w:color w:val="auto"/>
                <w:kern w:val="2"/>
                <w:sz w:val="24"/>
                <w:szCs w:val="24"/>
                <w:highlight w:val="none"/>
                <w:u w:val="none"/>
                <w:lang w:val="en-US" w:eastAsia="zh-CN" w:bidi="ar-SA"/>
              </w:rPr>
              <w:t>筒仓粉尘</w:t>
            </w:r>
            <w:r>
              <w:rPr>
                <w:rFonts w:ascii="Times New Roman" w:hAnsi="Times New Roman" w:eastAsia="宋体" w:cs="Times New Roman"/>
                <w:i w:val="0"/>
                <w:iCs w:val="0"/>
                <w:color w:val="auto"/>
                <w:kern w:val="2"/>
                <w:sz w:val="24"/>
                <w:szCs w:val="24"/>
                <w:highlight w:val="none"/>
                <w:u w:val="none"/>
                <w:lang w:val="en-US" w:eastAsia="zh-CN" w:bidi="ar-SA"/>
              </w:rPr>
              <w:t>采用</w:t>
            </w:r>
            <w:r>
              <w:rPr>
                <w:rFonts w:hint="eastAsia" w:ascii="Times New Roman" w:hAnsi="Times New Roman" w:cs="Times New Roman"/>
                <w:i w:val="0"/>
                <w:iCs w:val="0"/>
                <w:color w:val="auto"/>
                <w:kern w:val="2"/>
                <w:sz w:val="24"/>
                <w:szCs w:val="24"/>
                <w:highlight w:val="none"/>
                <w:u w:val="none"/>
                <w:lang w:val="en-US" w:eastAsia="zh-CN" w:bidi="ar-SA"/>
              </w:rPr>
              <w:t>脉冲袋式</w:t>
            </w:r>
            <w:r>
              <w:rPr>
                <w:rFonts w:ascii="Times New Roman" w:hAnsi="Times New Roman" w:eastAsia="宋体" w:cs="Times New Roman"/>
                <w:i w:val="0"/>
                <w:iCs w:val="0"/>
                <w:color w:val="auto"/>
                <w:kern w:val="2"/>
                <w:sz w:val="24"/>
                <w:szCs w:val="24"/>
                <w:highlight w:val="none"/>
                <w:u w:val="none"/>
                <w:lang w:val="en-US" w:eastAsia="zh-CN" w:bidi="ar-SA"/>
              </w:rPr>
              <w:t>除尘器进行处理，</w:t>
            </w:r>
            <w:r>
              <w:rPr>
                <w:rFonts w:hint="eastAsia" w:ascii="Times New Roman" w:hAnsi="Times New Roman" w:eastAsia="宋体" w:cs="Times New Roman"/>
                <w:i w:val="0"/>
                <w:iCs w:val="0"/>
                <w:color w:val="auto"/>
                <w:kern w:val="2"/>
                <w:sz w:val="24"/>
                <w:szCs w:val="24"/>
                <w:highlight w:val="none"/>
                <w:u w:val="none"/>
                <w:lang w:val="en-US" w:eastAsia="zh-CN" w:bidi="ar-SA"/>
              </w:rPr>
              <w:t>粉料</w:t>
            </w:r>
            <w:r>
              <w:rPr>
                <w:rFonts w:ascii="Times New Roman" w:hAnsi="Times New Roman" w:eastAsia="宋体" w:cs="Times New Roman"/>
                <w:i w:val="0"/>
                <w:iCs w:val="0"/>
                <w:color w:val="auto"/>
                <w:kern w:val="2"/>
                <w:sz w:val="24"/>
                <w:szCs w:val="24"/>
                <w:highlight w:val="none"/>
                <w:u w:val="none"/>
                <w:lang w:val="en-US" w:eastAsia="zh-CN" w:bidi="ar-SA"/>
              </w:rPr>
              <w:t>储罐</w:t>
            </w:r>
            <w:r>
              <w:rPr>
                <w:rFonts w:hint="eastAsia" w:ascii="Times New Roman" w:hAnsi="Times New Roman" w:cs="Times New Roman"/>
                <w:i w:val="0"/>
                <w:iCs w:val="0"/>
                <w:color w:val="auto"/>
                <w:kern w:val="2"/>
                <w:sz w:val="24"/>
                <w:szCs w:val="24"/>
                <w:highlight w:val="none"/>
                <w:u w:val="none"/>
                <w:lang w:val="en-US" w:eastAsia="zh-CN" w:bidi="ar-SA"/>
              </w:rPr>
              <w:t>下</w:t>
            </w:r>
            <w:r>
              <w:rPr>
                <w:rFonts w:hint="eastAsia" w:ascii="Times New Roman" w:hAnsi="Times New Roman" w:eastAsia="宋体" w:cs="Times New Roman"/>
                <w:i w:val="0"/>
                <w:iCs w:val="0"/>
                <w:color w:val="auto"/>
                <w:kern w:val="2"/>
                <w:sz w:val="24"/>
                <w:szCs w:val="24"/>
                <w:highlight w:val="none"/>
                <w:u w:val="none"/>
                <w:lang w:val="en-US" w:eastAsia="zh-CN" w:bidi="ar-SA"/>
              </w:rPr>
              <w:t>方共</w:t>
            </w:r>
            <w:r>
              <w:rPr>
                <w:rFonts w:ascii="Times New Roman" w:hAnsi="Times New Roman" w:eastAsia="宋体" w:cs="Times New Roman"/>
                <w:i w:val="0"/>
                <w:iCs w:val="0"/>
                <w:color w:val="auto"/>
                <w:kern w:val="2"/>
                <w:sz w:val="24"/>
                <w:szCs w:val="24"/>
                <w:highlight w:val="none"/>
                <w:u w:val="none"/>
                <w:lang w:val="en-US" w:eastAsia="zh-CN" w:bidi="ar-SA"/>
              </w:rPr>
              <w:t>设置了</w:t>
            </w:r>
            <w:r>
              <w:rPr>
                <w:rFonts w:hint="eastAsia" w:ascii="Times New Roman" w:hAnsi="Times New Roman" w:cs="Times New Roman"/>
                <w:i w:val="0"/>
                <w:iCs w:val="0"/>
                <w:color w:val="auto"/>
                <w:kern w:val="2"/>
                <w:sz w:val="24"/>
                <w:szCs w:val="24"/>
                <w:highlight w:val="none"/>
                <w:u w:val="none"/>
                <w:lang w:val="en-US" w:eastAsia="zh-CN" w:bidi="ar-SA"/>
              </w:rPr>
              <w:t>8</w:t>
            </w:r>
            <w:r>
              <w:rPr>
                <w:rFonts w:hint="eastAsia" w:ascii="Times New Roman" w:hAnsi="Times New Roman" w:eastAsia="宋体" w:cs="Times New Roman"/>
                <w:i w:val="0"/>
                <w:iCs w:val="0"/>
                <w:color w:val="auto"/>
                <w:kern w:val="2"/>
                <w:sz w:val="24"/>
                <w:szCs w:val="24"/>
                <w:highlight w:val="none"/>
                <w:u w:val="none"/>
                <w:lang w:val="en-US" w:eastAsia="zh-CN" w:bidi="ar-SA"/>
              </w:rPr>
              <w:t>套集气装置及</w:t>
            </w:r>
            <w:r>
              <w:rPr>
                <w:rFonts w:ascii="Times New Roman" w:hAnsi="Times New Roman" w:eastAsia="宋体" w:cs="Times New Roman"/>
                <w:i w:val="0"/>
                <w:iCs w:val="0"/>
                <w:color w:val="auto"/>
                <w:kern w:val="2"/>
                <w:sz w:val="24"/>
                <w:szCs w:val="24"/>
                <w:highlight w:val="none"/>
                <w:u w:val="none"/>
                <w:lang w:val="en-US" w:eastAsia="zh-CN" w:bidi="ar-SA"/>
              </w:rPr>
              <w:t>除尘器，除尘器的处理效率为9</w:t>
            </w:r>
            <w:r>
              <w:rPr>
                <w:rFonts w:hint="eastAsia" w:ascii="Times New Roman" w:hAnsi="Times New Roman" w:eastAsia="宋体" w:cs="Times New Roman"/>
                <w:i w:val="0"/>
                <w:iCs w:val="0"/>
                <w:color w:val="auto"/>
                <w:kern w:val="2"/>
                <w:sz w:val="24"/>
                <w:szCs w:val="24"/>
                <w:highlight w:val="none"/>
                <w:u w:val="none"/>
                <w:lang w:val="en-US" w:eastAsia="zh-CN" w:bidi="ar-SA"/>
              </w:rPr>
              <w:t>9</w:t>
            </w:r>
            <w:r>
              <w:rPr>
                <w:rFonts w:ascii="Times New Roman" w:hAnsi="Times New Roman" w:eastAsia="宋体" w:cs="Times New Roman"/>
                <w:i w:val="0"/>
                <w:iCs w:val="0"/>
                <w:color w:val="auto"/>
                <w:kern w:val="2"/>
                <w:sz w:val="24"/>
                <w:szCs w:val="24"/>
                <w:highlight w:val="none"/>
                <w:u w:val="none"/>
                <w:lang w:val="en-US" w:eastAsia="zh-CN" w:bidi="ar-SA"/>
              </w:rPr>
              <w:t>.7%</w:t>
            </w:r>
            <w:r>
              <w:rPr>
                <w:rFonts w:hint="eastAsia" w:ascii="Times New Roman" w:hAnsi="Times New Roman" w:eastAsia="宋体" w:cs="Times New Roman"/>
                <w:i w:val="0"/>
                <w:iCs w:val="0"/>
                <w:color w:val="auto"/>
                <w:kern w:val="2"/>
                <w:sz w:val="24"/>
                <w:szCs w:val="24"/>
                <w:highlight w:val="none"/>
                <w:u w:val="none"/>
                <w:lang w:val="en-US" w:eastAsia="zh-CN" w:bidi="ar-SA"/>
              </w:rPr>
              <w:t>。</w:t>
            </w:r>
          </w:p>
          <w:p w14:paraId="71254309">
            <w:pPr>
              <w:pStyle w:val="69"/>
              <w:adjustRightInd w:val="0"/>
              <w:spacing w:before="0" w:after="0" w:line="360" w:lineRule="auto"/>
              <w:ind w:firstLine="480" w:firstLineChars="200"/>
              <w:rPr>
                <w:rFonts w:ascii="Times New Roman" w:hAnsi="Times New Roman" w:eastAsia="宋体" w:cs="Times New Roman"/>
                <w:i w:val="0"/>
                <w:iCs w:val="0"/>
                <w:color w:val="auto"/>
                <w:kern w:val="2"/>
                <w:sz w:val="24"/>
                <w:szCs w:val="24"/>
                <w:highlight w:val="none"/>
                <w:u w:val="single" w:color="auto"/>
                <w:lang w:val="en-US" w:eastAsia="zh-CN" w:bidi="ar-SA"/>
              </w:rPr>
            </w:pPr>
            <w:r>
              <w:rPr>
                <w:rFonts w:hint="eastAsia" w:ascii="Times New Roman" w:hAnsi="Times New Roman" w:cs="Times New Roman"/>
                <w:i w:val="0"/>
                <w:iCs w:val="0"/>
                <w:color w:val="auto"/>
                <w:kern w:val="2"/>
                <w:sz w:val="24"/>
                <w:szCs w:val="24"/>
                <w:highlight w:val="none"/>
                <w:u w:val="single" w:color="auto"/>
                <w:lang w:val="en-US" w:eastAsia="zh-CN" w:bidi="ar-SA"/>
              </w:rPr>
              <w:t>搅拌机粉尘</w:t>
            </w:r>
            <w:r>
              <w:rPr>
                <w:rFonts w:ascii="Times New Roman" w:hAnsi="Times New Roman" w:eastAsia="宋体" w:cs="Times New Roman"/>
                <w:i w:val="0"/>
                <w:iCs w:val="0"/>
                <w:color w:val="auto"/>
                <w:kern w:val="2"/>
                <w:sz w:val="24"/>
                <w:szCs w:val="24"/>
                <w:highlight w:val="none"/>
                <w:u w:val="single" w:color="auto"/>
                <w:lang w:val="en-US" w:eastAsia="zh-CN" w:bidi="ar-SA"/>
              </w:rPr>
              <w:t>采用</w:t>
            </w:r>
            <w:r>
              <w:rPr>
                <w:rFonts w:hint="eastAsia" w:ascii="Times New Roman" w:hAnsi="Times New Roman" w:cs="Times New Roman"/>
                <w:i w:val="0"/>
                <w:iCs w:val="0"/>
                <w:color w:val="auto"/>
                <w:kern w:val="2"/>
                <w:sz w:val="24"/>
                <w:szCs w:val="24"/>
                <w:highlight w:val="none"/>
                <w:u w:val="single" w:color="auto"/>
                <w:lang w:val="en-US" w:eastAsia="zh-CN" w:bidi="ar-SA"/>
              </w:rPr>
              <w:t>脉冲袋式</w:t>
            </w:r>
            <w:r>
              <w:rPr>
                <w:rFonts w:ascii="Times New Roman" w:hAnsi="Times New Roman" w:eastAsia="宋体" w:cs="Times New Roman"/>
                <w:i w:val="0"/>
                <w:iCs w:val="0"/>
                <w:color w:val="auto"/>
                <w:kern w:val="2"/>
                <w:sz w:val="24"/>
                <w:szCs w:val="24"/>
                <w:highlight w:val="none"/>
                <w:u w:val="single" w:color="auto"/>
                <w:lang w:val="en-US" w:eastAsia="zh-CN" w:bidi="ar-SA"/>
              </w:rPr>
              <w:t>除尘器进行处理，</w:t>
            </w:r>
            <w:r>
              <w:rPr>
                <w:rFonts w:hint="eastAsia" w:ascii="Times New Roman" w:hAnsi="Times New Roman" w:cs="Times New Roman"/>
                <w:i w:val="0"/>
                <w:iCs w:val="0"/>
                <w:color w:val="auto"/>
                <w:kern w:val="2"/>
                <w:sz w:val="24"/>
                <w:szCs w:val="24"/>
                <w:highlight w:val="none"/>
                <w:u w:val="single" w:color="auto"/>
                <w:lang w:val="en-US" w:eastAsia="zh-CN" w:bidi="ar-SA"/>
              </w:rPr>
              <w:t>单台</w:t>
            </w:r>
            <w:r>
              <w:rPr>
                <w:rFonts w:hint="eastAsia" w:ascii="Times New Roman" w:hAnsi="Times New Roman" w:eastAsia="宋体" w:cs="Times New Roman"/>
                <w:i w:val="0"/>
                <w:iCs w:val="0"/>
                <w:color w:val="auto"/>
                <w:kern w:val="2"/>
                <w:sz w:val="24"/>
                <w:szCs w:val="24"/>
                <w:highlight w:val="none"/>
                <w:u w:val="single" w:color="auto"/>
                <w:lang w:val="en-US" w:eastAsia="zh-CN" w:bidi="ar-SA"/>
              </w:rPr>
              <w:t>搅拌</w:t>
            </w:r>
            <w:r>
              <w:rPr>
                <w:rFonts w:hint="eastAsia" w:ascii="Times New Roman" w:hAnsi="Times New Roman" w:cs="Times New Roman"/>
                <w:i w:val="0"/>
                <w:iCs w:val="0"/>
                <w:color w:val="auto"/>
                <w:kern w:val="2"/>
                <w:sz w:val="24"/>
                <w:szCs w:val="24"/>
                <w:highlight w:val="none"/>
                <w:u w:val="single" w:color="auto"/>
                <w:lang w:val="en-US" w:eastAsia="zh-CN" w:bidi="ar-SA"/>
              </w:rPr>
              <w:t>机</w:t>
            </w:r>
            <w:r>
              <w:rPr>
                <w:rFonts w:hint="eastAsia" w:ascii="Times New Roman" w:hAnsi="Times New Roman" w:eastAsia="宋体" w:cs="Times New Roman"/>
                <w:i w:val="0"/>
                <w:iCs w:val="0"/>
                <w:color w:val="auto"/>
                <w:kern w:val="2"/>
                <w:sz w:val="24"/>
                <w:szCs w:val="24"/>
                <w:highlight w:val="none"/>
                <w:u w:val="single" w:color="auto"/>
                <w:lang w:val="en-US" w:eastAsia="zh-CN" w:bidi="ar-SA"/>
              </w:rPr>
              <w:t>设置</w:t>
            </w:r>
            <w:r>
              <w:rPr>
                <w:rFonts w:hint="eastAsia" w:ascii="Times New Roman" w:hAnsi="Times New Roman" w:cs="Times New Roman"/>
                <w:i w:val="0"/>
                <w:iCs w:val="0"/>
                <w:color w:val="auto"/>
                <w:kern w:val="2"/>
                <w:sz w:val="24"/>
                <w:szCs w:val="24"/>
                <w:highlight w:val="none"/>
                <w:u w:val="single" w:color="auto"/>
                <w:lang w:val="en-US" w:eastAsia="zh-CN" w:bidi="ar-SA"/>
              </w:rPr>
              <w:t>2台脉冲袋式</w:t>
            </w:r>
            <w:r>
              <w:rPr>
                <w:rFonts w:hint="eastAsia" w:ascii="Times New Roman" w:hAnsi="Times New Roman" w:eastAsia="宋体" w:cs="Times New Roman"/>
                <w:i w:val="0"/>
                <w:iCs w:val="0"/>
                <w:color w:val="auto"/>
                <w:kern w:val="2"/>
                <w:sz w:val="24"/>
                <w:szCs w:val="24"/>
                <w:highlight w:val="none"/>
                <w:u w:val="single" w:color="auto"/>
                <w:lang w:val="en-US" w:eastAsia="zh-CN" w:bidi="ar-SA"/>
              </w:rPr>
              <w:t>除尘器，</w:t>
            </w:r>
            <w:r>
              <w:rPr>
                <w:rFonts w:hint="eastAsia" w:ascii="Times New Roman" w:hAnsi="Times New Roman" w:cs="Times New Roman"/>
                <w:i w:val="0"/>
                <w:iCs w:val="0"/>
                <w:color w:val="auto"/>
                <w:kern w:val="2"/>
                <w:sz w:val="24"/>
                <w:szCs w:val="24"/>
                <w:highlight w:val="none"/>
                <w:u w:val="single" w:color="auto"/>
                <w:lang w:val="en-US" w:eastAsia="zh-CN" w:bidi="ar-SA"/>
              </w:rPr>
              <w:t>项目共2台搅拌机，共设置4台脉冲袋式</w:t>
            </w:r>
            <w:r>
              <w:rPr>
                <w:rFonts w:hint="eastAsia" w:ascii="Times New Roman" w:hAnsi="Times New Roman" w:eastAsia="宋体" w:cs="Times New Roman"/>
                <w:i w:val="0"/>
                <w:iCs w:val="0"/>
                <w:color w:val="auto"/>
                <w:kern w:val="2"/>
                <w:sz w:val="24"/>
                <w:szCs w:val="24"/>
                <w:highlight w:val="none"/>
                <w:u w:val="single" w:color="auto"/>
                <w:lang w:val="en-US" w:eastAsia="zh-CN" w:bidi="ar-SA"/>
              </w:rPr>
              <w:t>除尘器，除尘效率</w:t>
            </w:r>
            <w:r>
              <w:rPr>
                <w:rFonts w:hint="eastAsia" w:ascii="Times New Roman" w:hAnsi="Times New Roman" w:cs="Times New Roman"/>
                <w:i w:val="0"/>
                <w:iCs w:val="0"/>
                <w:color w:val="auto"/>
                <w:kern w:val="2"/>
                <w:sz w:val="24"/>
                <w:szCs w:val="24"/>
                <w:highlight w:val="none"/>
                <w:u w:val="single" w:color="auto"/>
                <w:lang w:val="en-US" w:eastAsia="zh-CN" w:bidi="ar-SA"/>
              </w:rPr>
              <w:t>为</w:t>
            </w:r>
            <w:r>
              <w:rPr>
                <w:rFonts w:hint="eastAsia" w:ascii="Times New Roman" w:hAnsi="Times New Roman" w:eastAsia="宋体" w:cs="Times New Roman"/>
                <w:i w:val="0"/>
                <w:iCs w:val="0"/>
                <w:color w:val="auto"/>
                <w:kern w:val="2"/>
                <w:sz w:val="24"/>
                <w:szCs w:val="24"/>
                <w:highlight w:val="none"/>
                <w:u w:val="single" w:color="auto"/>
                <w:lang w:val="en-US" w:eastAsia="zh-CN" w:bidi="ar-SA"/>
              </w:rPr>
              <w:t>9</w:t>
            </w:r>
            <w:r>
              <w:rPr>
                <w:rFonts w:ascii="Times New Roman" w:hAnsi="Times New Roman" w:eastAsia="宋体" w:cs="Times New Roman"/>
                <w:i w:val="0"/>
                <w:iCs w:val="0"/>
                <w:color w:val="auto"/>
                <w:kern w:val="2"/>
                <w:sz w:val="24"/>
                <w:szCs w:val="24"/>
                <w:highlight w:val="none"/>
                <w:u w:val="single" w:color="auto"/>
                <w:lang w:val="en-US" w:eastAsia="zh-CN" w:bidi="ar-SA"/>
              </w:rPr>
              <w:t>9.7%</w:t>
            </w:r>
            <w:r>
              <w:rPr>
                <w:rFonts w:hint="eastAsia" w:ascii="Times New Roman" w:hAnsi="Times New Roman" w:eastAsia="宋体" w:cs="Times New Roman"/>
                <w:i w:val="0"/>
                <w:iCs w:val="0"/>
                <w:color w:val="auto"/>
                <w:kern w:val="2"/>
                <w:sz w:val="24"/>
                <w:szCs w:val="24"/>
                <w:highlight w:val="none"/>
                <w:u w:val="single" w:color="auto"/>
                <w:lang w:val="en-US" w:eastAsia="zh-CN" w:bidi="ar-SA"/>
              </w:rPr>
              <w:t>。</w:t>
            </w:r>
          </w:p>
          <w:p w14:paraId="06B61CBE">
            <w:pPr>
              <w:spacing w:line="360" w:lineRule="auto"/>
              <w:ind w:firstLine="480" w:firstLineChars="200"/>
              <w:rPr>
                <w:rFonts w:hint="eastAsia" w:cs="Times New Roman"/>
                <w:i w:val="0"/>
                <w:iCs w:val="0"/>
                <w:color w:val="auto"/>
                <w:kern w:val="2"/>
                <w:sz w:val="24"/>
                <w:szCs w:val="24"/>
                <w:highlight w:val="none"/>
                <w:u w:val="single" w:color="auto"/>
                <w:lang w:val="en-US" w:eastAsia="zh-CN" w:bidi="ar-SA"/>
              </w:rPr>
            </w:pPr>
            <w:r>
              <w:rPr>
                <w:rFonts w:hint="eastAsia" w:cs="Times New Roman"/>
                <w:i w:val="0"/>
                <w:iCs w:val="0"/>
                <w:color w:val="auto"/>
                <w:kern w:val="2"/>
                <w:sz w:val="24"/>
                <w:szCs w:val="24"/>
                <w:highlight w:val="none"/>
                <w:u w:val="single" w:color="auto"/>
                <w:lang w:val="en-US" w:eastAsia="zh-CN" w:bidi="ar-SA"/>
              </w:rPr>
              <w:t>参照《排污许可证申请与核发技术规范 水泥工业》（HJ 847-2017）、《污染物源强核算技术指南 水泥工业》（HJ 886-2018），袋式除尘器为水泥行业颗粒物治理主流可行技术。物料搅拌处理、输送、装卸、储存过程应当封闭，对块石、粘湿物料、浆料以及车船装卸料过程也可采取其他有效抑尘措施，控制颗粒物无组织排放。</w:t>
            </w:r>
          </w:p>
          <w:p w14:paraId="0C394BF4">
            <w:pPr>
              <w:spacing w:line="360" w:lineRule="auto"/>
              <w:ind w:firstLine="480" w:firstLineChars="200"/>
              <w:rPr>
                <w:rFonts w:hint="eastAsia" w:ascii="Times New Roman" w:hAnsi="Times New Roman" w:cs="Times New Roman"/>
                <w:i w:val="0"/>
                <w:iCs w:val="0"/>
                <w:color w:val="auto"/>
                <w:kern w:val="2"/>
                <w:sz w:val="24"/>
                <w:szCs w:val="24"/>
                <w:highlight w:val="none"/>
                <w:u w:val="single" w:color="auto"/>
                <w:lang w:val="en-US" w:eastAsia="zh-CN" w:bidi="ar-SA"/>
              </w:rPr>
            </w:pPr>
            <w:r>
              <w:rPr>
                <w:rFonts w:hint="eastAsia" w:ascii="Times New Roman" w:hAnsi="Times New Roman" w:eastAsia="宋体" w:cs="Times New Roman"/>
                <w:i w:val="0"/>
                <w:iCs w:val="0"/>
                <w:color w:val="auto"/>
                <w:kern w:val="2"/>
                <w:sz w:val="24"/>
                <w:szCs w:val="24"/>
                <w:highlight w:val="none"/>
                <w:u w:val="single" w:color="auto"/>
                <w:lang w:val="en-US" w:eastAsia="zh-CN" w:bidi="ar-SA"/>
              </w:rPr>
              <w:t>本项目</w:t>
            </w:r>
            <w:r>
              <w:rPr>
                <w:rFonts w:hint="eastAsia" w:cs="Times New Roman"/>
                <w:i w:val="0"/>
                <w:iCs w:val="0"/>
                <w:color w:val="auto"/>
                <w:kern w:val="2"/>
                <w:sz w:val="24"/>
                <w:szCs w:val="24"/>
                <w:highlight w:val="none"/>
                <w:u w:val="single" w:color="auto"/>
                <w:lang w:val="en-US" w:eastAsia="zh-CN" w:bidi="ar-SA"/>
              </w:rPr>
              <w:t>筒仓粉尘、搅拌机粉尘</w:t>
            </w:r>
            <w:r>
              <w:rPr>
                <w:rFonts w:hint="eastAsia" w:ascii="Times New Roman" w:hAnsi="Times New Roman" w:eastAsia="宋体" w:cs="Times New Roman"/>
                <w:i w:val="0"/>
                <w:iCs w:val="0"/>
                <w:color w:val="auto"/>
                <w:kern w:val="2"/>
                <w:sz w:val="24"/>
                <w:szCs w:val="24"/>
                <w:highlight w:val="none"/>
                <w:u w:val="single" w:color="auto"/>
                <w:lang w:val="en-US" w:eastAsia="zh-CN" w:bidi="ar-SA"/>
              </w:rPr>
              <w:t>采用</w:t>
            </w:r>
            <w:r>
              <w:rPr>
                <w:rFonts w:hint="eastAsia" w:cs="Times New Roman"/>
                <w:i w:val="0"/>
                <w:iCs w:val="0"/>
                <w:color w:val="auto"/>
                <w:kern w:val="2"/>
                <w:sz w:val="24"/>
                <w:szCs w:val="24"/>
                <w:highlight w:val="none"/>
                <w:u w:val="single" w:color="auto"/>
                <w:lang w:val="en-US" w:eastAsia="zh-CN" w:bidi="ar-SA"/>
              </w:rPr>
              <w:t>脉冲袋式</w:t>
            </w:r>
            <w:r>
              <w:rPr>
                <w:rFonts w:hint="eastAsia" w:ascii="Times New Roman" w:hAnsi="Times New Roman" w:eastAsia="宋体" w:cs="Times New Roman"/>
                <w:i w:val="0"/>
                <w:iCs w:val="0"/>
                <w:color w:val="auto"/>
                <w:kern w:val="2"/>
                <w:sz w:val="24"/>
                <w:szCs w:val="24"/>
                <w:highlight w:val="none"/>
                <w:u w:val="single" w:color="auto"/>
                <w:lang w:val="en-US" w:eastAsia="zh-CN" w:bidi="ar-SA"/>
              </w:rPr>
              <w:t>除尘器</w:t>
            </w:r>
            <w:r>
              <w:rPr>
                <w:rFonts w:hint="eastAsia" w:cs="Times New Roman"/>
                <w:i w:val="0"/>
                <w:iCs w:val="0"/>
                <w:color w:val="auto"/>
                <w:kern w:val="2"/>
                <w:sz w:val="24"/>
                <w:szCs w:val="24"/>
                <w:highlight w:val="none"/>
                <w:u w:val="single" w:color="auto"/>
                <w:lang w:val="en-US" w:eastAsia="zh-CN" w:bidi="ar-SA"/>
              </w:rPr>
              <w:t>处理</w:t>
            </w:r>
            <w:r>
              <w:rPr>
                <w:rFonts w:hint="eastAsia" w:ascii="Times New Roman" w:hAnsi="Times New Roman" w:eastAsia="宋体" w:cs="Times New Roman"/>
                <w:i w:val="0"/>
                <w:iCs w:val="0"/>
                <w:color w:val="auto"/>
                <w:kern w:val="2"/>
                <w:sz w:val="24"/>
                <w:szCs w:val="24"/>
                <w:highlight w:val="none"/>
                <w:u w:val="single" w:color="auto"/>
                <w:lang w:val="en-US" w:eastAsia="zh-CN" w:bidi="ar-SA"/>
              </w:rPr>
              <w:t>，</w:t>
            </w:r>
            <w:r>
              <w:rPr>
                <w:rFonts w:hint="eastAsia" w:cs="Times New Roman"/>
                <w:i w:val="0"/>
                <w:iCs w:val="0"/>
                <w:color w:val="auto"/>
                <w:kern w:val="2"/>
                <w:sz w:val="24"/>
                <w:szCs w:val="24"/>
                <w:highlight w:val="none"/>
                <w:u w:val="single" w:color="auto"/>
                <w:lang w:val="en-US" w:eastAsia="zh-CN" w:bidi="ar-SA"/>
              </w:rPr>
              <w:t>料棚</w:t>
            </w:r>
            <w:r>
              <w:rPr>
                <w:rFonts w:hint="eastAsia" w:ascii="Times New Roman" w:hAnsi="Times New Roman" w:eastAsia="宋体" w:cs="Times New Roman"/>
                <w:i w:val="0"/>
                <w:iCs w:val="0"/>
                <w:color w:val="auto"/>
                <w:kern w:val="2"/>
                <w:sz w:val="24"/>
                <w:szCs w:val="24"/>
                <w:highlight w:val="none"/>
                <w:u w:val="single" w:color="auto"/>
                <w:lang w:val="en-US" w:eastAsia="zh-CN" w:bidi="ar-SA"/>
              </w:rPr>
              <w:t>采取</w:t>
            </w:r>
            <w:r>
              <w:rPr>
                <w:rFonts w:hint="eastAsia" w:cs="Times New Roman"/>
                <w:i w:val="0"/>
                <w:iCs w:val="0"/>
                <w:color w:val="auto"/>
                <w:kern w:val="2"/>
                <w:sz w:val="24"/>
                <w:szCs w:val="24"/>
                <w:highlight w:val="none"/>
                <w:u w:val="single" w:color="auto"/>
                <w:lang w:val="en-US" w:eastAsia="zh-CN" w:bidi="ar-SA"/>
              </w:rPr>
              <w:t>半封闭彩钢棚</w:t>
            </w:r>
            <w:r>
              <w:rPr>
                <w:rFonts w:hint="eastAsia" w:ascii="Times New Roman" w:hAnsi="Times New Roman" w:cs="Times New Roman"/>
                <w:i w:val="0"/>
                <w:iCs w:val="0"/>
                <w:color w:val="auto"/>
                <w:kern w:val="2"/>
                <w:sz w:val="24"/>
                <w:szCs w:val="24"/>
                <w:highlight w:val="none"/>
                <w:u w:val="single" w:color="auto"/>
                <w:lang w:val="en-US" w:eastAsia="zh-CN" w:bidi="ar-SA"/>
              </w:rPr>
              <w:t>、洒水降尘的</w:t>
            </w:r>
            <w:r>
              <w:rPr>
                <w:rFonts w:hint="eastAsia" w:ascii="Times New Roman" w:hAnsi="Times New Roman" w:eastAsia="宋体" w:cs="Times New Roman"/>
                <w:i w:val="0"/>
                <w:iCs w:val="0"/>
                <w:color w:val="auto"/>
                <w:kern w:val="2"/>
                <w:sz w:val="24"/>
                <w:szCs w:val="24"/>
                <w:highlight w:val="none"/>
                <w:u w:val="single" w:color="auto"/>
                <w:lang w:val="en-US" w:eastAsia="zh-CN" w:bidi="ar-SA"/>
              </w:rPr>
              <w:t>处理</w:t>
            </w:r>
            <w:r>
              <w:rPr>
                <w:rFonts w:hint="eastAsia" w:ascii="Times New Roman" w:hAnsi="Times New Roman" w:cs="Times New Roman"/>
                <w:i w:val="0"/>
                <w:iCs w:val="0"/>
                <w:color w:val="auto"/>
                <w:kern w:val="2"/>
                <w:sz w:val="24"/>
                <w:szCs w:val="24"/>
                <w:highlight w:val="none"/>
                <w:u w:val="single" w:color="auto"/>
                <w:lang w:val="en-US" w:eastAsia="zh-CN" w:bidi="ar-SA"/>
              </w:rPr>
              <w:t>方式</w:t>
            </w:r>
            <w:r>
              <w:rPr>
                <w:rFonts w:hint="eastAsia" w:cs="Times New Roman"/>
                <w:i w:val="0"/>
                <w:iCs w:val="0"/>
                <w:color w:val="auto"/>
                <w:kern w:val="2"/>
                <w:sz w:val="24"/>
                <w:szCs w:val="24"/>
                <w:highlight w:val="none"/>
                <w:u w:val="single" w:color="auto"/>
                <w:lang w:val="en-US" w:eastAsia="zh-CN" w:bidi="ar-SA"/>
              </w:rPr>
              <w:t>减少无组织粉尘排放</w:t>
            </w:r>
            <w:r>
              <w:rPr>
                <w:rFonts w:hint="eastAsia" w:ascii="Times New Roman" w:hAnsi="Times New Roman" w:cs="Times New Roman"/>
                <w:i w:val="0"/>
                <w:iCs w:val="0"/>
                <w:color w:val="auto"/>
                <w:kern w:val="2"/>
                <w:sz w:val="24"/>
                <w:szCs w:val="24"/>
                <w:highlight w:val="none"/>
                <w:u w:val="single" w:color="auto"/>
                <w:lang w:val="en-US" w:eastAsia="zh-CN" w:bidi="ar-SA"/>
              </w:rPr>
              <w:t>；上料、装卸、运输过程中产生的粉尘均采取</w:t>
            </w:r>
            <w:r>
              <w:rPr>
                <w:rFonts w:hint="eastAsia" w:ascii="Times New Roman" w:hAnsi="Times New Roman" w:eastAsia="宋体" w:cs="Times New Roman"/>
                <w:i w:val="0"/>
                <w:iCs w:val="0"/>
                <w:color w:val="auto"/>
                <w:kern w:val="2"/>
                <w:sz w:val="24"/>
                <w:szCs w:val="24"/>
                <w:highlight w:val="none"/>
                <w:u w:val="single" w:color="auto"/>
                <w:lang w:val="en-US" w:eastAsia="zh-CN" w:bidi="ar-SA"/>
              </w:rPr>
              <w:t>洒水降尘</w:t>
            </w:r>
            <w:r>
              <w:rPr>
                <w:rFonts w:hint="eastAsia" w:ascii="Times New Roman" w:hAnsi="Times New Roman" w:cs="Times New Roman"/>
                <w:i w:val="0"/>
                <w:iCs w:val="0"/>
                <w:color w:val="auto"/>
                <w:kern w:val="2"/>
                <w:sz w:val="24"/>
                <w:szCs w:val="24"/>
                <w:highlight w:val="none"/>
                <w:u w:val="single" w:color="auto"/>
                <w:lang w:val="en-US" w:eastAsia="zh-CN" w:bidi="ar-SA"/>
              </w:rPr>
              <w:t>的</w:t>
            </w:r>
            <w:r>
              <w:rPr>
                <w:rFonts w:hint="eastAsia" w:ascii="Times New Roman" w:hAnsi="Times New Roman" w:eastAsia="宋体" w:cs="Times New Roman"/>
                <w:i w:val="0"/>
                <w:iCs w:val="0"/>
                <w:color w:val="auto"/>
                <w:kern w:val="2"/>
                <w:sz w:val="24"/>
                <w:szCs w:val="24"/>
                <w:highlight w:val="none"/>
                <w:u w:val="single" w:color="auto"/>
                <w:lang w:val="en-US" w:eastAsia="zh-CN" w:bidi="ar-SA"/>
              </w:rPr>
              <w:t>处理</w:t>
            </w:r>
            <w:r>
              <w:rPr>
                <w:rFonts w:hint="eastAsia" w:ascii="Times New Roman" w:hAnsi="Times New Roman" w:cs="Times New Roman"/>
                <w:i w:val="0"/>
                <w:iCs w:val="0"/>
                <w:color w:val="auto"/>
                <w:kern w:val="2"/>
                <w:sz w:val="24"/>
                <w:szCs w:val="24"/>
                <w:highlight w:val="none"/>
                <w:u w:val="single" w:color="auto"/>
                <w:lang w:val="en-US" w:eastAsia="zh-CN" w:bidi="ar-SA"/>
              </w:rPr>
              <w:t>方式</w:t>
            </w:r>
            <w:r>
              <w:rPr>
                <w:rFonts w:hint="eastAsia" w:cs="Times New Roman"/>
                <w:i w:val="0"/>
                <w:iCs w:val="0"/>
                <w:color w:val="auto"/>
                <w:kern w:val="2"/>
                <w:sz w:val="24"/>
                <w:szCs w:val="24"/>
                <w:highlight w:val="none"/>
                <w:u w:val="single" w:color="auto"/>
                <w:lang w:val="en-US" w:eastAsia="zh-CN" w:bidi="ar-SA"/>
              </w:rPr>
              <w:t>减少无组织粉尘排放，</w:t>
            </w:r>
            <w:r>
              <w:rPr>
                <w:rFonts w:hint="eastAsia" w:ascii="Times New Roman" w:hAnsi="Times New Roman" w:eastAsia="宋体" w:cs="Times New Roman"/>
                <w:i w:val="0"/>
                <w:iCs w:val="0"/>
                <w:color w:val="auto"/>
                <w:kern w:val="2"/>
                <w:sz w:val="24"/>
                <w:szCs w:val="24"/>
                <w:highlight w:val="none"/>
                <w:u w:val="single" w:color="auto"/>
                <w:lang w:val="en-US" w:eastAsia="zh-CN" w:bidi="ar-SA"/>
              </w:rPr>
              <w:t>满足工业废气污染防治可行技术要求。</w:t>
            </w:r>
          </w:p>
          <w:p w14:paraId="7285EE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4"/>
                <w:highlight w:val="none"/>
                <w:u w:val="single"/>
                <w:lang w:eastAsia="zh-CN"/>
              </w:rPr>
            </w:pPr>
            <w:r>
              <w:rPr>
                <w:rFonts w:hint="eastAsia" w:cs="Times New Roman"/>
                <w:color w:val="auto"/>
                <w:sz w:val="24"/>
                <w:szCs w:val="24"/>
                <w:highlight w:val="none"/>
                <w:u w:val="single"/>
                <w:lang w:eastAsia="zh-CN"/>
              </w:rPr>
              <w:t>皮带输送过程污染控制措施：</w:t>
            </w:r>
          </w:p>
          <w:p w14:paraId="7EA5E4E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4"/>
                <w:highlight w:val="none"/>
                <w:u w:val="single"/>
                <w:lang w:eastAsia="zh-CN"/>
              </w:rPr>
            </w:pPr>
            <w:r>
              <w:rPr>
                <w:rFonts w:hint="default" w:ascii="Times New Roman" w:hAnsi="Times New Roman" w:cs="Times New Roman"/>
                <w:color w:val="auto"/>
                <w:sz w:val="24"/>
                <w:szCs w:val="24"/>
                <w:highlight w:val="none"/>
                <w:u w:val="single"/>
              </w:rPr>
              <w:t>本项目共</w:t>
            </w:r>
            <w:r>
              <w:rPr>
                <w:rFonts w:hint="eastAsia" w:ascii="Times New Roman" w:hAnsi="Times New Roman" w:cs="Times New Roman"/>
                <w:color w:val="auto"/>
                <w:sz w:val="24"/>
                <w:szCs w:val="24"/>
                <w:highlight w:val="none"/>
                <w:u w:val="single"/>
                <w:lang w:val="en-US" w:eastAsia="zh-CN"/>
              </w:rPr>
              <w:t>2</w:t>
            </w:r>
            <w:r>
              <w:rPr>
                <w:rFonts w:hint="default" w:ascii="Times New Roman" w:hAnsi="Times New Roman" w:cs="Times New Roman"/>
                <w:color w:val="auto"/>
                <w:sz w:val="24"/>
                <w:szCs w:val="24"/>
                <w:highlight w:val="none"/>
                <w:u w:val="single"/>
              </w:rPr>
              <w:t>条皮带输送机（单条15m），全线皮带机机架设置半密闭彩钢围挡，仅底部留检修通道</w:t>
            </w:r>
            <w:r>
              <w:rPr>
                <w:rFonts w:hint="eastAsia" w:cs="Times New Roman"/>
                <w:color w:val="auto"/>
                <w:sz w:val="24"/>
                <w:szCs w:val="24"/>
                <w:highlight w:val="none"/>
                <w:u w:val="single"/>
                <w:lang w:eastAsia="zh-CN"/>
              </w:rPr>
              <w:t>；</w:t>
            </w:r>
          </w:p>
          <w:p w14:paraId="1F7594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4"/>
                <w:highlight w:val="none"/>
                <w:u w:val="single"/>
                <w:lang w:eastAsia="zh-CN"/>
              </w:rPr>
            </w:pPr>
            <w:r>
              <w:rPr>
                <w:rFonts w:hint="eastAsia" w:cs="Times New Roman"/>
                <w:color w:val="auto"/>
                <w:sz w:val="24"/>
                <w:szCs w:val="24"/>
                <w:highlight w:val="none"/>
                <w:u w:val="single"/>
                <w:lang w:eastAsia="zh-CN"/>
              </w:rPr>
              <w:t>①每条皮带进料端：密闭，无外逸粉尘；</w:t>
            </w:r>
          </w:p>
          <w:p w14:paraId="20B48B9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4"/>
                <w:highlight w:val="none"/>
                <w:u w:val="single"/>
                <w:lang w:eastAsia="zh-CN"/>
              </w:rPr>
            </w:pPr>
            <w:r>
              <w:rPr>
                <w:rFonts w:hint="eastAsia" w:cs="Times New Roman"/>
                <w:color w:val="auto"/>
                <w:sz w:val="24"/>
                <w:szCs w:val="24"/>
                <w:highlight w:val="none"/>
                <w:u w:val="single"/>
                <w:lang w:eastAsia="zh-CN"/>
              </w:rPr>
              <w:t>②每条皮带输送中段：半密闭围挡阻断侧向扬尘；</w:t>
            </w:r>
          </w:p>
          <w:p w14:paraId="4A3EFD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4"/>
                <w:highlight w:val="none"/>
                <w:u w:val="single"/>
                <w:lang w:eastAsia="zh-CN"/>
              </w:rPr>
            </w:pPr>
            <w:r>
              <w:rPr>
                <w:rFonts w:hint="eastAsia" w:cs="Times New Roman"/>
                <w:color w:val="auto"/>
                <w:sz w:val="24"/>
                <w:szCs w:val="24"/>
                <w:highlight w:val="none"/>
                <w:u w:val="single"/>
                <w:lang w:eastAsia="zh-CN"/>
              </w:rPr>
              <w:t>③每条皮带卸料端：单独设置水喷淋装置+局部集尘围挡，物料下落区保持湿润，杜绝起尘；</w:t>
            </w:r>
          </w:p>
          <w:p w14:paraId="1D3F5415">
            <w:pPr>
              <w:pStyle w:val="69"/>
              <w:adjustRightInd w:val="0"/>
              <w:spacing w:before="0" w:after="0" w:line="360" w:lineRule="auto"/>
              <w:ind w:firstLine="480" w:firstLineChars="200"/>
              <w:jc w:val="both"/>
              <w:rPr>
                <w:rFonts w:hint="eastAsia" w:ascii="Times New Roman" w:hAnsi="Times New Roman" w:cs="Times New Roman"/>
                <w:i w:val="0"/>
                <w:iCs w:val="0"/>
                <w:color w:val="auto"/>
                <w:kern w:val="2"/>
                <w:sz w:val="24"/>
                <w:szCs w:val="24"/>
                <w:highlight w:val="none"/>
                <w:u w:val="none" w:color="auto"/>
                <w:lang w:val="en-US" w:eastAsia="zh-CN" w:bidi="ar-SA"/>
              </w:rPr>
            </w:pPr>
            <w:r>
              <w:rPr>
                <w:rFonts w:hint="eastAsia" w:cs="Times New Roman"/>
                <w:color w:val="auto"/>
                <w:sz w:val="24"/>
                <w:szCs w:val="24"/>
                <w:highlight w:val="none"/>
                <w:u w:val="single"/>
                <w:lang w:eastAsia="zh-CN"/>
              </w:rPr>
              <w:t>④皮带机每日停机后清理粘附物料，防止风干后二次起尘。</w:t>
            </w:r>
          </w:p>
          <w:p w14:paraId="60F261D7">
            <w:pPr>
              <w:pStyle w:val="69"/>
              <w:adjustRightInd w:val="0"/>
              <w:spacing w:before="0" w:after="0" w:line="360" w:lineRule="auto"/>
              <w:ind w:firstLine="480" w:firstLineChars="200"/>
              <w:jc w:val="both"/>
              <w:rPr>
                <w:rFonts w:hint="eastAsia" w:ascii="Times New Roman" w:hAnsi="Times New Roman" w:eastAsia="宋体" w:cs="Times New Roman"/>
                <w:i w:val="0"/>
                <w:iCs w:val="0"/>
                <w:kern w:val="2"/>
                <w:sz w:val="24"/>
                <w:szCs w:val="24"/>
                <w:highlight w:val="none"/>
                <w:u w:val="single" w:color="auto"/>
                <w:lang w:val="en-US" w:eastAsia="zh-CN" w:bidi="ar-SA"/>
              </w:rPr>
            </w:pPr>
            <w:r>
              <w:rPr>
                <w:rFonts w:hint="eastAsia" w:ascii="Times New Roman" w:hAnsi="Times New Roman" w:cs="Times New Roman"/>
                <w:i w:val="0"/>
                <w:iCs w:val="0"/>
                <w:kern w:val="2"/>
                <w:sz w:val="24"/>
                <w:szCs w:val="24"/>
                <w:highlight w:val="none"/>
                <w:u w:val="none" w:color="auto"/>
                <w:lang w:val="en-US" w:eastAsia="zh-CN" w:bidi="ar-SA"/>
              </w:rPr>
              <w:t>采取上述治理措施后，项目废气均能实现达标排放，基本不会改变区域的环境质量，对环境影响较小，</w:t>
            </w:r>
            <w:r>
              <w:rPr>
                <w:rFonts w:hint="eastAsia" w:ascii="Times New Roman" w:hAnsi="Times New Roman" w:eastAsia="宋体" w:cs="Times New Roman"/>
                <w:i w:val="0"/>
                <w:iCs w:val="0"/>
                <w:kern w:val="2"/>
                <w:sz w:val="24"/>
                <w:szCs w:val="24"/>
                <w:highlight w:val="none"/>
                <w:u w:val="none" w:color="auto"/>
                <w:lang w:val="en-US" w:eastAsia="zh-CN" w:bidi="ar-SA"/>
              </w:rPr>
              <w:t>项目污染治理措施可行。</w:t>
            </w:r>
          </w:p>
          <w:p w14:paraId="2632369E">
            <w:pPr>
              <w:spacing w:line="360" w:lineRule="auto"/>
              <w:ind w:firstLine="480" w:firstLineChars="200"/>
              <w:rPr>
                <w:rFonts w:ascii="Times New Roman" w:hAnsi="Times New Roman" w:eastAsia="宋体" w:cs="Times New Roman"/>
                <w:i w:val="0"/>
                <w:iCs w:val="0"/>
                <w:kern w:val="2"/>
                <w:sz w:val="24"/>
                <w:szCs w:val="24"/>
                <w:highlight w:val="none"/>
                <w:u w:val="single"/>
                <w:lang w:val="en-US" w:eastAsia="zh-CN" w:bidi="ar-SA"/>
              </w:rPr>
            </w:pPr>
            <w:r>
              <w:rPr>
                <w:rFonts w:hint="eastAsia" w:cs="Times New Roman"/>
                <w:i w:val="0"/>
                <w:iCs w:val="0"/>
                <w:kern w:val="2"/>
                <w:sz w:val="24"/>
                <w:szCs w:val="24"/>
                <w:highlight w:val="none"/>
                <w:u w:val="none"/>
                <w:lang w:val="en-US" w:eastAsia="zh-CN" w:bidi="ar-SA"/>
              </w:rPr>
              <w:t>正常工况下，本项目废气均能达标排放，将对周围环境影响降至最低，</w:t>
            </w:r>
            <w:r>
              <w:rPr>
                <w:rFonts w:hint="eastAsia" w:ascii="Times New Roman" w:hAnsi="Times New Roman" w:eastAsia="宋体" w:cs="Times New Roman"/>
                <w:i w:val="0"/>
                <w:iCs w:val="0"/>
                <w:kern w:val="2"/>
                <w:sz w:val="24"/>
                <w:szCs w:val="24"/>
                <w:highlight w:val="none"/>
                <w:u w:val="none"/>
                <w:lang w:val="en-US" w:eastAsia="zh-CN" w:bidi="ar-SA"/>
              </w:rPr>
              <w:t>为了保护项目厂区周围大气环境不受本项目粉尘的污染影响，本次评价建议建设单位要加强对粉尘治理设施的管理和维护，一旦发现粉尘治理设施发生故障而无法正常运行时，要及时停止生产，待故障解除后，方可恢复生产。</w:t>
            </w:r>
            <w:bookmarkEnd w:id="10"/>
          </w:p>
          <w:p w14:paraId="1FFF502B">
            <w:pPr>
              <w:pStyle w:val="35"/>
              <w:spacing w:line="360" w:lineRule="auto"/>
              <w:ind w:firstLine="480" w:firstLineChars="200"/>
              <w:rPr>
                <w:rFonts w:hint="default" w:ascii="Times New Roman" w:hAnsi="Times New Roman" w:cs="Times New Roman"/>
                <w:b w:val="0"/>
                <w:bCs/>
                <w:i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i w:val="0"/>
                <w:iCs w:val="0"/>
                <w:kern w:val="2"/>
                <w:sz w:val="24"/>
                <w:szCs w:val="24"/>
                <w:highlight w:val="none"/>
                <w:u w:val="none"/>
                <w:lang w:val="en-US" w:eastAsia="zh-CN" w:bidi="ar-SA"/>
              </w:rPr>
              <w:t>脉冲袋式除尘器原理</w:t>
            </w:r>
            <w:r>
              <w:rPr>
                <w:rFonts w:ascii="Times New Roman" w:hAnsi="Times New Roman" w:eastAsia="宋体" w:cs="Times New Roman"/>
                <w:i w:val="0"/>
                <w:iCs w:val="0"/>
                <w:kern w:val="2"/>
                <w:sz w:val="24"/>
                <w:szCs w:val="24"/>
                <w:highlight w:val="none"/>
                <w:u w:val="none"/>
                <w:lang w:val="en-US" w:eastAsia="zh-CN" w:bidi="ar-SA"/>
              </w:rPr>
              <w:t>：除尘器正常工作时，含尘气体由风口进入灰斗，一部分较粗的尘粒由于惯性碰撞和自然沉降等原因落入灰斗，其余大部分尘粒随气流上升进入袋室，经滤袋过滤后，尘粒被滞留在滤袋外侧，净化后的气体由滤袋内部进入上箱体，再由阀板孔、排风口排入大气，从而达到除尘目的。由于其效率高、性能稳定、密闭性能好、清灰效果好、维修管理方便、操作简单，而获得越来越广泛的应用</w:t>
            </w:r>
            <w:r>
              <w:rPr>
                <w:rFonts w:hint="eastAsia" w:ascii="Times New Roman" w:hAnsi="Times New Roman" w:eastAsia="宋体" w:cs="Times New Roman"/>
                <w:i w:val="0"/>
                <w:iCs w:val="0"/>
                <w:kern w:val="2"/>
                <w:sz w:val="24"/>
                <w:szCs w:val="24"/>
                <w:highlight w:val="none"/>
                <w:u w:val="none"/>
                <w:lang w:val="en-US" w:eastAsia="zh-CN" w:bidi="ar-SA"/>
              </w:rPr>
              <w:t>。</w:t>
            </w:r>
          </w:p>
          <w:p w14:paraId="6A1E6026">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default" w:ascii="Times New Roman" w:hAnsi="Times New Roman" w:cs="Times New Roman"/>
                <w:b w:val="0"/>
                <w:bCs/>
                <w:iCs/>
                <w:color w:val="auto"/>
                <w:sz w:val="24"/>
                <w:szCs w:val="24"/>
                <w:highlight w:val="none"/>
                <w:lang w:val="en-US" w:eastAsia="zh-CN"/>
              </w:rPr>
            </w:pPr>
            <w:r>
              <w:rPr>
                <w:rFonts w:hint="eastAsia" w:ascii="Times New Roman" w:hAnsi="Times New Roman" w:cs="Times New Roman"/>
                <w:b w:val="0"/>
                <w:bCs/>
                <w:iCs/>
                <w:color w:val="auto"/>
                <w:sz w:val="24"/>
                <w:szCs w:val="24"/>
                <w:highlight w:val="none"/>
                <w:lang w:val="en-US" w:eastAsia="zh-CN"/>
              </w:rPr>
              <w:t>1.3废气达标排放及环境影响分析</w:t>
            </w:r>
          </w:p>
          <w:p w14:paraId="5F3C870D">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default" w:ascii="Times New Roman" w:hAnsi="Times New Roman" w:cs="Times New Roman"/>
                <w:b w:val="0"/>
                <w:bCs/>
                <w:iCs/>
                <w:color w:val="auto"/>
                <w:sz w:val="24"/>
                <w:szCs w:val="24"/>
                <w:highlight w:val="none"/>
                <w:lang w:val="en-US" w:eastAsia="zh-CN"/>
              </w:rPr>
            </w:pPr>
            <w:r>
              <w:rPr>
                <w:rFonts w:hint="default" w:ascii="Times New Roman" w:hAnsi="Times New Roman" w:cs="Times New Roman"/>
                <w:b w:val="0"/>
                <w:bCs/>
                <w:iCs/>
                <w:color w:val="auto"/>
                <w:sz w:val="24"/>
                <w:szCs w:val="24"/>
                <w:highlight w:val="none"/>
                <w:lang w:val="en-US" w:eastAsia="zh-CN"/>
              </w:rPr>
              <w:t>项目商品混凝土生产线6个水泥筒仓、2个粉煤灰筒仓中的颗粒物</w:t>
            </w:r>
            <w:r>
              <w:rPr>
                <w:rFonts w:hint="eastAsia" w:ascii="Times New Roman" w:hAnsi="Times New Roman" w:cs="Times New Roman"/>
                <w:b w:val="0"/>
                <w:bCs/>
                <w:iCs/>
                <w:color w:val="auto"/>
                <w:sz w:val="24"/>
                <w:szCs w:val="24"/>
                <w:highlight w:val="none"/>
                <w:lang w:val="en-US" w:eastAsia="zh-CN"/>
              </w:rPr>
              <w:t>均经筒仓下部自带脉冲袋式除尘器处理，下部设置排气口，排放高度17m，其颗粒物的排放浓度均能够满足《水泥工业大气污染物排放标准》（GB4915-2013）中表1新建企业大气污染物排放限值。</w:t>
            </w:r>
          </w:p>
          <w:p w14:paraId="02F6448A">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default" w:ascii="Times New Roman" w:hAnsi="Times New Roman" w:cs="Times New Roman"/>
                <w:b w:val="0"/>
                <w:bCs/>
                <w:iCs/>
                <w:color w:val="auto"/>
                <w:sz w:val="24"/>
                <w:szCs w:val="24"/>
                <w:highlight w:val="none"/>
                <w:u w:val="single" w:color="auto"/>
                <w:lang w:val="en-US" w:eastAsia="zh-CN"/>
              </w:rPr>
            </w:pPr>
            <w:r>
              <w:rPr>
                <w:rFonts w:hint="default" w:ascii="Times New Roman" w:hAnsi="Times New Roman" w:cs="Times New Roman"/>
                <w:i w:val="0"/>
                <w:iCs w:val="0"/>
                <w:color w:val="auto"/>
                <w:sz w:val="24"/>
                <w:szCs w:val="24"/>
                <w:highlight w:val="none"/>
                <w:u w:val="single" w:color="auto"/>
              </w:rPr>
              <w:t>项目</w:t>
            </w:r>
            <w:r>
              <w:rPr>
                <w:rFonts w:hint="default" w:ascii="Times New Roman" w:hAnsi="Times New Roman" w:cs="Times New Roman"/>
                <w:i w:val="0"/>
                <w:iCs w:val="0"/>
                <w:color w:val="auto"/>
                <w:sz w:val="24"/>
                <w:szCs w:val="24"/>
                <w:highlight w:val="none"/>
                <w:u w:val="single" w:color="auto"/>
                <w:lang w:eastAsia="zh-CN"/>
              </w:rPr>
              <w:t>搅拌机下部</w:t>
            </w:r>
            <w:r>
              <w:rPr>
                <w:rFonts w:hint="default" w:ascii="Times New Roman" w:hAnsi="Times New Roman" w:cs="Times New Roman"/>
                <w:i w:val="0"/>
                <w:iCs w:val="0"/>
                <w:color w:val="auto"/>
                <w:sz w:val="24"/>
                <w:szCs w:val="24"/>
                <w:highlight w:val="none"/>
                <w:u w:val="single" w:color="auto"/>
              </w:rPr>
              <w:t>均自带脉冲袋式除尘器，</w:t>
            </w:r>
            <w:r>
              <w:rPr>
                <w:rFonts w:hint="default" w:ascii="Times New Roman" w:hAnsi="Times New Roman" w:cs="Times New Roman"/>
                <w:i w:val="0"/>
                <w:iCs w:val="0"/>
                <w:color w:val="auto"/>
                <w:sz w:val="24"/>
                <w:szCs w:val="24"/>
                <w:highlight w:val="none"/>
                <w:u w:val="single" w:color="auto"/>
                <w:lang w:eastAsia="zh-CN"/>
              </w:rPr>
              <w:t>下部</w:t>
            </w:r>
            <w:r>
              <w:rPr>
                <w:rFonts w:hint="default" w:ascii="Times New Roman" w:hAnsi="Times New Roman" w:cs="Times New Roman"/>
                <w:i w:val="0"/>
                <w:iCs w:val="0"/>
                <w:color w:val="auto"/>
                <w:sz w:val="24"/>
                <w:szCs w:val="24"/>
                <w:highlight w:val="none"/>
                <w:u w:val="single" w:color="auto"/>
              </w:rPr>
              <w:t>设置排气</w:t>
            </w:r>
            <w:r>
              <w:rPr>
                <w:rFonts w:hint="default" w:ascii="Times New Roman" w:hAnsi="Times New Roman" w:cs="Times New Roman"/>
                <w:i w:val="0"/>
                <w:iCs w:val="0"/>
                <w:color w:val="auto"/>
                <w:sz w:val="24"/>
                <w:szCs w:val="24"/>
                <w:highlight w:val="none"/>
                <w:u w:val="single" w:color="auto"/>
                <w:lang w:eastAsia="zh-CN"/>
              </w:rPr>
              <w:t>口（搅拌机高度大于15m，排放位置位于搅拌机下部，无需再设置排气筒），</w:t>
            </w:r>
            <w:r>
              <w:rPr>
                <w:rFonts w:hint="default" w:ascii="Times New Roman" w:hAnsi="Times New Roman" w:cs="Times New Roman"/>
                <w:i w:val="0"/>
                <w:iCs w:val="0"/>
                <w:color w:val="auto"/>
                <w:sz w:val="24"/>
                <w:szCs w:val="24"/>
                <w:highlight w:val="none"/>
                <w:u w:val="single" w:color="auto"/>
                <w:lang w:val="en-US" w:eastAsia="zh-CN"/>
              </w:rPr>
              <w:t>排放口高度为17m，</w:t>
            </w:r>
            <w:r>
              <w:rPr>
                <w:rFonts w:hint="default" w:ascii="Times New Roman" w:hAnsi="Times New Roman" w:cs="Times New Roman"/>
                <w:b w:val="0"/>
                <w:bCs/>
                <w:iCs/>
                <w:color w:val="auto"/>
                <w:sz w:val="24"/>
                <w:szCs w:val="24"/>
                <w:highlight w:val="none"/>
                <w:u w:val="single" w:color="auto"/>
                <w:lang w:val="en-US" w:eastAsia="zh-CN"/>
              </w:rPr>
              <w:t>其颗粒物的排放浓度</w:t>
            </w:r>
            <w:r>
              <w:rPr>
                <w:rFonts w:hint="default" w:ascii="Times New Roman" w:hAnsi="Times New Roman" w:cs="Times New Roman"/>
                <w:i w:val="0"/>
                <w:iCs w:val="0"/>
                <w:color w:val="auto"/>
                <w:sz w:val="24"/>
                <w:szCs w:val="24"/>
                <w:highlight w:val="none"/>
                <w:u w:val="single" w:color="auto"/>
                <w:lang w:val="en-US" w:eastAsia="zh-CN"/>
              </w:rPr>
              <w:t>均能够满足《水泥工业大气污染物排放标准》（GB4915-2013）</w:t>
            </w:r>
            <w:r>
              <w:rPr>
                <w:rFonts w:hint="default" w:ascii="Times New Roman" w:hAnsi="Times New Roman" w:cs="Times New Roman" w:eastAsiaTheme="minorEastAsia"/>
                <w:i w:val="0"/>
                <w:iCs w:val="0"/>
                <w:color w:val="auto"/>
                <w:sz w:val="24"/>
                <w:szCs w:val="24"/>
                <w:highlight w:val="none"/>
                <w:u w:val="single" w:color="auto"/>
                <w:lang w:eastAsia="zh-CN"/>
              </w:rPr>
              <w:t>中表</w:t>
            </w:r>
            <w:r>
              <w:rPr>
                <w:rFonts w:hint="default" w:ascii="Times New Roman" w:hAnsi="Times New Roman" w:cs="Times New Roman" w:eastAsiaTheme="minorEastAsia"/>
                <w:i w:val="0"/>
                <w:iCs w:val="0"/>
                <w:color w:val="auto"/>
                <w:sz w:val="24"/>
                <w:szCs w:val="24"/>
                <w:highlight w:val="none"/>
                <w:u w:val="single" w:color="auto"/>
                <w:lang w:val="en-US" w:eastAsia="zh-CN"/>
              </w:rPr>
              <w:t>1新建企业大气污染物排放限值</w:t>
            </w:r>
            <w:r>
              <w:rPr>
                <w:rFonts w:hint="default" w:ascii="Times New Roman" w:hAnsi="Times New Roman" w:cs="Times New Roman"/>
                <w:i w:val="0"/>
                <w:iCs w:val="0"/>
                <w:color w:val="auto"/>
                <w:sz w:val="24"/>
                <w:szCs w:val="24"/>
                <w:highlight w:val="none"/>
                <w:u w:val="single" w:color="auto"/>
              </w:rPr>
              <w:t>。</w:t>
            </w:r>
          </w:p>
          <w:p w14:paraId="3AC70B1C">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default" w:ascii="Times New Roman" w:hAnsi="Times New Roman" w:cs="Times New Roman"/>
                <w:b w:val="0"/>
                <w:bCs/>
                <w:iCs/>
                <w:color w:val="auto"/>
                <w:sz w:val="24"/>
                <w:szCs w:val="24"/>
                <w:highlight w:val="none"/>
                <w:u w:val="single"/>
                <w:lang w:val="en-US" w:eastAsia="zh-CN"/>
              </w:rPr>
            </w:pPr>
            <w:r>
              <w:rPr>
                <w:rFonts w:hint="eastAsia" w:ascii="Times New Roman" w:hAnsi="Times New Roman" w:cs="Times New Roman"/>
                <w:b w:val="0"/>
                <w:bCs/>
                <w:iCs/>
                <w:color w:val="auto"/>
                <w:sz w:val="24"/>
                <w:szCs w:val="24"/>
                <w:highlight w:val="none"/>
                <w:u w:val="single"/>
                <w:lang w:val="en-US" w:eastAsia="zh-CN"/>
              </w:rPr>
              <w:t>料棚为半封闭彩钢棚、装卸及堆存粉尘采取洒水降尘措施、上料粉尘采取半封闭和洒水降尘措施、车辆运输扬尘采取洒水降尘措施，厂界无组织颗粒物浓度执行《水泥工业大气污染物排放标准》（GB 4915-2013）中表3大气污染物无组织排放限值。</w:t>
            </w:r>
          </w:p>
          <w:p w14:paraId="2160E28B">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default" w:ascii="Times New Roman" w:hAnsi="Times New Roman" w:cs="Times New Roman"/>
                <w:b w:val="0"/>
                <w:bCs/>
                <w:iCs/>
                <w:color w:val="auto"/>
                <w:sz w:val="24"/>
                <w:szCs w:val="24"/>
                <w:highlight w:val="none"/>
                <w:lang w:val="en-US" w:eastAsia="zh-CN"/>
              </w:rPr>
            </w:pPr>
            <w:r>
              <w:rPr>
                <w:rFonts w:hint="default" w:ascii="Times New Roman" w:hAnsi="Times New Roman" w:cs="Times New Roman"/>
                <w:color w:val="auto"/>
                <w:sz w:val="24"/>
                <w:szCs w:val="24"/>
                <w:highlight w:val="none"/>
                <w:shd w:val="clear"/>
                <w:lang w:val="en-US" w:eastAsia="zh-CN"/>
              </w:rPr>
              <w:t>距离本项目最近的敏感点为项目东侧约540m的西大川村</w:t>
            </w:r>
            <w:r>
              <w:rPr>
                <w:rFonts w:hint="default" w:ascii="Times New Roman" w:hAnsi="Times New Roman" w:cs="Times New Roman"/>
                <w:color w:val="auto"/>
                <w:sz w:val="24"/>
                <w:szCs w:val="24"/>
                <w:highlight w:val="none"/>
                <w:shd w:val="clear"/>
              </w:rPr>
              <w:t>居民</w:t>
            </w:r>
            <w:r>
              <w:rPr>
                <w:rFonts w:hint="default" w:ascii="Times New Roman" w:hAnsi="Times New Roman" w:eastAsia="宋体" w:cs="Times New Roman"/>
                <w:i w:val="0"/>
                <w:iCs w:val="0"/>
                <w:color w:val="auto"/>
                <w:kern w:val="0"/>
                <w:sz w:val="24"/>
                <w:szCs w:val="24"/>
                <w:highlight w:val="none"/>
                <w:u w:val="none"/>
                <w:lang w:val="en-US" w:eastAsia="zh-CN" w:bidi="ar"/>
              </w:rPr>
              <w:t>，</w:t>
            </w:r>
            <w:r>
              <w:rPr>
                <w:rFonts w:hint="eastAsia" w:ascii="Times New Roman" w:hAnsi="Times New Roman" w:eastAsia="宋体" w:cs="Times New Roman"/>
                <w:i w:val="0"/>
                <w:iCs w:val="0"/>
                <w:color w:val="auto"/>
                <w:kern w:val="0"/>
                <w:sz w:val="24"/>
                <w:szCs w:val="24"/>
                <w:highlight w:val="none"/>
                <w:u w:val="none"/>
                <w:lang w:val="en-US" w:eastAsia="zh-CN" w:bidi="ar"/>
              </w:rPr>
              <w:t>废气经措施治理后，再</w:t>
            </w:r>
            <w:r>
              <w:rPr>
                <w:rFonts w:hint="default" w:ascii="Times New Roman" w:hAnsi="Times New Roman" w:eastAsia="宋体" w:cs="Times New Roman"/>
                <w:i w:val="0"/>
                <w:iCs w:val="0"/>
                <w:color w:val="auto"/>
                <w:kern w:val="0"/>
                <w:sz w:val="24"/>
                <w:szCs w:val="24"/>
                <w:highlight w:val="none"/>
                <w:u w:val="none"/>
                <w:lang w:val="en-US" w:eastAsia="zh-CN" w:bidi="ar"/>
              </w:rPr>
              <w:t>通过大气稀释扩散后对其影响不大。项目废气污染物可以实现达标排放，且排放量较少，对周围大气环境影响较小，在可接受范围之内。</w:t>
            </w:r>
          </w:p>
          <w:p w14:paraId="061D035F">
            <w:pPr>
              <w:keepNext w:val="0"/>
              <w:keepLines w:val="0"/>
              <w:pageBreakBefore w:val="0"/>
              <w:kinsoku/>
              <w:wordWrap/>
              <w:overflowPunct/>
              <w:topLinePunct w:val="0"/>
              <w:autoSpaceDE/>
              <w:autoSpaceDN/>
              <w:bidi w:val="0"/>
              <w:adjustRightInd/>
              <w:snapToGrid/>
              <w:spacing w:line="360" w:lineRule="auto"/>
              <w:ind w:left="0" w:firstLine="480" w:firstLineChars="200"/>
              <w:jc w:val="both"/>
              <w:textAlignment w:val="auto"/>
              <w:rPr>
                <w:rFonts w:hint="eastAsia"/>
                <w:b/>
                <w:bCs/>
                <w:i w:val="0"/>
                <w:iCs w:val="0"/>
                <w:color w:val="auto"/>
                <w:highlight w:val="none"/>
                <w:u w:val="single"/>
              </w:rPr>
            </w:pPr>
            <w:r>
              <w:rPr>
                <w:rFonts w:hint="default" w:ascii="Times New Roman" w:hAnsi="Times New Roman" w:cs="Times New Roman"/>
                <w:b w:val="0"/>
                <w:bCs/>
                <w:iCs/>
                <w:color w:val="auto"/>
                <w:sz w:val="24"/>
                <w:szCs w:val="24"/>
                <w:highlight w:val="none"/>
                <w:lang w:val="en-US" w:eastAsia="zh-CN"/>
              </w:rPr>
              <w:t>1.</w:t>
            </w:r>
            <w:r>
              <w:rPr>
                <w:rFonts w:hint="eastAsia" w:ascii="Times New Roman" w:hAnsi="Times New Roman" w:cs="Times New Roman"/>
                <w:b w:val="0"/>
                <w:bCs/>
                <w:iCs/>
                <w:color w:val="auto"/>
                <w:sz w:val="24"/>
                <w:szCs w:val="24"/>
                <w:highlight w:val="none"/>
                <w:lang w:val="en-US" w:eastAsia="zh-CN"/>
              </w:rPr>
              <w:t>4</w:t>
            </w:r>
            <w:r>
              <w:rPr>
                <w:rFonts w:hint="eastAsia"/>
                <w:b w:val="0"/>
                <w:bCs w:val="0"/>
                <w:i w:val="0"/>
                <w:iCs w:val="0"/>
                <w:color w:val="auto"/>
                <w:sz w:val="24"/>
                <w:szCs w:val="24"/>
                <w:highlight w:val="none"/>
                <w:u w:val="none"/>
              </w:rPr>
              <w:t>非正常工况污染物排放情况</w:t>
            </w:r>
          </w:p>
          <w:p w14:paraId="6868AE1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u w:val="none" w:color="auto"/>
                <w:lang w:eastAsia="zh-CN"/>
              </w:rPr>
            </w:pPr>
            <w:r>
              <w:rPr>
                <w:rFonts w:hint="default" w:ascii="Times New Roman" w:hAnsi="Times New Roman" w:eastAsia="宋体" w:cs="Times New Roman"/>
                <w:color w:val="auto"/>
                <w:sz w:val="24"/>
                <w:szCs w:val="24"/>
                <w:highlight w:val="none"/>
                <w:u w:val="none" w:color="auto"/>
              </w:rPr>
              <w:t>项目废气非正常排放主要发生的工况为</w:t>
            </w:r>
            <w:r>
              <w:rPr>
                <w:rFonts w:hint="default" w:ascii="Times New Roman" w:hAnsi="Times New Roman" w:eastAsia="宋体" w:cs="Times New Roman"/>
                <w:color w:val="auto"/>
                <w:sz w:val="24"/>
                <w:szCs w:val="24"/>
                <w:highlight w:val="none"/>
                <w:u w:val="none" w:color="auto"/>
                <w:lang w:eastAsia="zh-CN"/>
              </w:rPr>
              <w:t>废气</w:t>
            </w:r>
            <w:r>
              <w:rPr>
                <w:rFonts w:hint="default" w:ascii="Times New Roman" w:hAnsi="Times New Roman" w:eastAsia="宋体" w:cs="Times New Roman"/>
                <w:color w:val="auto"/>
                <w:sz w:val="24"/>
                <w:szCs w:val="24"/>
                <w:highlight w:val="none"/>
                <w:u w:val="none" w:color="auto"/>
              </w:rPr>
              <w:t>处理系统处理效率下降。本次评价考虑的非正常排放为</w:t>
            </w:r>
            <w:bookmarkStart w:id="11" w:name="OLE_LINK113"/>
            <w:r>
              <w:rPr>
                <w:rFonts w:hint="default" w:ascii="Times New Roman" w:hAnsi="Times New Roman" w:eastAsia="宋体" w:cs="Times New Roman"/>
                <w:color w:val="auto"/>
                <w:sz w:val="24"/>
                <w:szCs w:val="24"/>
                <w:highlight w:val="none"/>
                <w:u w:val="none" w:color="auto"/>
              </w:rPr>
              <w:t>脉冲袋式除尘器故障失效</w:t>
            </w:r>
            <w:bookmarkEnd w:id="11"/>
            <w:r>
              <w:rPr>
                <w:rFonts w:hint="default" w:ascii="Times New Roman" w:hAnsi="Times New Roman" w:eastAsia="宋体" w:cs="Times New Roman"/>
                <w:color w:val="auto"/>
                <w:sz w:val="24"/>
                <w:szCs w:val="24"/>
                <w:highlight w:val="none"/>
                <w:u w:val="none" w:color="auto"/>
              </w:rPr>
              <w:t>，</w:t>
            </w:r>
            <w:r>
              <w:rPr>
                <w:rFonts w:hint="default" w:ascii="Times New Roman" w:hAnsi="Times New Roman" w:eastAsia="宋体" w:cs="Times New Roman"/>
                <w:color w:val="auto"/>
                <w:sz w:val="24"/>
                <w:szCs w:val="24"/>
                <w:highlight w:val="none"/>
                <w:u w:val="none" w:color="auto"/>
                <w:lang w:eastAsia="zh-CN"/>
              </w:rPr>
              <w:t>环保设施</w:t>
            </w:r>
            <w:r>
              <w:rPr>
                <w:rFonts w:hint="default" w:ascii="Times New Roman" w:hAnsi="Times New Roman" w:eastAsia="宋体" w:cs="Times New Roman"/>
                <w:color w:val="auto"/>
                <w:sz w:val="24"/>
                <w:szCs w:val="24"/>
                <w:highlight w:val="none"/>
                <w:u w:val="none" w:color="auto"/>
              </w:rPr>
              <w:t>的处理效率为0的情况，</w:t>
            </w:r>
            <w:r>
              <w:rPr>
                <w:rFonts w:hint="eastAsia" w:cs="Times New Roman"/>
                <w:color w:val="auto"/>
                <w:sz w:val="24"/>
                <w:szCs w:val="24"/>
                <w:highlight w:val="none"/>
                <w:u w:val="none" w:color="auto"/>
                <w:lang w:eastAsia="zh-CN"/>
              </w:rPr>
              <w:t>假设发生故障时，</w:t>
            </w:r>
            <w:r>
              <w:rPr>
                <w:rFonts w:hint="eastAsia" w:cs="Times New Roman"/>
                <w:color w:val="auto"/>
                <w:sz w:val="24"/>
                <w:szCs w:val="24"/>
                <w:highlight w:val="none"/>
                <w:u w:val="none" w:color="auto"/>
                <w:lang w:val="en-US" w:eastAsia="zh-CN"/>
              </w:rPr>
              <w:t>1套搅拌设备、2个水泥筒仓、1个粉煤灰筒仓脉冲袋式除尘器故障，</w:t>
            </w:r>
            <w:r>
              <w:rPr>
                <w:rFonts w:hint="default" w:ascii="Times New Roman" w:hAnsi="Times New Roman" w:eastAsia="宋体" w:cs="Times New Roman"/>
                <w:color w:val="auto"/>
                <w:sz w:val="24"/>
                <w:szCs w:val="24"/>
                <w:highlight w:val="none"/>
                <w:u w:val="none" w:color="auto"/>
              </w:rPr>
              <w:t>废气非正常排放情况见</w:t>
            </w:r>
            <w:r>
              <w:rPr>
                <w:rFonts w:hint="default" w:ascii="Times New Roman" w:hAnsi="Times New Roman" w:eastAsia="宋体" w:cs="Times New Roman"/>
                <w:color w:val="auto"/>
                <w:sz w:val="24"/>
                <w:szCs w:val="24"/>
                <w:highlight w:val="none"/>
                <w:u w:val="none" w:color="auto"/>
                <w:lang w:eastAsia="zh-CN"/>
              </w:rPr>
              <w:t>下表</w:t>
            </w:r>
            <w:r>
              <w:rPr>
                <w:rFonts w:hint="eastAsia" w:ascii="Times New Roman" w:hAnsi="Times New Roman" w:cs="Times New Roman"/>
                <w:color w:val="auto"/>
                <w:sz w:val="24"/>
                <w:szCs w:val="24"/>
                <w:highlight w:val="none"/>
                <w:u w:val="none" w:color="auto"/>
                <w:lang w:eastAsia="zh-CN"/>
              </w:rPr>
              <w:t>。</w:t>
            </w:r>
          </w:p>
          <w:p w14:paraId="4E03F2F1">
            <w:pPr>
              <w:jc w:val="center"/>
              <w:rPr>
                <w:rFonts w:hint="eastAsia"/>
                <w:b/>
                <w:bCs/>
                <w:i w:val="0"/>
                <w:iCs w:val="0"/>
                <w:color w:val="auto"/>
                <w:sz w:val="24"/>
                <w:szCs w:val="24"/>
                <w:highlight w:val="none"/>
                <w:u w:val="none" w:color="auto"/>
              </w:rPr>
            </w:pPr>
            <w:r>
              <w:rPr>
                <w:rFonts w:hint="eastAsia"/>
                <w:b/>
                <w:bCs/>
                <w:i w:val="0"/>
                <w:iCs w:val="0"/>
                <w:color w:val="auto"/>
                <w:sz w:val="24"/>
                <w:szCs w:val="24"/>
                <w:highlight w:val="none"/>
                <w:u w:val="none" w:color="auto"/>
              </w:rPr>
              <w:t>表</w:t>
            </w:r>
            <w:r>
              <w:rPr>
                <w:rFonts w:hint="eastAsia"/>
                <w:b/>
                <w:bCs/>
                <w:i w:val="0"/>
                <w:iCs w:val="0"/>
                <w:color w:val="auto"/>
                <w:sz w:val="24"/>
                <w:szCs w:val="24"/>
                <w:highlight w:val="none"/>
                <w:u w:val="none" w:color="auto"/>
                <w:lang w:val="en-US" w:eastAsia="zh-CN"/>
              </w:rPr>
              <w:t xml:space="preserve">4-5 </w:t>
            </w:r>
            <w:r>
              <w:rPr>
                <w:rFonts w:hint="eastAsia"/>
                <w:b/>
                <w:bCs/>
                <w:i w:val="0"/>
                <w:iCs w:val="0"/>
                <w:color w:val="auto"/>
                <w:sz w:val="24"/>
                <w:szCs w:val="24"/>
                <w:highlight w:val="none"/>
                <w:u w:val="none" w:color="auto"/>
              </w:rPr>
              <w:t xml:space="preserve"> 非正常工况下废气污染物排放情况</w:t>
            </w:r>
          </w:p>
          <w:tbl>
            <w:tblPr>
              <w:tblStyle w:val="26"/>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845"/>
              <w:gridCol w:w="815"/>
              <w:gridCol w:w="1108"/>
              <w:gridCol w:w="1388"/>
              <w:gridCol w:w="1307"/>
              <w:gridCol w:w="985"/>
              <w:gridCol w:w="1018"/>
            </w:tblGrid>
            <w:tr w14:paraId="1B11D6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89" w:type="pct"/>
                  <w:tcBorders>
                    <w:tl2br w:val="nil"/>
                    <w:tr2bl w:val="nil"/>
                  </w:tcBorders>
                  <w:noWrap w:val="0"/>
                  <w:vAlign w:val="center"/>
                </w:tcPr>
                <w:p w14:paraId="2CA47E16">
                  <w:pPr>
                    <w:pStyle w:val="68"/>
                    <w:adjustRightInd w:val="0"/>
                    <w:snapToGrid w:val="0"/>
                    <w:spacing w:line="240" w:lineRule="auto"/>
                    <w:jc w:val="center"/>
                    <w:rPr>
                      <w:rFonts w:hint="default" w:ascii="Times New Roman" w:hAnsi="Times New Roman" w:eastAsia="宋体" w:cs="Times New Roman"/>
                      <w:b w:val="0"/>
                      <w:bCs/>
                      <w:color w:val="auto"/>
                      <w:sz w:val="21"/>
                      <w:szCs w:val="21"/>
                      <w:highlight w:val="none"/>
                      <w:u w:val="none" w:color="auto"/>
                      <w:vertAlign w:val="baseline"/>
                      <w:lang w:val="en-US" w:eastAsia="zh-CN"/>
                    </w:rPr>
                  </w:pPr>
                  <w:r>
                    <w:rPr>
                      <w:rFonts w:hint="default" w:ascii="Times New Roman" w:hAnsi="Times New Roman" w:cs="Times New Roman"/>
                      <w:b w:val="0"/>
                      <w:bCs/>
                      <w:color w:val="auto"/>
                      <w:sz w:val="21"/>
                      <w:szCs w:val="21"/>
                      <w:highlight w:val="none"/>
                      <w:u w:val="none" w:color="auto"/>
                      <w:vertAlign w:val="baseline"/>
                      <w:lang w:val="en-US" w:eastAsia="zh-CN"/>
                    </w:rPr>
                    <w:t>工序</w:t>
                  </w:r>
                </w:p>
              </w:tc>
              <w:tc>
                <w:tcPr>
                  <w:tcW w:w="481" w:type="pct"/>
                  <w:tcBorders>
                    <w:tl2br w:val="nil"/>
                    <w:tr2bl w:val="nil"/>
                  </w:tcBorders>
                  <w:noWrap w:val="0"/>
                  <w:vAlign w:val="center"/>
                </w:tcPr>
                <w:p w14:paraId="50C146B0">
                  <w:pPr>
                    <w:pStyle w:val="68"/>
                    <w:adjustRightInd w:val="0"/>
                    <w:snapToGrid w:val="0"/>
                    <w:spacing w:line="240" w:lineRule="auto"/>
                    <w:jc w:val="center"/>
                    <w:rPr>
                      <w:rFonts w:hint="default" w:ascii="Times New Roman" w:hAnsi="Times New Roman" w:eastAsia="宋体" w:cs="Times New Roman"/>
                      <w:b w:val="0"/>
                      <w:bCs/>
                      <w:color w:val="auto"/>
                      <w:sz w:val="21"/>
                      <w:szCs w:val="21"/>
                      <w:highlight w:val="none"/>
                      <w:u w:val="none" w:color="auto"/>
                      <w:vertAlign w:val="baseline"/>
                      <w:lang w:val="en-US" w:eastAsia="zh-CN"/>
                    </w:rPr>
                  </w:pPr>
                  <w:r>
                    <w:rPr>
                      <w:rFonts w:hint="default" w:ascii="Times New Roman" w:hAnsi="Times New Roman" w:cs="Times New Roman"/>
                      <w:b w:val="0"/>
                      <w:bCs/>
                      <w:color w:val="auto"/>
                      <w:sz w:val="21"/>
                      <w:szCs w:val="21"/>
                      <w:highlight w:val="none"/>
                      <w:u w:val="none" w:color="auto"/>
                      <w:vertAlign w:val="baseline"/>
                      <w:lang w:val="en-US" w:eastAsia="zh-CN"/>
                    </w:rPr>
                    <w:t>污染物</w:t>
                  </w:r>
                </w:p>
              </w:tc>
              <w:tc>
                <w:tcPr>
                  <w:tcW w:w="654" w:type="pct"/>
                  <w:tcBorders>
                    <w:tl2br w:val="nil"/>
                    <w:tr2bl w:val="nil"/>
                  </w:tcBorders>
                  <w:noWrap w:val="0"/>
                  <w:vAlign w:val="center"/>
                </w:tcPr>
                <w:p w14:paraId="066D3AAC">
                  <w:pPr>
                    <w:pStyle w:val="68"/>
                    <w:adjustRightInd w:val="0"/>
                    <w:snapToGrid w:val="0"/>
                    <w:spacing w:line="240" w:lineRule="auto"/>
                    <w:jc w:val="center"/>
                    <w:rPr>
                      <w:rFonts w:hint="default" w:ascii="Times New Roman" w:hAnsi="Times New Roman" w:cs="Times New Roman"/>
                      <w:b w:val="0"/>
                      <w:bCs/>
                      <w:color w:val="auto"/>
                      <w:sz w:val="21"/>
                      <w:szCs w:val="21"/>
                      <w:highlight w:val="none"/>
                      <w:u w:val="none" w:color="auto"/>
                      <w:vertAlign w:val="baseline"/>
                    </w:rPr>
                  </w:pPr>
                  <w:r>
                    <w:rPr>
                      <w:rFonts w:hint="default" w:ascii="Times New Roman" w:hAnsi="Times New Roman" w:cs="Times New Roman"/>
                      <w:b w:val="0"/>
                      <w:bCs/>
                      <w:color w:val="auto"/>
                      <w:sz w:val="21"/>
                      <w:szCs w:val="21"/>
                      <w:highlight w:val="none"/>
                      <w:u w:val="none" w:color="auto"/>
                      <w:vertAlign w:val="baseline"/>
                      <w:lang w:val="en-US" w:eastAsia="zh-CN"/>
                    </w:rPr>
                    <w:t>非正常排放原因</w:t>
                  </w:r>
                </w:p>
              </w:tc>
              <w:tc>
                <w:tcPr>
                  <w:tcW w:w="819" w:type="pct"/>
                  <w:tcBorders>
                    <w:tl2br w:val="nil"/>
                    <w:tr2bl w:val="nil"/>
                  </w:tcBorders>
                  <w:noWrap w:val="0"/>
                  <w:vAlign w:val="center"/>
                </w:tcPr>
                <w:p w14:paraId="7EFB286A">
                  <w:pPr>
                    <w:pStyle w:val="68"/>
                    <w:adjustRightInd w:val="0"/>
                    <w:snapToGrid w:val="0"/>
                    <w:spacing w:line="240" w:lineRule="auto"/>
                    <w:jc w:val="center"/>
                    <w:rPr>
                      <w:rFonts w:hint="default" w:ascii="Times New Roman" w:hAnsi="Times New Roman" w:eastAsia="宋体" w:cs="Times New Roman"/>
                      <w:b w:val="0"/>
                      <w:bCs/>
                      <w:color w:val="auto"/>
                      <w:sz w:val="21"/>
                      <w:szCs w:val="21"/>
                      <w:highlight w:val="none"/>
                      <w:u w:val="none" w:color="auto"/>
                      <w:vertAlign w:val="baseline"/>
                      <w:lang w:val="en-US" w:eastAsia="zh-CN"/>
                    </w:rPr>
                  </w:pPr>
                  <w:r>
                    <w:rPr>
                      <w:rFonts w:hint="default" w:ascii="Times New Roman" w:hAnsi="Times New Roman" w:cs="Times New Roman"/>
                      <w:b w:val="0"/>
                      <w:bCs/>
                      <w:color w:val="auto"/>
                      <w:sz w:val="21"/>
                      <w:szCs w:val="21"/>
                      <w:highlight w:val="none"/>
                      <w:u w:val="none" w:color="auto"/>
                    </w:rPr>
                    <w:t>非正常排放速率</w:t>
                  </w:r>
                  <w:r>
                    <w:rPr>
                      <w:rFonts w:hint="default" w:ascii="Times New Roman" w:hAnsi="Times New Roman" w:cs="Times New Roman"/>
                      <w:b w:val="0"/>
                      <w:bCs/>
                      <w:color w:val="auto"/>
                      <w:sz w:val="21"/>
                      <w:szCs w:val="21"/>
                      <w:highlight w:val="none"/>
                      <w:u w:val="none" w:color="auto"/>
                      <w:lang w:eastAsia="zh-CN"/>
                    </w:rPr>
                    <w:t>（</w:t>
                  </w:r>
                  <w:r>
                    <w:rPr>
                      <w:rFonts w:hint="default" w:ascii="Times New Roman" w:hAnsi="Times New Roman" w:cs="Times New Roman"/>
                      <w:b w:val="0"/>
                      <w:bCs/>
                      <w:color w:val="auto"/>
                      <w:sz w:val="21"/>
                      <w:szCs w:val="21"/>
                      <w:highlight w:val="none"/>
                      <w:u w:val="none" w:color="auto"/>
                    </w:rPr>
                    <w:t>kg/h</w:t>
                  </w:r>
                  <w:r>
                    <w:rPr>
                      <w:rFonts w:hint="default" w:ascii="Times New Roman" w:hAnsi="Times New Roman" w:cs="Times New Roman"/>
                      <w:b w:val="0"/>
                      <w:bCs/>
                      <w:color w:val="auto"/>
                      <w:sz w:val="21"/>
                      <w:szCs w:val="21"/>
                      <w:highlight w:val="none"/>
                      <w:u w:val="none" w:color="auto"/>
                      <w:lang w:eastAsia="zh-CN"/>
                    </w:rPr>
                    <w:t>）</w:t>
                  </w:r>
                </w:p>
              </w:tc>
              <w:tc>
                <w:tcPr>
                  <w:tcW w:w="771" w:type="pct"/>
                  <w:tcBorders>
                    <w:tl2br w:val="nil"/>
                    <w:tr2bl w:val="nil"/>
                  </w:tcBorders>
                  <w:noWrap w:val="0"/>
                  <w:vAlign w:val="center"/>
                </w:tcPr>
                <w:p w14:paraId="10A254A4">
                  <w:pPr>
                    <w:pStyle w:val="68"/>
                    <w:adjustRightInd w:val="0"/>
                    <w:snapToGrid w:val="0"/>
                    <w:spacing w:line="240" w:lineRule="auto"/>
                    <w:jc w:val="center"/>
                    <w:rPr>
                      <w:rFonts w:hint="default" w:ascii="Times New Roman" w:hAnsi="Times New Roman" w:cs="Times New Roman"/>
                      <w:b w:val="0"/>
                      <w:bCs/>
                      <w:color w:val="auto"/>
                      <w:sz w:val="21"/>
                      <w:szCs w:val="21"/>
                      <w:highlight w:val="none"/>
                      <w:u w:val="none" w:color="auto"/>
                      <w:vertAlign w:val="baseline"/>
                      <w:lang w:val="en-US" w:eastAsia="zh-CN"/>
                    </w:rPr>
                  </w:pPr>
                  <w:r>
                    <w:rPr>
                      <w:rFonts w:hint="default" w:ascii="Times New Roman" w:hAnsi="Times New Roman" w:cs="Times New Roman"/>
                      <w:b w:val="0"/>
                      <w:bCs/>
                      <w:color w:val="auto"/>
                      <w:sz w:val="21"/>
                      <w:szCs w:val="21"/>
                      <w:highlight w:val="none"/>
                      <w:u w:val="none" w:color="auto"/>
                      <w:vertAlign w:val="baseline"/>
                      <w:lang w:val="en-US" w:eastAsia="zh-CN"/>
                    </w:rPr>
                    <w:t>排放量（</w:t>
                  </w:r>
                  <w:r>
                    <w:rPr>
                      <w:rFonts w:hint="eastAsia" w:ascii="Times New Roman" w:hAnsi="Times New Roman" w:cs="Times New Roman"/>
                      <w:b w:val="0"/>
                      <w:bCs/>
                      <w:color w:val="auto"/>
                      <w:sz w:val="21"/>
                      <w:szCs w:val="21"/>
                      <w:highlight w:val="none"/>
                      <w:u w:val="none" w:color="auto"/>
                      <w:vertAlign w:val="baseline"/>
                      <w:lang w:val="en-US" w:eastAsia="zh-CN"/>
                    </w:rPr>
                    <w:t>kg</w:t>
                  </w:r>
                  <w:r>
                    <w:rPr>
                      <w:rFonts w:hint="default" w:ascii="Times New Roman" w:hAnsi="Times New Roman" w:cs="Times New Roman"/>
                      <w:b w:val="0"/>
                      <w:bCs/>
                      <w:color w:val="auto"/>
                      <w:sz w:val="21"/>
                      <w:szCs w:val="21"/>
                      <w:highlight w:val="none"/>
                      <w:u w:val="none" w:color="auto"/>
                      <w:vertAlign w:val="baseline"/>
                      <w:lang w:val="en-US" w:eastAsia="zh-CN"/>
                    </w:rPr>
                    <w:t>）</w:t>
                  </w:r>
                </w:p>
              </w:tc>
              <w:tc>
                <w:tcPr>
                  <w:tcW w:w="581" w:type="pct"/>
                  <w:tcBorders>
                    <w:tl2br w:val="nil"/>
                    <w:tr2bl w:val="nil"/>
                  </w:tcBorders>
                  <w:noWrap w:val="0"/>
                  <w:vAlign w:val="center"/>
                </w:tcPr>
                <w:p w14:paraId="2726D66B">
                  <w:pPr>
                    <w:pStyle w:val="68"/>
                    <w:adjustRightInd w:val="0"/>
                    <w:snapToGrid w:val="0"/>
                    <w:spacing w:line="240" w:lineRule="auto"/>
                    <w:jc w:val="center"/>
                    <w:rPr>
                      <w:rFonts w:hint="default" w:ascii="Times New Roman" w:hAnsi="Times New Roman" w:eastAsia="宋体" w:cs="Times New Roman"/>
                      <w:b w:val="0"/>
                      <w:bCs/>
                      <w:color w:val="auto"/>
                      <w:sz w:val="21"/>
                      <w:szCs w:val="21"/>
                      <w:highlight w:val="none"/>
                      <w:u w:val="none" w:color="auto"/>
                      <w:vertAlign w:val="baseline"/>
                      <w:lang w:val="en-US" w:eastAsia="zh-CN"/>
                    </w:rPr>
                  </w:pPr>
                  <w:r>
                    <w:rPr>
                      <w:rFonts w:hint="default" w:ascii="Times New Roman" w:hAnsi="Times New Roman" w:cs="Times New Roman"/>
                      <w:b w:val="0"/>
                      <w:bCs/>
                      <w:color w:val="auto"/>
                      <w:sz w:val="21"/>
                      <w:szCs w:val="21"/>
                      <w:highlight w:val="none"/>
                      <w:u w:val="none" w:color="auto"/>
                      <w:vertAlign w:val="baseline"/>
                      <w:lang w:val="en-US" w:eastAsia="zh-CN"/>
                    </w:rPr>
                    <w:t>单次持续时间/h</w:t>
                  </w:r>
                </w:p>
              </w:tc>
              <w:tc>
                <w:tcPr>
                  <w:tcW w:w="601" w:type="pct"/>
                  <w:tcBorders>
                    <w:tl2br w:val="nil"/>
                    <w:tr2bl w:val="nil"/>
                  </w:tcBorders>
                  <w:noWrap w:val="0"/>
                  <w:vAlign w:val="center"/>
                </w:tcPr>
                <w:p w14:paraId="10C87551">
                  <w:pPr>
                    <w:pStyle w:val="68"/>
                    <w:adjustRightInd w:val="0"/>
                    <w:snapToGrid w:val="0"/>
                    <w:spacing w:line="240" w:lineRule="auto"/>
                    <w:jc w:val="center"/>
                    <w:rPr>
                      <w:rFonts w:hint="default" w:ascii="Times New Roman" w:hAnsi="Times New Roman" w:eastAsia="宋体" w:cs="Times New Roman"/>
                      <w:b w:val="0"/>
                      <w:bCs/>
                      <w:color w:val="auto"/>
                      <w:sz w:val="21"/>
                      <w:szCs w:val="21"/>
                      <w:highlight w:val="none"/>
                      <w:u w:val="none" w:color="auto"/>
                      <w:vertAlign w:val="baseline"/>
                      <w:lang w:val="en-US" w:eastAsia="zh-CN"/>
                    </w:rPr>
                  </w:pPr>
                  <w:r>
                    <w:rPr>
                      <w:rFonts w:hint="default" w:ascii="Times New Roman" w:hAnsi="Times New Roman" w:cs="Times New Roman"/>
                      <w:b w:val="0"/>
                      <w:bCs/>
                      <w:color w:val="auto"/>
                      <w:sz w:val="21"/>
                      <w:szCs w:val="21"/>
                      <w:highlight w:val="none"/>
                      <w:u w:val="none" w:color="auto"/>
                      <w:vertAlign w:val="baseline"/>
                      <w:lang w:val="en-US" w:eastAsia="zh-CN"/>
                    </w:rPr>
                    <w:t>年平均发生频次/次</w:t>
                  </w:r>
                </w:p>
              </w:tc>
            </w:tr>
            <w:tr w14:paraId="1E031E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89" w:type="pct"/>
                  <w:tcBorders>
                    <w:tl2br w:val="nil"/>
                    <w:tr2bl w:val="nil"/>
                  </w:tcBorders>
                  <w:shd w:val="clear" w:color="auto" w:fill="auto"/>
                  <w:noWrap w:val="0"/>
                  <w:vAlign w:val="center"/>
                </w:tcPr>
                <w:p w14:paraId="79B134BF">
                  <w:pPr>
                    <w:jc w:val="center"/>
                    <w:rPr>
                      <w:rFonts w:hint="default" w:ascii="Times New Roman" w:hAnsi="Times New Roman" w:eastAsia="宋体" w:cs="Times New Roman"/>
                      <w:color w:val="auto"/>
                      <w:kern w:val="21"/>
                      <w:sz w:val="21"/>
                      <w:szCs w:val="21"/>
                      <w:highlight w:val="none"/>
                      <w:u w:val="none" w:color="auto"/>
                      <w:lang w:val="en-US" w:eastAsia="zh-CN" w:bidi="ar-SA"/>
                    </w:rPr>
                  </w:pPr>
                  <w:r>
                    <w:rPr>
                      <w:rFonts w:hint="default" w:ascii="Times New Roman" w:hAnsi="Times New Roman" w:cs="Times New Roman"/>
                      <w:color w:val="auto"/>
                      <w:kern w:val="21"/>
                      <w:sz w:val="21"/>
                      <w:szCs w:val="21"/>
                      <w:highlight w:val="none"/>
                      <w:u w:val="none" w:color="auto"/>
                      <w:lang w:val="en-US" w:eastAsia="zh-CN"/>
                    </w:rPr>
                    <w:t>水泥</w:t>
                  </w:r>
                  <w:r>
                    <w:rPr>
                      <w:rFonts w:hint="default" w:ascii="Times New Roman" w:hAnsi="Times New Roman" w:eastAsia="宋体" w:cs="Times New Roman"/>
                      <w:color w:val="auto"/>
                      <w:kern w:val="21"/>
                      <w:sz w:val="21"/>
                      <w:szCs w:val="21"/>
                      <w:highlight w:val="none"/>
                      <w:u w:val="none" w:color="auto"/>
                      <w:lang w:val="en-US" w:eastAsia="zh-CN"/>
                    </w:rPr>
                    <w:t>筒仓</w:t>
                  </w:r>
                  <w:r>
                    <w:rPr>
                      <w:rFonts w:hint="eastAsia" w:cs="Times New Roman"/>
                      <w:color w:val="auto"/>
                      <w:kern w:val="21"/>
                      <w:sz w:val="21"/>
                      <w:szCs w:val="21"/>
                      <w:highlight w:val="none"/>
                      <w:u w:val="none" w:color="auto"/>
                      <w:lang w:val="en-US" w:eastAsia="zh-CN"/>
                    </w:rPr>
                    <w:t>1</w:t>
                  </w:r>
                  <w:r>
                    <w:rPr>
                      <w:rFonts w:hint="default" w:ascii="Times New Roman" w:hAnsi="Times New Roman" w:eastAsia="宋体" w:cs="Times New Roman"/>
                      <w:color w:val="auto"/>
                      <w:kern w:val="21"/>
                      <w:sz w:val="21"/>
                      <w:szCs w:val="21"/>
                      <w:highlight w:val="none"/>
                      <w:u w:val="none" w:color="auto"/>
                      <w:lang w:val="en-US" w:eastAsia="zh-CN"/>
                    </w:rPr>
                    <w:t>粉尘</w:t>
                  </w:r>
                </w:p>
              </w:tc>
              <w:tc>
                <w:tcPr>
                  <w:tcW w:w="481" w:type="pct"/>
                  <w:vMerge w:val="restart"/>
                  <w:tcBorders>
                    <w:tl2br w:val="nil"/>
                    <w:tr2bl w:val="nil"/>
                  </w:tcBorders>
                  <w:noWrap w:val="0"/>
                  <w:vAlign w:val="center"/>
                </w:tcPr>
                <w:p w14:paraId="2AB8A6CA">
                  <w:pPr>
                    <w:pStyle w:val="68"/>
                    <w:adjustRightInd w:val="0"/>
                    <w:snapToGrid w:val="0"/>
                    <w:spacing w:line="240" w:lineRule="auto"/>
                    <w:jc w:val="center"/>
                    <w:rPr>
                      <w:rFonts w:hint="default" w:ascii="Times New Roman" w:hAnsi="Times New Roman" w:eastAsia="宋体" w:cs="Times New Roman"/>
                      <w:b w:val="0"/>
                      <w:bCs/>
                      <w:color w:val="auto"/>
                      <w:sz w:val="21"/>
                      <w:szCs w:val="21"/>
                      <w:highlight w:val="none"/>
                      <w:u w:val="none" w:color="auto"/>
                      <w:vertAlign w:val="baseline"/>
                      <w:lang w:val="en-US" w:eastAsia="zh-CN"/>
                    </w:rPr>
                  </w:pPr>
                  <w:r>
                    <w:rPr>
                      <w:rFonts w:hint="default" w:ascii="Times New Roman" w:hAnsi="Times New Roman" w:cs="Times New Roman"/>
                      <w:b w:val="0"/>
                      <w:bCs/>
                      <w:color w:val="auto"/>
                      <w:sz w:val="21"/>
                      <w:szCs w:val="21"/>
                      <w:highlight w:val="none"/>
                      <w:u w:val="none" w:color="auto"/>
                      <w:vertAlign w:val="baseline"/>
                      <w:lang w:val="en-US" w:eastAsia="zh-CN"/>
                    </w:rPr>
                    <w:t>颗粒物</w:t>
                  </w:r>
                </w:p>
              </w:tc>
              <w:tc>
                <w:tcPr>
                  <w:tcW w:w="654" w:type="pct"/>
                  <w:vMerge w:val="restart"/>
                  <w:tcBorders>
                    <w:tl2br w:val="nil"/>
                    <w:tr2bl w:val="nil"/>
                  </w:tcBorders>
                  <w:shd w:val="clear" w:color="auto" w:fill="auto"/>
                  <w:noWrap w:val="0"/>
                  <w:vAlign w:val="center"/>
                </w:tcPr>
                <w:p w14:paraId="2ED5E8A4">
                  <w:pPr>
                    <w:jc w:val="center"/>
                    <w:rPr>
                      <w:rFonts w:hint="default" w:ascii="Times New Roman" w:hAnsi="Times New Roman" w:eastAsia="宋体" w:cs="Times New Roman"/>
                      <w:color w:val="auto"/>
                      <w:kern w:val="21"/>
                      <w:sz w:val="21"/>
                      <w:szCs w:val="21"/>
                      <w:highlight w:val="none"/>
                      <w:u w:val="none" w:color="auto"/>
                      <w:lang w:val="en-US" w:eastAsia="zh-CN" w:bidi="ar-SA"/>
                    </w:rPr>
                  </w:pPr>
                  <w:r>
                    <w:rPr>
                      <w:rFonts w:hint="default" w:ascii="Times New Roman" w:hAnsi="Times New Roman" w:cs="Times New Roman"/>
                      <w:b w:val="0"/>
                      <w:bCs/>
                      <w:color w:val="auto"/>
                      <w:sz w:val="21"/>
                      <w:szCs w:val="21"/>
                      <w:highlight w:val="none"/>
                      <w:u w:val="none" w:color="auto"/>
                      <w:vertAlign w:val="baseline"/>
                      <w:lang w:val="en-US" w:eastAsia="zh-CN"/>
                    </w:rPr>
                    <w:t>脉冲袋式除尘器故障</w:t>
                  </w:r>
                </w:p>
              </w:tc>
              <w:tc>
                <w:tcPr>
                  <w:tcW w:w="819" w:type="pct"/>
                  <w:tcBorders>
                    <w:tl2br w:val="nil"/>
                    <w:tr2bl w:val="nil"/>
                  </w:tcBorders>
                  <w:shd w:val="clear" w:color="auto" w:fill="auto"/>
                  <w:noWrap w:val="0"/>
                  <w:vAlign w:val="center"/>
                </w:tcPr>
                <w:p w14:paraId="627055D8">
                  <w:pPr>
                    <w:jc w:val="center"/>
                    <w:rPr>
                      <w:rFonts w:hint="default" w:ascii="Times New Roman" w:hAnsi="Times New Roman" w:eastAsia="宋体" w:cs="Times New Roman"/>
                      <w:color w:val="auto"/>
                      <w:kern w:val="21"/>
                      <w:sz w:val="21"/>
                      <w:szCs w:val="21"/>
                      <w:highlight w:val="cyan"/>
                      <w:u w:val="none" w:color="auto"/>
                      <w:lang w:val="en-US" w:eastAsia="zh-CN" w:bidi="ar-SA"/>
                    </w:rPr>
                  </w:pPr>
                  <w:r>
                    <w:rPr>
                      <w:rFonts w:hint="eastAsia"/>
                      <w:color w:val="auto"/>
                      <w:kern w:val="21"/>
                      <w:sz w:val="18"/>
                      <w:szCs w:val="18"/>
                      <w:highlight w:val="none"/>
                      <w:u w:val="none" w:color="auto"/>
                      <w:lang w:val="en-US" w:eastAsia="zh-CN"/>
                    </w:rPr>
                    <w:t>3.81</w:t>
                  </w:r>
                </w:p>
              </w:tc>
              <w:tc>
                <w:tcPr>
                  <w:tcW w:w="771" w:type="pct"/>
                  <w:tcBorders>
                    <w:tl2br w:val="nil"/>
                    <w:tr2bl w:val="nil"/>
                  </w:tcBorders>
                  <w:noWrap w:val="0"/>
                  <w:vAlign w:val="center"/>
                </w:tcPr>
                <w:p w14:paraId="3F54DFD9">
                  <w:pPr>
                    <w:autoSpaceDE w:val="0"/>
                    <w:autoSpaceDN w:val="0"/>
                    <w:adjustRightInd w:val="0"/>
                    <w:jc w:val="center"/>
                    <w:rPr>
                      <w:rFonts w:hint="default" w:ascii="Times New Roman" w:hAnsi="Times New Roman" w:eastAsia="宋体" w:cs="Times New Roman"/>
                      <w:i w:val="0"/>
                      <w:iCs w:val="0"/>
                      <w:color w:val="auto"/>
                      <w:sz w:val="21"/>
                      <w:szCs w:val="21"/>
                      <w:highlight w:val="none"/>
                      <w:u w:val="none"/>
                      <w:lang w:val="en-US" w:eastAsia="zh-CN"/>
                    </w:rPr>
                  </w:pPr>
                  <w:r>
                    <w:rPr>
                      <w:rFonts w:hint="eastAsia" w:cs="Times New Roman"/>
                      <w:i w:val="0"/>
                      <w:iCs w:val="0"/>
                      <w:color w:val="auto"/>
                      <w:sz w:val="21"/>
                      <w:szCs w:val="21"/>
                      <w:highlight w:val="none"/>
                      <w:u w:val="none"/>
                      <w:lang w:val="en-US" w:eastAsia="zh-CN"/>
                    </w:rPr>
                    <w:t>7.62</w:t>
                  </w:r>
                </w:p>
              </w:tc>
              <w:tc>
                <w:tcPr>
                  <w:tcW w:w="581" w:type="pct"/>
                  <w:tcBorders>
                    <w:tl2br w:val="nil"/>
                    <w:tr2bl w:val="nil"/>
                  </w:tcBorders>
                  <w:noWrap w:val="0"/>
                  <w:vAlign w:val="center"/>
                </w:tcPr>
                <w:p w14:paraId="1F127921">
                  <w:pPr>
                    <w:pStyle w:val="68"/>
                    <w:adjustRightInd w:val="0"/>
                    <w:snapToGrid w:val="0"/>
                    <w:spacing w:line="240" w:lineRule="auto"/>
                    <w:jc w:val="center"/>
                    <w:rPr>
                      <w:rFonts w:hint="default" w:ascii="Times New Roman" w:hAnsi="Times New Roman" w:eastAsia="宋体" w:cs="Times New Roman"/>
                      <w:b w:val="0"/>
                      <w:bCs/>
                      <w:color w:val="auto"/>
                      <w:sz w:val="21"/>
                      <w:szCs w:val="21"/>
                      <w:highlight w:val="none"/>
                      <w:u w:val="none" w:color="auto"/>
                      <w:vertAlign w:val="baseline"/>
                      <w:lang w:val="en-US" w:eastAsia="zh-CN"/>
                    </w:rPr>
                  </w:pPr>
                  <w:r>
                    <w:rPr>
                      <w:rFonts w:hint="default" w:ascii="Times New Roman" w:hAnsi="Times New Roman" w:cs="Times New Roman"/>
                      <w:b w:val="0"/>
                      <w:bCs/>
                      <w:color w:val="auto"/>
                      <w:sz w:val="21"/>
                      <w:szCs w:val="21"/>
                      <w:highlight w:val="none"/>
                      <w:u w:val="none" w:color="auto"/>
                      <w:vertAlign w:val="baseline"/>
                      <w:lang w:val="en-US" w:eastAsia="zh-CN"/>
                    </w:rPr>
                    <w:t>2</w:t>
                  </w:r>
                </w:p>
              </w:tc>
              <w:tc>
                <w:tcPr>
                  <w:tcW w:w="601" w:type="pct"/>
                  <w:tcBorders>
                    <w:tl2br w:val="nil"/>
                    <w:tr2bl w:val="nil"/>
                  </w:tcBorders>
                  <w:noWrap w:val="0"/>
                  <w:vAlign w:val="center"/>
                </w:tcPr>
                <w:p w14:paraId="50F3CAAE">
                  <w:pPr>
                    <w:pStyle w:val="68"/>
                    <w:adjustRightInd w:val="0"/>
                    <w:snapToGrid w:val="0"/>
                    <w:spacing w:line="240" w:lineRule="auto"/>
                    <w:jc w:val="center"/>
                    <w:rPr>
                      <w:rFonts w:hint="default" w:ascii="Times New Roman" w:hAnsi="Times New Roman" w:eastAsia="宋体" w:cs="Times New Roman"/>
                      <w:b w:val="0"/>
                      <w:bCs/>
                      <w:color w:val="auto"/>
                      <w:sz w:val="21"/>
                      <w:szCs w:val="21"/>
                      <w:highlight w:val="none"/>
                      <w:u w:val="none" w:color="auto"/>
                      <w:vertAlign w:val="baseline"/>
                      <w:lang w:val="en-US" w:eastAsia="zh-CN"/>
                    </w:rPr>
                  </w:pPr>
                  <w:r>
                    <w:rPr>
                      <w:rFonts w:hint="eastAsia" w:ascii="Times New Roman" w:hAnsi="Times New Roman" w:cs="Times New Roman"/>
                      <w:b w:val="0"/>
                      <w:bCs/>
                      <w:color w:val="auto"/>
                      <w:sz w:val="21"/>
                      <w:szCs w:val="21"/>
                      <w:highlight w:val="none"/>
                      <w:u w:val="none" w:color="auto"/>
                      <w:vertAlign w:val="baseline"/>
                      <w:lang w:val="en-US" w:eastAsia="zh-CN"/>
                    </w:rPr>
                    <w:t>1</w:t>
                  </w:r>
                </w:p>
              </w:tc>
            </w:tr>
            <w:tr w14:paraId="236AEF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89" w:type="pct"/>
                  <w:tcBorders>
                    <w:tl2br w:val="nil"/>
                    <w:tr2bl w:val="nil"/>
                  </w:tcBorders>
                  <w:shd w:val="clear" w:color="auto" w:fill="auto"/>
                  <w:noWrap w:val="0"/>
                  <w:vAlign w:val="center"/>
                </w:tcPr>
                <w:p w14:paraId="3A9A59D9">
                  <w:pPr>
                    <w:jc w:val="center"/>
                    <w:rPr>
                      <w:rFonts w:hint="default" w:ascii="Times New Roman" w:hAnsi="Times New Roman" w:cs="Times New Roman"/>
                      <w:color w:val="auto"/>
                      <w:kern w:val="21"/>
                      <w:sz w:val="21"/>
                      <w:szCs w:val="21"/>
                      <w:highlight w:val="none"/>
                      <w:u w:val="none" w:color="auto"/>
                      <w:lang w:val="en-US" w:eastAsia="zh-CN"/>
                    </w:rPr>
                  </w:pPr>
                  <w:r>
                    <w:rPr>
                      <w:rFonts w:hint="default" w:ascii="Times New Roman" w:hAnsi="Times New Roman" w:cs="Times New Roman"/>
                      <w:color w:val="auto"/>
                      <w:kern w:val="21"/>
                      <w:sz w:val="21"/>
                      <w:szCs w:val="21"/>
                      <w:highlight w:val="none"/>
                      <w:u w:val="none" w:color="auto"/>
                      <w:lang w:val="en-US" w:eastAsia="zh-CN"/>
                    </w:rPr>
                    <w:t>水泥</w:t>
                  </w:r>
                  <w:r>
                    <w:rPr>
                      <w:rFonts w:hint="default" w:ascii="Times New Roman" w:hAnsi="Times New Roman" w:eastAsia="宋体" w:cs="Times New Roman"/>
                      <w:color w:val="auto"/>
                      <w:kern w:val="21"/>
                      <w:sz w:val="21"/>
                      <w:szCs w:val="21"/>
                      <w:highlight w:val="none"/>
                      <w:u w:val="none" w:color="auto"/>
                      <w:lang w:val="en-US" w:eastAsia="zh-CN"/>
                    </w:rPr>
                    <w:t>筒仓</w:t>
                  </w:r>
                  <w:r>
                    <w:rPr>
                      <w:rFonts w:hint="eastAsia" w:cs="Times New Roman"/>
                      <w:color w:val="auto"/>
                      <w:kern w:val="21"/>
                      <w:sz w:val="21"/>
                      <w:szCs w:val="21"/>
                      <w:highlight w:val="none"/>
                      <w:u w:val="none" w:color="auto"/>
                      <w:lang w:val="en-US" w:eastAsia="zh-CN"/>
                    </w:rPr>
                    <w:t>2</w:t>
                  </w:r>
                  <w:r>
                    <w:rPr>
                      <w:rFonts w:hint="default" w:ascii="Times New Roman" w:hAnsi="Times New Roman" w:eastAsia="宋体" w:cs="Times New Roman"/>
                      <w:color w:val="auto"/>
                      <w:kern w:val="21"/>
                      <w:sz w:val="21"/>
                      <w:szCs w:val="21"/>
                      <w:highlight w:val="none"/>
                      <w:u w:val="none" w:color="auto"/>
                      <w:lang w:val="en-US" w:eastAsia="zh-CN"/>
                    </w:rPr>
                    <w:t>粉尘</w:t>
                  </w:r>
                </w:p>
              </w:tc>
              <w:tc>
                <w:tcPr>
                  <w:tcW w:w="481" w:type="pct"/>
                  <w:vMerge w:val="continue"/>
                  <w:tcBorders>
                    <w:tl2br w:val="nil"/>
                    <w:tr2bl w:val="nil"/>
                  </w:tcBorders>
                  <w:noWrap w:val="0"/>
                  <w:vAlign w:val="center"/>
                </w:tcPr>
                <w:p w14:paraId="530B7A63">
                  <w:pPr>
                    <w:pStyle w:val="68"/>
                    <w:adjustRightInd w:val="0"/>
                    <w:snapToGrid w:val="0"/>
                    <w:spacing w:line="240" w:lineRule="auto"/>
                    <w:jc w:val="center"/>
                    <w:rPr>
                      <w:rFonts w:hint="default" w:ascii="Times New Roman" w:hAnsi="Times New Roman" w:cs="Times New Roman"/>
                      <w:b w:val="0"/>
                      <w:bCs/>
                      <w:color w:val="auto"/>
                      <w:sz w:val="21"/>
                      <w:szCs w:val="21"/>
                      <w:highlight w:val="cyan"/>
                      <w:u w:val="none" w:color="auto"/>
                      <w:vertAlign w:val="baseline"/>
                      <w:lang w:val="en-US" w:eastAsia="zh-CN"/>
                    </w:rPr>
                  </w:pPr>
                </w:p>
              </w:tc>
              <w:tc>
                <w:tcPr>
                  <w:tcW w:w="654" w:type="pct"/>
                  <w:vMerge w:val="continue"/>
                  <w:tcBorders>
                    <w:tl2br w:val="nil"/>
                    <w:tr2bl w:val="nil"/>
                  </w:tcBorders>
                  <w:shd w:val="clear" w:color="auto" w:fill="auto"/>
                  <w:noWrap w:val="0"/>
                  <w:vAlign w:val="center"/>
                </w:tcPr>
                <w:p w14:paraId="56DBEB6C">
                  <w:pPr>
                    <w:jc w:val="center"/>
                    <w:rPr>
                      <w:rFonts w:hint="default" w:ascii="Times New Roman" w:hAnsi="Times New Roman" w:cs="Times New Roman"/>
                      <w:b w:val="0"/>
                      <w:bCs/>
                      <w:color w:val="auto"/>
                      <w:sz w:val="21"/>
                      <w:szCs w:val="21"/>
                      <w:highlight w:val="cyan"/>
                      <w:u w:val="none" w:color="auto"/>
                      <w:vertAlign w:val="baseline"/>
                      <w:lang w:val="en-US" w:eastAsia="zh-CN"/>
                    </w:rPr>
                  </w:pPr>
                </w:p>
              </w:tc>
              <w:tc>
                <w:tcPr>
                  <w:tcW w:w="819" w:type="pct"/>
                  <w:tcBorders>
                    <w:tl2br w:val="nil"/>
                    <w:tr2bl w:val="nil"/>
                  </w:tcBorders>
                  <w:shd w:val="clear" w:color="auto" w:fill="auto"/>
                  <w:noWrap w:val="0"/>
                  <w:vAlign w:val="center"/>
                </w:tcPr>
                <w:p w14:paraId="26EFADDD">
                  <w:pPr>
                    <w:jc w:val="center"/>
                    <w:rPr>
                      <w:rFonts w:hint="eastAsia"/>
                      <w:color w:val="auto"/>
                      <w:kern w:val="21"/>
                      <w:sz w:val="18"/>
                      <w:szCs w:val="18"/>
                      <w:highlight w:val="cyan"/>
                      <w:u w:val="none" w:color="auto"/>
                      <w:lang w:val="en-US" w:eastAsia="zh-CN"/>
                    </w:rPr>
                  </w:pPr>
                  <w:r>
                    <w:rPr>
                      <w:rFonts w:hint="eastAsia"/>
                      <w:color w:val="auto"/>
                      <w:kern w:val="21"/>
                      <w:sz w:val="18"/>
                      <w:szCs w:val="18"/>
                      <w:highlight w:val="none"/>
                      <w:u w:val="none" w:color="auto"/>
                      <w:lang w:val="en-US" w:eastAsia="zh-CN"/>
                    </w:rPr>
                    <w:t>3.81</w:t>
                  </w:r>
                </w:p>
              </w:tc>
              <w:tc>
                <w:tcPr>
                  <w:tcW w:w="771" w:type="pct"/>
                  <w:tcBorders>
                    <w:tl2br w:val="nil"/>
                    <w:tr2bl w:val="nil"/>
                  </w:tcBorders>
                  <w:noWrap w:val="0"/>
                  <w:vAlign w:val="center"/>
                </w:tcPr>
                <w:p w14:paraId="6F41CBF9">
                  <w:pPr>
                    <w:autoSpaceDE w:val="0"/>
                    <w:autoSpaceDN w:val="0"/>
                    <w:adjustRightInd w:val="0"/>
                    <w:jc w:val="center"/>
                    <w:rPr>
                      <w:rFonts w:hint="eastAsia" w:ascii="Times New Roman" w:hAnsi="Times New Roman" w:eastAsia="宋体" w:cs="Times New Roman"/>
                      <w:i w:val="0"/>
                      <w:iCs w:val="0"/>
                      <w:color w:val="auto"/>
                      <w:sz w:val="21"/>
                      <w:szCs w:val="21"/>
                      <w:highlight w:val="none"/>
                      <w:u w:val="none"/>
                      <w:lang w:val="en-US" w:eastAsia="zh-CN"/>
                    </w:rPr>
                  </w:pPr>
                  <w:r>
                    <w:rPr>
                      <w:rFonts w:hint="eastAsia" w:cs="Times New Roman"/>
                      <w:i w:val="0"/>
                      <w:iCs w:val="0"/>
                      <w:color w:val="auto"/>
                      <w:sz w:val="21"/>
                      <w:szCs w:val="21"/>
                      <w:highlight w:val="none"/>
                      <w:u w:val="none"/>
                      <w:lang w:val="en-US" w:eastAsia="zh-CN"/>
                    </w:rPr>
                    <w:t>7.62</w:t>
                  </w:r>
                </w:p>
              </w:tc>
              <w:tc>
                <w:tcPr>
                  <w:tcW w:w="581" w:type="pct"/>
                  <w:tcBorders>
                    <w:tl2br w:val="nil"/>
                    <w:tr2bl w:val="nil"/>
                  </w:tcBorders>
                  <w:noWrap w:val="0"/>
                  <w:vAlign w:val="center"/>
                </w:tcPr>
                <w:p w14:paraId="41055F0B">
                  <w:pPr>
                    <w:pStyle w:val="68"/>
                    <w:adjustRightInd w:val="0"/>
                    <w:snapToGrid w:val="0"/>
                    <w:spacing w:line="240" w:lineRule="auto"/>
                    <w:ind w:firstLine="0" w:firstLineChars="0"/>
                    <w:jc w:val="center"/>
                    <w:rPr>
                      <w:rFonts w:hint="default" w:ascii="Times New Roman" w:hAnsi="Times New Roman" w:cs="Times New Roman"/>
                      <w:b w:val="0"/>
                      <w:bCs/>
                      <w:color w:val="auto"/>
                      <w:sz w:val="21"/>
                      <w:szCs w:val="21"/>
                      <w:highlight w:val="none"/>
                      <w:u w:val="none" w:color="auto"/>
                      <w:vertAlign w:val="baseline"/>
                      <w:lang w:val="en-US" w:eastAsia="zh-CN"/>
                    </w:rPr>
                  </w:pPr>
                  <w:r>
                    <w:rPr>
                      <w:rFonts w:hint="default" w:ascii="Times New Roman" w:hAnsi="Times New Roman" w:cs="Times New Roman"/>
                      <w:b w:val="0"/>
                      <w:bCs/>
                      <w:color w:val="auto"/>
                      <w:sz w:val="21"/>
                      <w:szCs w:val="21"/>
                      <w:highlight w:val="none"/>
                      <w:u w:val="none" w:color="auto"/>
                      <w:vertAlign w:val="baseline"/>
                      <w:lang w:val="en-US" w:eastAsia="zh-CN"/>
                    </w:rPr>
                    <w:t>2</w:t>
                  </w:r>
                </w:p>
              </w:tc>
              <w:tc>
                <w:tcPr>
                  <w:tcW w:w="601" w:type="pct"/>
                  <w:tcBorders>
                    <w:tl2br w:val="nil"/>
                    <w:tr2bl w:val="nil"/>
                  </w:tcBorders>
                  <w:noWrap w:val="0"/>
                  <w:vAlign w:val="center"/>
                </w:tcPr>
                <w:p w14:paraId="04F48671">
                  <w:pPr>
                    <w:pStyle w:val="68"/>
                    <w:adjustRightInd w:val="0"/>
                    <w:snapToGrid w:val="0"/>
                    <w:spacing w:line="240" w:lineRule="auto"/>
                    <w:ind w:firstLine="0" w:firstLineChars="0"/>
                    <w:jc w:val="center"/>
                    <w:rPr>
                      <w:rFonts w:hint="eastAsia" w:ascii="Times New Roman" w:hAnsi="Times New Roman" w:cs="Times New Roman"/>
                      <w:b w:val="0"/>
                      <w:bCs/>
                      <w:color w:val="auto"/>
                      <w:sz w:val="21"/>
                      <w:szCs w:val="21"/>
                      <w:highlight w:val="none"/>
                      <w:u w:val="none" w:color="auto"/>
                      <w:vertAlign w:val="baseline"/>
                      <w:lang w:val="en-US" w:eastAsia="zh-CN"/>
                    </w:rPr>
                  </w:pPr>
                  <w:r>
                    <w:rPr>
                      <w:rFonts w:hint="eastAsia" w:ascii="Times New Roman" w:hAnsi="Times New Roman" w:cs="Times New Roman"/>
                      <w:b w:val="0"/>
                      <w:bCs/>
                      <w:color w:val="auto"/>
                      <w:sz w:val="21"/>
                      <w:szCs w:val="21"/>
                      <w:highlight w:val="none"/>
                      <w:u w:val="none" w:color="auto"/>
                      <w:vertAlign w:val="baseline"/>
                      <w:lang w:val="en-US" w:eastAsia="zh-CN"/>
                    </w:rPr>
                    <w:t>1</w:t>
                  </w:r>
                </w:p>
              </w:tc>
            </w:tr>
            <w:tr w14:paraId="0A6FA1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089" w:type="pct"/>
                  <w:tcBorders>
                    <w:tl2br w:val="nil"/>
                    <w:tr2bl w:val="nil"/>
                  </w:tcBorders>
                  <w:shd w:val="clear" w:color="auto" w:fill="auto"/>
                  <w:noWrap w:val="0"/>
                  <w:vAlign w:val="center"/>
                </w:tcPr>
                <w:p w14:paraId="738BEB95">
                  <w:pPr>
                    <w:jc w:val="center"/>
                    <w:rPr>
                      <w:rFonts w:hint="default" w:ascii="Times New Roman" w:hAnsi="Times New Roman" w:eastAsia="宋体" w:cs="Times New Roman"/>
                      <w:color w:val="auto"/>
                      <w:kern w:val="21"/>
                      <w:sz w:val="21"/>
                      <w:szCs w:val="21"/>
                      <w:highlight w:val="none"/>
                      <w:u w:val="none" w:color="auto"/>
                      <w:lang w:val="en-US" w:eastAsia="zh-CN" w:bidi="ar-SA"/>
                    </w:rPr>
                  </w:pPr>
                  <w:r>
                    <w:rPr>
                      <w:rFonts w:hint="default" w:ascii="Times New Roman" w:hAnsi="Times New Roman" w:cs="Times New Roman"/>
                      <w:color w:val="auto"/>
                      <w:kern w:val="21"/>
                      <w:sz w:val="21"/>
                      <w:szCs w:val="21"/>
                      <w:highlight w:val="none"/>
                      <w:u w:val="none" w:color="auto"/>
                      <w:lang w:val="en-US" w:eastAsia="zh-CN"/>
                    </w:rPr>
                    <w:t>粉煤灰筒仓</w:t>
                  </w:r>
                  <w:r>
                    <w:rPr>
                      <w:rFonts w:hint="eastAsia" w:cs="Times New Roman"/>
                      <w:color w:val="auto"/>
                      <w:kern w:val="21"/>
                      <w:sz w:val="21"/>
                      <w:szCs w:val="21"/>
                      <w:highlight w:val="none"/>
                      <w:u w:val="none" w:color="auto"/>
                      <w:lang w:val="en-US" w:eastAsia="zh-CN"/>
                    </w:rPr>
                    <w:t>1</w:t>
                  </w:r>
                  <w:r>
                    <w:rPr>
                      <w:rFonts w:hint="default" w:ascii="Times New Roman" w:hAnsi="Times New Roman" w:cs="Times New Roman"/>
                      <w:color w:val="auto"/>
                      <w:kern w:val="21"/>
                      <w:sz w:val="21"/>
                      <w:szCs w:val="21"/>
                      <w:highlight w:val="none"/>
                      <w:u w:val="none" w:color="auto"/>
                      <w:lang w:val="en-US" w:eastAsia="zh-CN"/>
                    </w:rPr>
                    <w:t>粉尘</w:t>
                  </w:r>
                </w:p>
              </w:tc>
              <w:tc>
                <w:tcPr>
                  <w:tcW w:w="481" w:type="pct"/>
                  <w:vMerge w:val="continue"/>
                  <w:tcBorders>
                    <w:tl2br w:val="nil"/>
                    <w:tr2bl w:val="nil"/>
                  </w:tcBorders>
                  <w:noWrap w:val="0"/>
                  <w:vAlign w:val="center"/>
                </w:tcPr>
                <w:p w14:paraId="516CA781">
                  <w:pPr>
                    <w:pStyle w:val="68"/>
                    <w:adjustRightInd w:val="0"/>
                    <w:snapToGrid w:val="0"/>
                    <w:spacing w:line="240" w:lineRule="auto"/>
                    <w:jc w:val="center"/>
                    <w:rPr>
                      <w:rFonts w:hint="default" w:ascii="Times New Roman" w:hAnsi="Times New Roman" w:cs="Times New Roman"/>
                      <w:b w:val="0"/>
                      <w:bCs/>
                      <w:color w:val="auto"/>
                      <w:sz w:val="21"/>
                      <w:szCs w:val="21"/>
                      <w:highlight w:val="cyan"/>
                      <w:u w:val="none" w:color="auto"/>
                      <w:vertAlign w:val="baseline"/>
                      <w:lang w:val="en-US" w:eastAsia="zh-CN"/>
                    </w:rPr>
                  </w:pPr>
                </w:p>
              </w:tc>
              <w:tc>
                <w:tcPr>
                  <w:tcW w:w="654" w:type="pct"/>
                  <w:vMerge w:val="continue"/>
                  <w:tcBorders>
                    <w:tl2br w:val="nil"/>
                    <w:tr2bl w:val="nil"/>
                  </w:tcBorders>
                  <w:shd w:val="clear" w:color="auto" w:fill="auto"/>
                  <w:noWrap w:val="0"/>
                  <w:vAlign w:val="center"/>
                </w:tcPr>
                <w:p w14:paraId="590D208F">
                  <w:pPr>
                    <w:jc w:val="center"/>
                    <w:rPr>
                      <w:rFonts w:hint="default" w:ascii="Times New Roman" w:hAnsi="Times New Roman" w:cs="Times New Roman"/>
                      <w:b w:val="0"/>
                      <w:bCs/>
                      <w:color w:val="auto"/>
                      <w:sz w:val="21"/>
                      <w:szCs w:val="21"/>
                      <w:highlight w:val="cyan"/>
                      <w:u w:val="none" w:color="auto"/>
                      <w:vertAlign w:val="baseline"/>
                      <w:lang w:val="en-US" w:eastAsia="zh-CN"/>
                    </w:rPr>
                  </w:pPr>
                </w:p>
              </w:tc>
              <w:tc>
                <w:tcPr>
                  <w:tcW w:w="819" w:type="pct"/>
                  <w:tcBorders>
                    <w:tl2br w:val="nil"/>
                    <w:tr2bl w:val="nil"/>
                  </w:tcBorders>
                  <w:shd w:val="clear" w:color="auto" w:fill="auto"/>
                  <w:noWrap w:val="0"/>
                  <w:vAlign w:val="center"/>
                </w:tcPr>
                <w:p w14:paraId="19782FDC">
                  <w:pPr>
                    <w:jc w:val="center"/>
                    <w:rPr>
                      <w:rFonts w:hint="default" w:ascii="Times New Roman" w:hAnsi="Times New Roman" w:eastAsia="宋体" w:cs="Times New Roman"/>
                      <w:color w:val="auto"/>
                      <w:kern w:val="21"/>
                      <w:sz w:val="21"/>
                      <w:szCs w:val="21"/>
                      <w:highlight w:val="cyan"/>
                      <w:u w:val="none" w:color="auto"/>
                      <w:lang w:val="en-US" w:eastAsia="zh-CN" w:bidi="ar-SA"/>
                    </w:rPr>
                  </w:pPr>
                  <w:r>
                    <w:rPr>
                      <w:rFonts w:hint="eastAsia"/>
                      <w:color w:val="auto"/>
                      <w:kern w:val="21"/>
                      <w:sz w:val="18"/>
                      <w:szCs w:val="18"/>
                      <w:highlight w:val="none"/>
                      <w:u w:val="none" w:color="auto"/>
                      <w:lang w:val="en-US" w:eastAsia="zh-CN"/>
                    </w:rPr>
                    <w:t>0.6</w:t>
                  </w:r>
                </w:p>
              </w:tc>
              <w:tc>
                <w:tcPr>
                  <w:tcW w:w="771" w:type="pct"/>
                  <w:tcBorders>
                    <w:tl2br w:val="nil"/>
                    <w:tr2bl w:val="nil"/>
                  </w:tcBorders>
                  <w:noWrap w:val="0"/>
                  <w:vAlign w:val="center"/>
                </w:tcPr>
                <w:p w14:paraId="425C3727">
                  <w:pPr>
                    <w:autoSpaceDE w:val="0"/>
                    <w:autoSpaceDN w:val="0"/>
                    <w:adjustRightInd w:val="0"/>
                    <w:jc w:val="center"/>
                    <w:rPr>
                      <w:rFonts w:hint="default" w:ascii="Times New Roman" w:hAnsi="Times New Roman" w:eastAsia="宋体" w:cs="Times New Roman"/>
                      <w:i w:val="0"/>
                      <w:iCs w:val="0"/>
                      <w:color w:val="auto"/>
                      <w:sz w:val="21"/>
                      <w:szCs w:val="21"/>
                      <w:highlight w:val="none"/>
                      <w:u w:val="none"/>
                      <w:lang w:val="en-US" w:eastAsia="zh-CN"/>
                    </w:rPr>
                  </w:pPr>
                  <w:r>
                    <w:rPr>
                      <w:rFonts w:hint="eastAsia" w:cs="Times New Roman"/>
                      <w:i w:val="0"/>
                      <w:iCs w:val="0"/>
                      <w:color w:val="auto"/>
                      <w:sz w:val="21"/>
                      <w:szCs w:val="21"/>
                      <w:highlight w:val="none"/>
                      <w:u w:val="none"/>
                      <w:lang w:val="en-US" w:eastAsia="zh-CN"/>
                    </w:rPr>
                    <w:t>1.2</w:t>
                  </w:r>
                </w:p>
              </w:tc>
              <w:tc>
                <w:tcPr>
                  <w:tcW w:w="581" w:type="pct"/>
                  <w:tcBorders>
                    <w:tl2br w:val="nil"/>
                    <w:tr2bl w:val="nil"/>
                  </w:tcBorders>
                  <w:shd w:val="clear" w:color="auto" w:fill="auto"/>
                  <w:noWrap w:val="0"/>
                  <w:vAlign w:val="center"/>
                </w:tcPr>
                <w:p w14:paraId="2754AD3A">
                  <w:pPr>
                    <w:pStyle w:val="68"/>
                    <w:adjustRightInd w:val="0"/>
                    <w:snapToGrid w:val="0"/>
                    <w:spacing w:line="240" w:lineRule="auto"/>
                    <w:ind w:firstLine="0" w:firstLineChars="0"/>
                    <w:jc w:val="center"/>
                    <w:rPr>
                      <w:rFonts w:hint="default" w:ascii="Times New Roman" w:hAnsi="Times New Roman" w:eastAsia="宋体" w:cs="Times New Roman"/>
                      <w:b w:val="0"/>
                      <w:bCs/>
                      <w:color w:val="auto"/>
                      <w:kern w:val="2"/>
                      <w:sz w:val="21"/>
                      <w:szCs w:val="21"/>
                      <w:highlight w:val="none"/>
                      <w:u w:val="none" w:color="auto"/>
                      <w:vertAlign w:val="baseline"/>
                      <w:lang w:val="en-US" w:eastAsia="zh-CN" w:bidi="ar-SA"/>
                    </w:rPr>
                  </w:pPr>
                  <w:r>
                    <w:rPr>
                      <w:rFonts w:hint="default" w:ascii="Times New Roman" w:hAnsi="Times New Roman" w:cs="Times New Roman"/>
                      <w:b w:val="0"/>
                      <w:bCs/>
                      <w:color w:val="auto"/>
                      <w:sz w:val="21"/>
                      <w:szCs w:val="21"/>
                      <w:highlight w:val="none"/>
                      <w:u w:val="none" w:color="auto"/>
                      <w:vertAlign w:val="baseline"/>
                      <w:lang w:val="en-US" w:eastAsia="zh-CN"/>
                    </w:rPr>
                    <w:t>2</w:t>
                  </w:r>
                </w:p>
              </w:tc>
              <w:tc>
                <w:tcPr>
                  <w:tcW w:w="601" w:type="pct"/>
                  <w:tcBorders>
                    <w:tl2br w:val="nil"/>
                    <w:tr2bl w:val="nil"/>
                  </w:tcBorders>
                  <w:shd w:val="clear" w:color="auto" w:fill="auto"/>
                  <w:noWrap w:val="0"/>
                  <w:vAlign w:val="center"/>
                </w:tcPr>
                <w:p w14:paraId="077B4C0D">
                  <w:pPr>
                    <w:pStyle w:val="68"/>
                    <w:adjustRightInd w:val="0"/>
                    <w:snapToGrid w:val="0"/>
                    <w:spacing w:line="240" w:lineRule="auto"/>
                    <w:ind w:firstLine="0" w:firstLineChars="0"/>
                    <w:jc w:val="center"/>
                    <w:rPr>
                      <w:rFonts w:hint="default" w:ascii="Times New Roman" w:hAnsi="Times New Roman" w:eastAsia="宋体" w:cs="Times New Roman"/>
                      <w:b w:val="0"/>
                      <w:bCs/>
                      <w:color w:val="auto"/>
                      <w:kern w:val="2"/>
                      <w:sz w:val="21"/>
                      <w:szCs w:val="21"/>
                      <w:highlight w:val="none"/>
                      <w:u w:val="none" w:color="auto"/>
                      <w:vertAlign w:val="baseline"/>
                      <w:lang w:val="en-US" w:eastAsia="zh-CN" w:bidi="ar-SA"/>
                    </w:rPr>
                  </w:pPr>
                  <w:r>
                    <w:rPr>
                      <w:rFonts w:hint="eastAsia" w:ascii="Times New Roman" w:hAnsi="Times New Roman" w:cs="Times New Roman"/>
                      <w:b w:val="0"/>
                      <w:bCs/>
                      <w:color w:val="auto"/>
                      <w:sz w:val="21"/>
                      <w:szCs w:val="21"/>
                      <w:highlight w:val="none"/>
                      <w:u w:val="none" w:color="auto"/>
                      <w:vertAlign w:val="baseline"/>
                      <w:lang w:val="en-US" w:eastAsia="zh-CN"/>
                    </w:rPr>
                    <w:t>1</w:t>
                  </w:r>
                </w:p>
              </w:tc>
            </w:tr>
            <w:tr w14:paraId="520893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89" w:type="pct"/>
                  <w:tcBorders>
                    <w:tl2br w:val="nil"/>
                    <w:tr2bl w:val="nil"/>
                  </w:tcBorders>
                  <w:noWrap w:val="0"/>
                  <w:vAlign w:val="center"/>
                </w:tcPr>
                <w:p w14:paraId="17031F06">
                  <w:pPr>
                    <w:adjustRightInd w:val="0"/>
                    <w:ind w:left="-105" w:leftChars="-50" w:right="-105" w:rightChars="-50"/>
                    <w:jc w:val="center"/>
                    <w:rPr>
                      <w:rFonts w:hint="default" w:ascii="Times New Roman" w:hAnsi="Times New Roman" w:cs="Times New Roman"/>
                      <w:b w:val="0"/>
                      <w:bCs/>
                      <w:color w:val="auto"/>
                      <w:sz w:val="21"/>
                      <w:szCs w:val="21"/>
                      <w:highlight w:val="none"/>
                      <w:u w:val="none" w:color="auto"/>
                      <w:vertAlign w:val="baseline"/>
                      <w:lang w:val="en-US" w:eastAsia="zh-CN"/>
                    </w:rPr>
                  </w:pPr>
                  <w:r>
                    <w:rPr>
                      <w:rFonts w:hint="default" w:ascii="Times New Roman" w:hAnsi="Times New Roman" w:cs="Times New Roman"/>
                      <w:b w:val="0"/>
                      <w:bCs/>
                      <w:color w:val="auto"/>
                      <w:sz w:val="21"/>
                      <w:szCs w:val="21"/>
                      <w:highlight w:val="none"/>
                      <w:u w:val="none" w:color="auto"/>
                      <w:vertAlign w:val="baseline"/>
                      <w:lang w:val="en-US" w:eastAsia="zh-CN"/>
                    </w:rPr>
                    <w:t>搅拌机粉尘</w:t>
                  </w:r>
                </w:p>
              </w:tc>
              <w:tc>
                <w:tcPr>
                  <w:tcW w:w="481" w:type="pct"/>
                  <w:vMerge w:val="continue"/>
                  <w:tcBorders>
                    <w:tl2br w:val="nil"/>
                    <w:tr2bl w:val="nil"/>
                  </w:tcBorders>
                  <w:noWrap w:val="0"/>
                  <w:vAlign w:val="center"/>
                </w:tcPr>
                <w:p w14:paraId="2ED84017">
                  <w:pPr>
                    <w:pStyle w:val="68"/>
                    <w:adjustRightInd w:val="0"/>
                    <w:snapToGrid w:val="0"/>
                    <w:spacing w:line="240" w:lineRule="auto"/>
                    <w:jc w:val="center"/>
                    <w:rPr>
                      <w:rFonts w:hint="default" w:ascii="Times New Roman" w:hAnsi="Times New Roman" w:cs="Times New Roman"/>
                      <w:b w:val="0"/>
                      <w:bCs/>
                      <w:color w:val="auto"/>
                      <w:sz w:val="21"/>
                      <w:szCs w:val="21"/>
                      <w:highlight w:val="cyan"/>
                      <w:u w:val="none" w:color="auto"/>
                      <w:vertAlign w:val="baseline"/>
                      <w:lang w:val="en-US" w:eastAsia="zh-CN"/>
                    </w:rPr>
                  </w:pPr>
                </w:p>
              </w:tc>
              <w:tc>
                <w:tcPr>
                  <w:tcW w:w="654" w:type="pct"/>
                  <w:vMerge w:val="continue"/>
                  <w:tcBorders>
                    <w:tl2br w:val="nil"/>
                    <w:tr2bl w:val="nil"/>
                  </w:tcBorders>
                  <w:shd w:val="clear" w:color="auto" w:fill="auto"/>
                  <w:noWrap w:val="0"/>
                  <w:vAlign w:val="center"/>
                </w:tcPr>
                <w:p w14:paraId="3782B499">
                  <w:pPr>
                    <w:jc w:val="center"/>
                    <w:rPr>
                      <w:rFonts w:hint="default" w:ascii="Times New Roman" w:hAnsi="Times New Roman" w:eastAsia="宋体" w:cs="Times New Roman"/>
                      <w:color w:val="auto"/>
                      <w:kern w:val="21"/>
                      <w:sz w:val="21"/>
                      <w:szCs w:val="21"/>
                      <w:highlight w:val="cyan"/>
                      <w:u w:val="none" w:color="auto"/>
                      <w:lang w:val="en-US" w:eastAsia="zh-CN" w:bidi="ar-SA"/>
                    </w:rPr>
                  </w:pPr>
                </w:p>
              </w:tc>
              <w:tc>
                <w:tcPr>
                  <w:tcW w:w="819" w:type="pct"/>
                  <w:tcBorders>
                    <w:tl2br w:val="nil"/>
                    <w:tr2bl w:val="nil"/>
                  </w:tcBorders>
                  <w:shd w:val="clear" w:color="auto" w:fill="auto"/>
                  <w:noWrap w:val="0"/>
                  <w:vAlign w:val="center"/>
                </w:tcPr>
                <w:p w14:paraId="510279DE">
                  <w:pPr>
                    <w:jc w:val="center"/>
                    <w:rPr>
                      <w:rFonts w:hint="default" w:ascii="Times New Roman" w:hAnsi="Times New Roman" w:eastAsia="宋体" w:cs="Times New Roman"/>
                      <w:color w:val="auto"/>
                      <w:kern w:val="21"/>
                      <w:sz w:val="21"/>
                      <w:szCs w:val="21"/>
                      <w:highlight w:val="none"/>
                      <w:u w:val="single" w:color="auto"/>
                      <w:lang w:val="en-US" w:eastAsia="zh-CN" w:bidi="ar-SA"/>
                    </w:rPr>
                  </w:pPr>
                  <w:r>
                    <w:rPr>
                      <w:rFonts w:hint="eastAsia"/>
                      <w:color w:val="auto"/>
                      <w:kern w:val="21"/>
                      <w:sz w:val="21"/>
                      <w:szCs w:val="21"/>
                      <w:highlight w:val="none"/>
                      <w:u w:val="single" w:color="auto"/>
                      <w:lang w:val="en-US" w:eastAsia="zh-CN"/>
                    </w:rPr>
                    <w:t>12.18</w:t>
                  </w:r>
                </w:p>
              </w:tc>
              <w:tc>
                <w:tcPr>
                  <w:tcW w:w="771" w:type="pct"/>
                  <w:tcBorders>
                    <w:tl2br w:val="nil"/>
                    <w:tr2bl w:val="nil"/>
                  </w:tcBorders>
                  <w:noWrap w:val="0"/>
                  <w:vAlign w:val="center"/>
                </w:tcPr>
                <w:p w14:paraId="59455276">
                  <w:pPr>
                    <w:autoSpaceDE w:val="0"/>
                    <w:autoSpaceDN w:val="0"/>
                    <w:adjustRightInd w:val="0"/>
                    <w:jc w:val="center"/>
                    <w:rPr>
                      <w:rFonts w:hint="default" w:ascii="Times New Roman" w:hAnsi="Times New Roman" w:eastAsia="宋体" w:cs="Times New Roman"/>
                      <w:i w:val="0"/>
                      <w:iCs w:val="0"/>
                      <w:color w:val="auto"/>
                      <w:sz w:val="21"/>
                      <w:szCs w:val="21"/>
                      <w:highlight w:val="none"/>
                      <w:u w:val="single" w:color="auto"/>
                      <w:lang w:val="en-US" w:eastAsia="zh-CN"/>
                    </w:rPr>
                  </w:pPr>
                  <w:r>
                    <w:rPr>
                      <w:rFonts w:hint="eastAsia" w:cs="Times New Roman"/>
                      <w:i w:val="0"/>
                      <w:iCs w:val="0"/>
                      <w:color w:val="auto"/>
                      <w:sz w:val="21"/>
                      <w:szCs w:val="21"/>
                      <w:highlight w:val="none"/>
                      <w:u w:val="single" w:color="auto"/>
                      <w:lang w:val="en-US" w:eastAsia="zh-CN"/>
                    </w:rPr>
                    <w:t>24.36</w:t>
                  </w:r>
                </w:p>
              </w:tc>
              <w:tc>
                <w:tcPr>
                  <w:tcW w:w="581" w:type="pct"/>
                  <w:tcBorders>
                    <w:tl2br w:val="nil"/>
                    <w:tr2bl w:val="nil"/>
                  </w:tcBorders>
                  <w:noWrap w:val="0"/>
                  <w:vAlign w:val="center"/>
                </w:tcPr>
                <w:p w14:paraId="6527F59E">
                  <w:pPr>
                    <w:pStyle w:val="68"/>
                    <w:adjustRightInd w:val="0"/>
                    <w:snapToGrid w:val="0"/>
                    <w:spacing w:line="240" w:lineRule="auto"/>
                    <w:ind w:firstLine="0" w:firstLineChars="0"/>
                    <w:jc w:val="center"/>
                    <w:rPr>
                      <w:rFonts w:hint="default" w:ascii="Times New Roman" w:hAnsi="Times New Roman" w:cs="Times New Roman"/>
                      <w:b w:val="0"/>
                      <w:bCs/>
                      <w:color w:val="auto"/>
                      <w:sz w:val="21"/>
                      <w:szCs w:val="21"/>
                      <w:highlight w:val="none"/>
                      <w:u w:val="none" w:color="auto"/>
                      <w:vertAlign w:val="baseline"/>
                      <w:lang w:val="en-US" w:eastAsia="zh-CN"/>
                    </w:rPr>
                  </w:pPr>
                  <w:r>
                    <w:rPr>
                      <w:rFonts w:hint="default" w:ascii="Times New Roman" w:hAnsi="Times New Roman" w:cs="Times New Roman"/>
                      <w:b w:val="0"/>
                      <w:bCs/>
                      <w:color w:val="auto"/>
                      <w:sz w:val="21"/>
                      <w:szCs w:val="21"/>
                      <w:highlight w:val="none"/>
                      <w:u w:val="none" w:color="auto"/>
                      <w:vertAlign w:val="baseline"/>
                      <w:lang w:val="en-US" w:eastAsia="zh-CN"/>
                    </w:rPr>
                    <w:t>2</w:t>
                  </w:r>
                </w:p>
              </w:tc>
              <w:tc>
                <w:tcPr>
                  <w:tcW w:w="601" w:type="pct"/>
                  <w:tcBorders>
                    <w:tl2br w:val="nil"/>
                    <w:tr2bl w:val="nil"/>
                  </w:tcBorders>
                  <w:noWrap w:val="0"/>
                  <w:vAlign w:val="center"/>
                </w:tcPr>
                <w:p w14:paraId="523943BF">
                  <w:pPr>
                    <w:pStyle w:val="68"/>
                    <w:adjustRightInd w:val="0"/>
                    <w:snapToGrid w:val="0"/>
                    <w:spacing w:line="240" w:lineRule="auto"/>
                    <w:ind w:firstLine="0" w:firstLineChars="0"/>
                    <w:jc w:val="center"/>
                    <w:rPr>
                      <w:rFonts w:hint="default" w:ascii="Times New Roman" w:hAnsi="Times New Roman" w:cs="Times New Roman"/>
                      <w:b w:val="0"/>
                      <w:bCs/>
                      <w:color w:val="auto"/>
                      <w:sz w:val="21"/>
                      <w:szCs w:val="21"/>
                      <w:highlight w:val="none"/>
                      <w:u w:val="none" w:color="auto"/>
                      <w:vertAlign w:val="baseline"/>
                      <w:lang w:val="en-US" w:eastAsia="zh-CN"/>
                    </w:rPr>
                  </w:pPr>
                  <w:r>
                    <w:rPr>
                      <w:rFonts w:hint="eastAsia" w:ascii="Times New Roman" w:hAnsi="Times New Roman" w:cs="Times New Roman"/>
                      <w:b w:val="0"/>
                      <w:bCs/>
                      <w:color w:val="auto"/>
                      <w:sz w:val="21"/>
                      <w:szCs w:val="21"/>
                      <w:highlight w:val="none"/>
                      <w:u w:val="none" w:color="auto"/>
                      <w:vertAlign w:val="baseline"/>
                      <w:lang w:val="en-US" w:eastAsia="zh-CN"/>
                    </w:rPr>
                    <w:t>1</w:t>
                  </w:r>
                </w:p>
              </w:tc>
            </w:tr>
          </w:tbl>
          <w:p w14:paraId="4A0B21A5">
            <w:pPr>
              <w:spacing w:line="360" w:lineRule="auto"/>
              <w:ind w:firstLine="480" w:firstLineChars="200"/>
              <w:rPr>
                <w:rFonts w:hint="eastAsia" w:eastAsia="宋体"/>
                <w:b w:val="0"/>
                <w:bCs/>
                <w:iCs/>
                <w:color w:val="auto"/>
                <w:sz w:val="24"/>
                <w:szCs w:val="24"/>
                <w:highlight w:val="none"/>
                <w:u w:val="single" w:color="auto"/>
                <w:lang w:val="en-US" w:eastAsia="zh-CN"/>
              </w:rPr>
            </w:pPr>
            <w:r>
              <w:rPr>
                <w:rFonts w:hint="default" w:ascii="Times New Roman" w:hAnsi="Times New Roman" w:eastAsia="宋体" w:cs="Times New Roman"/>
                <w:color w:val="auto"/>
                <w:sz w:val="24"/>
                <w:szCs w:val="24"/>
                <w:highlight w:val="none"/>
                <w:u w:val="none" w:color="auto"/>
              </w:rPr>
              <w:t>项目废气非正常排放情况下应停产检查环保设施情况，待废气处理装置检修正常后恢复生产</w:t>
            </w:r>
            <w:r>
              <w:rPr>
                <w:rFonts w:hint="eastAsia" w:ascii="Times New Roman" w:hAnsi="Times New Roman" w:cs="Times New Roman"/>
                <w:color w:val="auto"/>
                <w:sz w:val="24"/>
                <w:szCs w:val="24"/>
                <w:highlight w:val="none"/>
                <w:u w:val="none" w:color="auto"/>
                <w:lang w:eastAsia="zh-CN"/>
              </w:rPr>
              <w:t>。</w:t>
            </w:r>
          </w:p>
          <w:p w14:paraId="38DAE268">
            <w:pPr>
              <w:spacing w:line="360" w:lineRule="auto"/>
              <w:ind w:firstLine="480" w:firstLineChars="200"/>
              <w:rPr>
                <w:rFonts w:hint="eastAsia"/>
                <w:color w:val="auto"/>
                <w:sz w:val="24"/>
                <w:szCs w:val="24"/>
                <w:highlight w:val="none"/>
              </w:rPr>
            </w:pPr>
            <w:r>
              <w:rPr>
                <w:rFonts w:hint="eastAsia"/>
                <w:b w:val="0"/>
                <w:bCs/>
                <w:iCs/>
                <w:color w:val="auto"/>
                <w:sz w:val="24"/>
                <w:szCs w:val="24"/>
                <w:highlight w:val="none"/>
                <w:lang w:val="en-US" w:eastAsia="zh-CN"/>
              </w:rPr>
              <w:t>1.5排放口设置及监测要求</w:t>
            </w:r>
          </w:p>
          <w:p w14:paraId="08D2DB01">
            <w:pPr>
              <w:spacing w:line="360" w:lineRule="auto"/>
              <w:ind w:firstLine="480" w:firstLineChars="200"/>
              <w:rPr>
                <w:rFonts w:hint="eastAsia" w:eastAsia="宋体"/>
                <w:color w:val="auto"/>
                <w:sz w:val="24"/>
                <w:szCs w:val="24"/>
                <w:highlight w:val="none"/>
                <w:lang w:eastAsia="zh-CN"/>
              </w:rPr>
            </w:pPr>
            <w:r>
              <w:rPr>
                <w:rFonts w:hint="eastAsia"/>
                <w:color w:val="auto"/>
                <w:sz w:val="24"/>
                <w:szCs w:val="24"/>
                <w:highlight w:val="none"/>
                <w:lang w:eastAsia="zh-CN"/>
              </w:rPr>
              <w:t>①排放口设置情况</w:t>
            </w:r>
          </w:p>
          <w:p w14:paraId="7BA8CB23">
            <w:pPr>
              <w:spacing w:line="360" w:lineRule="auto"/>
              <w:ind w:firstLine="480" w:firstLineChars="200"/>
              <w:rPr>
                <w:rFonts w:hint="eastAsia"/>
                <w:b w:val="0"/>
                <w:bCs/>
                <w:iCs/>
                <w:color w:val="auto"/>
                <w:sz w:val="24"/>
                <w:szCs w:val="24"/>
                <w:highlight w:val="none"/>
              </w:rPr>
            </w:pPr>
            <w:r>
              <w:rPr>
                <w:rFonts w:hint="eastAsia"/>
                <w:b w:val="0"/>
                <w:bCs/>
                <w:iCs/>
                <w:color w:val="auto"/>
                <w:sz w:val="24"/>
                <w:szCs w:val="24"/>
                <w:highlight w:val="none"/>
              </w:rPr>
              <w:t>本项目排放口基本情况详见下表。</w:t>
            </w:r>
          </w:p>
          <w:p w14:paraId="32B92CA9">
            <w:pPr>
              <w:pStyle w:val="83"/>
              <w:ind w:firstLineChars="0"/>
              <w:rPr>
                <w:rFonts w:hint="eastAsia" w:ascii="Times New Roman" w:hAnsi="Times New Roman" w:eastAsia="宋体" w:cs="宋体"/>
                <w:b/>
                <w:bCs/>
                <w:color w:val="auto"/>
                <w:sz w:val="24"/>
                <w:szCs w:val="24"/>
                <w:highlight w:val="none"/>
              </w:rPr>
            </w:pPr>
            <w:r>
              <w:rPr>
                <w:rFonts w:hint="eastAsia" w:ascii="Times New Roman" w:hAnsi="Times New Roman" w:eastAsia="宋体" w:cs="宋体"/>
                <w:b/>
                <w:bCs/>
                <w:color w:val="auto"/>
                <w:sz w:val="24"/>
                <w:szCs w:val="24"/>
                <w:highlight w:val="none"/>
              </w:rPr>
              <w:t>表4-</w:t>
            </w:r>
            <w:r>
              <w:rPr>
                <w:rFonts w:hint="eastAsia" w:ascii="Times New Roman" w:hAnsi="Times New Roman" w:eastAsia="宋体" w:cs="宋体"/>
                <w:b/>
                <w:bCs/>
                <w:color w:val="auto"/>
                <w:sz w:val="24"/>
                <w:szCs w:val="24"/>
                <w:highlight w:val="none"/>
                <w:lang w:val="en-US" w:eastAsia="zh-CN"/>
              </w:rPr>
              <w:t xml:space="preserve">6  </w:t>
            </w:r>
            <w:r>
              <w:rPr>
                <w:rFonts w:hint="eastAsia" w:ascii="Times New Roman" w:hAnsi="Times New Roman" w:eastAsia="宋体" w:cs="宋体"/>
                <w:b/>
                <w:bCs/>
                <w:color w:val="auto"/>
                <w:sz w:val="24"/>
                <w:szCs w:val="24"/>
                <w:highlight w:val="none"/>
              </w:rPr>
              <w:t>排放口基本情况</w:t>
            </w:r>
            <w:r>
              <w:rPr>
                <w:rFonts w:hint="eastAsia" w:ascii="Times New Roman" w:hAnsi="Times New Roman" w:eastAsia="宋体" w:cs="宋体"/>
                <w:b/>
                <w:bCs/>
                <w:color w:val="auto"/>
                <w:sz w:val="24"/>
                <w:szCs w:val="24"/>
                <w:highlight w:val="none"/>
                <w:lang w:val="en-US" w:eastAsia="zh-CN"/>
              </w:rPr>
              <w:t>表</w:t>
            </w:r>
          </w:p>
          <w:tbl>
            <w:tblPr>
              <w:tblStyle w:val="26"/>
              <w:tblW w:w="8355"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23"/>
              <w:gridCol w:w="1149"/>
              <w:gridCol w:w="751"/>
              <w:gridCol w:w="1486"/>
              <w:gridCol w:w="1352"/>
              <w:gridCol w:w="688"/>
              <w:gridCol w:w="755"/>
              <w:gridCol w:w="720"/>
              <w:gridCol w:w="531"/>
            </w:tblGrid>
            <w:tr w14:paraId="6D2840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835" w:type="dxa"/>
                  <w:vMerge w:val="restart"/>
                  <w:noWrap w:val="0"/>
                  <w:vAlign w:val="center"/>
                </w:tcPr>
                <w:p w14:paraId="2AB83E31">
                  <w:pPr>
                    <w:pStyle w:val="21"/>
                    <w:keepNext w:val="0"/>
                    <w:keepLines w:val="0"/>
                    <w:widowControl/>
                    <w:suppressLineNumbers w:val="0"/>
                    <w:adjustRightInd/>
                    <w:snapToGrid/>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编号</w:t>
                  </w:r>
                </w:p>
              </w:tc>
              <w:tc>
                <w:tcPr>
                  <w:tcW w:w="1448" w:type="dxa"/>
                  <w:vMerge w:val="restart"/>
                  <w:noWrap w:val="0"/>
                  <w:vAlign w:val="center"/>
                </w:tcPr>
                <w:p w14:paraId="057D2EE2">
                  <w:pPr>
                    <w:pStyle w:val="21"/>
                    <w:keepNext w:val="0"/>
                    <w:keepLines w:val="0"/>
                    <w:widowControl/>
                    <w:suppressLineNumbers w:val="0"/>
                    <w:adjustRightInd/>
                    <w:snapToGrid/>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名称</w:t>
                  </w:r>
                </w:p>
              </w:tc>
              <w:tc>
                <w:tcPr>
                  <w:tcW w:w="885" w:type="dxa"/>
                  <w:vMerge w:val="restart"/>
                  <w:noWrap w:val="0"/>
                  <w:vAlign w:val="center"/>
                </w:tcPr>
                <w:p w14:paraId="2E28F1D6">
                  <w:pPr>
                    <w:pStyle w:val="21"/>
                    <w:keepNext w:val="0"/>
                    <w:keepLines w:val="0"/>
                    <w:widowControl/>
                    <w:suppressLineNumbers w:val="0"/>
                    <w:adjustRightInd/>
                    <w:snapToGrid/>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污染物种类</w:t>
                  </w:r>
                </w:p>
              </w:tc>
              <w:tc>
                <w:tcPr>
                  <w:tcW w:w="2701" w:type="dxa"/>
                  <w:gridSpan w:val="2"/>
                  <w:noWrap w:val="0"/>
                  <w:vAlign w:val="center"/>
                </w:tcPr>
                <w:p w14:paraId="05B6A0D0">
                  <w:pPr>
                    <w:pStyle w:val="21"/>
                    <w:keepNext w:val="0"/>
                    <w:keepLines w:val="0"/>
                    <w:widowControl/>
                    <w:suppressLineNumbers w:val="0"/>
                    <w:adjustRightInd/>
                    <w:snapToGrid/>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排放口地理坐标</w:t>
                  </w:r>
                </w:p>
              </w:tc>
              <w:tc>
                <w:tcPr>
                  <w:tcW w:w="629" w:type="dxa"/>
                  <w:vMerge w:val="restart"/>
                  <w:noWrap w:val="0"/>
                  <w:vAlign w:val="center"/>
                </w:tcPr>
                <w:p w14:paraId="39570BB7">
                  <w:pPr>
                    <w:pStyle w:val="21"/>
                    <w:keepNext w:val="0"/>
                    <w:keepLines w:val="0"/>
                    <w:widowControl/>
                    <w:suppressLineNumbers w:val="0"/>
                    <w:adjustRightInd/>
                    <w:snapToGrid/>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高度</w:t>
                  </w:r>
                </w:p>
              </w:tc>
              <w:tc>
                <w:tcPr>
                  <w:tcW w:w="642" w:type="dxa"/>
                  <w:vMerge w:val="restart"/>
                  <w:noWrap w:val="0"/>
                  <w:vAlign w:val="center"/>
                </w:tcPr>
                <w:p w14:paraId="293C38EF">
                  <w:pPr>
                    <w:pStyle w:val="21"/>
                    <w:keepNext w:val="0"/>
                    <w:keepLines w:val="0"/>
                    <w:widowControl/>
                    <w:suppressLineNumbers w:val="0"/>
                    <w:adjustRightInd/>
                    <w:snapToGrid/>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内径</w:t>
                  </w:r>
                </w:p>
              </w:tc>
              <w:tc>
                <w:tcPr>
                  <w:tcW w:w="640" w:type="dxa"/>
                  <w:vMerge w:val="restart"/>
                  <w:noWrap w:val="0"/>
                  <w:vAlign w:val="center"/>
                </w:tcPr>
                <w:p w14:paraId="5FA2590D">
                  <w:pPr>
                    <w:pStyle w:val="21"/>
                    <w:keepNext w:val="0"/>
                    <w:keepLines w:val="0"/>
                    <w:widowControl/>
                    <w:suppressLineNumbers w:val="0"/>
                    <w:adjustRightInd/>
                    <w:snapToGrid/>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温度</w:t>
                  </w:r>
                </w:p>
              </w:tc>
              <w:tc>
                <w:tcPr>
                  <w:tcW w:w="575" w:type="dxa"/>
                  <w:vMerge w:val="restart"/>
                  <w:noWrap w:val="0"/>
                  <w:vAlign w:val="center"/>
                </w:tcPr>
                <w:p w14:paraId="7A3E132C">
                  <w:pPr>
                    <w:pStyle w:val="21"/>
                    <w:keepNext w:val="0"/>
                    <w:keepLines w:val="0"/>
                    <w:widowControl/>
                    <w:suppressLineNumbers w:val="0"/>
                    <w:adjustRightInd/>
                    <w:snapToGrid/>
                    <w:spacing w:before="0" w:beforeAutospacing="0" w:after="0" w:afterAutospacing="0" w:line="240" w:lineRule="auto"/>
                    <w:ind w:left="0" w:right="0"/>
                    <w:jc w:val="center"/>
                    <w:rPr>
                      <w:rFonts w:hint="eastAsia" w:ascii="Times New Roman" w:hAnsi="Times New Roman" w:eastAsia="宋体" w:cs="Times New Roman"/>
                      <w:color w:val="auto"/>
                      <w:kern w:val="0"/>
                      <w:sz w:val="21"/>
                      <w:szCs w:val="21"/>
                      <w:highlight w:val="none"/>
                      <w:lang w:eastAsia="zh-CN" w:bidi="ar"/>
                    </w:rPr>
                  </w:pPr>
                  <w:r>
                    <w:rPr>
                      <w:rFonts w:hint="eastAsia" w:ascii="Times New Roman" w:hAnsi="Times New Roman" w:cs="Times New Roman"/>
                      <w:color w:val="auto"/>
                      <w:kern w:val="0"/>
                      <w:sz w:val="21"/>
                      <w:szCs w:val="21"/>
                      <w:highlight w:val="none"/>
                      <w:lang w:eastAsia="zh-CN" w:bidi="ar"/>
                    </w:rPr>
                    <w:t>类型</w:t>
                  </w:r>
                </w:p>
              </w:tc>
            </w:tr>
            <w:tr w14:paraId="08E7ED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835" w:type="dxa"/>
                  <w:vMerge w:val="continue"/>
                  <w:noWrap w:val="0"/>
                  <w:vAlign w:val="center"/>
                </w:tcPr>
                <w:p w14:paraId="6E0F6F97">
                  <w:pPr>
                    <w:pStyle w:val="21"/>
                    <w:keepNext w:val="0"/>
                    <w:keepLines w:val="0"/>
                    <w:widowControl/>
                    <w:suppressLineNumbers w:val="0"/>
                    <w:adjustRightInd/>
                    <w:snapToGrid/>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lang w:bidi="ar"/>
                    </w:rPr>
                  </w:pPr>
                </w:p>
              </w:tc>
              <w:tc>
                <w:tcPr>
                  <w:tcW w:w="1448" w:type="dxa"/>
                  <w:vMerge w:val="continue"/>
                  <w:noWrap w:val="0"/>
                  <w:vAlign w:val="center"/>
                </w:tcPr>
                <w:p w14:paraId="550E80C6">
                  <w:pPr>
                    <w:pStyle w:val="21"/>
                    <w:keepNext w:val="0"/>
                    <w:keepLines w:val="0"/>
                    <w:widowControl/>
                    <w:suppressLineNumbers w:val="0"/>
                    <w:adjustRightInd/>
                    <w:snapToGrid/>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lang w:bidi="ar"/>
                    </w:rPr>
                  </w:pPr>
                </w:p>
              </w:tc>
              <w:tc>
                <w:tcPr>
                  <w:tcW w:w="885" w:type="dxa"/>
                  <w:vMerge w:val="continue"/>
                  <w:noWrap w:val="0"/>
                  <w:vAlign w:val="center"/>
                </w:tcPr>
                <w:p w14:paraId="3F425BB2">
                  <w:pPr>
                    <w:pStyle w:val="21"/>
                    <w:keepNext w:val="0"/>
                    <w:keepLines w:val="0"/>
                    <w:widowControl/>
                    <w:suppressLineNumbers w:val="0"/>
                    <w:adjustRightInd/>
                    <w:snapToGrid/>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lang w:bidi="ar"/>
                    </w:rPr>
                  </w:pPr>
                </w:p>
              </w:tc>
              <w:tc>
                <w:tcPr>
                  <w:tcW w:w="1425" w:type="dxa"/>
                  <w:noWrap w:val="0"/>
                  <w:vAlign w:val="center"/>
                </w:tcPr>
                <w:p w14:paraId="3F49E1A6">
                  <w:pPr>
                    <w:pStyle w:val="21"/>
                    <w:keepNext w:val="0"/>
                    <w:keepLines w:val="0"/>
                    <w:widowControl/>
                    <w:suppressLineNumbers w:val="0"/>
                    <w:adjustRightInd/>
                    <w:snapToGrid/>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经度（°）</w:t>
                  </w:r>
                </w:p>
              </w:tc>
              <w:tc>
                <w:tcPr>
                  <w:tcW w:w="1276" w:type="dxa"/>
                  <w:noWrap w:val="0"/>
                  <w:vAlign w:val="center"/>
                </w:tcPr>
                <w:p w14:paraId="60A67BC9">
                  <w:pPr>
                    <w:pStyle w:val="21"/>
                    <w:keepNext w:val="0"/>
                    <w:keepLines w:val="0"/>
                    <w:widowControl/>
                    <w:suppressLineNumbers w:val="0"/>
                    <w:adjustRightInd/>
                    <w:snapToGrid/>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纬度（°）</w:t>
                  </w:r>
                </w:p>
              </w:tc>
              <w:tc>
                <w:tcPr>
                  <w:tcW w:w="629" w:type="dxa"/>
                  <w:vMerge w:val="continue"/>
                  <w:noWrap w:val="0"/>
                  <w:vAlign w:val="center"/>
                </w:tcPr>
                <w:p w14:paraId="6D05FA4E">
                  <w:pPr>
                    <w:pStyle w:val="21"/>
                    <w:keepNext w:val="0"/>
                    <w:keepLines w:val="0"/>
                    <w:widowControl/>
                    <w:suppressLineNumbers w:val="0"/>
                    <w:adjustRightInd/>
                    <w:snapToGrid/>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lang w:bidi="ar"/>
                    </w:rPr>
                  </w:pPr>
                </w:p>
              </w:tc>
              <w:tc>
                <w:tcPr>
                  <w:tcW w:w="642" w:type="dxa"/>
                  <w:vMerge w:val="continue"/>
                  <w:noWrap w:val="0"/>
                  <w:vAlign w:val="center"/>
                </w:tcPr>
                <w:p w14:paraId="0551BDEF">
                  <w:pPr>
                    <w:pStyle w:val="21"/>
                    <w:keepNext w:val="0"/>
                    <w:keepLines w:val="0"/>
                    <w:widowControl/>
                    <w:suppressLineNumbers w:val="0"/>
                    <w:adjustRightInd/>
                    <w:snapToGrid/>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lang w:bidi="ar"/>
                    </w:rPr>
                  </w:pPr>
                </w:p>
              </w:tc>
              <w:tc>
                <w:tcPr>
                  <w:tcW w:w="640" w:type="dxa"/>
                  <w:vMerge w:val="continue"/>
                  <w:noWrap w:val="0"/>
                  <w:vAlign w:val="center"/>
                </w:tcPr>
                <w:p w14:paraId="5AC447B3">
                  <w:pPr>
                    <w:pStyle w:val="21"/>
                    <w:keepNext w:val="0"/>
                    <w:keepLines w:val="0"/>
                    <w:widowControl/>
                    <w:suppressLineNumbers w:val="0"/>
                    <w:adjustRightInd/>
                    <w:snapToGrid/>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lang w:bidi="ar"/>
                    </w:rPr>
                  </w:pPr>
                </w:p>
              </w:tc>
              <w:tc>
                <w:tcPr>
                  <w:tcW w:w="575" w:type="dxa"/>
                  <w:vMerge w:val="continue"/>
                  <w:noWrap w:val="0"/>
                  <w:vAlign w:val="center"/>
                </w:tcPr>
                <w:p w14:paraId="56449BA0">
                  <w:pPr>
                    <w:pStyle w:val="21"/>
                    <w:keepNext w:val="0"/>
                    <w:keepLines w:val="0"/>
                    <w:widowControl/>
                    <w:suppressLineNumbers w:val="0"/>
                    <w:adjustRightInd/>
                    <w:snapToGrid/>
                    <w:spacing w:before="0" w:beforeAutospacing="0" w:after="0" w:afterAutospacing="0" w:line="240" w:lineRule="auto"/>
                    <w:ind w:left="0" w:right="0"/>
                    <w:jc w:val="center"/>
                    <w:rPr>
                      <w:rFonts w:hint="default" w:ascii="Times New Roman" w:hAnsi="Times New Roman" w:cs="Times New Roman"/>
                      <w:color w:val="auto"/>
                      <w:kern w:val="0"/>
                      <w:sz w:val="21"/>
                      <w:szCs w:val="21"/>
                      <w:highlight w:val="none"/>
                      <w:lang w:bidi="ar"/>
                    </w:rPr>
                  </w:pPr>
                </w:p>
              </w:tc>
            </w:tr>
            <w:tr w14:paraId="78E0D5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835" w:type="dxa"/>
                  <w:noWrap w:val="0"/>
                  <w:vAlign w:val="center"/>
                </w:tcPr>
                <w:p w14:paraId="33B720BE">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default" w:ascii="Times New Roman" w:hAnsi="Times New Roman" w:cs="Times New Roman"/>
                      <w:color w:val="auto"/>
                      <w:kern w:val="0"/>
                      <w:sz w:val="21"/>
                      <w:szCs w:val="21"/>
                      <w:highlight w:val="none"/>
                      <w:lang w:val="en-US" w:bidi="ar"/>
                    </w:rPr>
                  </w:pPr>
                  <w:r>
                    <w:rPr>
                      <w:rFonts w:hint="eastAsia" w:ascii="Times New Roman" w:hAnsi="Times New Roman" w:cs="Times New Roman"/>
                      <w:color w:val="auto"/>
                      <w:kern w:val="0"/>
                      <w:sz w:val="21"/>
                      <w:szCs w:val="21"/>
                      <w:highlight w:val="none"/>
                      <w:lang w:val="en-US" w:eastAsia="zh-CN" w:bidi="ar"/>
                    </w:rPr>
                    <w:t>DA001</w:t>
                  </w:r>
                </w:p>
              </w:tc>
              <w:tc>
                <w:tcPr>
                  <w:tcW w:w="1448" w:type="dxa"/>
                  <w:noWrap w:val="0"/>
                  <w:vAlign w:val="center"/>
                </w:tcPr>
                <w:p w14:paraId="2470FE91">
                  <w:pPr>
                    <w:jc w:val="center"/>
                    <w:rPr>
                      <w:rFonts w:hint="default" w:ascii="Times New Roman" w:hAnsi="Times New Roman" w:cs="Times New Roman"/>
                      <w:color w:val="auto"/>
                      <w:kern w:val="0"/>
                      <w:sz w:val="21"/>
                      <w:szCs w:val="21"/>
                      <w:highlight w:val="none"/>
                      <w:lang w:bidi="ar"/>
                    </w:rPr>
                  </w:pPr>
                  <w:r>
                    <w:rPr>
                      <w:rFonts w:hint="eastAsia"/>
                      <w:color w:val="auto"/>
                      <w:kern w:val="21"/>
                      <w:sz w:val="21"/>
                      <w:szCs w:val="21"/>
                      <w:highlight w:val="none"/>
                      <w:u w:val="none" w:color="auto"/>
                      <w:lang w:val="en-US" w:eastAsia="zh-CN"/>
                    </w:rPr>
                    <w:t>水泥</w:t>
                  </w:r>
                  <w:r>
                    <w:rPr>
                      <w:rFonts w:hint="eastAsia" w:eastAsia="宋体"/>
                      <w:color w:val="auto"/>
                      <w:kern w:val="21"/>
                      <w:sz w:val="21"/>
                      <w:szCs w:val="21"/>
                      <w:highlight w:val="none"/>
                      <w:u w:val="none" w:color="auto"/>
                      <w:lang w:val="en-US" w:eastAsia="zh-CN"/>
                    </w:rPr>
                    <w:t>筒仓</w:t>
                  </w:r>
                  <w:r>
                    <w:rPr>
                      <w:rFonts w:hint="eastAsia"/>
                      <w:color w:val="auto"/>
                      <w:kern w:val="21"/>
                      <w:sz w:val="21"/>
                      <w:szCs w:val="21"/>
                      <w:highlight w:val="none"/>
                      <w:u w:val="none" w:color="auto"/>
                      <w:lang w:val="en-US" w:eastAsia="zh-CN"/>
                    </w:rPr>
                    <w:t>1</w:t>
                  </w:r>
                </w:p>
              </w:tc>
              <w:tc>
                <w:tcPr>
                  <w:tcW w:w="885" w:type="dxa"/>
                  <w:noWrap w:val="0"/>
                  <w:vAlign w:val="center"/>
                </w:tcPr>
                <w:p w14:paraId="41A781B1">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default" w:ascii="Times New Roman" w:hAnsi="Times New Roman" w:cs="Times New Roman"/>
                      <w:color w:val="auto"/>
                      <w:kern w:val="0"/>
                      <w:sz w:val="21"/>
                      <w:szCs w:val="21"/>
                      <w:highlight w:val="none"/>
                      <w:lang w:bidi="ar"/>
                    </w:rPr>
                  </w:pPr>
                  <w:r>
                    <w:rPr>
                      <w:rFonts w:hint="eastAsia" w:ascii="Times New Roman" w:hAnsi="Times New Roman" w:cs="Times New Roman"/>
                      <w:color w:val="auto"/>
                      <w:kern w:val="0"/>
                      <w:sz w:val="21"/>
                      <w:szCs w:val="21"/>
                      <w:highlight w:val="none"/>
                      <w:lang w:val="en-US" w:eastAsia="zh-CN" w:bidi="ar"/>
                    </w:rPr>
                    <w:t>颗粒物</w:t>
                  </w:r>
                </w:p>
              </w:tc>
              <w:tc>
                <w:tcPr>
                  <w:tcW w:w="1425" w:type="dxa"/>
                  <w:noWrap w:val="0"/>
                  <w:vAlign w:val="center"/>
                </w:tcPr>
                <w:p w14:paraId="4ED33112">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127.214984</w:t>
                  </w:r>
                </w:p>
              </w:tc>
              <w:tc>
                <w:tcPr>
                  <w:tcW w:w="1276" w:type="dxa"/>
                  <w:noWrap w:val="0"/>
                  <w:vAlign w:val="center"/>
                </w:tcPr>
                <w:p w14:paraId="16900947">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0"/>
                      <w:sz w:val="21"/>
                      <w:szCs w:val="21"/>
                      <w:highlight w:val="none"/>
                      <w:lang w:eastAsia="zh-CN" w:bidi="ar"/>
                    </w:rPr>
                  </w:pPr>
                  <w:r>
                    <w:rPr>
                      <w:rFonts w:hint="eastAsia" w:ascii="Times New Roman" w:hAnsi="Times New Roman" w:cs="Times New Roman"/>
                      <w:color w:val="auto"/>
                      <w:kern w:val="0"/>
                      <w:sz w:val="21"/>
                      <w:szCs w:val="21"/>
                      <w:highlight w:val="none"/>
                      <w:lang w:val="en-US" w:eastAsia="zh-CN" w:bidi="ar"/>
                    </w:rPr>
                    <w:t>41.984886</w:t>
                  </w:r>
                </w:p>
              </w:tc>
              <w:tc>
                <w:tcPr>
                  <w:tcW w:w="629" w:type="dxa"/>
                  <w:noWrap w:val="0"/>
                  <w:vAlign w:val="center"/>
                </w:tcPr>
                <w:p w14:paraId="79BA83A0">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default" w:ascii="Times New Roman" w:hAnsi="Times New Roman" w:cs="Times New Roman"/>
                      <w:color w:val="auto"/>
                      <w:kern w:val="0"/>
                      <w:sz w:val="21"/>
                      <w:szCs w:val="21"/>
                      <w:highlight w:val="none"/>
                      <w:lang w:bidi="ar"/>
                    </w:rPr>
                  </w:pPr>
                  <w:r>
                    <w:rPr>
                      <w:rFonts w:hint="eastAsia" w:ascii="Times New Roman" w:hAnsi="Times New Roman" w:cs="Times New Roman"/>
                      <w:color w:val="auto"/>
                      <w:kern w:val="0"/>
                      <w:sz w:val="21"/>
                      <w:szCs w:val="21"/>
                      <w:highlight w:val="none"/>
                      <w:lang w:val="en-US" w:eastAsia="zh-CN" w:bidi="ar"/>
                    </w:rPr>
                    <w:t>17m</w:t>
                  </w:r>
                </w:p>
              </w:tc>
              <w:tc>
                <w:tcPr>
                  <w:tcW w:w="642" w:type="dxa"/>
                  <w:noWrap w:val="0"/>
                  <w:vAlign w:val="center"/>
                </w:tcPr>
                <w:p w14:paraId="4E0EF41F">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default" w:ascii="Times New Roman" w:hAnsi="Times New Roman" w:cs="Times New Roman"/>
                      <w:color w:val="auto"/>
                      <w:kern w:val="0"/>
                      <w:sz w:val="21"/>
                      <w:szCs w:val="21"/>
                      <w:highlight w:val="none"/>
                      <w:lang w:bidi="ar"/>
                    </w:rPr>
                  </w:pPr>
                  <w:r>
                    <w:rPr>
                      <w:rFonts w:hint="eastAsia" w:ascii="Times New Roman" w:hAnsi="Times New Roman" w:cs="Times New Roman"/>
                      <w:color w:val="auto"/>
                      <w:kern w:val="0"/>
                      <w:sz w:val="21"/>
                      <w:szCs w:val="21"/>
                      <w:highlight w:val="none"/>
                      <w:lang w:val="en-US" w:eastAsia="zh-CN" w:bidi="ar"/>
                    </w:rPr>
                    <w:t>0.3m</w:t>
                  </w:r>
                </w:p>
              </w:tc>
              <w:tc>
                <w:tcPr>
                  <w:tcW w:w="640" w:type="dxa"/>
                  <w:noWrap w:val="0"/>
                  <w:vAlign w:val="center"/>
                </w:tcPr>
                <w:p w14:paraId="0F0280EB">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default" w:ascii="Times New Roman" w:hAnsi="Times New Roman" w:cs="Times New Roman"/>
                      <w:color w:val="auto"/>
                      <w:kern w:val="0"/>
                      <w:sz w:val="21"/>
                      <w:szCs w:val="21"/>
                      <w:highlight w:val="none"/>
                      <w:lang w:bidi="ar"/>
                    </w:rPr>
                  </w:pPr>
                  <w:r>
                    <w:rPr>
                      <w:rFonts w:hint="eastAsia" w:ascii="Times New Roman" w:hAnsi="Times New Roman" w:cs="Times New Roman"/>
                      <w:color w:val="auto"/>
                      <w:kern w:val="0"/>
                      <w:sz w:val="21"/>
                      <w:szCs w:val="21"/>
                      <w:highlight w:val="none"/>
                      <w:lang w:val="en-US" w:eastAsia="zh-CN" w:bidi="ar"/>
                    </w:rPr>
                    <w:t>25</w:t>
                  </w:r>
                  <w:r>
                    <w:rPr>
                      <w:rFonts w:hint="default" w:ascii="Times New Roman" w:hAnsi="Times New Roman" w:cs="Times New Roman"/>
                      <w:color w:val="auto"/>
                      <w:kern w:val="0"/>
                      <w:sz w:val="21"/>
                      <w:szCs w:val="21"/>
                      <w:highlight w:val="none"/>
                      <w:lang w:bidi="ar"/>
                    </w:rPr>
                    <w:t>℃</w:t>
                  </w:r>
                </w:p>
              </w:tc>
              <w:tc>
                <w:tcPr>
                  <w:tcW w:w="575" w:type="dxa"/>
                  <w:vMerge w:val="restart"/>
                  <w:noWrap w:val="0"/>
                  <w:vAlign w:val="center"/>
                </w:tcPr>
                <w:p w14:paraId="3C8EAD57">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一般排放口</w:t>
                  </w:r>
                </w:p>
              </w:tc>
            </w:tr>
            <w:tr w14:paraId="5C26D6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5" w:type="dxa"/>
                  <w:noWrap w:val="0"/>
                  <w:vAlign w:val="center"/>
                </w:tcPr>
                <w:p w14:paraId="1B8C45AB">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default"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DA002</w:t>
                  </w:r>
                </w:p>
              </w:tc>
              <w:tc>
                <w:tcPr>
                  <w:tcW w:w="1448" w:type="dxa"/>
                  <w:noWrap w:val="0"/>
                  <w:vAlign w:val="center"/>
                </w:tcPr>
                <w:p w14:paraId="0C1983DA">
                  <w:pPr>
                    <w:jc w:val="center"/>
                    <w:rPr>
                      <w:rFonts w:hint="default" w:ascii="Times New Roman" w:hAnsi="Times New Roman" w:cs="Times New Roman"/>
                      <w:color w:val="auto"/>
                      <w:kern w:val="0"/>
                      <w:sz w:val="21"/>
                      <w:szCs w:val="21"/>
                      <w:highlight w:val="none"/>
                      <w:lang w:bidi="ar"/>
                    </w:rPr>
                  </w:pPr>
                  <w:r>
                    <w:rPr>
                      <w:rFonts w:hint="eastAsia"/>
                      <w:color w:val="auto"/>
                      <w:kern w:val="21"/>
                      <w:sz w:val="21"/>
                      <w:szCs w:val="21"/>
                      <w:highlight w:val="none"/>
                      <w:u w:val="none" w:color="auto"/>
                      <w:lang w:val="en-US" w:eastAsia="zh-CN"/>
                    </w:rPr>
                    <w:t>水泥</w:t>
                  </w:r>
                  <w:r>
                    <w:rPr>
                      <w:rFonts w:hint="eastAsia" w:eastAsia="宋体"/>
                      <w:color w:val="auto"/>
                      <w:kern w:val="21"/>
                      <w:sz w:val="21"/>
                      <w:szCs w:val="21"/>
                      <w:highlight w:val="none"/>
                      <w:u w:val="none" w:color="auto"/>
                      <w:lang w:val="en-US" w:eastAsia="zh-CN"/>
                    </w:rPr>
                    <w:t>筒仓</w:t>
                  </w:r>
                  <w:r>
                    <w:rPr>
                      <w:rFonts w:hint="eastAsia"/>
                      <w:color w:val="auto"/>
                      <w:kern w:val="21"/>
                      <w:sz w:val="21"/>
                      <w:szCs w:val="21"/>
                      <w:highlight w:val="none"/>
                      <w:u w:val="none" w:color="auto"/>
                      <w:lang w:val="en-US" w:eastAsia="zh-CN"/>
                    </w:rPr>
                    <w:t>2</w:t>
                  </w:r>
                </w:p>
              </w:tc>
              <w:tc>
                <w:tcPr>
                  <w:tcW w:w="885" w:type="dxa"/>
                  <w:noWrap w:val="0"/>
                  <w:vAlign w:val="center"/>
                </w:tcPr>
                <w:p w14:paraId="017386E0">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颗粒物</w:t>
                  </w:r>
                </w:p>
              </w:tc>
              <w:tc>
                <w:tcPr>
                  <w:tcW w:w="1425" w:type="dxa"/>
                  <w:noWrap w:val="0"/>
                  <w:vAlign w:val="center"/>
                </w:tcPr>
                <w:p w14:paraId="4135811A">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127.214759</w:t>
                  </w:r>
                </w:p>
              </w:tc>
              <w:tc>
                <w:tcPr>
                  <w:tcW w:w="1276" w:type="dxa"/>
                  <w:noWrap w:val="0"/>
                  <w:vAlign w:val="center"/>
                </w:tcPr>
                <w:p w14:paraId="78188432">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41.985043</w:t>
                  </w:r>
                </w:p>
              </w:tc>
              <w:tc>
                <w:tcPr>
                  <w:tcW w:w="629" w:type="dxa"/>
                  <w:noWrap w:val="0"/>
                  <w:vAlign w:val="center"/>
                </w:tcPr>
                <w:p w14:paraId="4B85CFDE">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17m</w:t>
                  </w:r>
                </w:p>
              </w:tc>
              <w:tc>
                <w:tcPr>
                  <w:tcW w:w="642" w:type="dxa"/>
                  <w:noWrap w:val="0"/>
                  <w:vAlign w:val="center"/>
                </w:tcPr>
                <w:p w14:paraId="414E6BE1">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0.3m</w:t>
                  </w:r>
                </w:p>
              </w:tc>
              <w:tc>
                <w:tcPr>
                  <w:tcW w:w="640" w:type="dxa"/>
                  <w:noWrap w:val="0"/>
                  <w:vAlign w:val="center"/>
                </w:tcPr>
                <w:p w14:paraId="05BE0047">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25</w:t>
                  </w:r>
                  <w:r>
                    <w:rPr>
                      <w:rFonts w:hint="default" w:ascii="Times New Roman" w:hAnsi="Times New Roman" w:cs="Times New Roman"/>
                      <w:color w:val="auto"/>
                      <w:kern w:val="0"/>
                      <w:sz w:val="21"/>
                      <w:szCs w:val="21"/>
                      <w:highlight w:val="none"/>
                      <w:lang w:bidi="ar"/>
                    </w:rPr>
                    <w:t>℃</w:t>
                  </w:r>
                </w:p>
              </w:tc>
              <w:tc>
                <w:tcPr>
                  <w:tcW w:w="575" w:type="dxa"/>
                  <w:vMerge w:val="continue"/>
                  <w:noWrap w:val="0"/>
                  <w:vAlign w:val="center"/>
                </w:tcPr>
                <w:p w14:paraId="682CB04F">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p>
              </w:tc>
            </w:tr>
            <w:tr w14:paraId="138AB1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5" w:type="dxa"/>
                  <w:noWrap w:val="0"/>
                  <w:vAlign w:val="center"/>
                </w:tcPr>
                <w:p w14:paraId="424727B4">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default"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DA003</w:t>
                  </w:r>
                </w:p>
              </w:tc>
              <w:tc>
                <w:tcPr>
                  <w:tcW w:w="1448" w:type="dxa"/>
                  <w:noWrap w:val="0"/>
                  <w:vAlign w:val="center"/>
                </w:tcPr>
                <w:p w14:paraId="6B7FAEC4">
                  <w:pPr>
                    <w:jc w:val="center"/>
                    <w:rPr>
                      <w:rFonts w:hint="default" w:ascii="Times New Roman" w:hAnsi="Times New Roman" w:cs="Times New Roman"/>
                      <w:color w:val="auto"/>
                      <w:kern w:val="0"/>
                      <w:sz w:val="21"/>
                      <w:szCs w:val="21"/>
                      <w:highlight w:val="none"/>
                      <w:lang w:bidi="ar"/>
                    </w:rPr>
                  </w:pPr>
                  <w:r>
                    <w:rPr>
                      <w:rFonts w:hint="eastAsia"/>
                      <w:color w:val="auto"/>
                      <w:kern w:val="21"/>
                      <w:sz w:val="21"/>
                      <w:szCs w:val="21"/>
                      <w:highlight w:val="none"/>
                      <w:u w:val="none" w:color="auto"/>
                      <w:lang w:val="en-US" w:eastAsia="zh-CN"/>
                    </w:rPr>
                    <w:t>水泥</w:t>
                  </w:r>
                  <w:r>
                    <w:rPr>
                      <w:rFonts w:hint="eastAsia" w:eastAsia="宋体"/>
                      <w:color w:val="auto"/>
                      <w:kern w:val="21"/>
                      <w:sz w:val="21"/>
                      <w:szCs w:val="21"/>
                      <w:highlight w:val="none"/>
                      <w:u w:val="none" w:color="auto"/>
                      <w:lang w:val="en-US" w:eastAsia="zh-CN"/>
                    </w:rPr>
                    <w:t>筒仓</w:t>
                  </w:r>
                  <w:r>
                    <w:rPr>
                      <w:rFonts w:hint="eastAsia"/>
                      <w:color w:val="auto"/>
                      <w:kern w:val="21"/>
                      <w:sz w:val="21"/>
                      <w:szCs w:val="21"/>
                      <w:highlight w:val="none"/>
                      <w:u w:val="none" w:color="auto"/>
                      <w:lang w:val="en-US" w:eastAsia="zh-CN"/>
                    </w:rPr>
                    <w:t>3</w:t>
                  </w:r>
                </w:p>
              </w:tc>
              <w:tc>
                <w:tcPr>
                  <w:tcW w:w="885" w:type="dxa"/>
                  <w:noWrap w:val="0"/>
                  <w:vAlign w:val="center"/>
                </w:tcPr>
                <w:p w14:paraId="15D2FC07">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颗粒物</w:t>
                  </w:r>
                </w:p>
              </w:tc>
              <w:tc>
                <w:tcPr>
                  <w:tcW w:w="1425" w:type="dxa"/>
                  <w:noWrap w:val="0"/>
                  <w:vAlign w:val="center"/>
                </w:tcPr>
                <w:p w14:paraId="05A6C60A">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127.214901</w:t>
                  </w:r>
                </w:p>
              </w:tc>
              <w:tc>
                <w:tcPr>
                  <w:tcW w:w="1276" w:type="dxa"/>
                  <w:noWrap w:val="0"/>
                  <w:vAlign w:val="center"/>
                </w:tcPr>
                <w:p w14:paraId="45D35E79">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41.984927</w:t>
                  </w:r>
                </w:p>
              </w:tc>
              <w:tc>
                <w:tcPr>
                  <w:tcW w:w="629" w:type="dxa"/>
                  <w:noWrap w:val="0"/>
                  <w:vAlign w:val="center"/>
                </w:tcPr>
                <w:p w14:paraId="411ED326">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17m</w:t>
                  </w:r>
                </w:p>
              </w:tc>
              <w:tc>
                <w:tcPr>
                  <w:tcW w:w="642" w:type="dxa"/>
                  <w:noWrap w:val="0"/>
                  <w:vAlign w:val="center"/>
                </w:tcPr>
                <w:p w14:paraId="4426EC94">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0.3m</w:t>
                  </w:r>
                </w:p>
              </w:tc>
              <w:tc>
                <w:tcPr>
                  <w:tcW w:w="640" w:type="dxa"/>
                  <w:noWrap w:val="0"/>
                  <w:vAlign w:val="center"/>
                </w:tcPr>
                <w:p w14:paraId="51A663E3">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25</w:t>
                  </w:r>
                  <w:r>
                    <w:rPr>
                      <w:rFonts w:hint="default" w:ascii="Times New Roman" w:hAnsi="Times New Roman" w:cs="Times New Roman"/>
                      <w:color w:val="auto"/>
                      <w:kern w:val="0"/>
                      <w:sz w:val="21"/>
                      <w:szCs w:val="21"/>
                      <w:highlight w:val="none"/>
                      <w:lang w:bidi="ar"/>
                    </w:rPr>
                    <w:t>℃</w:t>
                  </w:r>
                </w:p>
              </w:tc>
              <w:tc>
                <w:tcPr>
                  <w:tcW w:w="575" w:type="dxa"/>
                  <w:vMerge w:val="continue"/>
                  <w:noWrap w:val="0"/>
                  <w:vAlign w:val="center"/>
                </w:tcPr>
                <w:p w14:paraId="6772CEC8">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p>
              </w:tc>
            </w:tr>
            <w:tr w14:paraId="4AF02F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5" w:type="dxa"/>
                  <w:noWrap w:val="0"/>
                  <w:vAlign w:val="center"/>
                </w:tcPr>
                <w:p w14:paraId="65A69E95">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default"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DA004</w:t>
                  </w:r>
                </w:p>
              </w:tc>
              <w:tc>
                <w:tcPr>
                  <w:tcW w:w="1448" w:type="dxa"/>
                  <w:noWrap w:val="0"/>
                  <w:vAlign w:val="center"/>
                </w:tcPr>
                <w:p w14:paraId="139B5CC4">
                  <w:pPr>
                    <w:jc w:val="center"/>
                    <w:rPr>
                      <w:rFonts w:hint="default" w:ascii="Times New Roman" w:hAnsi="Times New Roman" w:cs="Times New Roman"/>
                      <w:color w:val="auto"/>
                      <w:kern w:val="0"/>
                      <w:sz w:val="21"/>
                      <w:szCs w:val="21"/>
                      <w:highlight w:val="none"/>
                      <w:lang w:bidi="ar"/>
                    </w:rPr>
                  </w:pPr>
                  <w:r>
                    <w:rPr>
                      <w:rFonts w:hint="eastAsia"/>
                      <w:color w:val="auto"/>
                      <w:kern w:val="21"/>
                      <w:sz w:val="21"/>
                      <w:szCs w:val="21"/>
                      <w:highlight w:val="none"/>
                      <w:u w:val="none" w:color="auto"/>
                      <w:lang w:val="en-US" w:eastAsia="zh-CN"/>
                    </w:rPr>
                    <w:t>水泥</w:t>
                  </w:r>
                  <w:r>
                    <w:rPr>
                      <w:rFonts w:hint="eastAsia" w:eastAsia="宋体"/>
                      <w:color w:val="auto"/>
                      <w:kern w:val="21"/>
                      <w:sz w:val="21"/>
                      <w:szCs w:val="21"/>
                      <w:highlight w:val="none"/>
                      <w:u w:val="none" w:color="auto"/>
                      <w:lang w:val="en-US" w:eastAsia="zh-CN"/>
                    </w:rPr>
                    <w:t>筒仓</w:t>
                  </w:r>
                  <w:r>
                    <w:rPr>
                      <w:rFonts w:hint="eastAsia"/>
                      <w:color w:val="auto"/>
                      <w:kern w:val="21"/>
                      <w:sz w:val="21"/>
                      <w:szCs w:val="21"/>
                      <w:highlight w:val="none"/>
                      <w:u w:val="none" w:color="auto"/>
                      <w:lang w:val="en-US" w:eastAsia="zh-CN"/>
                    </w:rPr>
                    <w:t>4</w:t>
                  </w:r>
                </w:p>
              </w:tc>
              <w:tc>
                <w:tcPr>
                  <w:tcW w:w="885" w:type="dxa"/>
                  <w:noWrap w:val="0"/>
                  <w:vAlign w:val="center"/>
                </w:tcPr>
                <w:p w14:paraId="3588C0CD">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颗粒物</w:t>
                  </w:r>
                </w:p>
              </w:tc>
              <w:tc>
                <w:tcPr>
                  <w:tcW w:w="1425" w:type="dxa"/>
                  <w:noWrap w:val="0"/>
                  <w:vAlign w:val="center"/>
                </w:tcPr>
                <w:p w14:paraId="7EA4E23D">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127.214976</w:t>
                  </w:r>
                </w:p>
              </w:tc>
              <w:tc>
                <w:tcPr>
                  <w:tcW w:w="1276" w:type="dxa"/>
                  <w:noWrap w:val="0"/>
                  <w:vAlign w:val="center"/>
                </w:tcPr>
                <w:p w14:paraId="66D5B74F">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41.984908</w:t>
                  </w:r>
                </w:p>
              </w:tc>
              <w:tc>
                <w:tcPr>
                  <w:tcW w:w="629" w:type="dxa"/>
                  <w:noWrap w:val="0"/>
                  <w:vAlign w:val="center"/>
                </w:tcPr>
                <w:p w14:paraId="5C69B52E">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17m</w:t>
                  </w:r>
                </w:p>
              </w:tc>
              <w:tc>
                <w:tcPr>
                  <w:tcW w:w="642" w:type="dxa"/>
                  <w:noWrap w:val="0"/>
                  <w:vAlign w:val="center"/>
                </w:tcPr>
                <w:p w14:paraId="5AE605DA">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0.3m</w:t>
                  </w:r>
                </w:p>
              </w:tc>
              <w:tc>
                <w:tcPr>
                  <w:tcW w:w="640" w:type="dxa"/>
                  <w:noWrap w:val="0"/>
                  <w:vAlign w:val="center"/>
                </w:tcPr>
                <w:p w14:paraId="3D4B7D07">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25</w:t>
                  </w:r>
                  <w:r>
                    <w:rPr>
                      <w:rFonts w:hint="default" w:ascii="Times New Roman" w:hAnsi="Times New Roman" w:cs="Times New Roman"/>
                      <w:color w:val="auto"/>
                      <w:kern w:val="0"/>
                      <w:sz w:val="21"/>
                      <w:szCs w:val="21"/>
                      <w:highlight w:val="none"/>
                      <w:lang w:bidi="ar"/>
                    </w:rPr>
                    <w:t>℃</w:t>
                  </w:r>
                </w:p>
              </w:tc>
              <w:tc>
                <w:tcPr>
                  <w:tcW w:w="575" w:type="dxa"/>
                  <w:vMerge w:val="continue"/>
                  <w:noWrap w:val="0"/>
                  <w:vAlign w:val="center"/>
                </w:tcPr>
                <w:p w14:paraId="4B7F6F27">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p>
              </w:tc>
            </w:tr>
            <w:tr w14:paraId="661CDD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5" w:type="dxa"/>
                  <w:noWrap w:val="0"/>
                  <w:vAlign w:val="center"/>
                </w:tcPr>
                <w:p w14:paraId="36459985">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default"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DA005</w:t>
                  </w:r>
                </w:p>
              </w:tc>
              <w:tc>
                <w:tcPr>
                  <w:tcW w:w="1448" w:type="dxa"/>
                  <w:noWrap w:val="0"/>
                  <w:vAlign w:val="center"/>
                </w:tcPr>
                <w:p w14:paraId="08004615">
                  <w:pPr>
                    <w:jc w:val="center"/>
                    <w:rPr>
                      <w:rFonts w:hint="default" w:ascii="Times New Roman" w:hAnsi="Times New Roman" w:cs="Times New Roman"/>
                      <w:color w:val="auto"/>
                      <w:kern w:val="0"/>
                      <w:sz w:val="21"/>
                      <w:szCs w:val="21"/>
                      <w:highlight w:val="none"/>
                      <w:lang w:bidi="ar"/>
                    </w:rPr>
                  </w:pPr>
                  <w:r>
                    <w:rPr>
                      <w:rFonts w:hint="eastAsia"/>
                      <w:color w:val="auto"/>
                      <w:kern w:val="21"/>
                      <w:sz w:val="21"/>
                      <w:szCs w:val="21"/>
                      <w:highlight w:val="none"/>
                      <w:u w:val="none" w:color="auto"/>
                      <w:lang w:val="en-US" w:eastAsia="zh-CN"/>
                    </w:rPr>
                    <w:t>水泥</w:t>
                  </w:r>
                  <w:r>
                    <w:rPr>
                      <w:rFonts w:hint="eastAsia" w:eastAsia="宋体"/>
                      <w:color w:val="auto"/>
                      <w:kern w:val="21"/>
                      <w:sz w:val="21"/>
                      <w:szCs w:val="21"/>
                      <w:highlight w:val="none"/>
                      <w:u w:val="none" w:color="auto"/>
                      <w:lang w:val="en-US" w:eastAsia="zh-CN"/>
                    </w:rPr>
                    <w:t>筒仓</w:t>
                  </w:r>
                  <w:r>
                    <w:rPr>
                      <w:rFonts w:hint="eastAsia"/>
                      <w:color w:val="auto"/>
                      <w:kern w:val="21"/>
                      <w:sz w:val="21"/>
                      <w:szCs w:val="21"/>
                      <w:highlight w:val="none"/>
                      <w:u w:val="none" w:color="auto"/>
                      <w:lang w:val="en-US" w:eastAsia="zh-CN"/>
                    </w:rPr>
                    <w:t>5</w:t>
                  </w:r>
                </w:p>
              </w:tc>
              <w:tc>
                <w:tcPr>
                  <w:tcW w:w="885" w:type="dxa"/>
                  <w:noWrap w:val="0"/>
                  <w:vAlign w:val="center"/>
                </w:tcPr>
                <w:p w14:paraId="5DEF321A">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颗粒物</w:t>
                  </w:r>
                </w:p>
              </w:tc>
              <w:tc>
                <w:tcPr>
                  <w:tcW w:w="1425" w:type="dxa"/>
                  <w:noWrap w:val="0"/>
                  <w:vAlign w:val="center"/>
                </w:tcPr>
                <w:p w14:paraId="76F99746">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127.214966</w:t>
                  </w:r>
                </w:p>
              </w:tc>
              <w:tc>
                <w:tcPr>
                  <w:tcW w:w="1276" w:type="dxa"/>
                  <w:noWrap w:val="0"/>
                  <w:vAlign w:val="center"/>
                </w:tcPr>
                <w:p w14:paraId="645FDDD0">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41.984882</w:t>
                  </w:r>
                </w:p>
              </w:tc>
              <w:tc>
                <w:tcPr>
                  <w:tcW w:w="629" w:type="dxa"/>
                  <w:noWrap w:val="0"/>
                  <w:vAlign w:val="center"/>
                </w:tcPr>
                <w:p w14:paraId="526CAF3E">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17m</w:t>
                  </w:r>
                </w:p>
              </w:tc>
              <w:tc>
                <w:tcPr>
                  <w:tcW w:w="642" w:type="dxa"/>
                  <w:noWrap w:val="0"/>
                  <w:vAlign w:val="center"/>
                </w:tcPr>
                <w:p w14:paraId="0AFECF1A">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0.3m</w:t>
                  </w:r>
                </w:p>
              </w:tc>
              <w:tc>
                <w:tcPr>
                  <w:tcW w:w="640" w:type="dxa"/>
                  <w:noWrap w:val="0"/>
                  <w:vAlign w:val="center"/>
                </w:tcPr>
                <w:p w14:paraId="0182CACD">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25</w:t>
                  </w:r>
                  <w:r>
                    <w:rPr>
                      <w:rFonts w:hint="default" w:ascii="Times New Roman" w:hAnsi="Times New Roman" w:cs="Times New Roman"/>
                      <w:color w:val="auto"/>
                      <w:kern w:val="0"/>
                      <w:sz w:val="21"/>
                      <w:szCs w:val="21"/>
                      <w:highlight w:val="none"/>
                      <w:lang w:bidi="ar"/>
                    </w:rPr>
                    <w:t>℃</w:t>
                  </w:r>
                </w:p>
              </w:tc>
              <w:tc>
                <w:tcPr>
                  <w:tcW w:w="575" w:type="dxa"/>
                  <w:vMerge w:val="continue"/>
                  <w:noWrap w:val="0"/>
                  <w:vAlign w:val="center"/>
                </w:tcPr>
                <w:p w14:paraId="6CF992D5">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p>
              </w:tc>
            </w:tr>
            <w:tr w14:paraId="01D35D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5" w:type="dxa"/>
                  <w:noWrap w:val="0"/>
                  <w:vAlign w:val="center"/>
                </w:tcPr>
                <w:p w14:paraId="0213A4CB">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default"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DA006</w:t>
                  </w:r>
                </w:p>
              </w:tc>
              <w:tc>
                <w:tcPr>
                  <w:tcW w:w="1448" w:type="dxa"/>
                  <w:noWrap w:val="0"/>
                  <w:vAlign w:val="center"/>
                </w:tcPr>
                <w:p w14:paraId="3A4F437C">
                  <w:pPr>
                    <w:jc w:val="center"/>
                    <w:rPr>
                      <w:rFonts w:hint="default" w:ascii="Times New Roman" w:hAnsi="Times New Roman" w:cs="Times New Roman"/>
                      <w:color w:val="auto"/>
                      <w:kern w:val="0"/>
                      <w:sz w:val="21"/>
                      <w:szCs w:val="21"/>
                      <w:highlight w:val="none"/>
                      <w:lang w:bidi="ar"/>
                    </w:rPr>
                  </w:pPr>
                  <w:r>
                    <w:rPr>
                      <w:rFonts w:hint="eastAsia"/>
                      <w:color w:val="auto"/>
                      <w:kern w:val="21"/>
                      <w:sz w:val="21"/>
                      <w:szCs w:val="21"/>
                      <w:highlight w:val="none"/>
                      <w:u w:val="none" w:color="auto"/>
                      <w:lang w:val="en-US" w:eastAsia="zh-CN"/>
                    </w:rPr>
                    <w:t>水泥</w:t>
                  </w:r>
                  <w:r>
                    <w:rPr>
                      <w:rFonts w:hint="eastAsia" w:eastAsia="宋体"/>
                      <w:color w:val="auto"/>
                      <w:kern w:val="21"/>
                      <w:sz w:val="21"/>
                      <w:szCs w:val="21"/>
                      <w:highlight w:val="none"/>
                      <w:u w:val="none" w:color="auto"/>
                      <w:lang w:val="en-US" w:eastAsia="zh-CN"/>
                    </w:rPr>
                    <w:t>筒仓</w:t>
                  </w:r>
                  <w:r>
                    <w:rPr>
                      <w:rFonts w:hint="eastAsia"/>
                      <w:color w:val="auto"/>
                      <w:kern w:val="21"/>
                      <w:sz w:val="21"/>
                      <w:szCs w:val="21"/>
                      <w:highlight w:val="none"/>
                      <w:u w:val="none" w:color="auto"/>
                      <w:lang w:val="en-US" w:eastAsia="zh-CN"/>
                    </w:rPr>
                    <w:t>6</w:t>
                  </w:r>
                </w:p>
              </w:tc>
              <w:tc>
                <w:tcPr>
                  <w:tcW w:w="885" w:type="dxa"/>
                  <w:noWrap w:val="0"/>
                  <w:vAlign w:val="center"/>
                </w:tcPr>
                <w:p w14:paraId="390CECD3">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颗粒物</w:t>
                  </w:r>
                </w:p>
              </w:tc>
              <w:tc>
                <w:tcPr>
                  <w:tcW w:w="1425" w:type="dxa"/>
                  <w:noWrap w:val="0"/>
                  <w:vAlign w:val="center"/>
                </w:tcPr>
                <w:p w14:paraId="4CA6DB81">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127.215066</w:t>
                  </w:r>
                </w:p>
              </w:tc>
              <w:tc>
                <w:tcPr>
                  <w:tcW w:w="1276" w:type="dxa"/>
                  <w:noWrap w:val="0"/>
                  <w:vAlign w:val="center"/>
                </w:tcPr>
                <w:p w14:paraId="67B51CBD">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41.984794</w:t>
                  </w:r>
                </w:p>
              </w:tc>
              <w:tc>
                <w:tcPr>
                  <w:tcW w:w="629" w:type="dxa"/>
                  <w:noWrap w:val="0"/>
                  <w:vAlign w:val="center"/>
                </w:tcPr>
                <w:p w14:paraId="43F18DD8">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17m</w:t>
                  </w:r>
                </w:p>
              </w:tc>
              <w:tc>
                <w:tcPr>
                  <w:tcW w:w="642" w:type="dxa"/>
                  <w:noWrap w:val="0"/>
                  <w:vAlign w:val="center"/>
                </w:tcPr>
                <w:p w14:paraId="4DDE9FB6">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0.3m</w:t>
                  </w:r>
                </w:p>
              </w:tc>
              <w:tc>
                <w:tcPr>
                  <w:tcW w:w="640" w:type="dxa"/>
                  <w:noWrap w:val="0"/>
                  <w:vAlign w:val="center"/>
                </w:tcPr>
                <w:p w14:paraId="1B10868C">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25</w:t>
                  </w:r>
                  <w:r>
                    <w:rPr>
                      <w:rFonts w:hint="default" w:ascii="Times New Roman" w:hAnsi="Times New Roman" w:cs="Times New Roman"/>
                      <w:color w:val="auto"/>
                      <w:kern w:val="0"/>
                      <w:sz w:val="21"/>
                      <w:szCs w:val="21"/>
                      <w:highlight w:val="none"/>
                      <w:lang w:bidi="ar"/>
                    </w:rPr>
                    <w:t>℃</w:t>
                  </w:r>
                </w:p>
              </w:tc>
              <w:tc>
                <w:tcPr>
                  <w:tcW w:w="575" w:type="dxa"/>
                  <w:vMerge w:val="continue"/>
                  <w:noWrap w:val="0"/>
                  <w:vAlign w:val="center"/>
                </w:tcPr>
                <w:p w14:paraId="4660753D">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p>
              </w:tc>
            </w:tr>
            <w:tr w14:paraId="615B7D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5" w:type="dxa"/>
                  <w:noWrap w:val="0"/>
                  <w:vAlign w:val="center"/>
                </w:tcPr>
                <w:p w14:paraId="40AD420C">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default"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DA007</w:t>
                  </w:r>
                </w:p>
              </w:tc>
              <w:tc>
                <w:tcPr>
                  <w:tcW w:w="1448" w:type="dxa"/>
                  <w:noWrap w:val="0"/>
                  <w:vAlign w:val="center"/>
                </w:tcPr>
                <w:p w14:paraId="0FA83003">
                  <w:pPr>
                    <w:jc w:val="center"/>
                    <w:rPr>
                      <w:rFonts w:hint="default" w:ascii="Times New Roman" w:hAnsi="Times New Roman" w:cs="Times New Roman"/>
                      <w:color w:val="auto"/>
                      <w:kern w:val="0"/>
                      <w:sz w:val="21"/>
                      <w:szCs w:val="21"/>
                      <w:highlight w:val="none"/>
                      <w:lang w:bidi="ar"/>
                    </w:rPr>
                  </w:pPr>
                  <w:r>
                    <w:rPr>
                      <w:rFonts w:hint="eastAsia"/>
                      <w:color w:val="auto"/>
                      <w:kern w:val="21"/>
                      <w:sz w:val="21"/>
                      <w:szCs w:val="21"/>
                      <w:highlight w:val="none"/>
                      <w:u w:val="none" w:color="auto"/>
                      <w:lang w:val="en-US" w:eastAsia="zh-CN"/>
                    </w:rPr>
                    <w:t>粉煤灰筒仓1</w:t>
                  </w:r>
                </w:p>
              </w:tc>
              <w:tc>
                <w:tcPr>
                  <w:tcW w:w="885" w:type="dxa"/>
                  <w:noWrap w:val="0"/>
                  <w:vAlign w:val="center"/>
                </w:tcPr>
                <w:p w14:paraId="56094192">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颗粒物</w:t>
                  </w:r>
                </w:p>
              </w:tc>
              <w:tc>
                <w:tcPr>
                  <w:tcW w:w="1425" w:type="dxa"/>
                  <w:noWrap w:val="0"/>
                  <w:vAlign w:val="center"/>
                </w:tcPr>
                <w:p w14:paraId="3F5EEF7E">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127.215019</w:t>
                  </w:r>
                </w:p>
              </w:tc>
              <w:tc>
                <w:tcPr>
                  <w:tcW w:w="1276" w:type="dxa"/>
                  <w:noWrap w:val="0"/>
                  <w:vAlign w:val="center"/>
                </w:tcPr>
                <w:p w14:paraId="6788A1E7">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41.984845</w:t>
                  </w:r>
                </w:p>
              </w:tc>
              <w:tc>
                <w:tcPr>
                  <w:tcW w:w="629" w:type="dxa"/>
                  <w:noWrap w:val="0"/>
                  <w:vAlign w:val="center"/>
                </w:tcPr>
                <w:p w14:paraId="005EF1A2">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17m</w:t>
                  </w:r>
                </w:p>
              </w:tc>
              <w:tc>
                <w:tcPr>
                  <w:tcW w:w="642" w:type="dxa"/>
                  <w:noWrap w:val="0"/>
                  <w:vAlign w:val="center"/>
                </w:tcPr>
                <w:p w14:paraId="19DF0D13">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0.3m</w:t>
                  </w:r>
                </w:p>
              </w:tc>
              <w:tc>
                <w:tcPr>
                  <w:tcW w:w="640" w:type="dxa"/>
                  <w:noWrap w:val="0"/>
                  <w:vAlign w:val="center"/>
                </w:tcPr>
                <w:p w14:paraId="24534216">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25</w:t>
                  </w:r>
                  <w:r>
                    <w:rPr>
                      <w:rFonts w:hint="default" w:ascii="Times New Roman" w:hAnsi="Times New Roman" w:cs="Times New Roman"/>
                      <w:color w:val="auto"/>
                      <w:kern w:val="0"/>
                      <w:sz w:val="21"/>
                      <w:szCs w:val="21"/>
                      <w:highlight w:val="none"/>
                      <w:lang w:bidi="ar"/>
                    </w:rPr>
                    <w:t>℃</w:t>
                  </w:r>
                </w:p>
              </w:tc>
              <w:tc>
                <w:tcPr>
                  <w:tcW w:w="575" w:type="dxa"/>
                  <w:vMerge w:val="continue"/>
                  <w:noWrap w:val="0"/>
                  <w:vAlign w:val="center"/>
                </w:tcPr>
                <w:p w14:paraId="4D2CC99B">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p>
              </w:tc>
            </w:tr>
            <w:tr w14:paraId="551A42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835" w:type="dxa"/>
                  <w:noWrap w:val="0"/>
                  <w:vAlign w:val="center"/>
                </w:tcPr>
                <w:p w14:paraId="10CA3149">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default"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DA008</w:t>
                  </w:r>
                </w:p>
              </w:tc>
              <w:tc>
                <w:tcPr>
                  <w:tcW w:w="1448" w:type="dxa"/>
                  <w:noWrap w:val="0"/>
                  <w:vAlign w:val="center"/>
                </w:tcPr>
                <w:p w14:paraId="4F8CA027">
                  <w:pPr>
                    <w:jc w:val="center"/>
                    <w:rPr>
                      <w:rFonts w:hint="default" w:ascii="Times New Roman" w:hAnsi="Times New Roman" w:cs="Times New Roman"/>
                      <w:color w:val="auto"/>
                      <w:kern w:val="0"/>
                      <w:sz w:val="21"/>
                      <w:szCs w:val="21"/>
                      <w:highlight w:val="none"/>
                      <w:lang w:bidi="ar"/>
                    </w:rPr>
                  </w:pPr>
                  <w:r>
                    <w:rPr>
                      <w:rFonts w:hint="eastAsia"/>
                      <w:color w:val="auto"/>
                      <w:kern w:val="21"/>
                      <w:sz w:val="21"/>
                      <w:szCs w:val="21"/>
                      <w:highlight w:val="none"/>
                      <w:u w:val="none" w:color="auto"/>
                      <w:lang w:val="en-US" w:eastAsia="zh-CN"/>
                    </w:rPr>
                    <w:t>粉煤灰筒仓2</w:t>
                  </w:r>
                </w:p>
              </w:tc>
              <w:tc>
                <w:tcPr>
                  <w:tcW w:w="885" w:type="dxa"/>
                  <w:noWrap w:val="0"/>
                  <w:vAlign w:val="center"/>
                </w:tcPr>
                <w:p w14:paraId="4BFAF4E3">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颗粒物</w:t>
                  </w:r>
                </w:p>
              </w:tc>
              <w:tc>
                <w:tcPr>
                  <w:tcW w:w="1425" w:type="dxa"/>
                  <w:noWrap w:val="0"/>
                  <w:vAlign w:val="center"/>
                </w:tcPr>
                <w:p w14:paraId="76361883">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127.215015</w:t>
                  </w:r>
                </w:p>
              </w:tc>
              <w:tc>
                <w:tcPr>
                  <w:tcW w:w="1276" w:type="dxa"/>
                  <w:noWrap w:val="0"/>
                  <w:vAlign w:val="center"/>
                </w:tcPr>
                <w:p w14:paraId="6CE148D5">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41.984802</w:t>
                  </w:r>
                </w:p>
              </w:tc>
              <w:tc>
                <w:tcPr>
                  <w:tcW w:w="629" w:type="dxa"/>
                  <w:noWrap w:val="0"/>
                  <w:vAlign w:val="center"/>
                </w:tcPr>
                <w:p w14:paraId="2E4BF076">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17m</w:t>
                  </w:r>
                </w:p>
              </w:tc>
              <w:tc>
                <w:tcPr>
                  <w:tcW w:w="642" w:type="dxa"/>
                  <w:noWrap w:val="0"/>
                  <w:vAlign w:val="center"/>
                </w:tcPr>
                <w:p w14:paraId="22E7DD1C">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0.3m</w:t>
                  </w:r>
                </w:p>
              </w:tc>
              <w:tc>
                <w:tcPr>
                  <w:tcW w:w="640" w:type="dxa"/>
                  <w:noWrap w:val="0"/>
                  <w:vAlign w:val="center"/>
                </w:tcPr>
                <w:p w14:paraId="2F26AB34">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25</w:t>
                  </w:r>
                  <w:r>
                    <w:rPr>
                      <w:rFonts w:hint="default" w:ascii="Times New Roman" w:hAnsi="Times New Roman" w:cs="Times New Roman"/>
                      <w:color w:val="auto"/>
                      <w:kern w:val="0"/>
                      <w:sz w:val="21"/>
                      <w:szCs w:val="21"/>
                      <w:highlight w:val="none"/>
                      <w:lang w:bidi="ar"/>
                    </w:rPr>
                    <w:t>℃</w:t>
                  </w:r>
                </w:p>
              </w:tc>
              <w:tc>
                <w:tcPr>
                  <w:tcW w:w="575" w:type="dxa"/>
                  <w:vMerge w:val="continue"/>
                  <w:noWrap w:val="0"/>
                  <w:vAlign w:val="center"/>
                </w:tcPr>
                <w:p w14:paraId="4BAA7F4C">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p>
              </w:tc>
            </w:tr>
            <w:tr w14:paraId="1B412E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835" w:type="dxa"/>
                  <w:noWrap w:val="0"/>
                  <w:vAlign w:val="center"/>
                </w:tcPr>
                <w:p w14:paraId="70050FA3">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default" w:ascii="Times New Roman" w:hAnsi="Times New Roman" w:cs="Times New Roman"/>
                      <w:color w:val="auto"/>
                      <w:kern w:val="0"/>
                      <w:sz w:val="21"/>
                      <w:szCs w:val="21"/>
                      <w:highlight w:val="none"/>
                      <w:u w:val="single" w:color="auto"/>
                      <w:lang w:val="en-US" w:eastAsia="zh-CN" w:bidi="ar"/>
                    </w:rPr>
                  </w:pPr>
                  <w:r>
                    <w:rPr>
                      <w:rFonts w:hint="eastAsia" w:ascii="Times New Roman" w:hAnsi="Times New Roman" w:cs="Times New Roman"/>
                      <w:color w:val="auto"/>
                      <w:kern w:val="0"/>
                      <w:sz w:val="21"/>
                      <w:szCs w:val="21"/>
                      <w:highlight w:val="none"/>
                      <w:u w:val="single" w:color="auto"/>
                      <w:lang w:val="en-US" w:eastAsia="zh-CN" w:bidi="ar"/>
                    </w:rPr>
                    <w:t>DA009</w:t>
                  </w:r>
                </w:p>
              </w:tc>
              <w:tc>
                <w:tcPr>
                  <w:tcW w:w="1448" w:type="dxa"/>
                  <w:noWrap w:val="0"/>
                  <w:vAlign w:val="center"/>
                </w:tcPr>
                <w:p w14:paraId="25AF01AB">
                  <w:pPr>
                    <w:jc w:val="center"/>
                    <w:rPr>
                      <w:rFonts w:hint="default"/>
                      <w:color w:val="auto"/>
                      <w:kern w:val="21"/>
                      <w:sz w:val="21"/>
                      <w:szCs w:val="21"/>
                      <w:highlight w:val="none"/>
                      <w:u w:val="single" w:color="auto"/>
                      <w:lang w:val="en-US" w:eastAsia="zh-CN"/>
                    </w:rPr>
                  </w:pPr>
                  <w:r>
                    <w:rPr>
                      <w:rFonts w:hint="eastAsia"/>
                      <w:color w:val="auto"/>
                      <w:kern w:val="21"/>
                      <w:sz w:val="21"/>
                      <w:szCs w:val="21"/>
                      <w:highlight w:val="none"/>
                      <w:u w:val="single" w:color="auto"/>
                      <w:lang w:val="en-US" w:eastAsia="zh-CN"/>
                    </w:rPr>
                    <w:t>搅拌机1</w:t>
                  </w:r>
                </w:p>
              </w:tc>
              <w:tc>
                <w:tcPr>
                  <w:tcW w:w="885" w:type="dxa"/>
                  <w:noWrap w:val="0"/>
                  <w:vAlign w:val="center"/>
                </w:tcPr>
                <w:p w14:paraId="2214E2B7">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u w:val="single" w:color="auto"/>
                      <w:lang w:val="en-US" w:eastAsia="zh-CN" w:bidi="ar"/>
                    </w:rPr>
                  </w:pPr>
                  <w:r>
                    <w:rPr>
                      <w:rFonts w:hint="eastAsia" w:ascii="Times New Roman" w:hAnsi="Times New Roman" w:cs="Times New Roman"/>
                      <w:color w:val="auto"/>
                      <w:kern w:val="0"/>
                      <w:sz w:val="21"/>
                      <w:szCs w:val="21"/>
                      <w:highlight w:val="none"/>
                      <w:u w:val="single" w:color="auto"/>
                      <w:lang w:val="en-US" w:eastAsia="zh-CN" w:bidi="ar"/>
                    </w:rPr>
                    <w:t>颗粒物</w:t>
                  </w:r>
                </w:p>
              </w:tc>
              <w:tc>
                <w:tcPr>
                  <w:tcW w:w="1425" w:type="dxa"/>
                  <w:noWrap w:val="0"/>
                  <w:vAlign w:val="center"/>
                </w:tcPr>
                <w:p w14:paraId="67A5F580">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default" w:ascii="Times New Roman" w:hAnsi="Times New Roman" w:cs="Times New Roman"/>
                      <w:color w:val="auto"/>
                      <w:kern w:val="0"/>
                      <w:sz w:val="21"/>
                      <w:szCs w:val="21"/>
                      <w:highlight w:val="none"/>
                      <w:u w:val="single" w:color="auto"/>
                      <w:lang w:val="en-US" w:eastAsia="zh-CN" w:bidi="ar"/>
                    </w:rPr>
                  </w:pPr>
                  <w:r>
                    <w:rPr>
                      <w:rFonts w:hint="eastAsia" w:ascii="Times New Roman" w:hAnsi="Times New Roman" w:cs="Times New Roman"/>
                      <w:color w:val="auto"/>
                      <w:kern w:val="0"/>
                      <w:sz w:val="21"/>
                      <w:szCs w:val="21"/>
                      <w:highlight w:val="none"/>
                      <w:u w:val="single" w:color="auto"/>
                      <w:lang w:val="en-US" w:eastAsia="zh-CN" w:bidi="ar"/>
                    </w:rPr>
                    <w:t>127.214754</w:t>
                  </w:r>
                </w:p>
              </w:tc>
              <w:tc>
                <w:tcPr>
                  <w:tcW w:w="1276" w:type="dxa"/>
                  <w:noWrap w:val="0"/>
                  <w:vAlign w:val="center"/>
                </w:tcPr>
                <w:p w14:paraId="27CB6869">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u w:val="single" w:color="auto"/>
                      <w:lang w:val="en-US" w:eastAsia="zh-CN" w:bidi="ar"/>
                    </w:rPr>
                  </w:pPr>
                  <w:r>
                    <w:rPr>
                      <w:rFonts w:hint="eastAsia" w:ascii="Times New Roman" w:hAnsi="Times New Roman" w:cs="Times New Roman"/>
                      <w:color w:val="auto"/>
                      <w:kern w:val="0"/>
                      <w:sz w:val="21"/>
                      <w:szCs w:val="21"/>
                      <w:highlight w:val="none"/>
                      <w:u w:val="single" w:color="auto"/>
                      <w:lang w:val="en-US" w:eastAsia="zh-CN" w:bidi="ar"/>
                    </w:rPr>
                    <w:t>41.984367</w:t>
                  </w:r>
                </w:p>
              </w:tc>
              <w:tc>
                <w:tcPr>
                  <w:tcW w:w="629" w:type="dxa"/>
                  <w:noWrap w:val="0"/>
                  <w:vAlign w:val="center"/>
                </w:tcPr>
                <w:p w14:paraId="4314F87C">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u w:val="single" w:color="auto"/>
                      <w:lang w:val="en-US" w:eastAsia="zh-CN" w:bidi="ar"/>
                    </w:rPr>
                  </w:pPr>
                  <w:r>
                    <w:rPr>
                      <w:rFonts w:hint="eastAsia" w:ascii="Times New Roman" w:hAnsi="Times New Roman" w:cs="Times New Roman"/>
                      <w:color w:val="auto"/>
                      <w:kern w:val="0"/>
                      <w:sz w:val="21"/>
                      <w:szCs w:val="21"/>
                      <w:highlight w:val="none"/>
                      <w:u w:val="single" w:color="auto"/>
                      <w:lang w:val="en-US" w:eastAsia="zh-CN" w:bidi="ar"/>
                    </w:rPr>
                    <w:t>17m</w:t>
                  </w:r>
                </w:p>
              </w:tc>
              <w:tc>
                <w:tcPr>
                  <w:tcW w:w="642" w:type="dxa"/>
                  <w:noWrap w:val="0"/>
                  <w:vAlign w:val="center"/>
                </w:tcPr>
                <w:p w14:paraId="5809EB7F">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u w:val="single" w:color="auto"/>
                      <w:lang w:val="en-US" w:eastAsia="zh-CN" w:bidi="ar"/>
                    </w:rPr>
                  </w:pPr>
                  <w:r>
                    <w:rPr>
                      <w:rFonts w:hint="eastAsia" w:ascii="Times New Roman" w:hAnsi="Times New Roman" w:cs="Times New Roman"/>
                      <w:color w:val="auto"/>
                      <w:kern w:val="0"/>
                      <w:sz w:val="21"/>
                      <w:szCs w:val="21"/>
                      <w:highlight w:val="none"/>
                      <w:u w:val="single" w:color="auto"/>
                      <w:lang w:val="en-US" w:eastAsia="zh-CN" w:bidi="ar"/>
                    </w:rPr>
                    <w:t>0.3m</w:t>
                  </w:r>
                </w:p>
              </w:tc>
              <w:tc>
                <w:tcPr>
                  <w:tcW w:w="640" w:type="dxa"/>
                  <w:noWrap w:val="0"/>
                  <w:vAlign w:val="center"/>
                </w:tcPr>
                <w:p w14:paraId="00AE474C">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u w:val="single" w:color="auto"/>
                      <w:lang w:val="en-US" w:eastAsia="zh-CN" w:bidi="ar"/>
                    </w:rPr>
                  </w:pPr>
                  <w:r>
                    <w:rPr>
                      <w:rFonts w:hint="eastAsia" w:ascii="Times New Roman" w:hAnsi="Times New Roman" w:cs="Times New Roman"/>
                      <w:color w:val="auto"/>
                      <w:kern w:val="0"/>
                      <w:sz w:val="21"/>
                      <w:szCs w:val="21"/>
                      <w:highlight w:val="none"/>
                      <w:u w:val="single" w:color="auto"/>
                      <w:lang w:val="en-US" w:eastAsia="zh-CN" w:bidi="ar"/>
                    </w:rPr>
                    <w:t>25</w:t>
                  </w:r>
                  <w:r>
                    <w:rPr>
                      <w:rFonts w:hint="default" w:ascii="Times New Roman" w:hAnsi="Times New Roman" w:cs="Times New Roman"/>
                      <w:color w:val="auto"/>
                      <w:kern w:val="0"/>
                      <w:sz w:val="21"/>
                      <w:szCs w:val="21"/>
                      <w:highlight w:val="none"/>
                      <w:u w:val="single" w:color="auto"/>
                      <w:lang w:bidi="ar"/>
                    </w:rPr>
                    <w:t>℃</w:t>
                  </w:r>
                </w:p>
              </w:tc>
              <w:tc>
                <w:tcPr>
                  <w:tcW w:w="575" w:type="dxa"/>
                  <w:vMerge w:val="continue"/>
                  <w:noWrap w:val="0"/>
                  <w:vAlign w:val="center"/>
                </w:tcPr>
                <w:p w14:paraId="57B69773">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p>
              </w:tc>
            </w:tr>
            <w:tr w14:paraId="58D439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835" w:type="dxa"/>
                  <w:noWrap w:val="0"/>
                  <w:vAlign w:val="center"/>
                </w:tcPr>
                <w:p w14:paraId="5E074BB5">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default" w:ascii="Times New Roman" w:hAnsi="Times New Roman" w:cs="Times New Roman"/>
                      <w:color w:val="auto"/>
                      <w:kern w:val="0"/>
                      <w:sz w:val="21"/>
                      <w:szCs w:val="21"/>
                      <w:highlight w:val="none"/>
                      <w:u w:val="single" w:color="auto"/>
                      <w:lang w:val="en-US" w:eastAsia="zh-CN" w:bidi="ar"/>
                    </w:rPr>
                  </w:pPr>
                  <w:r>
                    <w:rPr>
                      <w:rFonts w:hint="eastAsia" w:ascii="Times New Roman" w:hAnsi="Times New Roman" w:cs="Times New Roman"/>
                      <w:color w:val="auto"/>
                      <w:kern w:val="0"/>
                      <w:sz w:val="21"/>
                      <w:szCs w:val="21"/>
                      <w:highlight w:val="none"/>
                      <w:u w:val="single" w:color="auto"/>
                      <w:lang w:val="en-US" w:eastAsia="zh-CN" w:bidi="ar"/>
                    </w:rPr>
                    <w:t>DA010</w:t>
                  </w:r>
                </w:p>
              </w:tc>
              <w:tc>
                <w:tcPr>
                  <w:tcW w:w="1448" w:type="dxa"/>
                  <w:noWrap w:val="0"/>
                  <w:vAlign w:val="center"/>
                </w:tcPr>
                <w:p w14:paraId="232F939A">
                  <w:pPr>
                    <w:jc w:val="center"/>
                    <w:rPr>
                      <w:rFonts w:hint="default"/>
                      <w:color w:val="auto"/>
                      <w:kern w:val="21"/>
                      <w:sz w:val="21"/>
                      <w:szCs w:val="21"/>
                      <w:highlight w:val="none"/>
                      <w:u w:val="single" w:color="auto"/>
                      <w:lang w:val="en-US" w:eastAsia="zh-CN"/>
                    </w:rPr>
                  </w:pPr>
                  <w:r>
                    <w:rPr>
                      <w:rFonts w:hint="eastAsia"/>
                      <w:color w:val="auto"/>
                      <w:kern w:val="21"/>
                      <w:sz w:val="21"/>
                      <w:szCs w:val="21"/>
                      <w:highlight w:val="none"/>
                      <w:u w:val="single" w:color="auto"/>
                      <w:lang w:val="en-US" w:eastAsia="zh-CN"/>
                    </w:rPr>
                    <w:t>搅拌机2</w:t>
                  </w:r>
                </w:p>
              </w:tc>
              <w:tc>
                <w:tcPr>
                  <w:tcW w:w="885" w:type="dxa"/>
                  <w:noWrap w:val="0"/>
                  <w:vAlign w:val="center"/>
                </w:tcPr>
                <w:p w14:paraId="78F3D77E">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u w:val="single" w:color="auto"/>
                      <w:lang w:val="en-US" w:eastAsia="zh-CN" w:bidi="ar"/>
                    </w:rPr>
                  </w:pPr>
                  <w:r>
                    <w:rPr>
                      <w:rFonts w:hint="eastAsia" w:ascii="Times New Roman" w:hAnsi="Times New Roman" w:cs="Times New Roman"/>
                      <w:color w:val="auto"/>
                      <w:kern w:val="0"/>
                      <w:sz w:val="21"/>
                      <w:szCs w:val="21"/>
                      <w:highlight w:val="none"/>
                      <w:u w:val="single" w:color="auto"/>
                      <w:lang w:val="en-US" w:eastAsia="zh-CN" w:bidi="ar"/>
                    </w:rPr>
                    <w:t>颗粒物</w:t>
                  </w:r>
                </w:p>
              </w:tc>
              <w:tc>
                <w:tcPr>
                  <w:tcW w:w="1425" w:type="dxa"/>
                  <w:noWrap w:val="0"/>
                  <w:vAlign w:val="center"/>
                </w:tcPr>
                <w:p w14:paraId="691AE972">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default" w:ascii="Times New Roman" w:hAnsi="Times New Roman" w:cs="Times New Roman"/>
                      <w:color w:val="auto"/>
                      <w:kern w:val="0"/>
                      <w:sz w:val="21"/>
                      <w:szCs w:val="21"/>
                      <w:highlight w:val="none"/>
                      <w:u w:val="single" w:color="auto"/>
                      <w:lang w:val="en-US" w:eastAsia="zh-CN" w:bidi="ar"/>
                    </w:rPr>
                  </w:pPr>
                  <w:r>
                    <w:rPr>
                      <w:rFonts w:hint="eastAsia" w:ascii="Times New Roman" w:hAnsi="Times New Roman" w:cs="Times New Roman"/>
                      <w:color w:val="auto"/>
                      <w:kern w:val="0"/>
                      <w:sz w:val="21"/>
                      <w:szCs w:val="21"/>
                      <w:highlight w:val="none"/>
                      <w:u w:val="single" w:color="auto"/>
                      <w:lang w:val="en-US" w:eastAsia="zh-CN" w:bidi="ar"/>
                    </w:rPr>
                    <w:t>127.214942</w:t>
                  </w:r>
                </w:p>
              </w:tc>
              <w:tc>
                <w:tcPr>
                  <w:tcW w:w="1276" w:type="dxa"/>
                  <w:noWrap w:val="0"/>
                  <w:vAlign w:val="center"/>
                </w:tcPr>
                <w:p w14:paraId="053FEABD">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default" w:ascii="Times New Roman" w:hAnsi="Times New Roman" w:cs="Times New Roman"/>
                      <w:color w:val="auto"/>
                      <w:kern w:val="0"/>
                      <w:sz w:val="21"/>
                      <w:szCs w:val="21"/>
                      <w:highlight w:val="none"/>
                      <w:u w:val="single" w:color="auto"/>
                      <w:lang w:val="en-US" w:eastAsia="zh-CN" w:bidi="ar"/>
                    </w:rPr>
                  </w:pPr>
                  <w:r>
                    <w:rPr>
                      <w:rFonts w:hint="eastAsia" w:ascii="Times New Roman" w:hAnsi="Times New Roman" w:cs="Times New Roman"/>
                      <w:color w:val="auto"/>
                      <w:kern w:val="0"/>
                      <w:sz w:val="21"/>
                      <w:szCs w:val="21"/>
                      <w:highlight w:val="none"/>
                      <w:u w:val="single" w:color="auto"/>
                      <w:lang w:val="en-US" w:eastAsia="zh-CN" w:bidi="ar"/>
                    </w:rPr>
                    <w:t>41.984914</w:t>
                  </w:r>
                </w:p>
              </w:tc>
              <w:tc>
                <w:tcPr>
                  <w:tcW w:w="629" w:type="dxa"/>
                  <w:noWrap w:val="0"/>
                  <w:vAlign w:val="center"/>
                </w:tcPr>
                <w:p w14:paraId="6A3CAD7E">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u w:val="single" w:color="auto"/>
                      <w:lang w:val="en-US" w:eastAsia="zh-CN" w:bidi="ar"/>
                    </w:rPr>
                  </w:pPr>
                  <w:r>
                    <w:rPr>
                      <w:rFonts w:hint="eastAsia" w:ascii="Times New Roman" w:hAnsi="Times New Roman" w:cs="Times New Roman"/>
                      <w:color w:val="auto"/>
                      <w:kern w:val="0"/>
                      <w:sz w:val="21"/>
                      <w:szCs w:val="21"/>
                      <w:highlight w:val="none"/>
                      <w:u w:val="single" w:color="auto"/>
                      <w:lang w:val="en-US" w:eastAsia="zh-CN" w:bidi="ar"/>
                    </w:rPr>
                    <w:t>17m</w:t>
                  </w:r>
                </w:p>
              </w:tc>
              <w:tc>
                <w:tcPr>
                  <w:tcW w:w="642" w:type="dxa"/>
                  <w:noWrap w:val="0"/>
                  <w:vAlign w:val="center"/>
                </w:tcPr>
                <w:p w14:paraId="5C2CB560">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u w:val="single" w:color="auto"/>
                      <w:lang w:val="en-US" w:eastAsia="zh-CN" w:bidi="ar"/>
                    </w:rPr>
                  </w:pPr>
                  <w:r>
                    <w:rPr>
                      <w:rFonts w:hint="eastAsia" w:ascii="Times New Roman" w:hAnsi="Times New Roman" w:cs="Times New Roman"/>
                      <w:color w:val="auto"/>
                      <w:kern w:val="0"/>
                      <w:sz w:val="21"/>
                      <w:szCs w:val="21"/>
                      <w:highlight w:val="none"/>
                      <w:u w:val="single" w:color="auto"/>
                      <w:lang w:val="en-US" w:eastAsia="zh-CN" w:bidi="ar"/>
                    </w:rPr>
                    <w:t>0.3m</w:t>
                  </w:r>
                </w:p>
              </w:tc>
              <w:tc>
                <w:tcPr>
                  <w:tcW w:w="640" w:type="dxa"/>
                  <w:noWrap w:val="0"/>
                  <w:vAlign w:val="center"/>
                </w:tcPr>
                <w:p w14:paraId="295A77B3">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u w:val="single" w:color="auto"/>
                      <w:lang w:val="en-US" w:eastAsia="zh-CN" w:bidi="ar"/>
                    </w:rPr>
                  </w:pPr>
                  <w:r>
                    <w:rPr>
                      <w:rFonts w:hint="eastAsia" w:ascii="Times New Roman" w:hAnsi="Times New Roman" w:cs="Times New Roman"/>
                      <w:color w:val="auto"/>
                      <w:kern w:val="0"/>
                      <w:sz w:val="21"/>
                      <w:szCs w:val="21"/>
                      <w:highlight w:val="none"/>
                      <w:u w:val="single" w:color="auto"/>
                      <w:lang w:val="en-US" w:eastAsia="zh-CN" w:bidi="ar"/>
                    </w:rPr>
                    <w:t>25</w:t>
                  </w:r>
                  <w:r>
                    <w:rPr>
                      <w:rFonts w:hint="default" w:ascii="Times New Roman" w:hAnsi="Times New Roman" w:cs="Times New Roman"/>
                      <w:color w:val="auto"/>
                      <w:kern w:val="0"/>
                      <w:sz w:val="21"/>
                      <w:szCs w:val="21"/>
                      <w:highlight w:val="none"/>
                      <w:u w:val="single" w:color="auto"/>
                      <w:lang w:bidi="ar"/>
                    </w:rPr>
                    <w:t>℃</w:t>
                  </w:r>
                </w:p>
              </w:tc>
              <w:tc>
                <w:tcPr>
                  <w:tcW w:w="575" w:type="dxa"/>
                  <w:vMerge w:val="continue"/>
                  <w:noWrap w:val="0"/>
                  <w:vAlign w:val="center"/>
                </w:tcPr>
                <w:p w14:paraId="2041AB71">
                  <w:pPr>
                    <w:pStyle w:val="21"/>
                    <w:keepNext w:val="0"/>
                    <w:keepLines w:val="0"/>
                    <w:widowControl/>
                    <w:suppressLineNumbers w:val="0"/>
                    <w:adjustRightInd/>
                    <w:snapToGrid/>
                    <w:spacing w:before="0" w:beforeAutospacing="0" w:after="0" w:afterAutospacing="0" w:line="240" w:lineRule="auto"/>
                    <w:ind w:left="0" w:leftChars="0" w:right="0" w:rightChars="0"/>
                    <w:jc w:val="center"/>
                    <w:rPr>
                      <w:rFonts w:hint="eastAsia" w:ascii="Times New Roman" w:hAnsi="Times New Roman" w:cs="Times New Roman"/>
                      <w:color w:val="auto"/>
                      <w:kern w:val="0"/>
                      <w:sz w:val="21"/>
                      <w:szCs w:val="21"/>
                      <w:highlight w:val="none"/>
                      <w:lang w:val="en-US" w:eastAsia="zh-CN" w:bidi="ar"/>
                    </w:rPr>
                  </w:pPr>
                </w:p>
              </w:tc>
            </w:tr>
          </w:tbl>
          <w:p w14:paraId="02CD5544">
            <w:pPr>
              <w:spacing w:line="360" w:lineRule="auto"/>
              <w:ind w:firstLine="480" w:firstLineChars="200"/>
              <w:rPr>
                <w:rFonts w:hint="eastAsia"/>
                <w:b w:val="0"/>
                <w:bCs/>
                <w:iCs/>
                <w:color w:val="auto"/>
                <w:sz w:val="24"/>
                <w:szCs w:val="24"/>
                <w:highlight w:val="none"/>
              </w:rPr>
            </w:pPr>
          </w:p>
          <w:p w14:paraId="5F72A771">
            <w:pPr>
              <w:spacing w:line="360" w:lineRule="auto"/>
              <w:ind w:firstLine="480" w:firstLineChars="200"/>
              <w:rPr>
                <w:rFonts w:hint="eastAsia"/>
                <w:color w:val="auto"/>
                <w:sz w:val="24"/>
                <w:szCs w:val="24"/>
                <w:highlight w:val="none"/>
              </w:rPr>
            </w:pPr>
            <w:r>
              <w:rPr>
                <w:rFonts w:hint="eastAsia"/>
                <w:b w:val="0"/>
                <w:bCs/>
                <w:iCs/>
                <w:color w:val="auto"/>
                <w:sz w:val="24"/>
                <w:szCs w:val="24"/>
                <w:highlight w:val="none"/>
                <w:lang w:eastAsia="zh-CN"/>
              </w:rPr>
              <w:t>②</w:t>
            </w:r>
            <w:r>
              <w:rPr>
                <w:rFonts w:hint="eastAsia"/>
                <w:b w:val="0"/>
                <w:bCs/>
                <w:iCs/>
                <w:color w:val="auto"/>
                <w:sz w:val="24"/>
                <w:szCs w:val="24"/>
                <w:highlight w:val="none"/>
              </w:rPr>
              <w:t>废气监测计划</w:t>
            </w:r>
          </w:p>
          <w:p w14:paraId="1E22572B">
            <w:pPr>
              <w:spacing w:line="360" w:lineRule="auto"/>
              <w:ind w:firstLine="480" w:firstLineChars="200"/>
              <w:rPr>
                <w:rFonts w:hint="default" w:eastAsia="宋体"/>
                <w:color w:val="auto"/>
                <w:sz w:val="24"/>
                <w:szCs w:val="24"/>
                <w:highlight w:val="none"/>
                <w:lang w:val="en-US" w:eastAsia="zh-CN"/>
              </w:rPr>
            </w:pPr>
            <w:r>
              <w:rPr>
                <w:rFonts w:hint="eastAsia"/>
                <w:color w:val="auto"/>
                <w:sz w:val="24"/>
                <w:szCs w:val="24"/>
                <w:highlight w:val="none"/>
              </w:rPr>
              <w:t>根据《排污单位自行监测技术指南 水泥工业》（HJ848-2017）制定本项目废气监测方案</w:t>
            </w:r>
            <w:r>
              <w:rPr>
                <w:rFonts w:hint="eastAsia"/>
                <w:color w:val="auto"/>
                <w:sz w:val="24"/>
                <w:szCs w:val="24"/>
                <w:highlight w:val="none"/>
                <w:lang w:eastAsia="zh-CN"/>
              </w:rPr>
              <w:t>，</w:t>
            </w:r>
            <w:r>
              <w:rPr>
                <w:rFonts w:hint="eastAsia"/>
                <w:color w:val="auto"/>
                <w:sz w:val="24"/>
                <w:szCs w:val="24"/>
                <w:highlight w:val="none"/>
                <w:lang w:val="en-US" w:eastAsia="zh-CN"/>
              </w:rPr>
              <w:t>详见下表。</w:t>
            </w:r>
          </w:p>
          <w:p w14:paraId="4A4E9ACC">
            <w:pPr>
              <w:adjustRightInd w:val="0"/>
              <w:ind w:firstLine="602" w:firstLineChars="250"/>
              <w:jc w:val="center"/>
              <w:rPr>
                <w:b/>
                <w:color w:val="auto"/>
                <w:sz w:val="24"/>
                <w:szCs w:val="24"/>
                <w:highlight w:val="none"/>
                <w:u w:val="none"/>
                <w:lang w:val="zh-CN"/>
              </w:rPr>
            </w:pPr>
            <w:r>
              <w:rPr>
                <w:rFonts w:hint="eastAsia"/>
                <w:b/>
                <w:color w:val="auto"/>
                <w:sz w:val="24"/>
                <w:szCs w:val="24"/>
                <w:highlight w:val="none"/>
                <w:u w:val="none"/>
                <w:lang w:val="zh-CN"/>
              </w:rPr>
              <w:t>表</w:t>
            </w:r>
            <w:r>
              <w:rPr>
                <w:rFonts w:hint="eastAsia"/>
                <w:b/>
                <w:color w:val="auto"/>
                <w:sz w:val="24"/>
                <w:szCs w:val="24"/>
                <w:highlight w:val="none"/>
                <w:u w:val="none"/>
                <w:lang w:val="en-US" w:eastAsia="zh-CN"/>
              </w:rPr>
              <w:t>4-7</w:t>
            </w:r>
            <w:r>
              <w:rPr>
                <w:rFonts w:hint="eastAsia"/>
                <w:b/>
                <w:color w:val="auto"/>
                <w:sz w:val="24"/>
                <w:szCs w:val="24"/>
                <w:highlight w:val="none"/>
                <w:u w:val="none"/>
                <w:lang w:val="zh-CN"/>
              </w:rPr>
              <w:t xml:space="preserve"> </w:t>
            </w:r>
            <w:r>
              <w:rPr>
                <w:rFonts w:hint="eastAsia"/>
                <w:b/>
                <w:color w:val="auto"/>
                <w:sz w:val="24"/>
                <w:szCs w:val="24"/>
                <w:highlight w:val="none"/>
                <w:u w:val="none"/>
              </w:rPr>
              <w:t xml:space="preserve"> 项目废气</w:t>
            </w:r>
            <w:r>
              <w:rPr>
                <w:rFonts w:hint="eastAsia"/>
                <w:b/>
                <w:color w:val="auto"/>
                <w:sz w:val="24"/>
                <w:szCs w:val="24"/>
                <w:highlight w:val="none"/>
                <w:u w:val="none"/>
                <w:lang w:val="zh-CN"/>
              </w:rPr>
              <w:t>监测计划</w:t>
            </w:r>
          </w:p>
          <w:tbl>
            <w:tblPr>
              <w:tblStyle w:val="25"/>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64"/>
              <w:gridCol w:w="2475"/>
              <w:gridCol w:w="1040"/>
              <w:gridCol w:w="1289"/>
              <w:gridCol w:w="3198"/>
            </w:tblGrid>
            <w:tr w14:paraId="77A266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274" w:type="pct"/>
                  <w:noWrap w:val="0"/>
                  <w:vAlign w:val="center"/>
                </w:tcPr>
                <w:p w14:paraId="2C42CDDF">
                  <w:pPr>
                    <w:jc w:val="center"/>
                    <w:rPr>
                      <w:rFonts w:hint="eastAsia"/>
                      <w:b w:val="0"/>
                      <w:bCs/>
                      <w:color w:val="auto"/>
                      <w:szCs w:val="21"/>
                      <w:highlight w:val="none"/>
                      <w:u w:val="none"/>
                    </w:rPr>
                  </w:pPr>
                  <w:r>
                    <w:rPr>
                      <w:rFonts w:hint="eastAsia"/>
                      <w:b w:val="0"/>
                      <w:bCs/>
                      <w:color w:val="auto"/>
                      <w:szCs w:val="21"/>
                      <w:highlight w:val="none"/>
                      <w:u w:val="none"/>
                    </w:rPr>
                    <w:t>序号</w:t>
                  </w:r>
                </w:p>
              </w:tc>
              <w:tc>
                <w:tcPr>
                  <w:tcW w:w="1461" w:type="pct"/>
                  <w:noWrap w:val="0"/>
                  <w:vAlign w:val="center"/>
                </w:tcPr>
                <w:p w14:paraId="7594A532">
                  <w:pPr>
                    <w:jc w:val="center"/>
                    <w:rPr>
                      <w:rFonts w:hint="eastAsia"/>
                      <w:b w:val="0"/>
                      <w:bCs/>
                      <w:color w:val="auto"/>
                      <w:szCs w:val="21"/>
                      <w:highlight w:val="none"/>
                      <w:u w:val="none"/>
                    </w:rPr>
                  </w:pPr>
                  <w:r>
                    <w:rPr>
                      <w:rFonts w:hint="eastAsia"/>
                      <w:b w:val="0"/>
                      <w:bCs/>
                      <w:color w:val="auto"/>
                      <w:szCs w:val="21"/>
                      <w:highlight w:val="none"/>
                      <w:u w:val="none"/>
                    </w:rPr>
                    <w:t>监测点位</w:t>
                  </w:r>
                </w:p>
              </w:tc>
              <w:tc>
                <w:tcPr>
                  <w:tcW w:w="614" w:type="pct"/>
                  <w:noWrap w:val="0"/>
                  <w:vAlign w:val="center"/>
                </w:tcPr>
                <w:p w14:paraId="02CA6D20">
                  <w:pPr>
                    <w:jc w:val="center"/>
                    <w:rPr>
                      <w:rFonts w:hint="eastAsia"/>
                      <w:b w:val="0"/>
                      <w:bCs/>
                      <w:color w:val="auto"/>
                      <w:szCs w:val="21"/>
                      <w:highlight w:val="none"/>
                      <w:u w:val="none"/>
                    </w:rPr>
                  </w:pPr>
                  <w:r>
                    <w:rPr>
                      <w:rFonts w:hint="eastAsia"/>
                      <w:b w:val="0"/>
                      <w:bCs/>
                      <w:color w:val="auto"/>
                      <w:szCs w:val="21"/>
                      <w:highlight w:val="none"/>
                      <w:u w:val="none"/>
                    </w:rPr>
                    <w:t>监测指标</w:t>
                  </w:r>
                </w:p>
              </w:tc>
              <w:tc>
                <w:tcPr>
                  <w:tcW w:w="761" w:type="pct"/>
                  <w:noWrap w:val="0"/>
                  <w:vAlign w:val="center"/>
                </w:tcPr>
                <w:p w14:paraId="2A11CF32">
                  <w:pPr>
                    <w:jc w:val="center"/>
                    <w:rPr>
                      <w:rFonts w:hint="eastAsia"/>
                      <w:b w:val="0"/>
                      <w:bCs/>
                      <w:color w:val="auto"/>
                      <w:szCs w:val="21"/>
                      <w:highlight w:val="none"/>
                      <w:u w:val="none"/>
                    </w:rPr>
                  </w:pPr>
                  <w:r>
                    <w:rPr>
                      <w:rFonts w:hint="eastAsia"/>
                      <w:b w:val="0"/>
                      <w:bCs/>
                      <w:color w:val="auto"/>
                      <w:szCs w:val="21"/>
                      <w:highlight w:val="none"/>
                      <w:u w:val="none"/>
                    </w:rPr>
                    <w:t>监测频次</w:t>
                  </w:r>
                </w:p>
              </w:tc>
              <w:tc>
                <w:tcPr>
                  <w:tcW w:w="1888" w:type="pct"/>
                  <w:noWrap w:val="0"/>
                  <w:vAlign w:val="center"/>
                </w:tcPr>
                <w:p w14:paraId="29A05983">
                  <w:pPr>
                    <w:jc w:val="center"/>
                    <w:rPr>
                      <w:rFonts w:hint="eastAsia"/>
                      <w:b w:val="0"/>
                      <w:bCs/>
                      <w:color w:val="auto"/>
                      <w:szCs w:val="21"/>
                      <w:highlight w:val="none"/>
                      <w:u w:val="none"/>
                    </w:rPr>
                  </w:pPr>
                  <w:r>
                    <w:rPr>
                      <w:b w:val="0"/>
                      <w:bCs/>
                      <w:color w:val="auto"/>
                      <w:szCs w:val="21"/>
                      <w:highlight w:val="none"/>
                      <w:u w:val="none"/>
                      <w:lang w:val="zh-CN"/>
                    </w:rPr>
                    <w:t>执行标准</w:t>
                  </w:r>
                </w:p>
              </w:tc>
            </w:tr>
            <w:tr w14:paraId="108262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274" w:type="pct"/>
                  <w:noWrap w:val="0"/>
                  <w:vAlign w:val="center"/>
                </w:tcPr>
                <w:p w14:paraId="5C78C04C">
                  <w:pPr>
                    <w:jc w:val="center"/>
                    <w:rPr>
                      <w:rFonts w:hint="eastAsia" w:eastAsia="宋体"/>
                      <w:b w:val="0"/>
                      <w:bCs/>
                      <w:color w:val="auto"/>
                      <w:szCs w:val="21"/>
                      <w:highlight w:val="none"/>
                      <w:u w:val="none"/>
                      <w:lang w:val="en-US" w:eastAsia="zh-CN"/>
                    </w:rPr>
                  </w:pPr>
                  <w:r>
                    <w:rPr>
                      <w:rFonts w:hint="eastAsia"/>
                      <w:b w:val="0"/>
                      <w:bCs/>
                      <w:color w:val="auto"/>
                      <w:szCs w:val="21"/>
                      <w:highlight w:val="none"/>
                      <w:u w:val="none"/>
                      <w:lang w:val="en-US" w:eastAsia="zh-CN"/>
                    </w:rPr>
                    <w:t>1</w:t>
                  </w:r>
                </w:p>
              </w:tc>
              <w:tc>
                <w:tcPr>
                  <w:tcW w:w="1461" w:type="pct"/>
                  <w:noWrap w:val="0"/>
                  <w:vAlign w:val="center"/>
                </w:tcPr>
                <w:p w14:paraId="64905B32">
                  <w:pPr>
                    <w:jc w:val="center"/>
                    <w:rPr>
                      <w:rFonts w:hint="eastAsia" w:eastAsia="宋体"/>
                      <w:b w:val="0"/>
                      <w:bCs/>
                      <w:color w:val="auto"/>
                      <w:szCs w:val="21"/>
                      <w:highlight w:val="none"/>
                      <w:u w:val="none"/>
                      <w:lang w:eastAsia="zh-CN"/>
                    </w:rPr>
                  </w:pPr>
                  <w:r>
                    <w:rPr>
                      <w:rFonts w:hint="eastAsia"/>
                      <w:b w:val="0"/>
                      <w:bCs/>
                      <w:color w:val="auto"/>
                      <w:szCs w:val="21"/>
                      <w:highlight w:val="none"/>
                      <w:u w:val="none"/>
                    </w:rPr>
                    <w:t>各粉料筒仓（水泥、粉煤灰）除尘器排气筒</w:t>
                  </w:r>
                  <w:r>
                    <w:rPr>
                      <w:rFonts w:hint="eastAsia"/>
                      <w:b w:val="0"/>
                      <w:bCs/>
                      <w:color w:val="auto"/>
                      <w:szCs w:val="21"/>
                      <w:highlight w:val="none"/>
                      <w:u w:val="none"/>
                      <w:lang w:eastAsia="zh-CN"/>
                    </w:rPr>
                    <w:t>（</w:t>
                  </w:r>
                  <w:r>
                    <w:rPr>
                      <w:rFonts w:hint="eastAsia"/>
                      <w:b w:val="0"/>
                      <w:bCs/>
                      <w:color w:val="auto"/>
                      <w:szCs w:val="21"/>
                      <w:highlight w:val="none"/>
                      <w:u w:val="none"/>
                      <w:lang w:val="en-US" w:eastAsia="zh-CN"/>
                    </w:rPr>
                    <w:t>DA001-DA008</w:t>
                  </w:r>
                  <w:r>
                    <w:rPr>
                      <w:rFonts w:hint="eastAsia"/>
                      <w:b w:val="0"/>
                      <w:bCs/>
                      <w:color w:val="auto"/>
                      <w:szCs w:val="21"/>
                      <w:highlight w:val="none"/>
                      <w:u w:val="none"/>
                      <w:lang w:eastAsia="zh-CN"/>
                    </w:rPr>
                    <w:t>）、</w:t>
                  </w:r>
                  <w:r>
                    <w:rPr>
                      <w:rFonts w:hint="eastAsia"/>
                      <w:b w:val="0"/>
                      <w:bCs/>
                      <w:color w:val="auto"/>
                      <w:szCs w:val="21"/>
                      <w:highlight w:val="none"/>
                      <w:u w:val="single"/>
                      <w:lang w:eastAsia="zh-CN"/>
                    </w:rPr>
                    <w:t>搅拌机排放口（</w:t>
                  </w:r>
                  <w:r>
                    <w:rPr>
                      <w:rFonts w:hint="eastAsia"/>
                      <w:b w:val="0"/>
                      <w:bCs/>
                      <w:color w:val="auto"/>
                      <w:szCs w:val="21"/>
                      <w:highlight w:val="none"/>
                      <w:u w:val="single"/>
                      <w:lang w:val="en-US" w:eastAsia="zh-CN"/>
                    </w:rPr>
                    <w:t>DA009-DA010</w:t>
                  </w:r>
                  <w:r>
                    <w:rPr>
                      <w:rFonts w:hint="eastAsia"/>
                      <w:b w:val="0"/>
                      <w:bCs/>
                      <w:color w:val="auto"/>
                      <w:szCs w:val="21"/>
                      <w:highlight w:val="none"/>
                      <w:u w:val="single"/>
                      <w:lang w:eastAsia="zh-CN"/>
                    </w:rPr>
                    <w:t>）</w:t>
                  </w:r>
                </w:p>
              </w:tc>
              <w:tc>
                <w:tcPr>
                  <w:tcW w:w="614" w:type="pct"/>
                  <w:noWrap w:val="0"/>
                  <w:vAlign w:val="center"/>
                </w:tcPr>
                <w:p w14:paraId="415CB314">
                  <w:pPr>
                    <w:jc w:val="center"/>
                    <w:rPr>
                      <w:rFonts w:hint="eastAsia"/>
                      <w:b w:val="0"/>
                      <w:bCs/>
                      <w:color w:val="auto"/>
                      <w:szCs w:val="21"/>
                      <w:highlight w:val="none"/>
                      <w:u w:val="none"/>
                    </w:rPr>
                  </w:pPr>
                  <w:r>
                    <w:rPr>
                      <w:rFonts w:hint="eastAsia"/>
                      <w:bCs/>
                      <w:color w:val="auto"/>
                      <w:szCs w:val="21"/>
                      <w:highlight w:val="none"/>
                      <w:u w:val="none"/>
                    </w:rPr>
                    <w:t>颗粒物</w:t>
                  </w:r>
                </w:p>
              </w:tc>
              <w:tc>
                <w:tcPr>
                  <w:tcW w:w="761" w:type="pct"/>
                  <w:noWrap w:val="0"/>
                  <w:vAlign w:val="center"/>
                </w:tcPr>
                <w:p w14:paraId="384E1475">
                  <w:pPr>
                    <w:jc w:val="center"/>
                    <w:rPr>
                      <w:rFonts w:hint="eastAsia"/>
                      <w:b w:val="0"/>
                      <w:bCs/>
                      <w:color w:val="auto"/>
                      <w:szCs w:val="21"/>
                      <w:highlight w:val="none"/>
                      <w:u w:val="none"/>
                    </w:rPr>
                  </w:pPr>
                  <w:r>
                    <w:rPr>
                      <w:rFonts w:hint="eastAsia"/>
                      <w:b w:val="0"/>
                      <w:bCs/>
                      <w:color w:val="auto"/>
                      <w:szCs w:val="21"/>
                      <w:highlight w:val="none"/>
                      <w:u w:val="none"/>
                      <w:lang w:val="en-US" w:eastAsia="zh-CN"/>
                    </w:rPr>
                    <w:t>1</w:t>
                  </w:r>
                  <w:r>
                    <w:rPr>
                      <w:rFonts w:hint="eastAsia"/>
                      <w:b w:val="0"/>
                      <w:bCs/>
                      <w:color w:val="auto"/>
                      <w:szCs w:val="21"/>
                      <w:highlight w:val="none"/>
                      <w:u w:val="none"/>
                    </w:rPr>
                    <w:t>次/2年</w:t>
                  </w:r>
                </w:p>
              </w:tc>
              <w:tc>
                <w:tcPr>
                  <w:tcW w:w="1888" w:type="pct"/>
                  <w:vMerge w:val="restart"/>
                  <w:noWrap w:val="0"/>
                  <w:vAlign w:val="center"/>
                </w:tcPr>
                <w:p w14:paraId="0D6CC3B7">
                  <w:pPr>
                    <w:jc w:val="center"/>
                    <w:rPr>
                      <w:rFonts w:hint="eastAsia" w:eastAsia="宋体"/>
                      <w:b w:val="0"/>
                      <w:bCs/>
                      <w:color w:val="auto"/>
                      <w:szCs w:val="21"/>
                      <w:highlight w:val="none"/>
                      <w:u w:val="none"/>
                      <w:lang w:val="en-US" w:eastAsia="zh-CN"/>
                    </w:rPr>
                  </w:pPr>
                  <w:r>
                    <w:rPr>
                      <w:rFonts w:hint="eastAsia"/>
                      <w:b w:val="0"/>
                      <w:bCs/>
                      <w:color w:val="auto"/>
                      <w:szCs w:val="21"/>
                      <w:highlight w:val="none"/>
                      <w:u w:val="none"/>
                      <w:lang w:val="zh-CN"/>
                    </w:rPr>
                    <w:t>《水泥工业大气污染物排放标准》（GB 4915-2013）中表1和表</w:t>
                  </w:r>
                  <w:r>
                    <w:rPr>
                      <w:rFonts w:hint="eastAsia"/>
                      <w:b w:val="0"/>
                      <w:bCs/>
                      <w:color w:val="auto"/>
                      <w:szCs w:val="21"/>
                      <w:highlight w:val="none"/>
                      <w:u w:val="none"/>
                      <w:lang w:val="en-US" w:eastAsia="zh-CN"/>
                    </w:rPr>
                    <w:t>3</w:t>
                  </w:r>
                </w:p>
              </w:tc>
            </w:tr>
            <w:tr w14:paraId="08083E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274" w:type="pct"/>
                  <w:noWrap w:val="0"/>
                  <w:vAlign w:val="center"/>
                </w:tcPr>
                <w:p w14:paraId="047F6D70">
                  <w:pPr>
                    <w:jc w:val="center"/>
                    <w:rPr>
                      <w:rFonts w:hint="eastAsia" w:eastAsia="宋体"/>
                      <w:bCs/>
                      <w:color w:val="auto"/>
                      <w:szCs w:val="21"/>
                      <w:highlight w:val="none"/>
                      <w:u w:val="none"/>
                      <w:lang w:eastAsia="zh-CN"/>
                    </w:rPr>
                  </w:pPr>
                  <w:r>
                    <w:rPr>
                      <w:rFonts w:hint="eastAsia"/>
                      <w:bCs/>
                      <w:color w:val="auto"/>
                      <w:szCs w:val="21"/>
                      <w:highlight w:val="none"/>
                      <w:u w:val="none"/>
                      <w:lang w:val="en-US" w:eastAsia="zh-CN"/>
                    </w:rPr>
                    <w:t>2</w:t>
                  </w:r>
                </w:p>
              </w:tc>
              <w:tc>
                <w:tcPr>
                  <w:tcW w:w="1461" w:type="pct"/>
                  <w:noWrap w:val="0"/>
                  <w:vAlign w:val="center"/>
                </w:tcPr>
                <w:p w14:paraId="63BB2E63">
                  <w:pPr>
                    <w:jc w:val="center"/>
                    <w:rPr>
                      <w:rFonts w:hint="eastAsia"/>
                      <w:bCs/>
                      <w:color w:val="auto"/>
                      <w:szCs w:val="21"/>
                      <w:highlight w:val="none"/>
                      <w:u w:val="none"/>
                    </w:rPr>
                  </w:pPr>
                  <w:r>
                    <w:rPr>
                      <w:rFonts w:hint="eastAsia"/>
                      <w:bCs/>
                      <w:color w:val="auto"/>
                      <w:szCs w:val="21"/>
                      <w:highlight w:val="none"/>
                      <w:u w:val="none"/>
                    </w:rPr>
                    <w:t>厂界外20m处上风向设</w:t>
                  </w:r>
                  <w:r>
                    <w:rPr>
                      <w:rFonts w:hint="eastAsia"/>
                      <w:bCs/>
                      <w:color w:val="auto"/>
                      <w:szCs w:val="21"/>
                      <w:highlight w:val="none"/>
                      <w:u w:val="none"/>
                      <w:lang w:val="en-US" w:eastAsia="zh-CN"/>
                    </w:rPr>
                    <w:t>1个</w:t>
                  </w:r>
                  <w:r>
                    <w:rPr>
                      <w:rFonts w:hint="eastAsia"/>
                      <w:bCs/>
                      <w:color w:val="auto"/>
                      <w:szCs w:val="21"/>
                      <w:highlight w:val="none"/>
                      <w:u w:val="none"/>
                    </w:rPr>
                    <w:t>参照点，下风向</w:t>
                  </w:r>
                  <w:r>
                    <w:rPr>
                      <w:rFonts w:hint="eastAsia"/>
                      <w:bCs/>
                      <w:color w:val="auto"/>
                      <w:szCs w:val="21"/>
                      <w:highlight w:val="none"/>
                      <w:u w:val="none"/>
                      <w:lang w:val="en-US" w:eastAsia="zh-CN"/>
                    </w:rPr>
                    <w:t>10m</w:t>
                  </w:r>
                  <w:r>
                    <w:rPr>
                      <w:rFonts w:hint="eastAsia"/>
                      <w:bCs/>
                      <w:color w:val="auto"/>
                      <w:szCs w:val="21"/>
                      <w:highlight w:val="none"/>
                      <w:u w:val="none"/>
                    </w:rPr>
                    <w:t>设</w:t>
                  </w:r>
                  <w:r>
                    <w:rPr>
                      <w:rFonts w:hint="eastAsia"/>
                      <w:bCs/>
                      <w:color w:val="auto"/>
                      <w:szCs w:val="21"/>
                      <w:highlight w:val="none"/>
                      <w:u w:val="none"/>
                      <w:lang w:val="en-US" w:eastAsia="zh-CN"/>
                    </w:rPr>
                    <w:t>3个</w:t>
                  </w:r>
                  <w:r>
                    <w:rPr>
                      <w:rFonts w:hint="eastAsia"/>
                      <w:bCs/>
                      <w:color w:val="auto"/>
                      <w:szCs w:val="21"/>
                      <w:highlight w:val="none"/>
                      <w:u w:val="none"/>
                    </w:rPr>
                    <w:t>监控点</w:t>
                  </w:r>
                </w:p>
              </w:tc>
              <w:tc>
                <w:tcPr>
                  <w:tcW w:w="614" w:type="pct"/>
                  <w:noWrap w:val="0"/>
                  <w:vAlign w:val="center"/>
                </w:tcPr>
                <w:p w14:paraId="148459D7">
                  <w:pPr>
                    <w:jc w:val="center"/>
                    <w:rPr>
                      <w:rFonts w:hint="eastAsia"/>
                      <w:bCs/>
                      <w:color w:val="auto"/>
                      <w:szCs w:val="21"/>
                      <w:highlight w:val="none"/>
                      <w:u w:val="none"/>
                    </w:rPr>
                  </w:pPr>
                  <w:r>
                    <w:rPr>
                      <w:rFonts w:hint="eastAsia"/>
                      <w:bCs/>
                      <w:color w:val="auto"/>
                      <w:szCs w:val="21"/>
                      <w:highlight w:val="none"/>
                      <w:u w:val="none"/>
                    </w:rPr>
                    <w:t>颗粒物</w:t>
                  </w:r>
                </w:p>
              </w:tc>
              <w:tc>
                <w:tcPr>
                  <w:tcW w:w="761" w:type="pct"/>
                  <w:noWrap w:val="0"/>
                  <w:vAlign w:val="center"/>
                </w:tcPr>
                <w:p w14:paraId="2552BE26">
                  <w:pPr>
                    <w:jc w:val="center"/>
                    <w:rPr>
                      <w:rFonts w:hint="eastAsia"/>
                      <w:bCs/>
                      <w:color w:val="auto"/>
                      <w:szCs w:val="21"/>
                      <w:highlight w:val="none"/>
                      <w:u w:val="none"/>
                    </w:rPr>
                  </w:pPr>
                  <w:r>
                    <w:rPr>
                      <w:rFonts w:hint="eastAsia"/>
                      <w:bCs/>
                      <w:color w:val="auto"/>
                      <w:szCs w:val="21"/>
                      <w:highlight w:val="none"/>
                      <w:u w:val="none"/>
                    </w:rPr>
                    <w:t>1次/季度</w:t>
                  </w:r>
                </w:p>
              </w:tc>
              <w:tc>
                <w:tcPr>
                  <w:tcW w:w="1888" w:type="pct"/>
                  <w:vMerge w:val="continue"/>
                  <w:noWrap w:val="0"/>
                  <w:vAlign w:val="center"/>
                </w:tcPr>
                <w:p w14:paraId="48A8995C">
                  <w:pPr>
                    <w:jc w:val="center"/>
                    <w:rPr>
                      <w:rFonts w:hint="eastAsia"/>
                      <w:bCs/>
                      <w:color w:val="auto"/>
                      <w:szCs w:val="21"/>
                      <w:highlight w:val="none"/>
                      <w:u w:val="none"/>
                    </w:rPr>
                  </w:pPr>
                </w:p>
              </w:tc>
            </w:tr>
          </w:tbl>
          <w:p w14:paraId="6355C584">
            <w:pPr>
              <w:adjustRightInd w:val="0"/>
              <w:snapToGrid w:val="0"/>
              <w:spacing w:line="360" w:lineRule="auto"/>
              <w:ind w:firstLine="480" w:firstLineChars="200"/>
              <w:rPr>
                <w:rFonts w:hint="eastAsia" w:ascii="Times New Roman" w:hAnsi="Times New Roman" w:eastAsia="宋体" w:cs="Times New Roman"/>
                <w:b w:val="0"/>
                <w:bCs w:val="0"/>
                <w:i w:val="0"/>
                <w:iCs w:val="0"/>
                <w:color w:val="auto"/>
                <w:sz w:val="24"/>
                <w:szCs w:val="24"/>
                <w:highlight w:val="none"/>
                <w:u w:val="none"/>
                <w:lang w:val="en-US" w:eastAsia="zh-CN"/>
              </w:rPr>
            </w:pPr>
          </w:p>
          <w:p w14:paraId="668A1C75">
            <w:pPr>
              <w:adjustRightInd w:val="0"/>
              <w:snapToGrid w:val="0"/>
              <w:spacing w:line="360" w:lineRule="auto"/>
              <w:ind w:firstLine="482" w:firstLineChars="200"/>
              <w:rPr>
                <w:rFonts w:hint="eastAsia" w:ascii="Times New Roman" w:hAnsi="Times New Roman" w:eastAsia="宋体" w:cs="Times New Roman"/>
                <w:b/>
                <w:bCs/>
                <w:i w:val="0"/>
                <w:iCs w:val="0"/>
                <w:color w:val="FF0000"/>
                <w:sz w:val="24"/>
                <w:szCs w:val="24"/>
                <w:highlight w:val="none"/>
                <w:u w:val="single"/>
                <w:lang w:val="en-US" w:eastAsia="zh-CN"/>
              </w:rPr>
            </w:pPr>
            <w:r>
              <w:rPr>
                <w:rFonts w:hint="eastAsia" w:ascii="Times New Roman" w:hAnsi="Times New Roman" w:eastAsia="宋体" w:cs="Times New Roman"/>
                <w:b/>
                <w:bCs/>
                <w:i w:val="0"/>
                <w:iCs w:val="0"/>
                <w:color w:val="auto"/>
                <w:sz w:val="24"/>
                <w:szCs w:val="24"/>
                <w:highlight w:val="none"/>
                <w:u w:val="single"/>
                <w:lang w:val="en-US" w:eastAsia="zh-CN"/>
              </w:rPr>
              <w:t>2、</w:t>
            </w:r>
            <w:r>
              <w:rPr>
                <w:rFonts w:hint="eastAsia" w:cs="Times New Roman"/>
                <w:b/>
                <w:bCs/>
                <w:i w:val="0"/>
                <w:iCs w:val="0"/>
                <w:color w:val="auto"/>
                <w:sz w:val="24"/>
                <w:szCs w:val="24"/>
                <w:highlight w:val="none"/>
                <w:u w:val="single"/>
                <w:lang w:val="en-US" w:eastAsia="zh-CN"/>
              </w:rPr>
              <w:t>废水环境影响分析</w:t>
            </w:r>
          </w:p>
          <w:p w14:paraId="1D9B23A1">
            <w:pPr>
              <w:adjustRightInd w:val="0"/>
              <w:snapToGrid w:val="0"/>
              <w:spacing w:line="360" w:lineRule="auto"/>
              <w:ind w:firstLine="480" w:firstLineChars="200"/>
              <w:rPr>
                <w:rFonts w:hint="eastAsia"/>
                <w:b w:val="0"/>
                <w:bCs w:val="0"/>
                <w:sz w:val="24"/>
                <w:szCs w:val="24"/>
                <w:highlight w:val="none"/>
                <w:lang w:val="en-US" w:eastAsia="zh-CN"/>
              </w:rPr>
            </w:pPr>
            <w:r>
              <w:rPr>
                <w:rFonts w:hint="eastAsia"/>
                <w:b w:val="0"/>
                <w:bCs w:val="0"/>
                <w:i w:val="0"/>
                <w:iCs w:val="0"/>
                <w:sz w:val="24"/>
                <w:szCs w:val="24"/>
                <w:highlight w:val="none"/>
                <w:u w:val="none"/>
                <w:lang w:val="en-US" w:eastAsia="zh-CN"/>
              </w:rPr>
              <w:t>2.1产排污分析</w:t>
            </w:r>
          </w:p>
          <w:p w14:paraId="51BDF23B">
            <w:pPr>
              <w:pStyle w:val="70"/>
              <w:keepNext w:val="0"/>
              <w:keepLines w:val="0"/>
              <w:pageBreakBefore w:val="0"/>
              <w:widowControl w:val="0"/>
              <w:kinsoku/>
              <w:wordWrap/>
              <w:overflowPunct/>
              <w:topLinePunct w:val="0"/>
              <w:autoSpaceDE/>
              <w:autoSpaceDN/>
              <w:bidi w:val="0"/>
              <w:adjustRightInd/>
              <w:snapToGrid w:val="0"/>
              <w:spacing w:beforeLines="0" w:afterLines="0"/>
              <w:jc w:val="left"/>
              <w:textAlignment w:val="auto"/>
              <w:rPr>
                <w:rFonts w:hint="default" w:ascii="Times New Roman" w:hAnsi="Times New Roman" w:cs="Times New Roman"/>
                <w:sz w:val="24"/>
                <w:szCs w:val="24"/>
                <w:highlight w:val="none"/>
                <w:u w:val="none"/>
                <w:lang w:val="en-US" w:eastAsia="zh-CN"/>
              </w:rPr>
            </w:pPr>
            <w:r>
              <w:rPr>
                <w:rFonts w:hint="eastAsia" w:ascii="Times New Roman" w:hAnsi="Times New Roman" w:cs="Times New Roman"/>
                <w:sz w:val="24"/>
                <w:szCs w:val="24"/>
                <w:highlight w:val="none"/>
                <w:u w:val="none"/>
                <w:lang w:val="en-US" w:eastAsia="zh-CN"/>
              </w:rPr>
              <w:t>（1）生活污水</w:t>
            </w:r>
          </w:p>
          <w:p w14:paraId="48600768">
            <w:pPr>
              <w:pStyle w:val="59"/>
              <w:ind w:firstLine="420"/>
              <w:rPr>
                <w:rFonts w:ascii="Times New Roman" w:hAnsi="Times New Roman"/>
                <w:iCs/>
                <w:color w:val="000000" w:themeColor="text1"/>
                <w:sz w:val="24"/>
                <w:szCs w:val="24"/>
                <w:highlight w:val="none"/>
                <w14:textFill>
                  <w14:solidFill>
                    <w14:schemeClr w14:val="tx1"/>
                  </w14:solidFill>
                </w14:textFill>
              </w:rPr>
            </w:pPr>
            <w:r>
              <w:rPr>
                <w:rFonts w:ascii="Times New Roman" w:hAnsi="Times New Roman"/>
                <w:iCs/>
                <w:color w:val="000000" w:themeColor="text1"/>
                <w:sz w:val="24"/>
                <w:szCs w:val="24"/>
                <w:highlight w:val="none"/>
                <w14:textFill>
                  <w14:solidFill>
                    <w14:schemeClr w14:val="tx1"/>
                  </w14:solidFill>
                </w14:textFill>
              </w:rPr>
              <w:t>项目职工</w:t>
            </w:r>
            <w:r>
              <w:rPr>
                <w:rFonts w:hint="eastAsia" w:ascii="Times New Roman" w:hAnsi="Times New Roman"/>
                <w:iCs/>
                <w:color w:val="000000" w:themeColor="text1"/>
                <w:sz w:val="24"/>
                <w:szCs w:val="24"/>
                <w:highlight w:val="none"/>
                <w:lang w:val="en-US" w:eastAsia="zh-CN"/>
                <w14:textFill>
                  <w14:solidFill>
                    <w14:schemeClr w14:val="tx1"/>
                  </w14:solidFill>
                </w14:textFill>
              </w:rPr>
              <w:t>30</w:t>
            </w:r>
            <w:r>
              <w:rPr>
                <w:rFonts w:ascii="Times New Roman" w:hAnsi="Times New Roman"/>
                <w:iCs/>
                <w:color w:val="000000" w:themeColor="text1"/>
                <w:sz w:val="24"/>
                <w:szCs w:val="24"/>
                <w:highlight w:val="none"/>
                <w14:textFill>
                  <w14:solidFill>
                    <w14:schemeClr w14:val="tx1"/>
                  </w14:solidFill>
                </w14:textFill>
              </w:rPr>
              <w:t>人，年生产</w:t>
            </w:r>
            <w:r>
              <w:rPr>
                <w:rFonts w:hint="eastAsia" w:ascii="Times New Roman" w:hAnsi="Times New Roman"/>
                <w:iCs/>
                <w:color w:val="000000" w:themeColor="text1"/>
                <w:sz w:val="24"/>
                <w:szCs w:val="24"/>
                <w:highlight w:val="none"/>
                <w:lang w:val="en-US" w:eastAsia="zh-CN"/>
                <w14:textFill>
                  <w14:solidFill>
                    <w14:schemeClr w14:val="tx1"/>
                  </w14:solidFill>
                </w14:textFill>
              </w:rPr>
              <w:t>240</w:t>
            </w:r>
            <w:r>
              <w:rPr>
                <w:rFonts w:ascii="Times New Roman" w:hAnsi="Times New Roman"/>
                <w:iCs/>
                <w:color w:val="000000" w:themeColor="text1"/>
                <w:sz w:val="24"/>
                <w:szCs w:val="24"/>
                <w:highlight w:val="none"/>
                <w14:textFill>
                  <w14:solidFill>
                    <w14:schemeClr w14:val="tx1"/>
                  </w14:solidFill>
                </w14:textFill>
              </w:rPr>
              <w:t>天，</w:t>
            </w:r>
            <w:r>
              <w:rPr>
                <w:rFonts w:ascii="Times New Roman" w:hAnsi="Times New Roman"/>
                <w:color w:val="000000" w:themeColor="text1"/>
                <w:kern w:val="0"/>
                <w:sz w:val="24"/>
                <w:highlight w:val="none"/>
                <w:u w:val="none" w:color="auto"/>
                <w14:textFill>
                  <w14:solidFill>
                    <w14:schemeClr w14:val="tx1"/>
                  </w14:solidFill>
                </w14:textFill>
              </w:rPr>
              <w:t>根据《建筑给排水设计手册》可知，生活用水量按30L/人·d计，</w:t>
            </w:r>
            <w:r>
              <w:rPr>
                <w:rFonts w:ascii="Times New Roman" w:hAnsi="Times New Roman"/>
                <w:iCs/>
                <w:color w:val="000000" w:themeColor="text1"/>
                <w:sz w:val="24"/>
                <w:szCs w:val="24"/>
                <w:highlight w:val="none"/>
                <w:u w:val="none" w:color="auto"/>
                <w14:textFill>
                  <w14:solidFill>
                    <w14:schemeClr w14:val="tx1"/>
                  </w14:solidFill>
                </w14:textFill>
              </w:rPr>
              <w:t>则生活用水量为</w:t>
            </w:r>
            <w:r>
              <w:rPr>
                <w:rFonts w:hint="eastAsia" w:ascii="Times New Roman" w:hAnsi="Times New Roman"/>
                <w:iCs/>
                <w:color w:val="000000" w:themeColor="text1"/>
                <w:sz w:val="24"/>
                <w:szCs w:val="24"/>
                <w:highlight w:val="none"/>
                <w:u w:val="none" w:color="auto"/>
                <w:lang w:val="en-US" w:eastAsia="zh-CN"/>
                <w14:textFill>
                  <w14:solidFill>
                    <w14:schemeClr w14:val="tx1"/>
                  </w14:solidFill>
                </w14:textFill>
              </w:rPr>
              <w:t>0.9</w:t>
            </w:r>
            <w:r>
              <w:rPr>
                <w:rFonts w:ascii="Times New Roman" w:hAnsi="Times New Roman"/>
                <w:iCs/>
                <w:color w:val="000000" w:themeColor="text1"/>
                <w:sz w:val="24"/>
                <w:szCs w:val="24"/>
                <w:highlight w:val="none"/>
                <w:u w:val="none" w:color="auto"/>
                <w14:textFill>
                  <w14:solidFill>
                    <w14:schemeClr w14:val="tx1"/>
                  </w14:solidFill>
                </w14:textFill>
              </w:rPr>
              <w:t>m</w:t>
            </w:r>
            <w:r>
              <w:rPr>
                <w:rFonts w:ascii="Times New Roman" w:hAnsi="Times New Roman"/>
                <w:iCs/>
                <w:color w:val="000000" w:themeColor="text1"/>
                <w:sz w:val="24"/>
                <w:szCs w:val="24"/>
                <w:highlight w:val="none"/>
                <w:u w:val="none" w:color="auto"/>
                <w:vertAlign w:val="superscript"/>
                <w14:textFill>
                  <w14:solidFill>
                    <w14:schemeClr w14:val="tx1"/>
                  </w14:solidFill>
                </w14:textFill>
              </w:rPr>
              <w:t>3</w:t>
            </w:r>
            <w:r>
              <w:rPr>
                <w:rFonts w:ascii="Times New Roman" w:hAnsi="Times New Roman"/>
                <w:iCs/>
                <w:color w:val="000000" w:themeColor="text1"/>
                <w:sz w:val="24"/>
                <w:szCs w:val="24"/>
                <w:highlight w:val="none"/>
                <w:u w:val="none" w:color="auto"/>
                <w14:textFill>
                  <w14:solidFill>
                    <w14:schemeClr w14:val="tx1"/>
                  </w14:solidFill>
                </w14:textFill>
              </w:rPr>
              <w:t>/d</w:t>
            </w:r>
            <w:r>
              <w:rPr>
                <w:rFonts w:hint="eastAsia" w:ascii="Times New Roman" w:hAnsi="Times New Roman"/>
                <w:iCs/>
                <w:color w:val="000000" w:themeColor="text1"/>
                <w:sz w:val="24"/>
                <w:szCs w:val="24"/>
                <w:highlight w:val="none"/>
                <w:u w:val="none" w:color="auto"/>
                <w:lang w:eastAsia="zh-CN"/>
                <w14:textFill>
                  <w14:solidFill>
                    <w14:schemeClr w14:val="tx1"/>
                  </w14:solidFill>
                </w14:textFill>
              </w:rPr>
              <w:t>（</w:t>
            </w:r>
            <w:r>
              <w:rPr>
                <w:rFonts w:hint="eastAsia" w:ascii="Times New Roman" w:hAnsi="Times New Roman"/>
                <w:iCs/>
                <w:color w:val="000000" w:themeColor="text1"/>
                <w:sz w:val="24"/>
                <w:szCs w:val="24"/>
                <w:highlight w:val="none"/>
                <w:u w:val="none" w:color="auto"/>
                <w:lang w:val="en-US" w:eastAsia="zh-CN"/>
                <w14:textFill>
                  <w14:solidFill>
                    <w14:schemeClr w14:val="tx1"/>
                  </w14:solidFill>
                </w14:textFill>
              </w:rPr>
              <w:t>216</w:t>
            </w:r>
            <w:r>
              <w:rPr>
                <w:rFonts w:ascii="Times New Roman" w:hAnsi="Times New Roman"/>
                <w:iCs/>
                <w:color w:val="000000" w:themeColor="text1"/>
                <w:sz w:val="24"/>
                <w:szCs w:val="24"/>
                <w:highlight w:val="none"/>
                <w:u w:val="none" w:color="auto"/>
                <w14:textFill>
                  <w14:solidFill>
                    <w14:schemeClr w14:val="tx1"/>
                  </w14:solidFill>
                </w14:textFill>
              </w:rPr>
              <w:t>m</w:t>
            </w:r>
            <w:r>
              <w:rPr>
                <w:rFonts w:ascii="Times New Roman" w:hAnsi="Times New Roman"/>
                <w:iCs/>
                <w:color w:val="000000" w:themeColor="text1"/>
                <w:sz w:val="24"/>
                <w:szCs w:val="24"/>
                <w:highlight w:val="none"/>
                <w:u w:val="none" w:color="auto"/>
                <w:vertAlign w:val="superscript"/>
                <w14:textFill>
                  <w14:solidFill>
                    <w14:schemeClr w14:val="tx1"/>
                  </w14:solidFill>
                </w14:textFill>
              </w:rPr>
              <w:t>3</w:t>
            </w:r>
            <w:r>
              <w:rPr>
                <w:rFonts w:hint="eastAsia" w:ascii="Times New Roman" w:hAnsi="Times New Roman"/>
                <w:iCs/>
                <w:color w:val="000000" w:themeColor="text1"/>
                <w:sz w:val="24"/>
                <w:szCs w:val="24"/>
                <w:highlight w:val="none"/>
                <w:u w:val="none" w:color="auto"/>
                <w:lang w:eastAsia="zh-CN"/>
                <w14:textFill>
                  <w14:solidFill>
                    <w14:schemeClr w14:val="tx1"/>
                  </w14:solidFill>
                </w14:textFill>
              </w:rPr>
              <w:t>/a）。</w:t>
            </w:r>
            <w:r>
              <w:rPr>
                <w:rFonts w:hint="eastAsia" w:ascii="Times New Roman" w:hAnsi="Times New Roman" w:eastAsia="宋体" w:cs="Times New Roman"/>
                <w:color w:val="000000" w:themeColor="text1"/>
                <w:kern w:val="0"/>
                <w:sz w:val="24"/>
                <w:highlight w:val="none"/>
                <w:u w:val="none" w:color="auto"/>
                <w:lang w:val="en-US" w:eastAsia="zh-CN"/>
                <w14:textFill>
                  <w14:solidFill>
                    <w14:schemeClr w14:val="tx1"/>
                  </w14:solidFill>
                </w14:textFill>
              </w:rPr>
              <w:t>职工生活污水产生</w:t>
            </w:r>
            <w:r>
              <w:rPr>
                <w:rFonts w:hint="eastAsia" w:ascii="Times New Roman" w:hAnsi="Times New Roman" w:eastAsia="宋体" w:cs="Times New Roman"/>
                <w:iCs/>
                <w:color w:val="000000" w:themeColor="text1"/>
                <w:sz w:val="24"/>
                <w:szCs w:val="24"/>
                <w:highlight w:val="none"/>
                <w:lang w:val="en-US" w:eastAsia="zh-CN"/>
                <w14:textFill>
                  <w14:solidFill>
                    <w14:schemeClr w14:val="tx1"/>
                  </w14:solidFill>
                </w14:textFill>
              </w:rPr>
              <w:t>量按用水量的80%计，则生活污水产生量为0.</w:t>
            </w:r>
            <w:r>
              <w:rPr>
                <w:rFonts w:hint="eastAsia" w:ascii="Times New Roman" w:hAnsi="Times New Roman" w:cs="Times New Roman"/>
                <w:iCs/>
                <w:color w:val="000000" w:themeColor="text1"/>
                <w:sz w:val="24"/>
                <w:szCs w:val="24"/>
                <w:highlight w:val="none"/>
                <w:lang w:val="en-US" w:eastAsia="zh-CN"/>
                <w14:textFill>
                  <w14:solidFill>
                    <w14:schemeClr w14:val="tx1"/>
                  </w14:solidFill>
                </w14:textFill>
              </w:rPr>
              <w:t>72</w:t>
            </w:r>
            <w:r>
              <w:rPr>
                <w:rFonts w:hint="eastAsia" w:ascii="Times New Roman" w:hAnsi="Times New Roman" w:eastAsia="宋体" w:cs="Times New Roman"/>
                <w:iCs/>
                <w:color w:val="000000" w:themeColor="text1"/>
                <w:sz w:val="24"/>
                <w:szCs w:val="24"/>
                <w:highlight w:val="none"/>
                <w:lang w:val="en-US" w:eastAsia="zh-CN"/>
                <w14:textFill>
                  <w14:solidFill>
                    <w14:schemeClr w14:val="tx1"/>
                  </w14:solidFill>
                </w14:textFill>
              </w:rPr>
              <w:t>m</w:t>
            </w:r>
            <w:r>
              <w:rPr>
                <w:rFonts w:hint="eastAsia" w:ascii="Times New Roman" w:hAnsi="Times New Roman" w:eastAsia="宋体" w:cs="Times New Roman"/>
                <w:iCs/>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iCs/>
                <w:color w:val="000000" w:themeColor="text1"/>
                <w:sz w:val="24"/>
                <w:szCs w:val="24"/>
                <w:highlight w:val="none"/>
                <w:lang w:val="en-US" w:eastAsia="zh-CN"/>
                <w14:textFill>
                  <w14:solidFill>
                    <w14:schemeClr w14:val="tx1"/>
                  </w14:solidFill>
                </w14:textFill>
              </w:rPr>
              <w:t>/d（</w:t>
            </w:r>
            <w:r>
              <w:rPr>
                <w:rFonts w:hint="eastAsia" w:ascii="Times New Roman" w:hAnsi="Times New Roman" w:cs="Times New Roman"/>
                <w:iCs/>
                <w:color w:val="000000" w:themeColor="text1"/>
                <w:sz w:val="24"/>
                <w:szCs w:val="24"/>
                <w:highlight w:val="none"/>
                <w:lang w:val="en-US" w:eastAsia="zh-CN"/>
                <w14:textFill>
                  <w14:solidFill>
                    <w14:schemeClr w14:val="tx1"/>
                  </w14:solidFill>
                </w14:textFill>
              </w:rPr>
              <w:t>172.8</w:t>
            </w:r>
            <w:r>
              <w:rPr>
                <w:rFonts w:hint="eastAsia" w:ascii="Times New Roman" w:hAnsi="Times New Roman" w:eastAsia="宋体" w:cs="Times New Roman"/>
                <w:iCs/>
                <w:color w:val="000000" w:themeColor="text1"/>
                <w:sz w:val="24"/>
                <w:szCs w:val="24"/>
                <w:highlight w:val="none"/>
                <w:lang w:val="en-US" w:eastAsia="zh-CN"/>
                <w14:textFill>
                  <w14:solidFill>
                    <w14:schemeClr w14:val="tx1"/>
                  </w14:solidFill>
                </w14:textFill>
              </w:rPr>
              <w:t>m</w:t>
            </w:r>
            <w:r>
              <w:rPr>
                <w:rFonts w:hint="eastAsia" w:ascii="Times New Roman" w:hAnsi="Times New Roman" w:eastAsia="宋体" w:cs="Times New Roman"/>
                <w:iCs/>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iCs/>
                <w:color w:val="000000" w:themeColor="text1"/>
                <w:sz w:val="24"/>
                <w:szCs w:val="24"/>
                <w:highlight w:val="none"/>
                <w:lang w:val="en-US" w:eastAsia="zh-CN"/>
                <w14:textFill>
                  <w14:solidFill>
                    <w14:schemeClr w14:val="tx1"/>
                  </w14:solidFill>
                </w14:textFill>
              </w:rPr>
              <w:t>/a），排入</w:t>
            </w:r>
            <w:r>
              <w:rPr>
                <w:rFonts w:hint="eastAsia" w:ascii="Times New Roman" w:hAnsi="Times New Roman" w:cs="Times New Roman"/>
                <w:iCs/>
                <w:color w:val="000000" w:themeColor="text1"/>
                <w:sz w:val="24"/>
                <w:szCs w:val="24"/>
                <w:highlight w:val="none"/>
                <w:lang w:val="en-US" w:eastAsia="zh-CN"/>
                <w14:textFill>
                  <w14:solidFill>
                    <w14:schemeClr w14:val="tx1"/>
                  </w14:solidFill>
                </w14:textFill>
              </w:rPr>
              <w:t>防渗旱厕，</w:t>
            </w:r>
            <w:r>
              <w:rPr>
                <w:rFonts w:hint="eastAsia" w:ascii="Times New Roman" w:hAnsi="Times New Roman" w:eastAsia="宋体" w:cs="Times New Roman"/>
                <w:iCs/>
                <w:color w:val="000000" w:themeColor="text1"/>
                <w:sz w:val="24"/>
                <w:szCs w:val="24"/>
                <w:highlight w:val="none"/>
                <w:lang w:val="en-US" w:eastAsia="zh-CN"/>
                <w14:textFill>
                  <w14:solidFill>
                    <w14:schemeClr w14:val="tx1"/>
                  </w14:solidFill>
                </w14:textFill>
              </w:rPr>
              <w:t>定期清掏</w:t>
            </w:r>
            <w:r>
              <w:rPr>
                <w:rFonts w:hint="eastAsia" w:ascii="Times New Roman" w:hAnsi="Times New Roman" w:cs="Times New Roman"/>
                <w:iCs/>
                <w:color w:val="000000" w:themeColor="text1"/>
                <w:sz w:val="24"/>
                <w:szCs w:val="24"/>
                <w:highlight w:val="none"/>
                <w:lang w:val="en-US" w:eastAsia="zh-CN"/>
                <w14:textFill>
                  <w14:solidFill>
                    <w14:schemeClr w14:val="tx1"/>
                  </w14:solidFill>
                </w14:textFill>
              </w:rPr>
              <w:t>作</w:t>
            </w:r>
            <w:r>
              <w:rPr>
                <w:rFonts w:hint="eastAsia" w:ascii="Times New Roman" w:hAnsi="Times New Roman" w:eastAsia="宋体" w:cs="Times New Roman"/>
                <w:iCs/>
                <w:color w:val="000000" w:themeColor="text1"/>
                <w:sz w:val="24"/>
                <w:szCs w:val="24"/>
                <w:highlight w:val="none"/>
                <w:lang w:val="en-US" w:eastAsia="zh-CN"/>
                <w14:textFill>
                  <w14:solidFill>
                    <w14:schemeClr w14:val="tx1"/>
                  </w14:solidFill>
                </w14:textFill>
              </w:rPr>
              <w:t>农肥</w:t>
            </w:r>
            <w:r>
              <w:rPr>
                <w:rFonts w:hint="eastAsia" w:ascii="Times New Roman" w:hAnsi="Times New Roman" w:eastAsia="宋体" w:cs="Times New Roman"/>
                <w:kern w:val="0"/>
                <w:sz w:val="24"/>
                <w:highlight w:val="none"/>
                <w:u w:val="none" w:color="auto"/>
                <w:lang w:val="en-US" w:eastAsia="zh-CN"/>
              </w:rPr>
              <w:t>。</w:t>
            </w:r>
          </w:p>
          <w:p w14:paraId="3E7FD0AB">
            <w:pPr>
              <w:pStyle w:val="70"/>
              <w:keepNext w:val="0"/>
              <w:keepLines w:val="0"/>
              <w:pageBreakBefore w:val="0"/>
              <w:widowControl w:val="0"/>
              <w:kinsoku/>
              <w:wordWrap/>
              <w:overflowPunct/>
              <w:topLinePunct w:val="0"/>
              <w:autoSpaceDE/>
              <w:autoSpaceDN/>
              <w:bidi w:val="0"/>
              <w:adjustRightInd/>
              <w:snapToGrid w:val="0"/>
              <w:spacing w:beforeLines="0" w:afterLines="0"/>
              <w:jc w:val="left"/>
              <w:textAlignment w:val="auto"/>
              <w:rPr>
                <w:rFonts w:hint="eastAsia" w:ascii="Times New Roman" w:hAnsi="Times New Roman" w:eastAsia="宋体" w:cs="Times New Roman"/>
                <w:highlight w:val="none"/>
                <w:u w:val="none"/>
                <w:lang w:val="en-US" w:eastAsia="zh-CN"/>
              </w:rPr>
            </w:pPr>
            <w:r>
              <w:rPr>
                <w:rFonts w:hint="eastAsia" w:ascii="Times New Roman" w:hAnsi="Times New Roman" w:eastAsia="宋体" w:cs="Times New Roman"/>
                <w:highlight w:val="none"/>
                <w:u w:val="none"/>
                <w:lang w:val="en-US" w:eastAsia="zh-CN"/>
              </w:rPr>
              <w:t>参照《给水排水设计手册》中生活污水主要污染物浓度。经调查，生活污水中主要污染物COD、BOD</w:t>
            </w:r>
            <w:r>
              <w:rPr>
                <w:rFonts w:hint="eastAsia" w:ascii="Times New Roman" w:hAnsi="Times New Roman" w:eastAsia="宋体" w:cs="Times New Roman"/>
                <w:highlight w:val="none"/>
                <w:u w:val="none"/>
                <w:vertAlign w:val="subscript"/>
                <w:lang w:val="en-US" w:eastAsia="zh-CN"/>
              </w:rPr>
              <w:t>5</w:t>
            </w:r>
            <w:r>
              <w:rPr>
                <w:rFonts w:hint="eastAsia" w:ascii="Times New Roman" w:hAnsi="Times New Roman" w:eastAsia="宋体" w:cs="Times New Roman"/>
                <w:highlight w:val="none"/>
                <w:u w:val="none"/>
                <w:lang w:val="en-US" w:eastAsia="zh-CN"/>
              </w:rPr>
              <w:t>、</w:t>
            </w:r>
            <w:r>
              <w:rPr>
                <w:rFonts w:hint="eastAsia" w:cs="Times New Roman"/>
                <w:highlight w:val="none"/>
                <w:u w:val="none"/>
                <w:lang w:val="en-US" w:eastAsia="zh-CN"/>
              </w:rPr>
              <w:t>氨氮</w:t>
            </w:r>
            <w:r>
              <w:rPr>
                <w:rFonts w:hint="eastAsia" w:ascii="Times New Roman" w:hAnsi="Times New Roman" w:eastAsia="宋体" w:cs="Times New Roman"/>
                <w:highlight w:val="none"/>
                <w:u w:val="none"/>
                <w:lang w:val="en-US" w:eastAsia="zh-CN"/>
              </w:rPr>
              <w:t>、SS的产生浓度分别为：280mg/L、150mg/L、30mg/L、200mg/L。</w:t>
            </w:r>
          </w:p>
          <w:p w14:paraId="392074B4">
            <w:pPr>
              <w:pStyle w:val="55"/>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highlight w:val="none"/>
                <w:u w:val="none" w:color="auto"/>
              </w:rPr>
            </w:pPr>
            <w:r>
              <w:rPr>
                <w:rFonts w:hint="default"/>
                <w:highlight w:val="none"/>
                <w:u w:val="none" w:color="auto"/>
                <w:lang w:eastAsia="zh-CN"/>
              </w:rPr>
              <w:t>表</w:t>
            </w:r>
            <w:r>
              <w:rPr>
                <w:rFonts w:hint="eastAsia"/>
                <w:highlight w:val="none"/>
                <w:u w:val="none" w:color="auto"/>
                <w:lang w:val="en-US" w:eastAsia="zh-CN"/>
              </w:rPr>
              <w:t>4-8</w:t>
            </w:r>
            <w:r>
              <w:rPr>
                <w:rFonts w:hint="default"/>
                <w:highlight w:val="none"/>
                <w:u w:val="none" w:color="auto"/>
                <w:lang w:val="en-US" w:eastAsia="zh-CN"/>
              </w:rPr>
              <w:t xml:space="preserve">  </w:t>
            </w:r>
            <w:r>
              <w:rPr>
                <w:rFonts w:hint="default"/>
                <w:highlight w:val="none"/>
                <w:u w:val="none" w:color="auto"/>
              </w:rPr>
              <w:t>项目生活污水产生情况一览表</w:t>
            </w:r>
          </w:p>
          <w:tbl>
            <w:tblPr>
              <w:tblStyle w:val="25"/>
              <w:tblW w:w="4998" w:type="pct"/>
              <w:tblInd w:w="0" w:type="dxa"/>
              <w:tblLayout w:type="autofit"/>
              <w:tblCellMar>
                <w:top w:w="0" w:type="dxa"/>
                <w:left w:w="0" w:type="dxa"/>
                <w:bottom w:w="0" w:type="dxa"/>
                <w:right w:w="0" w:type="dxa"/>
              </w:tblCellMar>
            </w:tblPr>
            <w:tblGrid>
              <w:gridCol w:w="927"/>
              <w:gridCol w:w="1109"/>
              <w:gridCol w:w="803"/>
              <w:gridCol w:w="803"/>
              <w:gridCol w:w="803"/>
              <w:gridCol w:w="806"/>
              <w:gridCol w:w="803"/>
              <w:gridCol w:w="803"/>
              <w:gridCol w:w="803"/>
              <w:gridCol w:w="806"/>
            </w:tblGrid>
            <w:tr w14:paraId="7698C72B">
              <w:tblPrEx>
                <w:tblCellMar>
                  <w:top w:w="0" w:type="dxa"/>
                  <w:left w:w="0" w:type="dxa"/>
                  <w:bottom w:w="0" w:type="dxa"/>
                  <w:right w:w="0" w:type="dxa"/>
                </w:tblCellMar>
              </w:tblPrEx>
              <w:trPr>
                <w:trHeight w:val="23" w:hRule="atLeast"/>
              </w:trPr>
              <w:tc>
                <w:tcPr>
                  <w:tcW w:w="547" w:type="pct"/>
                  <w:vMerge w:val="restart"/>
                  <w:tcBorders>
                    <w:top w:val="single" w:color="000000" w:sz="12" w:space="0"/>
                    <w:left w:val="nil"/>
                    <w:right w:val="single" w:color="000000" w:sz="4" w:space="0"/>
                  </w:tcBorders>
                  <w:noWrap w:val="0"/>
                  <w:vAlign w:val="center"/>
                </w:tcPr>
                <w:p w14:paraId="3B91F868">
                  <w:pPr>
                    <w:pStyle w:val="49"/>
                    <w:keepNext w:val="0"/>
                    <w:keepLines w:val="0"/>
                    <w:pageBreakBefore w:val="0"/>
                    <w:kinsoku/>
                    <w:wordWrap/>
                    <w:overflowPunct/>
                    <w:topLinePunct w:val="0"/>
                    <w:autoSpaceDE/>
                    <w:autoSpaceDN/>
                    <w:bidi w:val="0"/>
                    <w:spacing w:beforeLines="0" w:afterLines="0" w:line="240" w:lineRule="auto"/>
                    <w:ind w:left="0" w:leftChars="0" w:firstLine="0" w:firstLineChars="0"/>
                    <w:textAlignment w:val="auto"/>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项目</w:t>
                  </w:r>
                </w:p>
              </w:tc>
              <w:tc>
                <w:tcPr>
                  <w:tcW w:w="655" w:type="pct"/>
                  <w:vMerge w:val="restart"/>
                  <w:tcBorders>
                    <w:top w:val="single" w:color="000000" w:sz="12" w:space="0"/>
                    <w:left w:val="single" w:color="000000" w:sz="4" w:space="0"/>
                    <w:right w:val="single" w:color="000000" w:sz="4" w:space="0"/>
                  </w:tcBorders>
                  <w:noWrap w:val="0"/>
                  <w:vAlign w:val="center"/>
                </w:tcPr>
                <w:p w14:paraId="49F1D809">
                  <w:pPr>
                    <w:pStyle w:val="49"/>
                    <w:keepNext w:val="0"/>
                    <w:keepLines w:val="0"/>
                    <w:pageBreakBefore w:val="0"/>
                    <w:kinsoku/>
                    <w:wordWrap/>
                    <w:overflowPunct/>
                    <w:topLinePunct w:val="0"/>
                    <w:autoSpaceDE/>
                    <w:autoSpaceDN/>
                    <w:bidi w:val="0"/>
                    <w:spacing w:beforeLines="0" w:afterLines="0" w:line="240" w:lineRule="auto"/>
                    <w:ind w:left="0" w:leftChars="0" w:firstLine="0" w:firstLineChars="0"/>
                    <w:textAlignment w:val="auto"/>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污水排放量（</w:t>
                  </w:r>
                  <w:r>
                    <w:rPr>
                      <w:rFonts w:hint="default" w:ascii="Times New Roman" w:hAnsi="Times New Roman" w:eastAsia="宋体" w:cs="Times New Roman"/>
                      <w:b w:val="0"/>
                      <w:bCs w:val="0"/>
                      <w:sz w:val="21"/>
                      <w:szCs w:val="21"/>
                      <w:highlight w:val="none"/>
                      <w:lang w:val="en-US" w:eastAsia="zh-CN"/>
                    </w:rPr>
                    <w:t>t</w:t>
                  </w:r>
                  <w:r>
                    <w:rPr>
                      <w:rFonts w:hint="default" w:ascii="Times New Roman" w:hAnsi="Times New Roman" w:eastAsia="宋体" w:cs="Times New Roman"/>
                      <w:b w:val="0"/>
                      <w:bCs w:val="0"/>
                      <w:sz w:val="21"/>
                      <w:szCs w:val="21"/>
                      <w:highlight w:val="none"/>
                    </w:rPr>
                    <w:t>/a）</w:t>
                  </w:r>
                </w:p>
              </w:tc>
              <w:tc>
                <w:tcPr>
                  <w:tcW w:w="1898" w:type="pct"/>
                  <w:gridSpan w:val="4"/>
                  <w:tcBorders>
                    <w:top w:val="single" w:color="000000" w:sz="12" w:space="0"/>
                    <w:left w:val="single" w:color="000000" w:sz="4" w:space="0"/>
                    <w:bottom w:val="single" w:color="000000" w:sz="4" w:space="0"/>
                    <w:right w:val="single" w:color="000000" w:sz="4" w:space="0"/>
                  </w:tcBorders>
                  <w:noWrap w:val="0"/>
                  <w:vAlign w:val="center"/>
                </w:tcPr>
                <w:p w14:paraId="469EEA9B">
                  <w:pPr>
                    <w:pStyle w:val="49"/>
                    <w:keepNext w:val="0"/>
                    <w:keepLines w:val="0"/>
                    <w:pageBreakBefore w:val="0"/>
                    <w:kinsoku/>
                    <w:wordWrap/>
                    <w:overflowPunct/>
                    <w:topLinePunct w:val="0"/>
                    <w:autoSpaceDE/>
                    <w:autoSpaceDN/>
                    <w:bidi w:val="0"/>
                    <w:spacing w:beforeLines="0" w:afterLines="0" w:line="240" w:lineRule="auto"/>
                    <w:ind w:left="0" w:leftChars="0" w:firstLine="0" w:firstLineChars="0"/>
                    <w:textAlignment w:val="auto"/>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污染物产生浓度（mg/L）</w:t>
                  </w:r>
                </w:p>
              </w:tc>
              <w:tc>
                <w:tcPr>
                  <w:tcW w:w="1898" w:type="pct"/>
                  <w:gridSpan w:val="4"/>
                  <w:tcBorders>
                    <w:top w:val="single" w:color="000000" w:sz="12" w:space="0"/>
                    <w:left w:val="single" w:color="000000" w:sz="4" w:space="0"/>
                    <w:bottom w:val="single" w:color="000000" w:sz="4" w:space="0"/>
                    <w:right w:val="nil"/>
                  </w:tcBorders>
                  <w:noWrap w:val="0"/>
                  <w:vAlign w:val="center"/>
                </w:tcPr>
                <w:p w14:paraId="7ACC86D3">
                  <w:pPr>
                    <w:pStyle w:val="49"/>
                    <w:keepNext w:val="0"/>
                    <w:keepLines w:val="0"/>
                    <w:pageBreakBefore w:val="0"/>
                    <w:kinsoku/>
                    <w:wordWrap/>
                    <w:overflowPunct/>
                    <w:topLinePunct w:val="0"/>
                    <w:autoSpaceDE/>
                    <w:autoSpaceDN/>
                    <w:bidi w:val="0"/>
                    <w:spacing w:beforeLines="0" w:afterLines="0" w:line="240" w:lineRule="auto"/>
                    <w:ind w:left="0" w:leftChars="0" w:firstLine="0" w:firstLineChars="0"/>
                    <w:textAlignment w:val="auto"/>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污染物产生量（t/a）</w:t>
                  </w:r>
                </w:p>
              </w:tc>
            </w:tr>
            <w:tr w14:paraId="577FA18B">
              <w:tblPrEx>
                <w:tblCellMar>
                  <w:top w:w="0" w:type="dxa"/>
                  <w:left w:w="0" w:type="dxa"/>
                  <w:bottom w:w="0" w:type="dxa"/>
                  <w:right w:w="0" w:type="dxa"/>
                </w:tblCellMar>
              </w:tblPrEx>
              <w:trPr>
                <w:trHeight w:val="23" w:hRule="atLeast"/>
              </w:trPr>
              <w:tc>
                <w:tcPr>
                  <w:tcW w:w="547" w:type="pct"/>
                  <w:vMerge w:val="continue"/>
                  <w:tcBorders>
                    <w:left w:val="nil"/>
                    <w:bottom w:val="single" w:color="000000" w:sz="4" w:space="0"/>
                    <w:right w:val="single" w:color="000000" w:sz="4" w:space="0"/>
                  </w:tcBorders>
                  <w:noWrap w:val="0"/>
                  <w:vAlign w:val="center"/>
                </w:tcPr>
                <w:p w14:paraId="198D3C33">
                  <w:pPr>
                    <w:pStyle w:val="49"/>
                    <w:keepNext w:val="0"/>
                    <w:keepLines w:val="0"/>
                    <w:pageBreakBefore w:val="0"/>
                    <w:kinsoku/>
                    <w:wordWrap/>
                    <w:overflowPunct/>
                    <w:topLinePunct w:val="0"/>
                    <w:autoSpaceDE/>
                    <w:autoSpaceDN/>
                    <w:bidi w:val="0"/>
                    <w:spacing w:beforeLines="0" w:afterLines="0" w:line="240" w:lineRule="auto"/>
                    <w:ind w:left="0" w:leftChars="0" w:firstLine="0" w:firstLineChars="0"/>
                    <w:textAlignment w:val="auto"/>
                    <w:rPr>
                      <w:rFonts w:hint="default" w:ascii="Times New Roman" w:hAnsi="Times New Roman" w:eastAsia="宋体" w:cs="Times New Roman"/>
                      <w:b w:val="0"/>
                      <w:bCs w:val="0"/>
                      <w:sz w:val="21"/>
                      <w:szCs w:val="21"/>
                      <w:highlight w:val="none"/>
                    </w:rPr>
                  </w:pPr>
                </w:p>
              </w:tc>
              <w:tc>
                <w:tcPr>
                  <w:tcW w:w="655" w:type="pct"/>
                  <w:vMerge w:val="continue"/>
                  <w:tcBorders>
                    <w:left w:val="single" w:color="000000" w:sz="4" w:space="0"/>
                    <w:bottom w:val="single" w:color="000000" w:sz="4" w:space="0"/>
                    <w:right w:val="single" w:color="000000" w:sz="4" w:space="0"/>
                  </w:tcBorders>
                  <w:noWrap w:val="0"/>
                  <w:vAlign w:val="center"/>
                </w:tcPr>
                <w:p w14:paraId="4F61841B">
                  <w:pPr>
                    <w:pStyle w:val="49"/>
                    <w:keepNext w:val="0"/>
                    <w:keepLines w:val="0"/>
                    <w:pageBreakBefore w:val="0"/>
                    <w:kinsoku/>
                    <w:wordWrap/>
                    <w:overflowPunct/>
                    <w:topLinePunct w:val="0"/>
                    <w:autoSpaceDE/>
                    <w:autoSpaceDN/>
                    <w:bidi w:val="0"/>
                    <w:spacing w:beforeLines="0" w:afterLines="0" w:line="240" w:lineRule="auto"/>
                    <w:ind w:left="0" w:leftChars="0" w:firstLine="0" w:firstLineChars="0"/>
                    <w:textAlignment w:val="auto"/>
                    <w:rPr>
                      <w:rFonts w:hint="default" w:ascii="Times New Roman" w:hAnsi="Times New Roman" w:eastAsia="宋体" w:cs="Times New Roman"/>
                      <w:b w:val="0"/>
                      <w:bCs w:val="0"/>
                      <w:sz w:val="21"/>
                      <w:szCs w:val="21"/>
                      <w:highlight w:val="none"/>
                    </w:rPr>
                  </w:pPr>
                </w:p>
              </w:tc>
              <w:tc>
                <w:tcPr>
                  <w:tcW w:w="474" w:type="pct"/>
                  <w:tcBorders>
                    <w:top w:val="single" w:color="000000" w:sz="4" w:space="0"/>
                    <w:left w:val="single" w:color="000000" w:sz="4" w:space="0"/>
                    <w:bottom w:val="single" w:color="000000" w:sz="4" w:space="0"/>
                    <w:right w:val="single" w:color="000000" w:sz="4" w:space="0"/>
                  </w:tcBorders>
                  <w:noWrap w:val="0"/>
                  <w:vAlign w:val="center"/>
                </w:tcPr>
                <w:p w14:paraId="3F8D4B0F">
                  <w:pPr>
                    <w:pStyle w:val="49"/>
                    <w:keepNext w:val="0"/>
                    <w:keepLines w:val="0"/>
                    <w:pageBreakBefore w:val="0"/>
                    <w:kinsoku/>
                    <w:wordWrap/>
                    <w:overflowPunct/>
                    <w:topLinePunct w:val="0"/>
                    <w:autoSpaceDE/>
                    <w:autoSpaceDN/>
                    <w:bidi w:val="0"/>
                    <w:spacing w:beforeLines="0" w:afterLines="0" w:line="240" w:lineRule="auto"/>
                    <w:ind w:left="0" w:leftChars="0" w:firstLine="0" w:firstLineChars="0"/>
                    <w:textAlignment w:val="auto"/>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COD</w:t>
                  </w:r>
                </w:p>
              </w:tc>
              <w:tc>
                <w:tcPr>
                  <w:tcW w:w="474" w:type="pct"/>
                  <w:tcBorders>
                    <w:top w:val="single" w:color="000000" w:sz="4" w:space="0"/>
                    <w:left w:val="single" w:color="000000" w:sz="4" w:space="0"/>
                    <w:bottom w:val="single" w:color="000000" w:sz="4" w:space="0"/>
                    <w:right w:val="single" w:color="000000" w:sz="4" w:space="0"/>
                  </w:tcBorders>
                  <w:noWrap w:val="0"/>
                  <w:vAlign w:val="center"/>
                </w:tcPr>
                <w:p w14:paraId="20151095">
                  <w:pPr>
                    <w:pStyle w:val="49"/>
                    <w:keepNext w:val="0"/>
                    <w:keepLines w:val="0"/>
                    <w:pageBreakBefore w:val="0"/>
                    <w:kinsoku/>
                    <w:wordWrap/>
                    <w:overflowPunct/>
                    <w:topLinePunct w:val="0"/>
                    <w:autoSpaceDE/>
                    <w:autoSpaceDN/>
                    <w:bidi w:val="0"/>
                    <w:spacing w:beforeLines="0" w:afterLines="0" w:line="240" w:lineRule="auto"/>
                    <w:ind w:left="0" w:leftChars="0" w:firstLine="0" w:firstLineChars="0"/>
                    <w:textAlignment w:val="auto"/>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BOD</w:t>
                  </w:r>
                  <w:r>
                    <w:rPr>
                      <w:rFonts w:hint="default" w:ascii="Times New Roman" w:hAnsi="Times New Roman" w:eastAsia="宋体" w:cs="Times New Roman"/>
                      <w:b w:val="0"/>
                      <w:bCs w:val="0"/>
                      <w:sz w:val="21"/>
                      <w:szCs w:val="21"/>
                      <w:highlight w:val="none"/>
                      <w:vertAlign w:val="subscript"/>
                    </w:rPr>
                    <w:t>5</w:t>
                  </w:r>
                </w:p>
              </w:tc>
              <w:tc>
                <w:tcPr>
                  <w:tcW w:w="474" w:type="pct"/>
                  <w:tcBorders>
                    <w:top w:val="single" w:color="000000" w:sz="4" w:space="0"/>
                    <w:left w:val="single" w:color="000000" w:sz="4" w:space="0"/>
                    <w:bottom w:val="single" w:color="000000" w:sz="4" w:space="0"/>
                    <w:right w:val="single" w:color="000000" w:sz="4" w:space="0"/>
                  </w:tcBorders>
                  <w:noWrap w:val="0"/>
                  <w:vAlign w:val="center"/>
                </w:tcPr>
                <w:p w14:paraId="451FED6E">
                  <w:pPr>
                    <w:pStyle w:val="49"/>
                    <w:keepNext w:val="0"/>
                    <w:keepLines w:val="0"/>
                    <w:pageBreakBefore w:val="0"/>
                    <w:kinsoku/>
                    <w:wordWrap/>
                    <w:overflowPunct/>
                    <w:topLinePunct w:val="0"/>
                    <w:autoSpaceDE/>
                    <w:autoSpaceDN/>
                    <w:bidi w:val="0"/>
                    <w:spacing w:beforeLines="0" w:afterLines="0" w:line="240" w:lineRule="auto"/>
                    <w:ind w:left="0" w:leftChars="0" w:firstLine="0" w:firstLineChars="0"/>
                    <w:textAlignment w:val="auto"/>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SS</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27796F93">
                  <w:pPr>
                    <w:pStyle w:val="49"/>
                    <w:keepNext w:val="0"/>
                    <w:keepLines w:val="0"/>
                    <w:pageBreakBefore w:val="0"/>
                    <w:kinsoku/>
                    <w:wordWrap/>
                    <w:overflowPunct/>
                    <w:topLinePunct w:val="0"/>
                    <w:autoSpaceDE/>
                    <w:autoSpaceDN/>
                    <w:bidi w:val="0"/>
                    <w:spacing w:beforeLines="0" w:afterLines="0" w:line="240" w:lineRule="auto"/>
                    <w:ind w:left="0" w:leftChars="0" w:firstLine="0" w:firstLineChars="0"/>
                    <w:textAlignment w:val="auto"/>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氨氮</w:t>
                  </w:r>
                </w:p>
              </w:tc>
              <w:tc>
                <w:tcPr>
                  <w:tcW w:w="474" w:type="pct"/>
                  <w:tcBorders>
                    <w:top w:val="single" w:color="000000" w:sz="4" w:space="0"/>
                    <w:left w:val="single" w:color="000000" w:sz="4" w:space="0"/>
                    <w:bottom w:val="single" w:color="000000" w:sz="4" w:space="0"/>
                    <w:right w:val="single" w:color="000000" w:sz="4" w:space="0"/>
                  </w:tcBorders>
                  <w:noWrap w:val="0"/>
                  <w:vAlign w:val="center"/>
                </w:tcPr>
                <w:p w14:paraId="62FE1649">
                  <w:pPr>
                    <w:pStyle w:val="49"/>
                    <w:keepNext w:val="0"/>
                    <w:keepLines w:val="0"/>
                    <w:pageBreakBefore w:val="0"/>
                    <w:kinsoku/>
                    <w:wordWrap/>
                    <w:overflowPunct/>
                    <w:topLinePunct w:val="0"/>
                    <w:autoSpaceDE/>
                    <w:autoSpaceDN/>
                    <w:bidi w:val="0"/>
                    <w:spacing w:beforeLines="0" w:afterLines="0" w:line="240" w:lineRule="auto"/>
                    <w:ind w:left="0" w:leftChars="0" w:firstLine="0" w:firstLineChars="0"/>
                    <w:textAlignment w:val="auto"/>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COD</w:t>
                  </w:r>
                </w:p>
              </w:tc>
              <w:tc>
                <w:tcPr>
                  <w:tcW w:w="474" w:type="pct"/>
                  <w:tcBorders>
                    <w:top w:val="single" w:color="000000" w:sz="4" w:space="0"/>
                    <w:left w:val="single" w:color="000000" w:sz="4" w:space="0"/>
                    <w:bottom w:val="single" w:color="000000" w:sz="4" w:space="0"/>
                    <w:right w:val="single" w:color="000000" w:sz="4" w:space="0"/>
                  </w:tcBorders>
                  <w:noWrap w:val="0"/>
                  <w:vAlign w:val="center"/>
                </w:tcPr>
                <w:p w14:paraId="69E09430">
                  <w:pPr>
                    <w:pStyle w:val="49"/>
                    <w:keepNext w:val="0"/>
                    <w:keepLines w:val="0"/>
                    <w:pageBreakBefore w:val="0"/>
                    <w:kinsoku/>
                    <w:wordWrap/>
                    <w:overflowPunct/>
                    <w:topLinePunct w:val="0"/>
                    <w:autoSpaceDE/>
                    <w:autoSpaceDN/>
                    <w:bidi w:val="0"/>
                    <w:spacing w:beforeLines="0" w:afterLines="0" w:line="240" w:lineRule="auto"/>
                    <w:ind w:left="0" w:leftChars="0" w:firstLine="0" w:firstLineChars="0"/>
                    <w:textAlignment w:val="auto"/>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BOD</w:t>
                  </w:r>
                  <w:r>
                    <w:rPr>
                      <w:rFonts w:hint="default" w:ascii="Times New Roman" w:hAnsi="Times New Roman" w:eastAsia="宋体" w:cs="Times New Roman"/>
                      <w:b w:val="0"/>
                      <w:bCs w:val="0"/>
                      <w:sz w:val="21"/>
                      <w:szCs w:val="21"/>
                      <w:highlight w:val="none"/>
                      <w:vertAlign w:val="subscript"/>
                    </w:rPr>
                    <w:t>5</w:t>
                  </w:r>
                </w:p>
              </w:tc>
              <w:tc>
                <w:tcPr>
                  <w:tcW w:w="474" w:type="pct"/>
                  <w:tcBorders>
                    <w:top w:val="single" w:color="000000" w:sz="4" w:space="0"/>
                    <w:left w:val="single" w:color="000000" w:sz="4" w:space="0"/>
                    <w:bottom w:val="single" w:color="000000" w:sz="4" w:space="0"/>
                    <w:right w:val="single" w:color="000000" w:sz="4" w:space="0"/>
                  </w:tcBorders>
                  <w:noWrap w:val="0"/>
                  <w:vAlign w:val="center"/>
                </w:tcPr>
                <w:p w14:paraId="2AAE081B">
                  <w:pPr>
                    <w:pStyle w:val="49"/>
                    <w:keepNext w:val="0"/>
                    <w:keepLines w:val="0"/>
                    <w:pageBreakBefore w:val="0"/>
                    <w:kinsoku/>
                    <w:wordWrap/>
                    <w:overflowPunct/>
                    <w:topLinePunct w:val="0"/>
                    <w:autoSpaceDE/>
                    <w:autoSpaceDN/>
                    <w:bidi w:val="0"/>
                    <w:spacing w:beforeLines="0" w:afterLines="0" w:line="240" w:lineRule="auto"/>
                    <w:ind w:left="0" w:leftChars="0" w:firstLine="0" w:firstLineChars="0"/>
                    <w:textAlignment w:val="auto"/>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SS</w:t>
                  </w:r>
                </w:p>
              </w:tc>
              <w:tc>
                <w:tcPr>
                  <w:tcW w:w="475" w:type="pct"/>
                  <w:tcBorders>
                    <w:top w:val="single" w:color="000000" w:sz="4" w:space="0"/>
                    <w:left w:val="single" w:color="000000" w:sz="4" w:space="0"/>
                    <w:bottom w:val="single" w:color="000000" w:sz="4" w:space="0"/>
                    <w:right w:val="nil"/>
                  </w:tcBorders>
                  <w:noWrap w:val="0"/>
                  <w:vAlign w:val="center"/>
                </w:tcPr>
                <w:p w14:paraId="16F84616">
                  <w:pPr>
                    <w:pStyle w:val="49"/>
                    <w:keepNext w:val="0"/>
                    <w:keepLines w:val="0"/>
                    <w:pageBreakBefore w:val="0"/>
                    <w:kinsoku/>
                    <w:wordWrap/>
                    <w:overflowPunct/>
                    <w:topLinePunct w:val="0"/>
                    <w:autoSpaceDE/>
                    <w:autoSpaceDN/>
                    <w:bidi w:val="0"/>
                    <w:spacing w:beforeLines="0" w:afterLines="0" w:line="240" w:lineRule="auto"/>
                    <w:ind w:left="0" w:leftChars="0" w:firstLine="0" w:firstLineChars="0"/>
                    <w:textAlignment w:val="auto"/>
                    <w:rPr>
                      <w:rFonts w:hint="default" w:ascii="Times New Roman" w:hAnsi="Times New Roman" w:eastAsia="宋体" w:cs="Times New Roman"/>
                      <w:b w:val="0"/>
                      <w:bCs w:val="0"/>
                      <w:sz w:val="21"/>
                      <w:szCs w:val="21"/>
                      <w:highlight w:val="none"/>
                    </w:rPr>
                  </w:pPr>
                  <w:r>
                    <w:rPr>
                      <w:rFonts w:hint="default" w:ascii="Times New Roman" w:hAnsi="Times New Roman" w:eastAsia="宋体" w:cs="Times New Roman"/>
                      <w:b w:val="0"/>
                      <w:bCs w:val="0"/>
                      <w:sz w:val="21"/>
                      <w:szCs w:val="21"/>
                      <w:highlight w:val="none"/>
                    </w:rPr>
                    <w:t>氨氮</w:t>
                  </w:r>
                </w:p>
              </w:tc>
            </w:tr>
            <w:tr w14:paraId="4594FFFD">
              <w:tblPrEx>
                <w:tblCellMar>
                  <w:top w:w="0" w:type="dxa"/>
                  <w:left w:w="0" w:type="dxa"/>
                  <w:bottom w:w="0" w:type="dxa"/>
                  <w:right w:w="0" w:type="dxa"/>
                </w:tblCellMar>
              </w:tblPrEx>
              <w:trPr>
                <w:trHeight w:val="23" w:hRule="atLeast"/>
              </w:trPr>
              <w:tc>
                <w:tcPr>
                  <w:tcW w:w="547" w:type="pct"/>
                  <w:tcBorders>
                    <w:top w:val="single" w:color="000000" w:sz="4" w:space="0"/>
                    <w:left w:val="nil"/>
                    <w:bottom w:val="single" w:color="000000" w:sz="12" w:space="0"/>
                    <w:right w:val="single" w:color="000000" w:sz="4" w:space="0"/>
                  </w:tcBorders>
                  <w:noWrap w:val="0"/>
                  <w:vAlign w:val="center"/>
                </w:tcPr>
                <w:p w14:paraId="2AE9028B">
                  <w:pPr>
                    <w:pStyle w:val="49"/>
                    <w:keepNext w:val="0"/>
                    <w:keepLines w:val="0"/>
                    <w:pageBreakBefore w:val="0"/>
                    <w:kinsoku/>
                    <w:wordWrap/>
                    <w:overflowPunct/>
                    <w:topLinePunct w:val="0"/>
                    <w:autoSpaceDE/>
                    <w:autoSpaceDN/>
                    <w:bidi w:val="0"/>
                    <w:spacing w:beforeLines="0" w:afterLines="0" w:line="240" w:lineRule="auto"/>
                    <w:ind w:left="0" w:leftChars="0" w:firstLine="0" w:firstLineChars="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生活污水</w:t>
                  </w:r>
                </w:p>
              </w:tc>
              <w:tc>
                <w:tcPr>
                  <w:tcW w:w="655" w:type="pct"/>
                  <w:tcBorders>
                    <w:top w:val="single" w:color="000000" w:sz="4" w:space="0"/>
                    <w:left w:val="single" w:color="000000" w:sz="4" w:space="0"/>
                    <w:bottom w:val="single" w:color="000000" w:sz="12" w:space="0"/>
                    <w:right w:val="single" w:color="000000" w:sz="4" w:space="0"/>
                  </w:tcBorders>
                  <w:noWrap w:val="0"/>
                  <w:vAlign w:val="center"/>
                </w:tcPr>
                <w:p w14:paraId="5C88D6E4">
                  <w:pPr>
                    <w:pStyle w:val="49"/>
                    <w:keepNext w:val="0"/>
                    <w:keepLines w:val="0"/>
                    <w:pageBreakBefore w:val="0"/>
                    <w:kinsoku/>
                    <w:wordWrap/>
                    <w:overflowPunct/>
                    <w:topLinePunct w:val="0"/>
                    <w:autoSpaceDE/>
                    <w:autoSpaceDN/>
                    <w:bidi w:val="0"/>
                    <w:spacing w:beforeLines="0" w:afterLines="0" w:line="240" w:lineRule="auto"/>
                    <w:ind w:left="0" w:leftChars="0" w:firstLine="0" w:firstLineChars="0"/>
                    <w:textAlignment w:val="auto"/>
                    <w:rPr>
                      <w:rFonts w:hint="default" w:ascii="Times New Roman" w:hAnsi="Times New Roman" w:eastAsia="宋体" w:cs="Times New Roman"/>
                      <w:sz w:val="21"/>
                      <w:szCs w:val="21"/>
                      <w:highlight w:val="none"/>
                      <w:lang w:val="en-US" w:eastAsia="zh-CN"/>
                    </w:rPr>
                  </w:pPr>
                  <w:r>
                    <w:rPr>
                      <w:rFonts w:hint="eastAsia" w:ascii="Times New Roman" w:cs="Times New Roman"/>
                      <w:sz w:val="21"/>
                      <w:szCs w:val="21"/>
                      <w:highlight w:val="none"/>
                      <w:lang w:val="en-US" w:eastAsia="zh-CN"/>
                    </w:rPr>
                    <w:t>172.8</w:t>
                  </w:r>
                </w:p>
              </w:tc>
              <w:tc>
                <w:tcPr>
                  <w:tcW w:w="474" w:type="pct"/>
                  <w:tcBorders>
                    <w:top w:val="single" w:color="000000" w:sz="4" w:space="0"/>
                    <w:left w:val="single" w:color="000000" w:sz="4" w:space="0"/>
                    <w:bottom w:val="single" w:color="000000" w:sz="12" w:space="0"/>
                    <w:right w:val="single" w:color="000000" w:sz="4" w:space="0"/>
                  </w:tcBorders>
                  <w:noWrap w:val="0"/>
                  <w:vAlign w:val="center"/>
                </w:tcPr>
                <w:p w14:paraId="644821CC">
                  <w:pPr>
                    <w:pStyle w:val="49"/>
                    <w:keepNext w:val="0"/>
                    <w:keepLines w:val="0"/>
                    <w:pageBreakBefore w:val="0"/>
                    <w:kinsoku/>
                    <w:wordWrap/>
                    <w:overflowPunct/>
                    <w:topLinePunct w:val="0"/>
                    <w:autoSpaceDE/>
                    <w:autoSpaceDN/>
                    <w:bidi w:val="0"/>
                    <w:spacing w:beforeLines="0" w:afterLines="0" w:line="240" w:lineRule="auto"/>
                    <w:ind w:left="0" w:leftChars="0" w:firstLine="0" w:firstLineChars="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280</w:t>
                  </w:r>
                </w:p>
              </w:tc>
              <w:tc>
                <w:tcPr>
                  <w:tcW w:w="474" w:type="pct"/>
                  <w:tcBorders>
                    <w:top w:val="single" w:color="000000" w:sz="4" w:space="0"/>
                    <w:left w:val="single" w:color="000000" w:sz="4" w:space="0"/>
                    <w:bottom w:val="single" w:color="000000" w:sz="12" w:space="0"/>
                    <w:right w:val="single" w:color="000000" w:sz="4" w:space="0"/>
                  </w:tcBorders>
                  <w:noWrap w:val="0"/>
                  <w:vAlign w:val="center"/>
                </w:tcPr>
                <w:p w14:paraId="26881364">
                  <w:pPr>
                    <w:pStyle w:val="49"/>
                    <w:keepNext w:val="0"/>
                    <w:keepLines w:val="0"/>
                    <w:pageBreakBefore w:val="0"/>
                    <w:kinsoku/>
                    <w:wordWrap/>
                    <w:overflowPunct/>
                    <w:topLinePunct w:val="0"/>
                    <w:autoSpaceDE/>
                    <w:autoSpaceDN/>
                    <w:bidi w:val="0"/>
                    <w:spacing w:beforeLines="0" w:afterLines="0" w:line="240" w:lineRule="auto"/>
                    <w:ind w:left="0" w:leftChars="0" w:firstLine="0" w:firstLineChars="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150</w:t>
                  </w:r>
                </w:p>
              </w:tc>
              <w:tc>
                <w:tcPr>
                  <w:tcW w:w="474" w:type="pct"/>
                  <w:tcBorders>
                    <w:top w:val="single" w:color="000000" w:sz="4" w:space="0"/>
                    <w:left w:val="single" w:color="000000" w:sz="4" w:space="0"/>
                    <w:bottom w:val="single" w:color="000000" w:sz="12" w:space="0"/>
                    <w:right w:val="single" w:color="000000" w:sz="4" w:space="0"/>
                  </w:tcBorders>
                  <w:noWrap w:val="0"/>
                  <w:vAlign w:val="center"/>
                </w:tcPr>
                <w:p w14:paraId="5D04898C">
                  <w:pPr>
                    <w:pStyle w:val="49"/>
                    <w:keepNext w:val="0"/>
                    <w:keepLines w:val="0"/>
                    <w:pageBreakBefore w:val="0"/>
                    <w:kinsoku/>
                    <w:wordWrap/>
                    <w:overflowPunct/>
                    <w:topLinePunct w:val="0"/>
                    <w:autoSpaceDE/>
                    <w:autoSpaceDN/>
                    <w:bidi w:val="0"/>
                    <w:spacing w:beforeLines="0" w:afterLines="0" w:line="240" w:lineRule="auto"/>
                    <w:ind w:left="0" w:leftChars="0" w:firstLine="0" w:firstLineChars="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200</w:t>
                  </w:r>
                </w:p>
              </w:tc>
              <w:tc>
                <w:tcPr>
                  <w:tcW w:w="475" w:type="pct"/>
                  <w:tcBorders>
                    <w:top w:val="single" w:color="000000" w:sz="4" w:space="0"/>
                    <w:left w:val="single" w:color="000000" w:sz="4" w:space="0"/>
                    <w:bottom w:val="single" w:color="000000" w:sz="12" w:space="0"/>
                    <w:right w:val="single" w:color="000000" w:sz="4" w:space="0"/>
                  </w:tcBorders>
                  <w:noWrap w:val="0"/>
                  <w:vAlign w:val="center"/>
                </w:tcPr>
                <w:p w14:paraId="60D79B87">
                  <w:pPr>
                    <w:pStyle w:val="49"/>
                    <w:keepNext w:val="0"/>
                    <w:keepLines w:val="0"/>
                    <w:pageBreakBefore w:val="0"/>
                    <w:kinsoku/>
                    <w:wordWrap/>
                    <w:overflowPunct/>
                    <w:topLinePunct w:val="0"/>
                    <w:autoSpaceDE/>
                    <w:autoSpaceDN/>
                    <w:bidi w:val="0"/>
                    <w:spacing w:beforeLines="0" w:afterLines="0" w:line="240" w:lineRule="auto"/>
                    <w:ind w:left="0" w:leftChars="0" w:firstLine="0" w:firstLineChars="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30</w:t>
                  </w:r>
                </w:p>
              </w:tc>
              <w:tc>
                <w:tcPr>
                  <w:tcW w:w="474" w:type="pct"/>
                  <w:tcBorders>
                    <w:top w:val="single" w:color="000000" w:sz="4" w:space="0"/>
                    <w:left w:val="single" w:color="000000" w:sz="4" w:space="0"/>
                    <w:bottom w:val="single" w:color="000000" w:sz="12" w:space="0"/>
                    <w:right w:val="single" w:color="000000" w:sz="4" w:space="0"/>
                  </w:tcBorders>
                  <w:noWrap w:val="0"/>
                  <w:vAlign w:val="center"/>
                </w:tcPr>
                <w:p w14:paraId="50B35082">
                  <w:pPr>
                    <w:pStyle w:val="49"/>
                    <w:keepNext w:val="0"/>
                    <w:keepLines w:val="0"/>
                    <w:pageBreakBefore w:val="0"/>
                    <w:kinsoku/>
                    <w:wordWrap/>
                    <w:overflowPunct/>
                    <w:topLinePunct w:val="0"/>
                    <w:autoSpaceDE/>
                    <w:autoSpaceDN/>
                    <w:bidi w:val="0"/>
                    <w:spacing w:beforeLines="0" w:afterLines="0" w:line="240" w:lineRule="auto"/>
                    <w:ind w:left="0" w:leftChars="0" w:firstLine="0" w:firstLineChars="0"/>
                    <w:textAlignment w:val="auto"/>
                    <w:rPr>
                      <w:rFonts w:hint="default" w:ascii="Times New Roman" w:hAnsi="Times New Roman" w:eastAsia="宋体" w:cs="Times New Roman"/>
                      <w:sz w:val="21"/>
                      <w:szCs w:val="21"/>
                      <w:highlight w:val="none"/>
                      <w:lang w:val="en-US" w:eastAsia="zh-CN"/>
                    </w:rPr>
                  </w:pPr>
                  <w:r>
                    <w:rPr>
                      <w:rFonts w:hint="eastAsia" w:ascii="Times New Roman" w:cs="Times New Roman"/>
                      <w:sz w:val="21"/>
                      <w:szCs w:val="21"/>
                      <w:highlight w:val="none"/>
                      <w:lang w:val="en-US" w:eastAsia="zh-CN"/>
                    </w:rPr>
                    <w:t>0.048</w:t>
                  </w:r>
                </w:p>
              </w:tc>
              <w:tc>
                <w:tcPr>
                  <w:tcW w:w="474" w:type="pct"/>
                  <w:tcBorders>
                    <w:top w:val="single" w:color="000000" w:sz="4" w:space="0"/>
                    <w:left w:val="single" w:color="000000" w:sz="4" w:space="0"/>
                    <w:bottom w:val="single" w:color="000000" w:sz="12" w:space="0"/>
                    <w:right w:val="single" w:color="000000" w:sz="4" w:space="0"/>
                  </w:tcBorders>
                  <w:noWrap w:val="0"/>
                  <w:vAlign w:val="center"/>
                </w:tcPr>
                <w:p w14:paraId="5765C6BC">
                  <w:pPr>
                    <w:pStyle w:val="49"/>
                    <w:keepNext w:val="0"/>
                    <w:keepLines w:val="0"/>
                    <w:pageBreakBefore w:val="0"/>
                    <w:kinsoku/>
                    <w:wordWrap/>
                    <w:overflowPunct/>
                    <w:topLinePunct w:val="0"/>
                    <w:autoSpaceDE/>
                    <w:autoSpaceDN/>
                    <w:bidi w:val="0"/>
                    <w:spacing w:beforeLines="0" w:afterLines="0" w:line="240" w:lineRule="auto"/>
                    <w:ind w:left="0" w:leftChars="0" w:firstLine="0" w:firstLineChars="0"/>
                    <w:textAlignment w:val="auto"/>
                    <w:rPr>
                      <w:rFonts w:hint="default" w:ascii="Times New Roman" w:hAnsi="Times New Roman" w:eastAsia="宋体" w:cs="Times New Roman"/>
                      <w:sz w:val="21"/>
                      <w:szCs w:val="21"/>
                      <w:highlight w:val="none"/>
                      <w:lang w:val="en-US" w:eastAsia="zh-CN"/>
                    </w:rPr>
                  </w:pPr>
                  <w:r>
                    <w:rPr>
                      <w:rFonts w:hint="eastAsia" w:ascii="Times New Roman" w:cs="Times New Roman"/>
                      <w:sz w:val="21"/>
                      <w:szCs w:val="21"/>
                      <w:highlight w:val="none"/>
                      <w:lang w:val="en-US" w:eastAsia="zh-CN"/>
                    </w:rPr>
                    <w:t>0.026</w:t>
                  </w:r>
                </w:p>
              </w:tc>
              <w:tc>
                <w:tcPr>
                  <w:tcW w:w="474" w:type="pct"/>
                  <w:tcBorders>
                    <w:top w:val="single" w:color="000000" w:sz="4" w:space="0"/>
                    <w:left w:val="single" w:color="000000" w:sz="4" w:space="0"/>
                    <w:bottom w:val="single" w:color="000000" w:sz="12" w:space="0"/>
                    <w:right w:val="single" w:color="000000" w:sz="4" w:space="0"/>
                  </w:tcBorders>
                  <w:noWrap w:val="0"/>
                  <w:vAlign w:val="center"/>
                </w:tcPr>
                <w:p w14:paraId="720C6234">
                  <w:pPr>
                    <w:pStyle w:val="49"/>
                    <w:keepNext w:val="0"/>
                    <w:keepLines w:val="0"/>
                    <w:pageBreakBefore w:val="0"/>
                    <w:kinsoku/>
                    <w:wordWrap/>
                    <w:overflowPunct/>
                    <w:topLinePunct w:val="0"/>
                    <w:autoSpaceDE/>
                    <w:autoSpaceDN/>
                    <w:bidi w:val="0"/>
                    <w:spacing w:beforeLines="0" w:afterLines="0" w:line="240" w:lineRule="auto"/>
                    <w:ind w:left="0" w:leftChars="0" w:firstLine="0" w:firstLineChars="0"/>
                    <w:textAlignment w:val="auto"/>
                    <w:rPr>
                      <w:rFonts w:hint="default" w:ascii="Times New Roman" w:hAnsi="Times New Roman" w:eastAsia="宋体" w:cs="Times New Roman"/>
                      <w:sz w:val="21"/>
                      <w:szCs w:val="21"/>
                      <w:highlight w:val="none"/>
                      <w:lang w:val="en-US" w:eastAsia="zh-CN"/>
                    </w:rPr>
                  </w:pPr>
                  <w:r>
                    <w:rPr>
                      <w:rFonts w:hint="eastAsia" w:ascii="Times New Roman" w:cs="Times New Roman"/>
                      <w:sz w:val="21"/>
                      <w:szCs w:val="21"/>
                      <w:highlight w:val="none"/>
                      <w:lang w:val="en-US" w:eastAsia="zh-CN"/>
                    </w:rPr>
                    <w:t>0.035</w:t>
                  </w:r>
                </w:p>
              </w:tc>
              <w:tc>
                <w:tcPr>
                  <w:tcW w:w="475" w:type="pct"/>
                  <w:tcBorders>
                    <w:top w:val="single" w:color="000000" w:sz="4" w:space="0"/>
                    <w:left w:val="single" w:color="000000" w:sz="4" w:space="0"/>
                    <w:bottom w:val="single" w:color="000000" w:sz="12" w:space="0"/>
                    <w:right w:val="nil"/>
                  </w:tcBorders>
                  <w:noWrap w:val="0"/>
                  <w:vAlign w:val="center"/>
                </w:tcPr>
                <w:p w14:paraId="65DAABDE">
                  <w:pPr>
                    <w:pStyle w:val="49"/>
                    <w:keepNext w:val="0"/>
                    <w:keepLines w:val="0"/>
                    <w:pageBreakBefore w:val="0"/>
                    <w:kinsoku/>
                    <w:wordWrap/>
                    <w:overflowPunct/>
                    <w:topLinePunct w:val="0"/>
                    <w:autoSpaceDE/>
                    <w:autoSpaceDN/>
                    <w:bidi w:val="0"/>
                    <w:spacing w:beforeLines="0" w:afterLines="0" w:line="240" w:lineRule="auto"/>
                    <w:ind w:left="0" w:leftChars="0" w:firstLine="0" w:firstLineChars="0"/>
                    <w:textAlignment w:val="auto"/>
                    <w:rPr>
                      <w:rFonts w:hint="default" w:ascii="Times New Roman" w:hAnsi="Times New Roman" w:eastAsia="宋体" w:cs="Times New Roman"/>
                      <w:sz w:val="21"/>
                      <w:szCs w:val="21"/>
                      <w:highlight w:val="none"/>
                      <w:lang w:val="en-US" w:eastAsia="zh-CN"/>
                    </w:rPr>
                  </w:pPr>
                  <w:r>
                    <w:rPr>
                      <w:rFonts w:hint="eastAsia" w:ascii="Times New Roman" w:cs="Times New Roman"/>
                      <w:sz w:val="21"/>
                      <w:szCs w:val="21"/>
                      <w:highlight w:val="none"/>
                      <w:lang w:val="en-US" w:eastAsia="zh-CN"/>
                    </w:rPr>
                    <w:t>0.005</w:t>
                  </w:r>
                </w:p>
              </w:tc>
            </w:tr>
          </w:tbl>
          <w:p w14:paraId="24A8317E">
            <w:pPr>
              <w:pStyle w:val="59"/>
              <w:ind w:firstLine="420"/>
              <w:rPr>
                <w:rFonts w:ascii="Times New Roman" w:hAnsi="Times New Roman"/>
                <w:iCs/>
                <w:color w:val="000000" w:themeColor="text1"/>
                <w:sz w:val="24"/>
                <w:szCs w:val="24"/>
                <w:highlight w:val="none"/>
                <w14:textFill>
                  <w14:solidFill>
                    <w14:schemeClr w14:val="tx1"/>
                  </w14:solidFill>
                </w14:textFill>
              </w:rPr>
            </w:pPr>
          </w:p>
          <w:p w14:paraId="2CBC52B1">
            <w:pPr>
              <w:pStyle w:val="70"/>
              <w:keepNext w:val="0"/>
              <w:keepLines w:val="0"/>
              <w:pageBreakBefore w:val="0"/>
              <w:widowControl w:val="0"/>
              <w:numPr>
                <w:ilvl w:val="0"/>
                <w:numId w:val="0"/>
              </w:numPr>
              <w:kinsoku/>
              <w:wordWrap/>
              <w:overflowPunct/>
              <w:topLinePunct w:val="0"/>
              <w:autoSpaceDE/>
              <w:autoSpaceDN/>
              <w:bidi w:val="0"/>
              <w:adjustRightInd/>
              <w:snapToGrid w:val="0"/>
              <w:spacing w:beforeLines="0" w:afterLines="0"/>
              <w:ind w:firstLine="480" w:firstLineChars="200"/>
              <w:jc w:val="left"/>
              <w:textAlignment w:val="auto"/>
              <w:rPr>
                <w:rFonts w:hint="default" w:ascii="Times New Roman" w:hAnsi="Times New Roman" w:cs="Times New Roman"/>
                <w:color w:val="auto"/>
                <w:highlight w:val="none"/>
                <w:u w:val="none"/>
                <w:lang w:val="en-US" w:eastAsia="zh-CN"/>
              </w:rPr>
            </w:pPr>
            <w:r>
              <w:rPr>
                <w:rFonts w:hint="default" w:ascii="Times New Roman" w:hAnsi="Times New Roman" w:eastAsia="宋体" w:cs="Times New Roman"/>
                <w:color w:val="auto"/>
                <w:kern w:val="2"/>
                <w:sz w:val="24"/>
                <w:szCs w:val="24"/>
                <w:highlight w:val="none"/>
                <w:lang w:val="en-US" w:eastAsia="zh-CN" w:bidi="ar-SA"/>
              </w:rPr>
              <w:t>（2）</w:t>
            </w:r>
            <w:r>
              <w:rPr>
                <w:rFonts w:hint="eastAsia" w:cs="Times New Roman"/>
                <w:color w:val="auto"/>
                <w:highlight w:val="none"/>
                <w:u w:val="none"/>
                <w:lang w:val="en-US" w:eastAsia="zh-CN"/>
              </w:rPr>
              <w:t>罐车清洗</w:t>
            </w:r>
            <w:r>
              <w:rPr>
                <w:rFonts w:hint="default" w:ascii="Times New Roman" w:hAnsi="Times New Roman" w:cs="Times New Roman"/>
                <w:color w:val="auto"/>
                <w:highlight w:val="none"/>
                <w:u w:val="none"/>
                <w:lang w:val="en-US" w:eastAsia="zh-CN"/>
              </w:rPr>
              <w:t>废水</w:t>
            </w:r>
          </w:p>
          <w:p w14:paraId="67AA22AB">
            <w:pPr>
              <w:pStyle w:val="59"/>
              <w:ind w:firstLine="420"/>
              <w:rPr>
                <w:rFonts w:hint="default" w:ascii="Times New Roman" w:hAnsi="Times New Roman" w:eastAsia="宋体" w:cs="Times New Roman"/>
                <w:iCs/>
                <w:color w:val="auto"/>
                <w:sz w:val="24"/>
                <w:szCs w:val="24"/>
                <w:highlight w:val="none"/>
                <w:lang w:val="en-US" w:eastAsia="zh-CN"/>
              </w:rPr>
            </w:pPr>
            <w:r>
              <w:rPr>
                <w:rFonts w:hint="default" w:ascii="Times New Roman" w:hAnsi="Times New Roman" w:eastAsia="宋体" w:cs="Times New Roman"/>
                <w:iCs/>
                <w:color w:val="auto"/>
                <w:sz w:val="24"/>
                <w:szCs w:val="24"/>
                <w:highlight w:val="none"/>
                <w:u w:val="none" w:color="auto"/>
                <w:lang w:val="en-US" w:eastAsia="zh-CN"/>
              </w:rPr>
              <w:t>项目</w:t>
            </w:r>
            <w:r>
              <w:rPr>
                <w:rFonts w:hint="eastAsia" w:ascii="Times New Roman" w:hAnsi="Times New Roman" w:eastAsia="宋体" w:cs="Times New Roman"/>
                <w:iCs/>
                <w:color w:val="auto"/>
                <w:sz w:val="24"/>
                <w:szCs w:val="24"/>
                <w:highlight w:val="none"/>
                <w:u w:val="none" w:color="auto"/>
                <w:lang w:val="en-US" w:eastAsia="zh-CN"/>
              </w:rPr>
              <w:t>混凝土</w:t>
            </w:r>
            <w:r>
              <w:rPr>
                <w:rFonts w:hint="default" w:ascii="Times New Roman" w:hAnsi="Times New Roman" w:eastAsia="宋体" w:cs="Times New Roman"/>
                <w:iCs/>
                <w:color w:val="auto"/>
                <w:sz w:val="24"/>
                <w:szCs w:val="24"/>
                <w:highlight w:val="none"/>
                <w:u w:val="none" w:color="auto"/>
                <w:lang w:val="en-US" w:eastAsia="zh-CN"/>
              </w:rPr>
              <w:t>生产规模</w:t>
            </w:r>
            <w:r>
              <w:rPr>
                <w:rFonts w:hint="eastAsia" w:ascii="Times New Roman" w:hAnsi="Times New Roman" w:cs="Times New Roman"/>
                <w:iCs/>
                <w:color w:val="auto"/>
                <w:sz w:val="24"/>
                <w:szCs w:val="24"/>
                <w:highlight w:val="none"/>
                <w:u w:val="none" w:color="auto"/>
                <w:lang w:val="en-US" w:eastAsia="zh-CN"/>
              </w:rPr>
              <w:t>15</w:t>
            </w:r>
            <w:r>
              <w:rPr>
                <w:rFonts w:hint="default" w:ascii="Times New Roman" w:hAnsi="Times New Roman" w:eastAsia="宋体" w:cs="Times New Roman"/>
                <w:iCs/>
                <w:color w:val="auto"/>
                <w:sz w:val="24"/>
                <w:szCs w:val="24"/>
                <w:highlight w:val="none"/>
                <w:u w:val="none" w:color="auto"/>
                <w:lang w:val="en-US" w:eastAsia="zh-CN"/>
              </w:rPr>
              <w:t>万</w:t>
            </w:r>
            <w:r>
              <w:rPr>
                <w:rFonts w:hint="eastAsia" w:ascii="Times New Roman" w:hAnsi="Times New Roman" w:cs="Times New Roman"/>
                <w:iCs/>
                <w:color w:val="auto"/>
                <w:sz w:val="24"/>
                <w:szCs w:val="24"/>
                <w:highlight w:val="none"/>
                <w:u w:val="none" w:color="auto"/>
                <w:lang w:val="en-US" w:eastAsia="zh-CN"/>
              </w:rPr>
              <w:t>m</w:t>
            </w:r>
            <w:r>
              <w:rPr>
                <w:rFonts w:hint="eastAsia" w:ascii="Times New Roman" w:hAnsi="Times New Roman" w:cs="Times New Roman"/>
                <w:iCs/>
                <w:color w:val="auto"/>
                <w:sz w:val="24"/>
                <w:szCs w:val="24"/>
                <w:highlight w:val="none"/>
                <w:u w:val="none" w:color="auto"/>
                <w:vertAlign w:val="superscript"/>
                <w:lang w:val="en-US" w:eastAsia="zh-CN"/>
              </w:rPr>
              <w:t>3</w:t>
            </w:r>
            <w:r>
              <w:rPr>
                <w:rFonts w:hint="default" w:ascii="Times New Roman" w:hAnsi="Times New Roman" w:eastAsia="宋体" w:cs="Times New Roman"/>
                <w:iCs/>
                <w:color w:val="auto"/>
                <w:sz w:val="24"/>
                <w:szCs w:val="24"/>
                <w:highlight w:val="none"/>
                <w:u w:val="none" w:color="auto"/>
                <w:lang w:val="en-US" w:eastAsia="zh-CN"/>
              </w:rPr>
              <w:t>/a，运输量平均每天</w:t>
            </w:r>
            <w:r>
              <w:rPr>
                <w:rFonts w:hint="eastAsia" w:ascii="Times New Roman" w:hAnsi="Times New Roman" w:cs="Times New Roman"/>
                <w:iCs/>
                <w:color w:val="auto"/>
                <w:sz w:val="24"/>
                <w:szCs w:val="24"/>
                <w:highlight w:val="none"/>
                <w:u w:val="none" w:color="auto"/>
                <w:lang w:val="en-US" w:eastAsia="zh-CN"/>
              </w:rPr>
              <w:t>625m</w:t>
            </w:r>
            <w:r>
              <w:rPr>
                <w:rFonts w:hint="eastAsia" w:ascii="Times New Roman" w:hAnsi="Times New Roman" w:cs="Times New Roman"/>
                <w:iCs/>
                <w:color w:val="auto"/>
                <w:sz w:val="24"/>
                <w:szCs w:val="24"/>
                <w:highlight w:val="none"/>
                <w:u w:val="none" w:color="auto"/>
                <w:vertAlign w:val="superscript"/>
                <w:lang w:val="en-US" w:eastAsia="zh-CN"/>
              </w:rPr>
              <w:t>3</w:t>
            </w:r>
            <w:r>
              <w:rPr>
                <w:rFonts w:hint="default" w:ascii="Times New Roman" w:hAnsi="Times New Roman" w:eastAsia="宋体" w:cs="Times New Roman"/>
                <w:iCs/>
                <w:color w:val="auto"/>
                <w:sz w:val="24"/>
                <w:szCs w:val="24"/>
                <w:highlight w:val="none"/>
                <w:u w:val="none" w:color="auto"/>
                <w:lang w:val="en-US" w:eastAsia="zh-CN"/>
              </w:rPr>
              <w:t>/d，</w:t>
            </w:r>
            <w:r>
              <w:rPr>
                <w:rFonts w:hint="eastAsia" w:ascii="Times New Roman" w:hAnsi="Times New Roman" w:cs="Times New Roman"/>
                <w:iCs/>
                <w:color w:val="auto"/>
                <w:sz w:val="24"/>
                <w:szCs w:val="24"/>
                <w:highlight w:val="none"/>
                <w:u w:val="none" w:color="auto"/>
                <w:lang w:val="en-US" w:eastAsia="zh-CN"/>
              </w:rPr>
              <w:t>单车一次</w:t>
            </w:r>
            <w:r>
              <w:rPr>
                <w:rFonts w:hint="default" w:ascii="Times New Roman" w:hAnsi="Times New Roman" w:eastAsia="宋体" w:cs="Times New Roman"/>
                <w:iCs/>
                <w:color w:val="auto"/>
                <w:sz w:val="24"/>
                <w:szCs w:val="24"/>
                <w:highlight w:val="none"/>
                <w:u w:val="none" w:color="auto"/>
                <w:lang w:val="en-US" w:eastAsia="zh-CN"/>
              </w:rPr>
              <w:t>运输量为</w:t>
            </w:r>
            <w:r>
              <w:rPr>
                <w:rFonts w:hint="eastAsia" w:ascii="Times New Roman" w:hAnsi="Times New Roman" w:cs="Times New Roman"/>
                <w:iCs/>
                <w:color w:val="auto"/>
                <w:sz w:val="24"/>
                <w:szCs w:val="24"/>
                <w:highlight w:val="none"/>
                <w:u w:val="none" w:color="auto"/>
                <w:lang w:val="en-US" w:eastAsia="zh-CN"/>
              </w:rPr>
              <w:t>10、12m</w:t>
            </w:r>
            <w:r>
              <w:rPr>
                <w:rFonts w:hint="eastAsia" w:ascii="Times New Roman" w:hAnsi="Times New Roman" w:cs="Times New Roman"/>
                <w:iCs/>
                <w:color w:val="auto"/>
                <w:sz w:val="24"/>
                <w:szCs w:val="24"/>
                <w:highlight w:val="none"/>
                <w:u w:val="none" w:color="auto"/>
                <w:vertAlign w:val="superscript"/>
                <w:lang w:val="en-US" w:eastAsia="zh-CN"/>
              </w:rPr>
              <w:t>3</w:t>
            </w:r>
            <w:r>
              <w:rPr>
                <w:rFonts w:hint="default" w:ascii="Times New Roman" w:hAnsi="Times New Roman" w:eastAsia="宋体" w:cs="Times New Roman"/>
                <w:iCs/>
                <w:color w:val="auto"/>
                <w:sz w:val="24"/>
                <w:szCs w:val="24"/>
                <w:highlight w:val="none"/>
                <w:u w:val="none" w:color="auto"/>
                <w:lang w:val="en-US" w:eastAsia="zh-CN"/>
              </w:rPr>
              <w:t>，每天大约</w:t>
            </w:r>
            <w:r>
              <w:rPr>
                <w:rFonts w:hint="eastAsia" w:ascii="Times New Roman" w:hAnsi="Times New Roman" w:cs="Times New Roman"/>
                <w:iCs/>
                <w:color w:val="auto"/>
                <w:sz w:val="24"/>
                <w:szCs w:val="24"/>
                <w:highlight w:val="none"/>
                <w:u w:val="none" w:color="auto"/>
                <w:lang w:val="en-US" w:eastAsia="zh-CN"/>
              </w:rPr>
              <w:t>需</w:t>
            </w:r>
            <w:r>
              <w:rPr>
                <w:rFonts w:hint="default" w:ascii="Times New Roman" w:hAnsi="Times New Roman" w:eastAsia="宋体" w:cs="Times New Roman"/>
                <w:iCs/>
                <w:color w:val="auto"/>
                <w:sz w:val="24"/>
                <w:szCs w:val="24"/>
                <w:highlight w:val="none"/>
                <w:u w:val="none" w:color="auto"/>
                <w:lang w:val="en-US" w:eastAsia="zh-CN"/>
              </w:rPr>
              <w:t>运输</w:t>
            </w:r>
            <w:r>
              <w:rPr>
                <w:rFonts w:hint="eastAsia" w:ascii="Times New Roman" w:hAnsi="Times New Roman" w:cs="Times New Roman"/>
                <w:iCs/>
                <w:color w:val="auto"/>
                <w:sz w:val="24"/>
                <w:szCs w:val="24"/>
                <w:highlight w:val="none"/>
                <w:u w:val="none" w:color="auto"/>
                <w:lang w:val="en-US" w:eastAsia="zh-CN"/>
              </w:rPr>
              <w:t>29</w:t>
            </w:r>
            <w:r>
              <w:rPr>
                <w:rFonts w:hint="default" w:ascii="Times New Roman" w:hAnsi="Times New Roman" w:eastAsia="宋体" w:cs="Times New Roman"/>
                <w:iCs/>
                <w:color w:val="auto"/>
                <w:sz w:val="24"/>
                <w:szCs w:val="24"/>
                <w:highlight w:val="none"/>
                <w:u w:val="none" w:color="auto"/>
                <w:lang w:val="en-US" w:eastAsia="zh-CN"/>
              </w:rPr>
              <w:t>次，每次均需对运输车辆进行冲洗，车辆冲洗水量大约</w:t>
            </w:r>
            <w:r>
              <w:rPr>
                <w:rFonts w:hint="eastAsia" w:ascii="Times New Roman" w:hAnsi="Times New Roman" w:cs="Times New Roman"/>
                <w:iCs/>
                <w:color w:val="auto"/>
                <w:sz w:val="24"/>
                <w:szCs w:val="24"/>
                <w:highlight w:val="none"/>
                <w:u w:val="none" w:color="auto"/>
                <w:lang w:val="en-US" w:eastAsia="zh-CN"/>
              </w:rPr>
              <w:t>0.2</w:t>
            </w:r>
            <w:r>
              <w:rPr>
                <w:rFonts w:hint="default" w:ascii="Times New Roman" w:hAnsi="Times New Roman" w:eastAsia="宋体" w:cs="Times New Roman"/>
                <w:iCs/>
                <w:color w:val="auto"/>
                <w:sz w:val="24"/>
                <w:szCs w:val="24"/>
                <w:highlight w:val="none"/>
                <w:u w:val="none" w:color="auto"/>
                <w:lang w:val="en-US" w:eastAsia="zh-CN"/>
              </w:rPr>
              <w:t>m</w:t>
            </w:r>
            <w:r>
              <w:rPr>
                <w:rFonts w:hint="default" w:ascii="Times New Roman" w:hAnsi="Times New Roman" w:eastAsia="宋体" w:cs="Times New Roman"/>
                <w:iCs/>
                <w:color w:val="auto"/>
                <w:sz w:val="24"/>
                <w:szCs w:val="24"/>
                <w:highlight w:val="none"/>
                <w:u w:val="none" w:color="auto"/>
                <w:vertAlign w:val="superscript"/>
                <w:lang w:val="en-US" w:eastAsia="zh-CN"/>
              </w:rPr>
              <w:t>3</w:t>
            </w:r>
            <w:r>
              <w:rPr>
                <w:rFonts w:hint="default" w:ascii="Times New Roman" w:hAnsi="Times New Roman" w:eastAsia="宋体" w:cs="Times New Roman"/>
                <w:iCs/>
                <w:color w:val="auto"/>
                <w:sz w:val="24"/>
                <w:szCs w:val="24"/>
                <w:highlight w:val="none"/>
                <w:u w:val="none" w:color="auto"/>
                <w:lang w:val="en-US" w:eastAsia="zh-CN"/>
              </w:rPr>
              <w:t>/</w:t>
            </w:r>
            <w:r>
              <w:rPr>
                <w:rFonts w:hint="eastAsia" w:ascii="Times New Roman" w:hAnsi="Times New Roman" w:cs="Times New Roman"/>
                <w:iCs/>
                <w:color w:val="auto"/>
                <w:sz w:val="24"/>
                <w:szCs w:val="24"/>
                <w:highlight w:val="none"/>
                <w:u w:val="none" w:color="auto"/>
                <w:lang w:val="en-US" w:eastAsia="zh-CN"/>
              </w:rPr>
              <w:t>辆·</w:t>
            </w:r>
            <w:r>
              <w:rPr>
                <w:rFonts w:hint="default" w:ascii="Times New Roman" w:hAnsi="Times New Roman" w:eastAsia="宋体" w:cs="Times New Roman"/>
                <w:iCs/>
                <w:color w:val="auto"/>
                <w:sz w:val="24"/>
                <w:szCs w:val="24"/>
                <w:highlight w:val="none"/>
                <w:u w:val="none" w:color="auto"/>
                <w:lang w:val="en-US" w:eastAsia="zh-CN"/>
              </w:rPr>
              <w:t>次，则项目</w:t>
            </w:r>
            <w:r>
              <w:rPr>
                <w:rFonts w:hint="eastAsia" w:ascii="Times New Roman" w:hAnsi="Times New Roman" w:eastAsia="宋体" w:cs="Times New Roman"/>
                <w:iCs/>
                <w:color w:val="auto"/>
                <w:sz w:val="24"/>
                <w:szCs w:val="24"/>
                <w:highlight w:val="none"/>
                <w:u w:val="none" w:color="auto"/>
                <w:lang w:val="en-US" w:eastAsia="zh-CN"/>
              </w:rPr>
              <w:t>罐车</w:t>
            </w:r>
            <w:r>
              <w:rPr>
                <w:rFonts w:hint="default" w:ascii="Times New Roman" w:hAnsi="Times New Roman" w:eastAsia="宋体" w:cs="Times New Roman"/>
                <w:iCs/>
                <w:color w:val="auto"/>
                <w:sz w:val="24"/>
                <w:szCs w:val="24"/>
                <w:highlight w:val="none"/>
                <w:u w:val="none" w:color="auto"/>
                <w:lang w:val="en-US" w:eastAsia="zh-CN"/>
              </w:rPr>
              <w:t>清洗</w:t>
            </w:r>
            <w:r>
              <w:rPr>
                <w:rFonts w:hint="eastAsia" w:ascii="Times New Roman" w:hAnsi="Times New Roman" w:cs="Times New Roman"/>
                <w:iCs/>
                <w:color w:val="auto"/>
                <w:sz w:val="24"/>
                <w:szCs w:val="24"/>
                <w:highlight w:val="none"/>
                <w:u w:val="none" w:color="auto"/>
                <w:lang w:val="en-US" w:eastAsia="zh-CN"/>
              </w:rPr>
              <w:t>用</w:t>
            </w:r>
            <w:r>
              <w:rPr>
                <w:rFonts w:hint="default" w:ascii="Times New Roman" w:hAnsi="Times New Roman" w:eastAsia="宋体" w:cs="Times New Roman"/>
                <w:iCs/>
                <w:color w:val="auto"/>
                <w:sz w:val="24"/>
                <w:szCs w:val="24"/>
                <w:highlight w:val="none"/>
                <w:u w:val="none" w:color="auto"/>
                <w:lang w:val="en-US" w:eastAsia="zh-CN"/>
              </w:rPr>
              <w:t>水约</w:t>
            </w:r>
            <w:r>
              <w:rPr>
                <w:rFonts w:hint="eastAsia" w:ascii="Times New Roman" w:hAnsi="Times New Roman" w:cs="Times New Roman"/>
                <w:iCs/>
                <w:color w:val="auto"/>
                <w:sz w:val="24"/>
                <w:szCs w:val="24"/>
                <w:highlight w:val="none"/>
                <w:u w:val="none" w:color="auto"/>
                <w:lang w:val="en-US" w:eastAsia="zh-CN"/>
              </w:rPr>
              <w:t>5.8</w:t>
            </w:r>
            <w:r>
              <w:rPr>
                <w:rFonts w:hint="default" w:ascii="Times New Roman" w:hAnsi="Times New Roman" w:eastAsia="宋体" w:cs="Times New Roman"/>
                <w:iCs/>
                <w:color w:val="auto"/>
                <w:sz w:val="24"/>
                <w:szCs w:val="24"/>
                <w:highlight w:val="none"/>
                <w:u w:val="none" w:color="auto"/>
                <w:lang w:val="en-US" w:eastAsia="zh-CN"/>
              </w:rPr>
              <w:t>m</w:t>
            </w:r>
            <w:r>
              <w:rPr>
                <w:rFonts w:hint="eastAsia" w:ascii="Times New Roman" w:hAnsi="Times New Roman" w:eastAsia="宋体" w:cs="Times New Roman"/>
                <w:iCs/>
                <w:color w:val="auto"/>
                <w:sz w:val="24"/>
                <w:szCs w:val="24"/>
                <w:highlight w:val="none"/>
                <w:u w:val="none" w:color="auto"/>
                <w:vertAlign w:val="superscript"/>
                <w:lang w:val="en-US" w:eastAsia="zh-CN"/>
              </w:rPr>
              <w:t>3</w:t>
            </w:r>
            <w:r>
              <w:rPr>
                <w:rFonts w:hint="default" w:ascii="Times New Roman" w:hAnsi="Times New Roman" w:eastAsia="宋体" w:cs="Times New Roman"/>
                <w:iCs/>
                <w:color w:val="auto"/>
                <w:sz w:val="24"/>
                <w:szCs w:val="24"/>
                <w:highlight w:val="none"/>
                <w:u w:val="none" w:color="auto"/>
                <w:lang w:val="en-US" w:eastAsia="zh-CN"/>
              </w:rPr>
              <w:t>/d（</w:t>
            </w:r>
            <w:r>
              <w:rPr>
                <w:rFonts w:hint="eastAsia" w:ascii="Times New Roman" w:hAnsi="Times New Roman" w:cs="Times New Roman"/>
                <w:iCs/>
                <w:color w:val="auto"/>
                <w:sz w:val="24"/>
                <w:szCs w:val="24"/>
                <w:highlight w:val="none"/>
                <w:u w:val="none" w:color="auto"/>
                <w:lang w:val="en-US" w:eastAsia="zh-CN"/>
              </w:rPr>
              <w:t>1392</w:t>
            </w:r>
            <w:r>
              <w:rPr>
                <w:rFonts w:hint="default" w:ascii="Times New Roman" w:hAnsi="Times New Roman" w:eastAsia="宋体" w:cs="Times New Roman"/>
                <w:iCs/>
                <w:color w:val="auto"/>
                <w:sz w:val="24"/>
                <w:szCs w:val="24"/>
                <w:highlight w:val="none"/>
                <w:u w:val="none" w:color="auto"/>
                <w:lang w:val="en-US" w:eastAsia="zh-CN"/>
              </w:rPr>
              <w:t>m</w:t>
            </w:r>
            <w:r>
              <w:rPr>
                <w:rFonts w:hint="eastAsia" w:ascii="Times New Roman" w:hAnsi="Times New Roman" w:eastAsia="宋体" w:cs="Times New Roman"/>
                <w:iCs/>
                <w:color w:val="auto"/>
                <w:sz w:val="24"/>
                <w:szCs w:val="24"/>
                <w:highlight w:val="none"/>
                <w:u w:val="none" w:color="auto"/>
                <w:vertAlign w:val="superscript"/>
                <w:lang w:val="en-US" w:eastAsia="zh-CN"/>
              </w:rPr>
              <w:t>3</w:t>
            </w:r>
            <w:r>
              <w:rPr>
                <w:rFonts w:hint="default" w:ascii="Times New Roman" w:hAnsi="Times New Roman" w:eastAsia="宋体" w:cs="Times New Roman"/>
                <w:iCs/>
                <w:color w:val="auto"/>
                <w:sz w:val="24"/>
                <w:szCs w:val="24"/>
                <w:highlight w:val="none"/>
                <w:u w:val="none" w:color="auto"/>
                <w:lang w:val="en-US" w:eastAsia="zh-CN"/>
              </w:rPr>
              <w:t>/a）。废水产生量按用水量的90%计，</w:t>
            </w:r>
            <w:r>
              <w:rPr>
                <w:rFonts w:hint="eastAsia" w:ascii="Times New Roman" w:hAnsi="Times New Roman" w:eastAsia="宋体" w:cs="Times New Roman"/>
                <w:iCs/>
                <w:color w:val="auto"/>
                <w:sz w:val="24"/>
                <w:szCs w:val="24"/>
                <w:highlight w:val="none"/>
                <w:u w:val="none" w:color="auto"/>
                <w:lang w:val="en-US" w:eastAsia="zh-CN"/>
              </w:rPr>
              <w:t>罐车</w:t>
            </w:r>
            <w:r>
              <w:rPr>
                <w:rFonts w:hint="default" w:ascii="Times New Roman" w:hAnsi="Times New Roman" w:eastAsia="宋体" w:cs="Times New Roman"/>
                <w:iCs/>
                <w:color w:val="auto"/>
                <w:sz w:val="24"/>
                <w:szCs w:val="24"/>
                <w:highlight w:val="none"/>
                <w:u w:val="none" w:color="auto"/>
                <w:lang w:val="en-US" w:eastAsia="zh-CN"/>
              </w:rPr>
              <w:t>清洗</w:t>
            </w:r>
            <w:r>
              <w:rPr>
                <w:rFonts w:hint="eastAsia" w:ascii="Times New Roman" w:hAnsi="Times New Roman" w:eastAsia="宋体" w:cs="Times New Roman"/>
                <w:iCs/>
                <w:color w:val="auto"/>
                <w:sz w:val="24"/>
                <w:szCs w:val="24"/>
                <w:highlight w:val="none"/>
                <w:u w:val="none" w:color="auto"/>
                <w:lang w:val="en-US" w:eastAsia="zh-CN"/>
              </w:rPr>
              <w:t>废</w:t>
            </w:r>
            <w:r>
              <w:rPr>
                <w:rFonts w:hint="default" w:ascii="Times New Roman" w:hAnsi="Times New Roman" w:eastAsia="宋体" w:cs="Times New Roman"/>
                <w:iCs/>
                <w:color w:val="auto"/>
                <w:sz w:val="24"/>
                <w:szCs w:val="24"/>
                <w:highlight w:val="none"/>
                <w:u w:val="none" w:color="auto"/>
                <w:lang w:val="en-US" w:eastAsia="zh-CN"/>
              </w:rPr>
              <w:t>水</w:t>
            </w:r>
            <w:r>
              <w:rPr>
                <w:rFonts w:hint="eastAsia" w:ascii="Times New Roman" w:hAnsi="Times New Roman" w:eastAsia="宋体" w:cs="Times New Roman"/>
                <w:iCs/>
                <w:color w:val="auto"/>
                <w:sz w:val="24"/>
                <w:szCs w:val="24"/>
                <w:highlight w:val="none"/>
                <w:u w:val="none" w:color="auto"/>
                <w:lang w:val="en-US" w:eastAsia="zh-CN"/>
              </w:rPr>
              <w:t>产生量</w:t>
            </w:r>
            <w:r>
              <w:rPr>
                <w:rFonts w:hint="default" w:ascii="Times New Roman" w:hAnsi="Times New Roman" w:eastAsia="宋体" w:cs="Times New Roman"/>
                <w:iCs/>
                <w:color w:val="auto"/>
                <w:sz w:val="24"/>
                <w:szCs w:val="24"/>
                <w:highlight w:val="none"/>
                <w:u w:val="none" w:color="auto"/>
                <w:lang w:val="en-US" w:eastAsia="zh-CN"/>
              </w:rPr>
              <w:t>约</w:t>
            </w:r>
            <w:r>
              <w:rPr>
                <w:rFonts w:hint="eastAsia" w:ascii="Times New Roman" w:hAnsi="Times New Roman" w:eastAsia="宋体" w:cs="Times New Roman"/>
                <w:iCs/>
                <w:color w:val="auto"/>
                <w:sz w:val="24"/>
                <w:szCs w:val="24"/>
                <w:highlight w:val="none"/>
                <w:u w:val="none" w:color="auto"/>
                <w:lang w:val="en-US" w:eastAsia="zh-CN"/>
              </w:rPr>
              <w:t>为</w:t>
            </w:r>
            <w:r>
              <w:rPr>
                <w:rFonts w:hint="eastAsia" w:ascii="Times New Roman" w:hAnsi="Times New Roman" w:cs="Times New Roman"/>
                <w:iCs/>
                <w:color w:val="auto"/>
                <w:sz w:val="24"/>
                <w:szCs w:val="24"/>
                <w:highlight w:val="none"/>
                <w:u w:val="none" w:color="auto"/>
                <w:lang w:val="en-US" w:eastAsia="zh-CN"/>
              </w:rPr>
              <w:t>5.22</w:t>
            </w:r>
            <w:r>
              <w:rPr>
                <w:rFonts w:hint="default" w:ascii="Times New Roman" w:hAnsi="Times New Roman" w:eastAsia="宋体" w:cs="Times New Roman"/>
                <w:iCs/>
                <w:color w:val="auto"/>
                <w:sz w:val="24"/>
                <w:szCs w:val="24"/>
                <w:highlight w:val="none"/>
                <w:u w:val="none" w:color="auto"/>
                <w:lang w:val="en-US" w:eastAsia="zh-CN"/>
              </w:rPr>
              <w:t>m</w:t>
            </w:r>
            <w:r>
              <w:rPr>
                <w:rFonts w:hint="eastAsia" w:ascii="Times New Roman" w:hAnsi="Times New Roman" w:eastAsia="宋体" w:cs="Times New Roman"/>
                <w:iCs/>
                <w:color w:val="auto"/>
                <w:sz w:val="24"/>
                <w:szCs w:val="24"/>
                <w:highlight w:val="none"/>
                <w:u w:val="none" w:color="auto"/>
                <w:vertAlign w:val="superscript"/>
                <w:lang w:val="en-US" w:eastAsia="zh-CN"/>
              </w:rPr>
              <w:t>3</w:t>
            </w:r>
            <w:r>
              <w:rPr>
                <w:rFonts w:hint="default" w:ascii="Times New Roman" w:hAnsi="Times New Roman" w:eastAsia="宋体" w:cs="Times New Roman"/>
                <w:iCs/>
                <w:color w:val="auto"/>
                <w:sz w:val="24"/>
                <w:szCs w:val="24"/>
                <w:highlight w:val="none"/>
                <w:u w:val="none" w:color="auto"/>
                <w:lang w:val="en-US" w:eastAsia="zh-CN"/>
              </w:rPr>
              <w:t>/d（</w:t>
            </w:r>
            <w:r>
              <w:rPr>
                <w:rFonts w:hint="eastAsia" w:ascii="Times New Roman" w:hAnsi="Times New Roman" w:cs="Times New Roman"/>
                <w:iCs/>
                <w:color w:val="auto"/>
                <w:sz w:val="24"/>
                <w:szCs w:val="24"/>
                <w:highlight w:val="none"/>
                <w:u w:val="none" w:color="auto"/>
                <w:lang w:val="en-US" w:eastAsia="zh-CN"/>
              </w:rPr>
              <w:t>1252.8</w:t>
            </w:r>
            <w:r>
              <w:rPr>
                <w:rFonts w:hint="default" w:ascii="Times New Roman" w:hAnsi="Times New Roman" w:eastAsia="宋体" w:cs="Times New Roman"/>
                <w:iCs/>
                <w:color w:val="auto"/>
                <w:sz w:val="24"/>
                <w:szCs w:val="24"/>
                <w:highlight w:val="none"/>
                <w:u w:val="none" w:color="auto"/>
                <w:lang w:val="en-US" w:eastAsia="zh-CN"/>
              </w:rPr>
              <w:t>m</w:t>
            </w:r>
            <w:r>
              <w:rPr>
                <w:rFonts w:hint="eastAsia" w:ascii="Times New Roman" w:hAnsi="Times New Roman" w:eastAsia="宋体" w:cs="Times New Roman"/>
                <w:iCs/>
                <w:color w:val="auto"/>
                <w:sz w:val="24"/>
                <w:szCs w:val="24"/>
                <w:highlight w:val="none"/>
                <w:u w:val="none" w:color="auto"/>
                <w:vertAlign w:val="superscript"/>
                <w:lang w:val="en-US" w:eastAsia="zh-CN"/>
              </w:rPr>
              <w:t>3</w:t>
            </w:r>
            <w:r>
              <w:rPr>
                <w:rFonts w:hint="default" w:ascii="Times New Roman" w:hAnsi="Times New Roman" w:eastAsia="宋体" w:cs="Times New Roman"/>
                <w:iCs/>
                <w:color w:val="auto"/>
                <w:sz w:val="24"/>
                <w:szCs w:val="24"/>
                <w:highlight w:val="none"/>
                <w:u w:val="none" w:color="auto"/>
                <w:lang w:val="en-US" w:eastAsia="zh-CN"/>
              </w:rPr>
              <w:t>/a）。</w:t>
            </w:r>
            <w:r>
              <w:rPr>
                <w:rFonts w:hint="eastAsia" w:ascii="Times New Roman" w:hAnsi="Times New Roman" w:eastAsia="宋体" w:cs="Times New Roman"/>
                <w:iCs/>
                <w:color w:val="auto"/>
                <w:sz w:val="24"/>
                <w:szCs w:val="24"/>
                <w:highlight w:val="none"/>
                <w:lang w:val="en-US" w:eastAsia="zh-CN"/>
              </w:rPr>
              <w:t>罐车清洗</w:t>
            </w:r>
            <w:r>
              <w:rPr>
                <w:rFonts w:hint="default" w:ascii="Times New Roman" w:hAnsi="Times New Roman" w:eastAsia="宋体" w:cs="Times New Roman"/>
                <w:iCs/>
                <w:color w:val="auto"/>
                <w:sz w:val="24"/>
                <w:szCs w:val="24"/>
                <w:highlight w:val="none"/>
                <w:lang w:val="en-US" w:eastAsia="zh-CN"/>
              </w:rPr>
              <w:t>废</w:t>
            </w:r>
            <w:r>
              <w:rPr>
                <w:rFonts w:hint="eastAsia" w:ascii="Times New Roman" w:hAnsi="Times New Roman" w:cs="Times New Roman"/>
                <w:iCs/>
                <w:color w:val="auto"/>
                <w:sz w:val="24"/>
                <w:szCs w:val="24"/>
                <w:highlight w:val="none"/>
                <w:lang w:val="en-US" w:eastAsia="zh-CN"/>
              </w:rPr>
              <w:t>水</w:t>
            </w:r>
            <w:r>
              <w:rPr>
                <w:rFonts w:hint="eastAsia" w:ascii="Times New Roman" w:hAnsi="Times New Roman" w:eastAsia="宋体" w:cs="Times New Roman"/>
                <w:iCs/>
                <w:color w:val="auto"/>
                <w:sz w:val="24"/>
                <w:szCs w:val="24"/>
                <w:highlight w:val="none"/>
                <w:lang w:val="en-US" w:eastAsia="zh-CN"/>
              </w:rPr>
              <w:t>经</w:t>
            </w:r>
            <w:r>
              <w:rPr>
                <w:rFonts w:hint="eastAsia" w:ascii="Times New Roman" w:hAnsi="Times New Roman" w:cs="Times New Roman"/>
                <w:iCs/>
                <w:color w:val="auto"/>
                <w:sz w:val="24"/>
                <w:szCs w:val="24"/>
                <w:highlight w:val="none"/>
                <w:lang w:val="en-US" w:eastAsia="zh-CN"/>
              </w:rPr>
              <w:t>三级</w:t>
            </w:r>
            <w:r>
              <w:rPr>
                <w:rFonts w:hint="eastAsia" w:ascii="Times New Roman" w:hAnsi="Times New Roman" w:eastAsia="宋体" w:cs="Times New Roman"/>
                <w:iCs/>
                <w:color w:val="auto"/>
                <w:sz w:val="24"/>
                <w:szCs w:val="24"/>
                <w:highlight w:val="none"/>
                <w:lang w:val="en-US" w:eastAsia="zh-CN"/>
              </w:rPr>
              <w:t>沉淀池</w:t>
            </w:r>
            <w:r>
              <w:rPr>
                <w:rFonts w:hint="eastAsia" w:ascii="Times New Roman" w:hAnsi="Times New Roman" w:cs="Times New Roman"/>
                <w:iCs/>
                <w:color w:val="auto"/>
                <w:sz w:val="24"/>
                <w:szCs w:val="24"/>
                <w:highlight w:val="none"/>
                <w:lang w:val="en-US" w:eastAsia="zh-CN"/>
              </w:rPr>
              <w:t>沉淀</w:t>
            </w:r>
            <w:r>
              <w:rPr>
                <w:rFonts w:hint="eastAsia" w:ascii="Times New Roman" w:hAnsi="Times New Roman" w:eastAsia="宋体" w:cs="Times New Roman"/>
                <w:iCs/>
                <w:color w:val="auto"/>
                <w:sz w:val="24"/>
                <w:szCs w:val="24"/>
                <w:highlight w:val="none"/>
                <w:lang w:val="en-US" w:eastAsia="zh-CN"/>
              </w:rPr>
              <w:t>处理后</w:t>
            </w:r>
            <w:r>
              <w:rPr>
                <w:rFonts w:hint="default" w:ascii="Times New Roman" w:hAnsi="Times New Roman" w:eastAsia="宋体" w:cs="Times New Roman"/>
                <w:iCs/>
                <w:color w:val="auto"/>
                <w:sz w:val="24"/>
                <w:szCs w:val="24"/>
                <w:highlight w:val="none"/>
                <w:lang w:val="en-US" w:eastAsia="zh-CN"/>
              </w:rPr>
              <w:t>回用于生产，不外排。</w:t>
            </w:r>
          </w:p>
          <w:p w14:paraId="17D59E28">
            <w:pPr>
              <w:pStyle w:val="70"/>
              <w:keepNext w:val="0"/>
              <w:keepLines w:val="0"/>
              <w:pageBreakBefore w:val="0"/>
              <w:widowControl w:val="0"/>
              <w:numPr>
                <w:ilvl w:val="0"/>
                <w:numId w:val="0"/>
              </w:numPr>
              <w:kinsoku/>
              <w:wordWrap/>
              <w:overflowPunct/>
              <w:topLinePunct w:val="0"/>
              <w:autoSpaceDE/>
              <w:autoSpaceDN/>
              <w:bidi w:val="0"/>
              <w:adjustRightInd/>
              <w:snapToGrid w:val="0"/>
              <w:spacing w:beforeLines="0" w:afterLines="0"/>
              <w:ind w:firstLine="480" w:firstLineChars="200"/>
              <w:jc w:val="left"/>
              <w:textAlignment w:val="auto"/>
              <w:rPr>
                <w:rFonts w:hint="eastAsia" w:ascii="Times New Roman" w:hAnsi="Times New Roman" w:eastAsia="宋体" w:cs="Times New Roman"/>
                <w:iCs/>
                <w:color w:val="auto"/>
                <w:sz w:val="24"/>
                <w:szCs w:val="24"/>
                <w:highlight w:val="none"/>
              </w:rPr>
            </w:pPr>
            <w:r>
              <w:rPr>
                <w:rFonts w:hint="eastAsia" w:ascii="Times New Roman" w:hAnsi="Times New Roman" w:eastAsia="宋体" w:cs="Times New Roman"/>
                <w:iCs/>
                <w:color w:val="auto"/>
                <w:kern w:val="2"/>
                <w:sz w:val="24"/>
                <w:szCs w:val="24"/>
                <w:highlight w:val="none"/>
                <w:lang w:val="en-US" w:eastAsia="zh-CN" w:bidi="ar-SA"/>
              </w:rPr>
              <w:t>（3）</w:t>
            </w:r>
            <w:r>
              <w:rPr>
                <w:rFonts w:hint="eastAsia" w:ascii="Times New Roman" w:hAnsi="Times New Roman" w:eastAsia="宋体" w:cs="Times New Roman"/>
                <w:iCs/>
                <w:color w:val="auto"/>
                <w:sz w:val="24"/>
                <w:szCs w:val="24"/>
                <w:highlight w:val="none"/>
              </w:rPr>
              <w:t>设备</w:t>
            </w:r>
            <w:r>
              <w:rPr>
                <w:rFonts w:hint="eastAsia" w:cs="Times New Roman"/>
                <w:iCs/>
                <w:color w:val="auto"/>
                <w:sz w:val="24"/>
                <w:szCs w:val="24"/>
                <w:highlight w:val="none"/>
                <w:lang w:val="en-US" w:eastAsia="zh-CN"/>
              </w:rPr>
              <w:t>清洗废</w:t>
            </w:r>
            <w:r>
              <w:rPr>
                <w:rFonts w:hint="eastAsia" w:ascii="Times New Roman" w:hAnsi="Times New Roman" w:eastAsia="宋体" w:cs="Times New Roman"/>
                <w:iCs/>
                <w:color w:val="auto"/>
                <w:sz w:val="24"/>
                <w:szCs w:val="24"/>
                <w:highlight w:val="none"/>
              </w:rPr>
              <w:t>水</w:t>
            </w:r>
          </w:p>
          <w:p w14:paraId="655788DA">
            <w:pPr>
              <w:pStyle w:val="70"/>
              <w:keepNext w:val="0"/>
              <w:keepLines w:val="0"/>
              <w:pageBreakBefore w:val="0"/>
              <w:widowControl w:val="0"/>
              <w:kinsoku/>
              <w:wordWrap/>
              <w:overflowPunct/>
              <w:topLinePunct w:val="0"/>
              <w:autoSpaceDE/>
              <w:autoSpaceDN/>
              <w:bidi w:val="0"/>
              <w:adjustRightInd/>
              <w:snapToGrid w:val="0"/>
              <w:spacing w:beforeLines="0" w:afterLines="0"/>
              <w:jc w:val="left"/>
              <w:textAlignment w:val="auto"/>
              <w:rPr>
                <w:rFonts w:hint="default" w:cs="Times New Roman"/>
                <w:color w:val="auto"/>
                <w:highlight w:val="none"/>
                <w:u w:val="none"/>
                <w:lang w:val="en-US" w:eastAsia="zh-CN"/>
              </w:rPr>
            </w:pPr>
            <w:r>
              <w:rPr>
                <w:rFonts w:hint="default" w:ascii="Times New Roman" w:hAnsi="Times New Roman" w:eastAsia="宋体" w:cs="Times New Roman"/>
                <w:iCs/>
                <w:color w:val="auto"/>
                <w:sz w:val="24"/>
                <w:szCs w:val="24"/>
                <w:highlight w:val="none"/>
                <w:u w:val="none" w:color="auto"/>
                <w:lang w:val="en-US" w:eastAsia="zh-CN"/>
              </w:rPr>
              <w:t>搅拌站设备定期清洗，</w:t>
            </w:r>
            <w:r>
              <w:rPr>
                <w:rFonts w:hint="eastAsia" w:ascii="Times New Roman" w:hAnsi="Times New Roman" w:cs="Times New Roman"/>
                <w:iCs/>
                <w:color w:val="auto"/>
                <w:sz w:val="24"/>
                <w:szCs w:val="24"/>
                <w:highlight w:val="none"/>
                <w:u w:val="none" w:color="auto"/>
                <w:lang w:val="en-US" w:eastAsia="zh-CN"/>
              </w:rPr>
              <w:t>平均</w:t>
            </w:r>
            <w:r>
              <w:rPr>
                <w:rFonts w:hint="default" w:ascii="Times New Roman" w:hAnsi="Times New Roman" w:eastAsia="宋体" w:cs="Times New Roman"/>
                <w:iCs/>
                <w:color w:val="auto"/>
                <w:sz w:val="24"/>
                <w:szCs w:val="24"/>
                <w:highlight w:val="none"/>
                <w:u w:val="none" w:color="auto"/>
                <w:lang w:val="en-US" w:eastAsia="zh-CN"/>
              </w:rPr>
              <w:t>每天清洗</w:t>
            </w:r>
            <w:r>
              <w:rPr>
                <w:rFonts w:hint="eastAsia" w:ascii="Times New Roman" w:hAnsi="Times New Roman" w:cs="Times New Roman"/>
                <w:iCs/>
                <w:color w:val="auto"/>
                <w:sz w:val="24"/>
                <w:szCs w:val="24"/>
                <w:highlight w:val="none"/>
                <w:u w:val="none" w:color="auto"/>
                <w:lang w:val="en-US" w:eastAsia="zh-CN"/>
              </w:rPr>
              <w:t>1</w:t>
            </w:r>
            <w:r>
              <w:rPr>
                <w:rFonts w:hint="default" w:ascii="Times New Roman" w:hAnsi="Times New Roman" w:eastAsia="宋体" w:cs="Times New Roman"/>
                <w:iCs/>
                <w:color w:val="auto"/>
                <w:sz w:val="24"/>
                <w:szCs w:val="24"/>
                <w:highlight w:val="none"/>
                <w:u w:val="none" w:color="auto"/>
                <w:lang w:val="en-US" w:eastAsia="zh-CN"/>
              </w:rPr>
              <w:t>次，每次</w:t>
            </w:r>
            <w:r>
              <w:rPr>
                <w:rFonts w:hint="eastAsia" w:ascii="Times New Roman" w:hAnsi="Times New Roman" w:cs="Times New Roman"/>
                <w:iCs/>
                <w:color w:val="auto"/>
                <w:sz w:val="24"/>
                <w:szCs w:val="24"/>
                <w:highlight w:val="none"/>
                <w:u w:val="none" w:color="auto"/>
                <w:lang w:val="en-US" w:eastAsia="zh-CN"/>
              </w:rPr>
              <w:t>每台搅拌机</w:t>
            </w:r>
            <w:r>
              <w:rPr>
                <w:rFonts w:hint="default" w:ascii="Times New Roman" w:hAnsi="Times New Roman" w:eastAsia="宋体" w:cs="Times New Roman"/>
                <w:iCs/>
                <w:color w:val="auto"/>
                <w:sz w:val="24"/>
                <w:szCs w:val="24"/>
                <w:highlight w:val="none"/>
                <w:u w:val="none" w:color="auto"/>
                <w:lang w:val="en-US" w:eastAsia="zh-CN"/>
              </w:rPr>
              <w:t>用水量</w:t>
            </w:r>
            <w:r>
              <w:rPr>
                <w:rFonts w:hint="eastAsia" w:ascii="Times New Roman" w:hAnsi="Times New Roman" w:cs="Times New Roman"/>
                <w:iCs/>
                <w:color w:val="auto"/>
                <w:sz w:val="24"/>
                <w:szCs w:val="24"/>
                <w:highlight w:val="none"/>
                <w:u w:val="none" w:color="auto"/>
                <w:lang w:val="en-US" w:eastAsia="zh-CN"/>
              </w:rPr>
              <w:t>按1</w:t>
            </w:r>
            <w:r>
              <w:rPr>
                <w:rFonts w:hint="default" w:ascii="Times New Roman" w:hAnsi="Times New Roman" w:eastAsia="宋体" w:cs="Times New Roman"/>
                <w:iCs/>
                <w:color w:val="auto"/>
                <w:sz w:val="24"/>
                <w:szCs w:val="24"/>
                <w:highlight w:val="none"/>
                <w:u w:val="none" w:color="auto"/>
                <w:lang w:val="en-US" w:eastAsia="zh-CN"/>
              </w:rPr>
              <w:t>m</w:t>
            </w:r>
            <w:r>
              <w:rPr>
                <w:rFonts w:hint="default" w:ascii="Times New Roman" w:hAnsi="Times New Roman" w:eastAsia="宋体" w:cs="Times New Roman"/>
                <w:iCs/>
                <w:color w:val="auto"/>
                <w:sz w:val="24"/>
                <w:szCs w:val="24"/>
                <w:highlight w:val="none"/>
                <w:u w:val="none" w:color="auto"/>
                <w:vertAlign w:val="superscript"/>
                <w:lang w:val="en-US" w:eastAsia="zh-CN"/>
              </w:rPr>
              <w:t>3</w:t>
            </w:r>
            <w:r>
              <w:rPr>
                <w:rFonts w:hint="default" w:ascii="Times New Roman" w:hAnsi="Times New Roman" w:eastAsia="宋体" w:cs="Times New Roman"/>
                <w:iCs/>
                <w:color w:val="auto"/>
                <w:sz w:val="24"/>
                <w:szCs w:val="24"/>
                <w:highlight w:val="none"/>
                <w:u w:val="none" w:color="auto"/>
                <w:lang w:val="en-US" w:eastAsia="zh-CN"/>
              </w:rPr>
              <w:t>计算，</w:t>
            </w:r>
            <w:r>
              <w:rPr>
                <w:rFonts w:hint="eastAsia" w:ascii="Times New Roman" w:hAnsi="Times New Roman" w:cs="Times New Roman"/>
                <w:iCs/>
                <w:color w:val="auto"/>
                <w:sz w:val="24"/>
                <w:szCs w:val="24"/>
                <w:highlight w:val="none"/>
                <w:u w:val="none" w:color="auto"/>
                <w:lang w:val="en-US" w:eastAsia="zh-CN"/>
              </w:rPr>
              <w:t>项目共2台搅拌机，</w:t>
            </w:r>
            <w:r>
              <w:rPr>
                <w:rFonts w:hint="default" w:ascii="Times New Roman" w:hAnsi="Times New Roman" w:eastAsia="宋体" w:cs="Times New Roman"/>
                <w:iCs/>
                <w:color w:val="auto"/>
                <w:sz w:val="24"/>
                <w:szCs w:val="24"/>
                <w:highlight w:val="none"/>
                <w:u w:val="none" w:color="auto"/>
                <w:lang w:val="en-US" w:eastAsia="zh-CN"/>
              </w:rPr>
              <w:t>则项目设备清洗</w:t>
            </w:r>
            <w:r>
              <w:rPr>
                <w:rFonts w:hint="eastAsia" w:ascii="Times New Roman" w:hAnsi="Times New Roman" w:cs="Times New Roman"/>
                <w:iCs/>
                <w:color w:val="auto"/>
                <w:sz w:val="24"/>
                <w:szCs w:val="24"/>
                <w:highlight w:val="none"/>
                <w:u w:val="none" w:color="auto"/>
                <w:lang w:val="en-US" w:eastAsia="zh-CN"/>
              </w:rPr>
              <w:t>用</w:t>
            </w:r>
            <w:r>
              <w:rPr>
                <w:rFonts w:hint="default" w:ascii="Times New Roman" w:hAnsi="Times New Roman" w:eastAsia="宋体" w:cs="Times New Roman"/>
                <w:iCs/>
                <w:color w:val="auto"/>
                <w:sz w:val="24"/>
                <w:szCs w:val="24"/>
                <w:highlight w:val="none"/>
                <w:u w:val="none" w:color="auto"/>
                <w:lang w:val="en-US" w:eastAsia="zh-CN"/>
              </w:rPr>
              <w:t>水约</w:t>
            </w:r>
            <w:r>
              <w:rPr>
                <w:rFonts w:hint="eastAsia" w:ascii="Times New Roman" w:hAnsi="Times New Roman" w:cs="Times New Roman"/>
                <w:iCs/>
                <w:color w:val="auto"/>
                <w:sz w:val="24"/>
                <w:szCs w:val="24"/>
                <w:highlight w:val="none"/>
                <w:u w:val="none" w:color="auto"/>
                <w:lang w:val="en-US" w:eastAsia="zh-CN"/>
              </w:rPr>
              <w:t>2</w:t>
            </w:r>
            <w:r>
              <w:rPr>
                <w:rFonts w:hint="default" w:ascii="Times New Roman" w:hAnsi="Times New Roman" w:eastAsia="宋体" w:cs="Times New Roman"/>
                <w:iCs/>
                <w:color w:val="auto"/>
                <w:sz w:val="24"/>
                <w:szCs w:val="24"/>
                <w:highlight w:val="none"/>
                <w:u w:val="none" w:color="auto"/>
                <w:lang w:val="en-US" w:eastAsia="zh-CN"/>
              </w:rPr>
              <w:t>m</w:t>
            </w:r>
            <w:r>
              <w:rPr>
                <w:rFonts w:hint="default" w:ascii="Times New Roman" w:hAnsi="Times New Roman" w:eastAsia="宋体" w:cs="Times New Roman"/>
                <w:iCs/>
                <w:color w:val="auto"/>
                <w:sz w:val="24"/>
                <w:szCs w:val="24"/>
                <w:highlight w:val="none"/>
                <w:u w:val="none" w:color="auto"/>
                <w:vertAlign w:val="superscript"/>
                <w:lang w:val="en-US" w:eastAsia="zh-CN"/>
              </w:rPr>
              <w:t>3</w:t>
            </w:r>
            <w:r>
              <w:rPr>
                <w:rFonts w:hint="default" w:ascii="Times New Roman" w:hAnsi="Times New Roman" w:eastAsia="宋体" w:cs="Times New Roman"/>
                <w:iCs/>
                <w:color w:val="auto"/>
                <w:sz w:val="24"/>
                <w:szCs w:val="24"/>
                <w:highlight w:val="none"/>
                <w:u w:val="none" w:color="auto"/>
                <w:lang w:val="en-US" w:eastAsia="zh-CN"/>
              </w:rPr>
              <w:t>/d（</w:t>
            </w:r>
            <w:r>
              <w:rPr>
                <w:rFonts w:hint="eastAsia" w:ascii="Times New Roman" w:hAnsi="Times New Roman" w:cs="Times New Roman"/>
                <w:iCs/>
                <w:color w:val="auto"/>
                <w:sz w:val="24"/>
                <w:szCs w:val="24"/>
                <w:highlight w:val="none"/>
                <w:u w:val="none" w:color="auto"/>
                <w:lang w:val="en-US" w:eastAsia="zh-CN"/>
              </w:rPr>
              <w:t>480</w:t>
            </w:r>
            <w:r>
              <w:rPr>
                <w:rFonts w:hint="default" w:ascii="Times New Roman" w:hAnsi="Times New Roman" w:eastAsia="宋体" w:cs="Times New Roman"/>
                <w:iCs/>
                <w:color w:val="auto"/>
                <w:sz w:val="24"/>
                <w:szCs w:val="24"/>
                <w:highlight w:val="none"/>
                <w:u w:val="none" w:color="auto"/>
                <w:lang w:val="en-US" w:eastAsia="zh-CN"/>
              </w:rPr>
              <w:t>m</w:t>
            </w:r>
            <w:r>
              <w:rPr>
                <w:rFonts w:hint="eastAsia" w:ascii="Times New Roman" w:hAnsi="Times New Roman" w:eastAsia="宋体" w:cs="Times New Roman"/>
                <w:iCs/>
                <w:color w:val="auto"/>
                <w:sz w:val="24"/>
                <w:szCs w:val="24"/>
                <w:highlight w:val="none"/>
                <w:u w:val="none" w:color="auto"/>
                <w:vertAlign w:val="superscript"/>
                <w:lang w:val="en-US" w:eastAsia="zh-CN"/>
              </w:rPr>
              <w:t>3</w:t>
            </w:r>
            <w:r>
              <w:rPr>
                <w:rFonts w:hint="default" w:ascii="Times New Roman" w:hAnsi="Times New Roman" w:eastAsia="宋体" w:cs="Times New Roman"/>
                <w:iCs/>
                <w:color w:val="auto"/>
                <w:sz w:val="24"/>
                <w:szCs w:val="24"/>
                <w:highlight w:val="none"/>
                <w:u w:val="none" w:color="auto"/>
                <w:lang w:val="en-US" w:eastAsia="zh-CN"/>
              </w:rPr>
              <w:t>/a）。废水产生量按用水量的90%计，设备清洗</w:t>
            </w:r>
            <w:r>
              <w:rPr>
                <w:rFonts w:hint="eastAsia" w:ascii="Times New Roman" w:hAnsi="Times New Roman" w:cs="Times New Roman"/>
                <w:iCs/>
                <w:color w:val="auto"/>
                <w:sz w:val="24"/>
                <w:szCs w:val="24"/>
                <w:highlight w:val="none"/>
                <w:u w:val="none" w:color="auto"/>
                <w:lang w:val="en-US" w:eastAsia="zh-CN"/>
              </w:rPr>
              <w:t>废</w:t>
            </w:r>
            <w:r>
              <w:rPr>
                <w:rFonts w:hint="default" w:ascii="Times New Roman" w:hAnsi="Times New Roman" w:eastAsia="宋体" w:cs="Times New Roman"/>
                <w:iCs/>
                <w:color w:val="auto"/>
                <w:sz w:val="24"/>
                <w:szCs w:val="24"/>
                <w:highlight w:val="none"/>
                <w:u w:val="none" w:color="auto"/>
                <w:lang w:val="en-US" w:eastAsia="zh-CN"/>
              </w:rPr>
              <w:t>水约</w:t>
            </w:r>
            <w:r>
              <w:rPr>
                <w:rFonts w:hint="eastAsia" w:ascii="Times New Roman" w:hAnsi="Times New Roman" w:cs="Times New Roman"/>
                <w:iCs/>
                <w:color w:val="auto"/>
                <w:sz w:val="24"/>
                <w:szCs w:val="24"/>
                <w:highlight w:val="none"/>
                <w:u w:val="none" w:color="auto"/>
                <w:lang w:val="en-US" w:eastAsia="zh-CN"/>
              </w:rPr>
              <w:t>1.8</w:t>
            </w:r>
            <w:r>
              <w:rPr>
                <w:rFonts w:hint="default" w:ascii="Times New Roman" w:hAnsi="Times New Roman" w:eastAsia="宋体" w:cs="Times New Roman"/>
                <w:iCs/>
                <w:color w:val="auto"/>
                <w:sz w:val="24"/>
                <w:szCs w:val="24"/>
                <w:highlight w:val="none"/>
                <w:u w:val="none" w:color="auto"/>
                <w:lang w:val="en-US" w:eastAsia="zh-CN"/>
              </w:rPr>
              <w:t>m</w:t>
            </w:r>
            <w:r>
              <w:rPr>
                <w:rFonts w:hint="default" w:ascii="Times New Roman" w:hAnsi="Times New Roman" w:eastAsia="宋体" w:cs="Times New Roman"/>
                <w:iCs/>
                <w:color w:val="auto"/>
                <w:sz w:val="24"/>
                <w:szCs w:val="24"/>
                <w:highlight w:val="none"/>
                <w:u w:val="none" w:color="auto"/>
                <w:vertAlign w:val="superscript"/>
                <w:lang w:val="en-US" w:eastAsia="zh-CN"/>
              </w:rPr>
              <w:t>3</w:t>
            </w:r>
            <w:r>
              <w:rPr>
                <w:rFonts w:hint="default" w:ascii="Times New Roman" w:hAnsi="Times New Roman" w:eastAsia="宋体" w:cs="Times New Roman"/>
                <w:iCs/>
                <w:color w:val="auto"/>
                <w:sz w:val="24"/>
                <w:szCs w:val="24"/>
                <w:highlight w:val="none"/>
                <w:u w:val="none" w:color="auto"/>
                <w:lang w:val="en-US" w:eastAsia="zh-CN"/>
              </w:rPr>
              <w:t>/d（</w:t>
            </w:r>
            <w:r>
              <w:rPr>
                <w:rFonts w:hint="eastAsia" w:ascii="Times New Roman" w:hAnsi="Times New Roman" w:cs="Times New Roman"/>
                <w:iCs/>
                <w:color w:val="auto"/>
                <w:sz w:val="24"/>
                <w:szCs w:val="24"/>
                <w:highlight w:val="none"/>
                <w:u w:val="none" w:color="auto"/>
                <w:lang w:val="en-US" w:eastAsia="zh-CN"/>
              </w:rPr>
              <w:t>432</w:t>
            </w:r>
            <w:r>
              <w:rPr>
                <w:rFonts w:hint="default" w:ascii="Times New Roman" w:hAnsi="Times New Roman" w:eastAsia="宋体" w:cs="Times New Roman"/>
                <w:iCs/>
                <w:color w:val="auto"/>
                <w:sz w:val="24"/>
                <w:szCs w:val="24"/>
                <w:highlight w:val="none"/>
                <w:u w:val="none" w:color="auto"/>
                <w:lang w:val="en-US" w:eastAsia="zh-CN"/>
              </w:rPr>
              <w:t>m</w:t>
            </w:r>
            <w:r>
              <w:rPr>
                <w:rFonts w:hint="eastAsia" w:ascii="Times New Roman" w:hAnsi="Times New Roman" w:eastAsia="宋体" w:cs="Times New Roman"/>
                <w:iCs/>
                <w:color w:val="auto"/>
                <w:sz w:val="24"/>
                <w:szCs w:val="24"/>
                <w:highlight w:val="none"/>
                <w:u w:val="none" w:color="auto"/>
                <w:vertAlign w:val="superscript"/>
                <w:lang w:val="en-US" w:eastAsia="zh-CN"/>
              </w:rPr>
              <w:t>3</w:t>
            </w:r>
            <w:r>
              <w:rPr>
                <w:rFonts w:hint="default" w:ascii="Times New Roman" w:hAnsi="Times New Roman" w:eastAsia="宋体" w:cs="Times New Roman"/>
                <w:iCs/>
                <w:color w:val="auto"/>
                <w:sz w:val="24"/>
                <w:szCs w:val="24"/>
                <w:highlight w:val="none"/>
                <w:u w:val="none" w:color="auto"/>
                <w:lang w:val="en-US" w:eastAsia="zh-CN"/>
              </w:rPr>
              <w:t>/a）。设备清洗废水</w:t>
            </w:r>
            <w:r>
              <w:rPr>
                <w:rFonts w:hint="eastAsia" w:ascii="Times New Roman" w:hAnsi="Times New Roman" w:eastAsia="宋体" w:cs="Times New Roman"/>
                <w:iCs/>
                <w:color w:val="auto"/>
                <w:sz w:val="24"/>
                <w:szCs w:val="24"/>
                <w:highlight w:val="none"/>
                <w:u w:val="none" w:color="auto"/>
                <w:lang w:val="en-US" w:eastAsia="zh-CN"/>
              </w:rPr>
              <w:t>经</w:t>
            </w:r>
            <w:r>
              <w:rPr>
                <w:rFonts w:hint="eastAsia" w:ascii="Times New Roman" w:hAnsi="Times New Roman" w:cs="Times New Roman"/>
                <w:iCs/>
                <w:color w:val="auto"/>
                <w:sz w:val="24"/>
                <w:szCs w:val="24"/>
                <w:highlight w:val="none"/>
                <w:u w:val="none" w:color="auto"/>
                <w:lang w:val="en-US" w:eastAsia="zh-CN"/>
              </w:rPr>
              <w:t>三级</w:t>
            </w:r>
            <w:r>
              <w:rPr>
                <w:rFonts w:hint="eastAsia" w:ascii="Times New Roman" w:hAnsi="Times New Roman" w:eastAsia="宋体" w:cs="Times New Roman"/>
                <w:iCs/>
                <w:color w:val="auto"/>
                <w:sz w:val="24"/>
                <w:szCs w:val="24"/>
                <w:highlight w:val="none"/>
                <w:u w:val="none" w:color="auto"/>
                <w:lang w:val="en-US" w:eastAsia="zh-CN"/>
              </w:rPr>
              <w:t>沉淀池</w:t>
            </w:r>
            <w:r>
              <w:rPr>
                <w:rFonts w:hint="eastAsia" w:ascii="Times New Roman" w:hAnsi="Times New Roman" w:cs="Times New Roman"/>
                <w:iCs/>
                <w:color w:val="auto"/>
                <w:sz w:val="24"/>
                <w:szCs w:val="24"/>
                <w:highlight w:val="none"/>
                <w:u w:val="none" w:color="auto"/>
                <w:lang w:val="en-US" w:eastAsia="zh-CN"/>
              </w:rPr>
              <w:t>沉淀</w:t>
            </w:r>
            <w:r>
              <w:rPr>
                <w:rFonts w:hint="default" w:ascii="Times New Roman" w:hAnsi="Times New Roman" w:eastAsia="宋体" w:cs="Times New Roman"/>
                <w:iCs/>
                <w:color w:val="auto"/>
                <w:sz w:val="24"/>
                <w:szCs w:val="24"/>
                <w:highlight w:val="none"/>
                <w:u w:val="none" w:color="auto"/>
                <w:lang w:val="en-US" w:eastAsia="zh-CN"/>
              </w:rPr>
              <w:t>处理后</w:t>
            </w:r>
            <w:r>
              <w:rPr>
                <w:rFonts w:hint="eastAsia" w:ascii="Times New Roman" w:hAnsi="Times New Roman" w:eastAsia="宋体" w:cs="Times New Roman"/>
                <w:iCs/>
                <w:color w:val="auto"/>
                <w:sz w:val="24"/>
                <w:szCs w:val="24"/>
                <w:highlight w:val="none"/>
                <w:u w:val="none" w:color="auto"/>
                <w:lang w:val="en-US" w:eastAsia="zh-CN"/>
              </w:rPr>
              <w:t>回</w:t>
            </w:r>
            <w:r>
              <w:rPr>
                <w:rFonts w:hint="default" w:ascii="Times New Roman" w:hAnsi="Times New Roman" w:eastAsia="宋体" w:cs="Times New Roman"/>
                <w:iCs/>
                <w:color w:val="auto"/>
                <w:sz w:val="24"/>
                <w:szCs w:val="24"/>
                <w:highlight w:val="none"/>
                <w:u w:val="none" w:color="auto"/>
                <w:lang w:val="en-US" w:eastAsia="zh-CN"/>
              </w:rPr>
              <w:t>用于生产，不外排。</w:t>
            </w:r>
          </w:p>
          <w:p w14:paraId="68D22177">
            <w:pPr>
              <w:adjustRightInd w:val="0"/>
              <w:spacing w:line="360" w:lineRule="auto"/>
              <w:ind w:firstLine="480" w:firstLineChars="200"/>
              <w:rPr>
                <w:rFonts w:hint="default" w:ascii="Times New Roman" w:hAnsi="Times New Roman" w:cs="Times New Roman"/>
                <w:color w:val="auto"/>
                <w:highlight w:val="none"/>
                <w:u w:val="none"/>
                <w:lang w:val="en-US" w:eastAsia="zh-CN"/>
              </w:rPr>
            </w:pPr>
            <w:r>
              <w:rPr>
                <w:rFonts w:hint="eastAsia"/>
                <w:b w:val="0"/>
                <w:bCs w:val="0"/>
                <w:i w:val="0"/>
                <w:iCs w:val="0"/>
                <w:color w:val="auto"/>
                <w:sz w:val="24"/>
                <w:szCs w:val="24"/>
                <w:highlight w:val="none"/>
                <w:u w:val="none"/>
                <w:lang w:val="en-US" w:eastAsia="zh-CN"/>
              </w:rPr>
              <w:t>2.2污染防</w:t>
            </w:r>
            <w:r>
              <w:rPr>
                <w:b w:val="0"/>
                <w:bCs w:val="0"/>
                <w:i w:val="0"/>
                <w:iCs w:val="0"/>
                <w:color w:val="auto"/>
                <w:sz w:val="24"/>
                <w:szCs w:val="24"/>
                <w:highlight w:val="none"/>
                <w:u w:val="none"/>
              </w:rPr>
              <w:t>治措施</w:t>
            </w:r>
            <w:r>
              <w:rPr>
                <w:rFonts w:hint="eastAsia"/>
                <w:b w:val="0"/>
                <w:bCs w:val="0"/>
                <w:i w:val="0"/>
                <w:iCs w:val="0"/>
                <w:color w:val="auto"/>
                <w:sz w:val="24"/>
                <w:szCs w:val="24"/>
                <w:highlight w:val="none"/>
                <w:u w:val="none"/>
                <w:lang w:val="en-US" w:eastAsia="zh-CN"/>
              </w:rPr>
              <w:t>及可行性</w:t>
            </w:r>
          </w:p>
          <w:p w14:paraId="1B39D6D6">
            <w:pPr>
              <w:pStyle w:val="70"/>
              <w:keepNext w:val="0"/>
              <w:keepLines w:val="0"/>
              <w:pageBreakBefore w:val="0"/>
              <w:widowControl w:val="0"/>
              <w:kinsoku/>
              <w:wordWrap/>
              <w:overflowPunct/>
              <w:topLinePunct w:val="0"/>
              <w:autoSpaceDE/>
              <w:autoSpaceDN/>
              <w:bidi w:val="0"/>
              <w:adjustRightInd/>
              <w:snapToGrid w:val="0"/>
              <w:spacing w:beforeLines="0" w:afterLines="0"/>
              <w:jc w:val="both"/>
              <w:textAlignment w:val="auto"/>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（一）治理措施</w:t>
            </w:r>
          </w:p>
          <w:p w14:paraId="791985A2">
            <w:pPr>
              <w:pStyle w:val="70"/>
              <w:keepNext w:val="0"/>
              <w:keepLines w:val="0"/>
              <w:pageBreakBefore w:val="0"/>
              <w:widowControl w:val="0"/>
              <w:kinsoku/>
              <w:wordWrap/>
              <w:overflowPunct/>
              <w:topLinePunct w:val="0"/>
              <w:autoSpaceDE/>
              <w:autoSpaceDN/>
              <w:bidi w:val="0"/>
              <w:adjustRightInd/>
              <w:snapToGrid w:val="0"/>
              <w:spacing w:beforeLines="0" w:afterLines="0"/>
              <w:jc w:val="both"/>
              <w:textAlignment w:val="auto"/>
              <w:rPr>
                <w:rFonts w:hint="default" w:ascii="Times New Roman" w:hAnsi="Times New Roman" w:cs="Times New Roman"/>
                <w:color w:val="auto"/>
                <w:highlight w:val="none"/>
                <w:u w:val="single"/>
                <w:lang w:val="en-US" w:eastAsia="zh-CN"/>
              </w:rPr>
            </w:pPr>
            <w:r>
              <w:rPr>
                <w:rFonts w:hint="default" w:ascii="Times New Roman" w:hAnsi="Times New Roman" w:cs="Times New Roman"/>
                <w:color w:val="auto"/>
                <w:highlight w:val="none"/>
                <w:u w:val="none"/>
                <w:lang w:val="en-US" w:eastAsia="zh-CN"/>
              </w:rPr>
              <w:t>项目设置1座三级沉淀池，单池尺寸</w:t>
            </w:r>
            <w:r>
              <w:rPr>
                <w:rFonts w:hint="eastAsia" w:cs="Times New Roman"/>
                <w:color w:val="auto"/>
                <w:highlight w:val="none"/>
                <w:u w:val="none"/>
                <w:lang w:val="en-US" w:eastAsia="zh-CN"/>
              </w:rPr>
              <w:t>5</w:t>
            </w:r>
            <w:r>
              <w:rPr>
                <w:rFonts w:hint="default" w:ascii="Times New Roman" w:hAnsi="Times New Roman" w:cs="Times New Roman"/>
                <w:color w:val="auto"/>
                <w:highlight w:val="none"/>
                <w:u w:val="none"/>
                <w:lang w:val="en-US" w:eastAsia="zh-CN"/>
              </w:rPr>
              <w:t>m×</w:t>
            </w:r>
            <w:r>
              <w:rPr>
                <w:rFonts w:hint="eastAsia" w:cs="Times New Roman"/>
                <w:color w:val="auto"/>
                <w:highlight w:val="none"/>
                <w:u w:val="none"/>
                <w:lang w:val="en-US" w:eastAsia="zh-CN"/>
              </w:rPr>
              <w:t>4</w:t>
            </w:r>
            <w:r>
              <w:rPr>
                <w:rFonts w:hint="default" w:ascii="Times New Roman" w:hAnsi="Times New Roman" w:cs="Times New Roman"/>
                <w:color w:val="auto"/>
                <w:highlight w:val="none"/>
                <w:u w:val="none"/>
                <w:lang w:val="en-US" w:eastAsia="zh-CN"/>
              </w:rPr>
              <w:t>m×2m，单池容积</w:t>
            </w:r>
            <w:r>
              <w:rPr>
                <w:rFonts w:hint="eastAsia" w:cs="Times New Roman"/>
                <w:color w:val="auto"/>
                <w:highlight w:val="none"/>
                <w:u w:val="none"/>
                <w:lang w:val="en-US" w:eastAsia="zh-CN"/>
              </w:rPr>
              <w:t>40</w:t>
            </w:r>
            <w:r>
              <w:rPr>
                <w:rFonts w:hint="default" w:ascii="Times New Roman" w:hAnsi="Times New Roman" w:cs="Times New Roman"/>
                <w:color w:val="auto"/>
                <w:highlight w:val="none"/>
                <w:u w:val="none"/>
                <w:lang w:val="en-US" w:eastAsia="zh-CN"/>
              </w:rPr>
              <w:t>m³，总容积</w:t>
            </w:r>
            <w:r>
              <w:rPr>
                <w:rFonts w:hint="eastAsia" w:cs="Times New Roman"/>
                <w:color w:val="auto"/>
                <w:highlight w:val="none"/>
                <w:u w:val="none"/>
                <w:lang w:val="en-US" w:eastAsia="zh-CN"/>
              </w:rPr>
              <w:t>120</w:t>
            </w:r>
            <w:r>
              <w:rPr>
                <w:rFonts w:hint="default" w:ascii="Times New Roman" w:hAnsi="Times New Roman" w:cs="Times New Roman"/>
                <w:color w:val="auto"/>
                <w:highlight w:val="none"/>
                <w:u w:val="none"/>
                <w:lang w:val="en-US" w:eastAsia="zh-CN"/>
              </w:rPr>
              <w:t>m³。采取一般防渗措施，防渗满足等效粘土防渗层Mb≥1.5m，K≤10</w:t>
            </w:r>
            <w:r>
              <w:rPr>
                <w:rFonts w:hint="default" w:ascii="Times New Roman" w:hAnsi="Times New Roman" w:cs="Times New Roman"/>
                <w:color w:val="auto"/>
                <w:highlight w:val="none"/>
                <w:u w:val="none"/>
                <w:vertAlign w:val="superscript"/>
                <w:lang w:val="en-US" w:eastAsia="zh-CN"/>
              </w:rPr>
              <w:t>-7</w:t>
            </w:r>
            <w:r>
              <w:rPr>
                <w:rFonts w:hint="default" w:ascii="Times New Roman" w:hAnsi="Times New Roman" w:cs="Times New Roman"/>
                <w:color w:val="auto"/>
                <w:highlight w:val="none"/>
                <w:u w:val="none"/>
                <w:lang w:val="en-US" w:eastAsia="zh-CN"/>
              </w:rPr>
              <w:t>cm/s。</w:t>
            </w:r>
          </w:p>
          <w:p w14:paraId="67BC433F">
            <w:pPr>
              <w:pStyle w:val="70"/>
              <w:keepNext w:val="0"/>
              <w:keepLines w:val="0"/>
              <w:pageBreakBefore w:val="0"/>
              <w:widowControl w:val="0"/>
              <w:kinsoku/>
              <w:wordWrap/>
              <w:overflowPunct/>
              <w:topLinePunct w:val="0"/>
              <w:autoSpaceDE/>
              <w:autoSpaceDN/>
              <w:bidi w:val="0"/>
              <w:adjustRightInd/>
              <w:snapToGrid w:val="0"/>
              <w:spacing w:beforeLines="0" w:afterLines="0"/>
              <w:jc w:val="both"/>
              <w:textAlignment w:val="auto"/>
              <w:rPr>
                <w:rFonts w:hint="eastAsia"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三级沉淀池工作原理：沉淀池是利用水流中悬浮杂质颗粒向下沉淀速度大于水流向</w:t>
            </w:r>
            <w:r>
              <w:rPr>
                <w:rFonts w:hint="eastAsia" w:cs="Times New Roman"/>
                <w:color w:val="auto"/>
                <w:highlight w:val="none"/>
                <w:u w:val="none"/>
                <w:lang w:val="en-US" w:eastAsia="zh-CN"/>
              </w:rPr>
              <w:t>上</w:t>
            </w:r>
            <w:r>
              <w:rPr>
                <w:rFonts w:hint="default" w:ascii="Times New Roman" w:hAnsi="Times New Roman" w:cs="Times New Roman"/>
                <w:color w:val="auto"/>
                <w:highlight w:val="none"/>
                <w:u w:val="none"/>
                <w:lang w:val="en-US" w:eastAsia="zh-CN"/>
              </w:rPr>
              <w:t>流动速度、或向下沉淀时间小于水流流出沉淀池的时间时能与水流分离的原理实现水的净化。废水流入沉淀池，第一级沉淀做污水的初次沉淀，将大颗粒的物质通过重力沉降沉淀下来，经沉淀后，打开封堵，经过通水沟槽排放清水到二级沉淀池。第二级沉淀用来进一步的沉淀，去除相对较小的颗粒物，带沉淀完全后，经水沟将清水排放至三级沉淀池。第三级沉淀池是临时存放经过处理的清水。根据废渣的沉积量不定期安排专人清理回用于生产。</w:t>
            </w:r>
          </w:p>
          <w:p w14:paraId="115392FC">
            <w:pPr>
              <w:pStyle w:val="70"/>
              <w:keepNext w:val="0"/>
              <w:keepLines w:val="0"/>
              <w:pageBreakBefore w:val="0"/>
              <w:widowControl w:val="0"/>
              <w:kinsoku/>
              <w:wordWrap/>
              <w:overflowPunct/>
              <w:topLinePunct w:val="0"/>
              <w:autoSpaceDE/>
              <w:autoSpaceDN/>
              <w:bidi w:val="0"/>
              <w:adjustRightInd/>
              <w:snapToGrid w:val="0"/>
              <w:spacing w:beforeLines="0" w:afterLines="0"/>
              <w:jc w:val="both"/>
              <w:textAlignment w:val="auto"/>
              <w:rPr>
                <w:rFonts w:hint="default" w:ascii="Times New Roman" w:hAnsi="Times New Roman" w:cs="Times New Roman"/>
                <w:color w:val="auto"/>
                <w:highlight w:val="none"/>
                <w:u w:val="single" w:color="auto"/>
                <w:lang w:val="en-US" w:eastAsia="zh-CN"/>
              </w:rPr>
            </w:pPr>
            <w:r>
              <w:rPr>
                <w:rFonts w:hint="eastAsia" w:cs="Times New Roman"/>
                <w:color w:val="auto"/>
                <w:highlight w:val="none"/>
                <w:u w:val="single" w:color="auto"/>
                <w:lang w:val="en-US" w:eastAsia="zh-CN"/>
              </w:rPr>
              <w:t>（二）</w:t>
            </w:r>
            <w:r>
              <w:rPr>
                <w:rFonts w:hint="default" w:ascii="Times New Roman" w:hAnsi="Times New Roman" w:cs="Times New Roman"/>
                <w:color w:val="auto"/>
                <w:highlight w:val="none"/>
                <w:u w:val="single" w:color="auto"/>
                <w:lang w:val="en-US" w:eastAsia="zh-CN"/>
              </w:rPr>
              <w:t>废水污染治理措施可行技术分析</w:t>
            </w:r>
          </w:p>
          <w:p w14:paraId="5E2C90FB">
            <w:pPr>
              <w:pStyle w:val="70"/>
              <w:keepNext w:val="0"/>
              <w:keepLines w:val="0"/>
              <w:pageBreakBefore w:val="0"/>
              <w:widowControl w:val="0"/>
              <w:kinsoku/>
              <w:wordWrap/>
              <w:overflowPunct/>
              <w:topLinePunct w:val="0"/>
              <w:autoSpaceDE/>
              <w:autoSpaceDN/>
              <w:bidi w:val="0"/>
              <w:adjustRightInd/>
              <w:snapToGrid w:val="0"/>
              <w:spacing w:beforeLines="0" w:afterLines="0"/>
              <w:jc w:val="both"/>
              <w:textAlignment w:val="auto"/>
              <w:rPr>
                <w:rFonts w:hint="default" w:ascii="Times New Roman" w:hAnsi="Times New Roman" w:cs="Times New Roman"/>
                <w:color w:val="auto"/>
                <w:highlight w:val="none"/>
                <w:u w:val="none" w:color="auto"/>
                <w:lang w:val="en-US" w:eastAsia="zh-CN"/>
              </w:rPr>
            </w:pPr>
            <w:r>
              <w:rPr>
                <w:rFonts w:hint="default" w:ascii="Times New Roman" w:hAnsi="Times New Roman" w:cs="Times New Roman"/>
                <w:color w:val="auto"/>
                <w:highlight w:val="none"/>
                <w:u w:val="single" w:color="auto"/>
                <w:lang w:val="en-US" w:eastAsia="zh-CN"/>
              </w:rPr>
              <w:t>混凝土搅拌站项目没有专项的污染防治可行技术指南和排污许可技术规范。经查阅资料可知：</w:t>
            </w:r>
            <w:r>
              <w:rPr>
                <w:rFonts w:hint="eastAsia" w:ascii="Times New Roman" w:hAnsi="Times New Roman" w:cs="Times New Roman"/>
                <w:color w:val="auto"/>
                <w:highlight w:val="none"/>
                <w:u w:val="single" w:color="auto"/>
                <w:lang w:val="en-US" w:eastAsia="zh-CN"/>
              </w:rPr>
              <w:t>混凝土</w:t>
            </w:r>
            <w:r>
              <w:rPr>
                <w:rFonts w:hint="default" w:ascii="Times New Roman" w:hAnsi="Times New Roman" w:cs="Times New Roman"/>
                <w:color w:val="auto"/>
                <w:highlight w:val="none"/>
                <w:u w:val="single" w:color="auto"/>
                <w:lang w:val="en-US" w:eastAsia="zh-CN"/>
              </w:rPr>
              <w:t>搅拌站等水泥制品行业废水处理措施普遍采用</w:t>
            </w:r>
            <w:r>
              <w:rPr>
                <w:rFonts w:hint="eastAsia" w:cs="Times New Roman"/>
                <w:color w:val="auto"/>
                <w:highlight w:val="none"/>
                <w:u w:val="single" w:color="auto"/>
                <w:lang w:val="en-US" w:eastAsia="zh-CN"/>
              </w:rPr>
              <w:t>三级</w:t>
            </w:r>
            <w:r>
              <w:rPr>
                <w:rFonts w:hint="default" w:ascii="Times New Roman" w:hAnsi="Times New Roman" w:cs="Times New Roman"/>
                <w:color w:val="auto"/>
                <w:highlight w:val="none"/>
                <w:u w:val="single" w:color="auto"/>
                <w:lang w:val="en-US" w:eastAsia="zh-CN"/>
              </w:rPr>
              <w:t>沉淀池处理废水后回用于生产。</w:t>
            </w:r>
            <w:r>
              <w:rPr>
                <w:rFonts w:hint="eastAsia" w:cs="Times New Roman"/>
                <w:color w:val="auto"/>
                <w:highlight w:val="none"/>
                <w:u w:val="single" w:color="auto"/>
                <w:lang w:val="en-US" w:eastAsia="zh-CN"/>
              </w:rPr>
              <w:t>本项目</w:t>
            </w:r>
            <w:r>
              <w:rPr>
                <w:rFonts w:hint="eastAsia" w:ascii="宋体" w:hAnsi="宋体" w:eastAsia="宋体" w:cs="宋体"/>
                <w:color w:val="auto"/>
                <w:kern w:val="2"/>
                <w:sz w:val="24"/>
                <w:szCs w:val="24"/>
                <w:highlight w:val="none"/>
                <w:u w:val="single" w:color="auto"/>
                <w:lang w:val="en-US" w:eastAsia="zh-CN" w:bidi="ar-SA"/>
              </w:rPr>
              <w:t>罐车清洗</w:t>
            </w:r>
            <w:r>
              <w:rPr>
                <w:rFonts w:hint="default" w:ascii="宋体" w:hAnsi="宋体" w:eastAsia="宋体" w:cs="宋体"/>
                <w:color w:val="auto"/>
                <w:kern w:val="2"/>
                <w:sz w:val="24"/>
                <w:szCs w:val="24"/>
                <w:highlight w:val="none"/>
                <w:u w:val="single" w:color="auto"/>
                <w:lang w:val="en-US" w:eastAsia="zh-CN" w:bidi="ar-SA"/>
              </w:rPr>
              <w:t>废水</w:t>
            </w:r>
            <w:r>
              <w:rPr>
                <w:rFonts w:hint="eastAsia" w:ascii="宋体" w:hAnsi="宋体" w:eastAsia="宋体" w:cs="宋体"/>
                <w:color w:val="auto"/>
                <w:kern w:val="2"/>
                <w:sz w:val="24"/>
                <w:szCs w:val="24"/>
                <w:highlight w:val="none"/>
                <w:u w:val="single" w:color="auto"/>
                <w:lang w:val="en-US" w:eastAsia="zh-CN" w:bidi="ar-SA"/>
              </w:rPr>
              <w:t>、</w:t>
            </w:r>
            <w:r>
              <w:rPr>
                <w:rFonts w:hint="default" w:ascii="宋体" w:hAnsi="宋体" w:eastAsia="宋体" w:cs="宋体"/>
                <w:color w:val="auto"/>
                <w:kern w:val="2"/>
                <w:sz w:val="24"/>
                <w:szCs w:val="24"/>
                <w:highlight w:val="none"/>
                <w:u w:val="single" w:color="auto"/>
                <w:lang w:val="en-US" w:eastAsia="zh-CN" w:bidi="ar-SA"/>
              </w:rPr>
              <w:t>设备清洗废水</w:t>
            </w:r>
            <w:r>
              <w:rPr>
                <w:rFonts w:hint="eastAsia" w:ascii="Times New Roman" w:hAnsi="Times New Roman" w:eastAsia="宋体" w:cs="Times New Roman"/>
                <w:iCs/>
                <w:color w:val="auto"/>
                <w:sz w:val="24"/>
                <w:szCs w:val="24"/>
                <w:highlight w:val="none"/>
                <w:u w:val="single" w:color="auto"/>
                <w:lang w:val="en-US" w:eastAsia="zh-CN"/>
              </w:rPr>
              <w:t>经沉淀池处理后</w:t>
            </w:r>
            <w:r>
              <w:rPr>
                <w:rFonts w:hint="default" w:ascii="Times New Roman" w:hAnsi="Times New Roman" w:eastAsia="宋体" w:cs="Times New Roman"/>
                <w:iCs/>
                <w:color w:val="auto"/>
                <w:sz w:val="24"/>
                <w:szCs w:val="24"/>
                <w:highlight w:val="none"/>
                <w:u w:val="single" w:color="auto"/>
                <w:lang w:val="en-US" w:eastAsia="zh-CN"/>
              </w:rPr>
              <w:t>回用于生产，不外排</w:t>
            </w:r>
            <w:r>
              <w:rPr>
                <w:rFonts w:hint="eastAsia" w:cs="Times New Roman"/>
                <w:iCs/>
                <w:color w:val="auto"/>
                <w:sz w:val="24"/>
                <w:szCs w:val="24"/>
                <w:highlight w:val="none"/>
                <w:u w:val="single" w:color="auto"/>
                <w:lang w:val="en-US" w:eastAsia="zh-CN"/>
              </w:rPr>
              <w:t>。</w:t>
            </w:r>
            <w:r>
              <w:rPr>
                <w:rFonts w:hint="eastAsia" w:ascii="宋体" w:hAnsi="宋体" w:eastAsia="宋体" w:cs="宋体"/>
                <w:color w:val="auto"/>
                <w:kern w:val="2"/>
                <w:sz w:val="24"/>
                <w:szCs w:val="24"/>
                <w:highlight w:val="none"/>
                <w:u w:val="single" w:color="auto"/>
                <w:lang w:val="en-US" w:eastAsia="zh-CN" w:bidi="ar-SA"/>
              </w:rPr>
              <w:t>罐车清洗</w:t>
            </w:r>
            <w:r>
              <w:rPr>
                <w:rFonts w:hint="default" w:ascii="宋体" w:hAnsi="宋体" w:eastAsia="宋体" w:cs="宋体"/>
                <w:color w:val="auto"/>
                <w:kern w:val="2"/>
                <w:sz w:val="24"/>
                <w:szCs w:val="24"/>
                <w:highlight w:val="none"/>
                <w:u w:val="single" w:color="auto"/>
                <w:lang w:val="en-US" w:eastAsia="zh-CN" w:bidi="ar-SA"/>
              </w:rPr>
              <w:t>废水</w:t>
            </w:r>
            <w:r>
              <w:rPr>
                <w:rFonts w:hint="eastAsia" w:ascii="宋体" w:hAnsi="宋体" w:eastAsia="宋体" w:cs="宋体"/>
                <w:color w:val="auto"/>
                <w:kern w:val="2"/>
                <w:sz w:val="24"/>
                <w:szCs w:val="24"/>
                <w:highlight w:val="none"/>
                <w:u w:val="single" w:color="auto"/>
                <w:lang w:val="en-US" w:eastAsia="zh-CN" w:bidi="ar-SA"/>
              </w:rPr>
              <w:t>、</w:t>
            </w:r>
            <w:r>
              <w:rPr>
                <w:rFonts w:hint="default" w:ascii="宋体" w:hAnsi="宋体" w:eastAsia="宋体" w:cs="宋体"/>
                <w:color w:val="auto"/>
                <w:kern w:val="2"/>
                <w:sz w:val="24"/>
                <w:szCs w:val="24"/>
                <w:highlight w:val="none"/>
                <w:u w:val="single" w:color="auto"/>
                <w:lang w:val="en-US" w:eastAsia="zh-CN" w:bidi="ar-SA"/>
              </w:rPr>
              <w:t>设备清洗废水</w:t>
            </w:r>
            <w:r>
              <w:rPr>
                <w:rFonts w:hint="eastAsia" w:cs="Times New Roman"/>
                <w:color w:val="auto"/>
                <w:highlight w:val="none"/>
                <w:u w:val="single" w:color="auto"/>
                <w:lang w:val="en-US" w:eastAsia="zh-CN"/>
              </w:rPr>
              <w:t>产生量</w:t>
            </w:r>
            <w:r>
              <w:rPr>
                <w:rFonts w:hint="default" w:ascii="Times New Roman" w:hAnsi="Times New Roman" w:cs="Times New Roman"/>
                <w:color w:val="auto"/>
                <w:highlight w:val="none"/>
                <w:u w:val="single" w:color="auto"/>
                <w:lang w:val="en-US" w:eastAsia="zh-CN"/>
              </w:rPr>
              <w:t>为</w:t>
            </w:r>
            <w:r>
              <w:rPr>
                <w:rFonts w:hint="eastAsia" w:cs="Times New Roman"/>
                <w:color w:val="auto"/>
                <w:highlight w:val="none"/>
                <w:u w:val="single" w:color="auto"/>
                <w:lang w:val="en-US" w:eastAsia="zh-CN"/>
              </w:rPr>
              <w:t>7.02m</w:t>
            </w:r>
            <w:r>
              <w:rPr>
                <w:rFonts w:hint="eastAsia" w:cs="Times New Roman"/>
                <w:color w:val="auto"/>
                <w:highlight w:val="none"/>
                <w:u w:val="single" w:color="auto"/>
                <w:vertAlign w:val="superscript"/>
                <w:lang w:val="en-US" w:eastAsia="zh-CN"/>
              </w:rPr>
              <w:t>3</w:t>
            </w:r>
            <w:r>
              <w:rPr>
                <w:rFonts w:hint="default" w:ascii="Times New Roman" w:hAnsi="Times New Roman" w:cs="Times New Roman"/>
                <w:color w:val="auto"/>
                <w:highlight w:val="none"/>
                <w:u w:val="single" w:color="auto"/>
                <w:lang w:val="en-US" w:eastAsia="zh-CN"/>
              </w:rPr>
              <w:t>/</w:t>
            </w:r>
            <w:r>
              <w:rPr>
                <w:rFonts w:hint="eastAsia" w:ascii="Times New Roman" w:hAnsi="Times New Roman" w:cs="Times New Roman"/>
                <w:color w:val="auto"/>
                <w:highlight w:val="none"/>
                <w:u w:val="single" w:color="auto"/>
                <w:lang w:val="en-US" w:eastAsia="zh-CN"/>
              </w:rPr>
              <w:t>d，</w:t>
            </w:r>
            <w:r>
              <w:rPr>
                <w:rFonts w:hint="eastAsia" w:cs="Times New Roman"/>
                <w:color w:val="auto"/>
                <w:highlight w:val="none"/>
                <w:u w:val="single" w:color="auto"/>
                <w:lang w:val="en-US" w:eastAsia="zh-CN"/>
              </w:rPr>
              <w:t>沉淀池容积为120</w:t>
            </w:r>
            <w:r>
              <w:rPr>
                <w:rFonts w:hint="default" w:ascii="Times New Roman" w:hAnsi="Times New Roman" w:cs="Times New Roman"/>
                <w:color w:val="auto"/>
                <w:highlight w:val="none"/>
                <w:u w:val="single" w:color="auto"/>
                <w:lang w:val="en-US" w:eastAsia="zh-CN"/>
              </w:rPr>
              <w:t>m</w:t>
            </w:r>
            <w:r>
              <w:rPr>
                <w:rFonts w:hint="default" w:ascii="Times New Roman" w:hAnsi="Times New Roman" w:cs="Times New Roman"/>
                <w:color w:val="auto"/>
                <w:highlight w:val="none"/>
                <w:u w:val="single" w:color="auto"/>
                <w:vertAlign w:val="superscript"/>
                <w:lang w:val="en-US" w:eastAsia="zh-CN"/>
              </w:rPr>
              <w:t>3</w:t>
            </w:r>
            <w:r>
              <w:rPr>
                <w:rFonts w:hint="default" w:ascii="Times New Roman" w:hAnsi="Times New Roman" w:cs="Times New Roman"/>
                <w:color w:val="auto"/>
                <w:highlight w:val="none"/>
                <w:u w:val="single" w:color="auto"/>
                <w:lang w:val="en-US" w:eastAsia="zh-CN"/>
              </w:rPr>
              <w:t>，</w:t>
            </w:r>
            <w:r>
              <w:rPr>
                <w:rFonts w:hint="eastAsia" w:cs="Times New Roman"/>
                <w:color w:val="auto"/>
                <w:highlight w:val="none"/>
                <w:u w:val="single" w:color="auto"/>
                <w:lang w:val="en-US" w:eastAsia="zh-CN"/>
              </w:rPr>
              <w:t>容量满足要求，</w:t>
            </w:r>
            <w:r>
              <w:rPr>
                <w:rFonts w:hint="default" w:ascii="Times New Roman" w:hAnsi="Times New Roman" w:cs="Times New Roman"/>
                <w:color w:val="auto"/>
                <w:highlight w:val="none"/>
                <w:u w:val="none" w:color="auto"/>
                <w:lang w:val="en-US" w:eastAsia="zh-CN"/>
              </w:rPr>
              <w:t>防渗</w:t>
            </w:r>
            <w:r>
              <w:rPr>
                <w:rFonts w:hint="eastAsia" w:cs="Times New Roman"/>
                <w:color w:val="auto"/>
                <w:highlight w:val="none"/>
                <w:u w:val="none" w:color="auto"/>
                <w:lang w:val="en-US" w:eastAsia="zh-CN"/>
              </w:rPr>
              <w:t>要求</w:t>
            </w:r>
            <w:r>
              <w:rPr>
                <w:rFonts w:hint="default" w:ascii="Times New Roman" w:hAnsi="Times New Roman" w:cs="Times New Roman"/>
                <w:color w:val="auto"/>
                <w:highlight w:val="none"/>
                <w:u w:val="none" w:color="auto"/>
                <w:lang w:val="en-US" w:eastAsia="zh-CN"/>
              </w:rPr>
              <w:t>满足等效粘土防渗层Mb≥1.5m，K≤10</w:t>
            </w:r>
            <w:r>
              <w:rPr>
                <w:rFonts w:hint="default" w:ascii="Times New Roman" w:hAnsi="Times New Roman" w:cs="Times New Roman"/>
                <w:color w:val="auto"/>
                <w:highlight w:val="none"/>
                <w:u w:val="none" w:color="auto"/>
                <w:vertAlign w:val="superscript"/>
                <w:lang w:val="en-US" w:eastAsia="zh-CN"/>
              </w:rPr>
              <w:t>-7</w:t>
            </w:r>
            <w:r>
              <w:rPr>
                <w:rFonts w:hint="default" w:ascii="Times New Roman" w:hAnsi="Times New Roman" w:cs="Times New Roman"/>
                <w:color w:val="auto"/>
                <w:highlight w:val="none"/>
                <w:u w:val="none" w:color="auto"/>
                <w:lang w:val="en-US" w:eastAsia="zh-CN"/>
              </w:rPr>
              <w:t>cm/s。本项目生产过程中废水经沉淀处理后可用于</w:t>
            </w:r>
            <w:r>
              <w:rPr>
                <w:rFonts w:hint="eastAsia" w:cs="Times New Roman"/>
                <w:color w:val="auto"/>
                <w:highlight w:val="none"/>
                <w:u w:val="none" w:color="auto"/>
                <w:lang w:val="en-US" w:eastAsia="zh-CN"/>
              </w:rPr>
              <w:t>混凝土</w:t>
            </w:r>
            <w:r>
              <w:rPr>
                <w:rFonts w:hint="default" w:ascii="Times New Roman" w:hAnsi="Times New Roman" w:cs="Times New Roman"/>
                <w:color w:val="auto"/>
                <w:highlight w:val="none"/>
                <w:u w:val="none" w:color="auto"/>
                <w:lang w:val="en-US" w:eastAsia="zh-CN"/>
              </w:rPr>
              <w:t>搅拌过程，不向环境中排放</w:t>
            </w:r>
            <w:r>
              <w:rPr>
                <w:rFonts w:hint="eastAsia" w:cs="Times New Roman"/>
                <w:color w:val="auto"/>
                <w:highlight w:val="none"/>
                <w:u w:val="none" w:color="auto"/>
                <w:lang w:val="en-US" w:eastAsia="zh-CN"/>
              </w:rPr>
              <w:t>，故本项目废水治理措施可行。</w:t>
            </w:r>
          </w:p>
          <w:p w14:paraId="235FD479">
            <w:pPr>
              <w:keepNext w:val="0"/>
              <w:keepLines w:val="0"/>
              <w:widowControl/>
              <w:suppressLineNumbers w:val="0"/>
              <w:spacing w:line="360" w:lineRule="auto"/>
              <w:ind w:firstLine="480" w:firstLineChars="200"/>
              <w:jc w:val="left"/>
              <w:rPr>
                <w:rFonts w:hint="eastAsia" w:ascii="宋体" w:hAnsi="宋体" w:eastAsia="宋体" w:cs="宋体"/>
                <w:color w:val="auto"/>
                <w:kern w:val="2"/>
                <w:sz w:val="24"/>
                <w:szCs w:val="24"/>
                <w:highlight w:val="none"/>
                <w:u w:val="single" w:color="auto"/>
                <w:lang w:val="en-US" w:eastAsia="zh-CN" w:bidi="ar-SA"/>
              </w:rPr>
            </w:pPr>
            <w:r>
              <w:rPr>
                <w:rFonts w:hint="eastAsia" w:cs="Times New Roman"/>
                <w:color w:val="auto"/>
                <w:kern w:val="2"/>
                <w:sz w:val="24"/>
                <w:szCs w:val="24"/>
                <w:highlight w:val="none"/>
                <w:u w:val="single" w:color="auto"/>
                <w:lang w:val="en-US" w:eastAsia="zh-CN" w:bidi="ar-SA"/>
              </w:rPr>
              <w:t>（三）</w:t>
            </w:r>
            <w:r>
              <w:rPr>
                <w:rFonts w:hint="eastAsia" w:ascii="宋体" w:hAnsi="宋体" w:cs="宋体"/>
                <w:color w:val="auto"/>
                <w:kern w:val="2"/>
                <w:sz w:val="24"/>
                <w:szCs w:val="24"/>
                <w:highlight w:val="none"/>
                <w:u w:val="single" w:color="auto"/>
                <w:lang w:val="en-US" w:eastAsia="zh-CN" w:bidi="ar-SA"/>
              </w:rPr>
              <w:t>废水</w:t>
            </w:r>
            <w:r>
              <w:rPr>
                <w:rFonts w:hint="eastAsia" w:ascii="宋体" w:hAnsi="宋体" w:eastAsia="宋体" w:cs="宋体"/>
                <w:color w:val="auto"/>
                <w:kern w:val="2"/>
                <w:sz w:val="24"/>
                <w:szCs w:val="24"/>
                <w:highlight w:val="none"/>
                <w:u w:val="single" w:color="auto"/>
                <w:lang w:val="en-US" w:eastAsia="zh-CN" w:bidi="ar-SA"/>
              </w:rPr>
              <w:t>回用于生产的可行性分析</w:t>
            </w:r>
          </w:p>
          <w:p w14:paraId="2B143294">
            <w:pPr>
              <w:pStyle w:val="70"/>
              <w:keepNext w:val="0"/>
              <w:keepLines w:val="0"/>
              <w:pageBreakBefore w:val="0"/>
              <w:widowControl w:val="0"/>
              <w:kinsoku/>
              <w:wordWrap/>
              <w:overflowPunct/>
              <w:topLinePunct w:val="0"/>
              <w:autoSpaceDE/>
              <w:autoSpaceDN/>
              <w:bidi w:val="0"/>
              <w:adjustRightInd/>
              <w:snapToGrid w:val="0"/>
              <w:spacing w:beforeLines="0" w:afterLines="0"/>
              <w:jc w:val="both"/>
              <w:textAlignment w:val="auto"/>
              <w:rPr>
                <w:rFonts w:hint="default" w:ascii="Times New Roman" w:hAnsi="Times New Roman" w:cs="Times New Roman"/>
                <w:b w:val="0"/>
                <w:bCs w:val="0"/>
                <w:color w:val="auto"/>
                <w:u w:val="single" w:color="auto"/>
              </w:rPr>
            </w:pPr>
            <w:r>
              <w:rPr>
                <w:rFonts w:hint="default" w:ascii="Times New Roman" w:hAnsi="Times New Roman" w:eastAsia="宋体" w:cs="Times New Roman"/>
                <w:b w:val="0"/>
                <w:bCs w:val="0"/>
                <w:color w:val="auto"/>
                <w:kern w:val="0"/>
                <w:sz w:val="24"/>
                <w:szCs w:val="24"/>
                <w:u w:val="single" w:color="auto"/>
                <w:lang w:val="en-US" w:eastAsia="zh-CN" w:bidi="ar"/>
              </w:rPr>
              <w:t>本项目生产废水主要为罐车储罐内部清洗废水、搅拌设备内部清洗废水，清洗作业仅去除设备内壁附着的混凝土残料、砂石粉料，全过程无机油、润滑油等油类污染物混入，废水组分单一，主要污染物为悬浮砂石、水泥细颗粒，特征污染指标为悬浮物（SS），无其他有毒有害污染因子。</w:t>
            </w:r>
          </w:p>
          <w:p w14:paraId="0D1C6DEC">
            <w:pPr>
              <w:pStyle w:val="70"/>
              <w:keepNext w:val="0"/>
              <w:keepLines w:val="0"/>
              <w:pageBreakBefore w:val="0"/>
              <w:widowControl w:val="0"/>
              <w:kinsoku/>
              <w:wordWrap/>
              <w:overflowPunct/>
              <w:topLinePunct w:val="0"/>
              <w:autoSpaceDE/>
              <w:autoSpaceDN/>
              <w:bidi w:val="0"/>
              <w:adjustRightInd/>
              <w:snapToGrid w:val="0"/>
              <w:spacing w:beforeLines="0" w:afterLines="0"/>
              <w:jc w:val="both"/>
              <w:textAlignment w:val="auto"/>
              <w:rPr>
                <w:rFonts w:hint="default" w:ascii="Times New Roman" w:hAnsi="Times New Roman" w:cs="Times New Roman"/>
                <w:b w:val="0"/>
                <w:bCs w:val="0"/>
                <w:color w:val="auto"/>
                <w:u w:val="single" w:color="auto"/>
              </w:rPr>
            </w:pPr>
            <w:r>
              <w:rPr>
                <w:rStyle w:val="28"/>
                <w:rFonts w:hint="eastAsia" w:ascii="Times New Roman" w:hAnsi="Times New Roman" w:eastAsia="宋体" w:cs="Times New Roman"/>
                <w:b w:val="0"/>
                <w:bCs w:val="0"/>
                <w:color w:val="auto"/>
                <w:kern w:val="0"/>
                <w:sz w:val="24"/>
                <w:szCs w:val="24"/>
                <w:u w:val="single" w:color="auto"/>
                <w:lang w:val="en-US" w:eastAsia="zh-CN" w:bidi="ar"/>
              </w:rPr>
              <w:t>1</w:t>
            </w:r>
            <w:r>
              <w:rPr>
                <w:rStyle w:val="28"/>
                <w:rFonts w:hint="default" w:ascii="Times New Roman" w:hAnsi="Times New Roman" w:eastAsia="宋体" w:cs="Times New Roman"/>
                <w:b w:val="0"/>
                <w:bCs w:val="0"/>
                <w:color w:val="auto"/>
                <w:kern w:val="0"/>
                <w:sz w:val="24"/>
                <w:szCs w:val="24"/>
                <w:u w:val="single" w:color="auto"/>
                <w:lang w:val="en-US" w:eastAsia="zh-CN" w:bidi="ar"/>
              </w:rPr>
              <w:t>、水质数据来源说明</w:t>
            </w:r>
          </w:p>
          <w:p w14:paraId="4984084F">
            <w:pPr>
              <w:pStyle w:val="70"/>
              <w:keepNext w:val="0"/>
              <w:keepLines w:val="0"/>
              <w:pageBreakBefore w:val="0"/>
              <w:widowControl w:val="0"/>
              <w:kinsoku/>
              <w:wordWrap/>
              <w:overflowPunct/>
              <w:topLinePunct w:val="0"/>
              <w:autoSpaceDE/>
              <w:autoSpaceDN/>
              <w:bidi w:val="0"/>
              <w:adjustRightInd/>
              <w:snapToGrid w:val="0"/>
              <w:spacing w:beforeLines="0" w:afterLines="0"/>
              <w:jc w:val="both"/>
              <w:textAlignment w:val="auto"/>
              <w:rPr>
                <w:rFonts w:hint="default" w:ascii="Times New Roman" w:hAnsi="Times New Roman" w:cs="Times New Roman"/>
                <w:b w:val="0"/>
                <w:bCs w:val="0"/>
                <w:color w:val="auto"/>
                <w:u w:val="single" w:color="auto"/>
              </w:rPr>
            </w:pPr>
            <w:r>
              <w:rPr>
                <w:rFonts w:hint="default" w:ascii="Times New Roman" w:hAnsi="Times New Roman" w:eastAsia="宋体" w:cs="Times New Roman"/>
                <w:b w:val="0"/>
                <w:bCs w:val="0"/>
                <w:color w:val="auto"/>
                <w:kern w:val="0"/>
                <w:sz w:val="24"/>
                <w:szCs w:val="24"/>
                <w:u w:val="single" w:color="auto"/>
                <w:lang w:val="en-US" w:eastAsia="zh-CN" w:bidi="ar"/>
              </w:rPr>
              <w:t>本项目清洗废水SS浓度数据来源于</w:t>
            </w:r>
            <w:r>
              <w:rPr>
                <w:rStyle w:val="28"/>
                <w:rFonts w:hint="default" w:ascii="Times New Roman" w:hAnsi="Times New Roman" w:eastAsia="宋体" w:cs="Times New Roman"/>
                <w:b w:val="0"/>
                <w:bCs w:val="0"/>
                <w:color w:val="auto"/>
                <w:kern w:val="0"/>
                <w:sz w:val="24"/>
                <w:szCs w:val="24"/>
                <w:u w:val="single" w:color="auto"/>
                <w:lang w:val="en-US" w:eastAsia="zh-CN" w:bidi="ar"/>
              </w:rPr>
              <w:t>同类预拌混凝土生产企业现状监测类比数据</w:t>
            </w:r>
            <w:r>
              <w:rPr>
                <w:rFonts w:hint="default" w:ascii="Times New Roman" w:hAnsi="Times New Roman" w:eastAsia="宋体" w:cs="Times New Roman"/>
                <w:b w:val="0"/>
                <w:bCs w:val="0"/>
                <w:color w:val="auto"/>
                <w:kern w:val="0"/>
                <w:sz w:val="24"/>
                <w:szCs w:val="24"/>
                <w:u w:val="single" w:color="auto"/>
                <w:lang w:val="en-US" w:eastAsia="zh-CN" w:bidi="ar"/>
              </w:rPr>
              <w:t>：设备及罐车清洗原水SS浓度区间为1000～1500mg/L；废水经项目配套三级沉淀池静置沉淀处理，澄清静置时长约48h，可充分实现固液分离，沉淀后上清液SS类比稳定浓度约为400mg/L，数据符合混凝土行业清洗废水治理后常规水质水平，取值合理、具有行业代表性。</w:t>
            </w:r>
          </w:p>
          <w:p w14:paraId="3A54BA8C">
            <w:pPr>
              <w:pStyle w:val="70"/>
              <w:keepNext w:val="0"/>
              <w:keepLines w:val="0"/>
              <w:pageBreakBefore w:val="0"/>
              <w:widowControl w:val="0"/>
              <w:kinsoku/>
              <w:wordWrap/>
              <w:overflowPunct/>
              <w:topLinePunct w:val="0"/>
              <w:autoSpaceDE/>
              <w:autoSpaceDN/>
              <w:bidi w:val="0"/>
              <w:adjustRightInd/>
              <w:snapToGrid w:val="0"/>
              <w:spacing w:beforeLines="0" w:afterLines="0"/>
              <w:jc w:val="both"/>
              <w:textAlignment w:val="auto"/>
              <w:rPr>
                <w:rFonts w:hint="default" w:ascii="Times New Roman" w:hAnsi="Times New Roman" w:cs="Times New Roman"/>
                <w:b w:val="0"/>
                <w:bCs w:val="0"/>
                <w:color w:val="auto"/>
                <w:u w:val="single" w:color="auto"/>
              </w:rPr>
            </w:pPr>
            <w:r>
              <w:rPr>
                <w:rStyle w:val="28"/>
                <w:rFonts w:hint="eastAsia" w:ascii="Times New Roman" w:hAnsi="Times New Roman" w:eastAsia="宋体" w:cs="Times New Roman"/>
                <w:b w:val="0"/>
                <w:bCs w:val="0"/>
                <w:color w:val="auto"/>
                <w:kern w:val="0"/>
                <w:sz w:val="24"/>
                <w:szCs w:val="24"/>
                <w:u w:val="single" w:color="auto"/>
                <w:lang w:val="en-US" w:eastAsia="zh-CN" w:bidi="ar"/>
              </w:rPr>
              <w:t>2</w:t>
            </w:r>
            <w:r>
              <w:rPr>
                <w:rStyle w:val="28"/>
                <w:rFonts w:hint="default" w:ascii="Times New Roman" w:hAnsi="Times New Roman" w:eastAsia="宋体" w:cs="Times New Roman"/>
                <w:b w:val="0"/>
                <w:bCs w:val="0"/>
                <w:color w:val="auto"/>
                <w:kern w:val="0"/>
                <w:sz w:val="24"/>
                <w:szCs w:val="24"/>
                <w:u w:val="single" w:color="auto"/>
                <w:lang w:val="en-US" w:eastAsia="zh-CN" w:bidi="ar"/>
              </w:rPr>
              <w:t>、依据《混凝土用水标准》（JGJ 63-2006）水质符合性论证</w:t>
            </w:r>
          </w:p>
          <w:p w14:paraId="725ABCD4">
            <w:pPr>
              <w:pStyle w:val="70"/>
              <w:keepNext w:val="0"/>
              <w:keepLines w:val="0"/>
              <w:pageBreakBefore w:val="0"/>
              <w:widowControl w:val="0"/>
              <w:kinsoku/>
              <w:wordWrap/>
              <w:overflowPunct/>
              <w:topLinePunct w:val="0"/>
              <w:autoSpaceDE/>
              <w:autoSpaceDN/>
              <w:bidi w:val="0"/>
              <w:adjustRightInd/>
              <w:snapToGrid w:val="0"/>
              <w:spacing w:beforeLines="0" w:afterLines="0"/>
              <w:jc w:val="both"/>
              <w:textAlignment w:val="auto"/>
              <w:rPr>
                <w:rFonts w:hint="default" w:ascii="Times New Roman" w:hAnsi="Times New Roman" w:cs="Times New Roman"/>
                <w:b w:val="0"/>
                <w:bCs w:val="0"/>
                <w:color w:val="auto"/>
                <w:u w:val="single" w:color="auto"/>
              </w:rPr>
            </w:pPr>
            <w:r>
              <w:rPr>
                <w:rFonts w:hint="default" w:ascii="Times New Roman" w:hAnsi="Times New Roman" w:eastAsia="宋体" w:cs="Times New Roman"/>
                <w:b w:val="0"/>
                <w:bCs w:val="0"/>
                <w:color w:val="auto"/>
                <w:kern w:val="0"/>
                <w:sz w:val="24"/>
                <w:szCs w:val="24"/>
                <w:u w:val="single" w:color="auto"/>
                <w:lang w:val="en-US" w:eastAsia="zh-CN" w:bidi="ar"/>
              </w:rPr>
              <w:t>本项目沉淀处理后的上清液全部回用于混凝土搅拌生产工序，作为拌合用水回用，本次对照JGJ 63-2006中钢筋混凝土拌合用水全部控制指标，开展水质符合性及产品质量影响论证，具体如下：</w:t>
            </w:r>
          </w:p>
          <w:p w14:paraId="163FE1B3">
            <w:pPr>
              <w:pStyle w:val="70"/>
              <w:keepNext w:val="0"/>
              <w:keepLines w:val="0"/>
              <w:pageBreakBefore w:val="0"/>
              <w:widowControl w:val="0"/>
              <w:kinsoku/>
              <w:wordWrap/>
              <w:overflowPunct/>
              <w:topLinePunct w:val="0"/>
              <w:autoSpaceDE/>
              <w:autoSpaceDN/>
              <w:bidi w:val="0"/>
              <w:adjustRightInd/>
              <w:snapToGrid w:val="0"/>
              <w:spacing w:beforeLines="0" w:afterLines="0"/>
              <w:jc w:val="both"/>
              <w:textAlignment w:val="auto"/>
              <w:rPr>
                <w:rFonts w:hint="default" w:ascii="Times New Roman" w:hAnsi="Times New Roman" w:cs="Times New Roman"/>
                <w:b w:val="0"/>
                <w:bCs w:val="0"/>
                <w:color w:val="auto"/>
                <w:u w:val="single" w:color="auto"/>
              </w:rPr>
            </w:pPr>
            <w:r>
              <w:rPr>
                <w:rFonts w:hint="eastAsia" w:ascii="Times New Roman" w:hAnsi="Times New Roman" w:eastAsia="宋体" w:cs="Times New Roman"/>
                <w:b w:val="0"/>
                <w:bCs w:val="0"/>
                <w:color w:val="auto"/>
                <w:kern w:val="0"/>
                <w:sz w:val="24"/>
                <w:szCs w:val="24"/>
                <w:u w:val="single" w:color="auto"/>
                <w:lang w:val="en-US" w:eastAsia="zh-CN" w:bidi="ar"/>
              </w:rPr>
              <w:t>（1）</w:t>
            </w:r>
            <w:r>
              <w:rPr>
                <w:rStyle w:val="28"/>
                <w:rFonts w:hint="default" w:ascii="Times New Roman" w:hAnsi="Times New Roman" w:eastAsia="宋体" w:cs="Times New Roman"/>
                <w:b w:val="0"/>
                <w:bCs w:val="0"/>
                <w:color w:val="auto"/>
                <w:kern w:val="0"/>
                <w:sz w:val="24"/>
                <w:szCs w:val="24"/>
                <w:u w:val="single" w:color="auto"/>
                <w:lang w:val="en-US" w:eastAsia="zh-CN" w:bidi="ar"/>
              </w:rPr>
              <w:t>不溶物（SS核心控制指标）</w:t>
            </w:r>
            <w:r>
              <w:rPr>
                <w:rFonts w:hint="default" w:ascii="Times New Roman" w:hAnsi="Times New Roman" w:eastAsia="宋体" w:cs="Times New Roman"/>
                <w:b w:val="0"/>
                <w:bCs w:val="0"/>
                <w:color w:val="auto"/>
                <w:kern w:val="0"/>
                <w:sz w:val="24"/>
                <w:szCs w:val="24"/>
                <w:u w:val="single" w:color="auto"/>
                <w:lang w:val="en-US" w:eastAsia="zh-CN" w:bidi="ar"/>
              </w:rPr>
              <w:t>：标准限值要求钢筋混凝土拌合用水不溶物≤2000mg/L。本项目回用废水沉淀后SS浓度约400mg/L，远低于规范限值，水中悬浮颗粒为水泥、砂石原生原料细颗粒，与混凝土生产原料组分完全一致，无外来杂质，不会对混凝土配比、和易性、密实度产生不利影响。</w:t>
            </w:r>
          </w:p>
          <w:p w14:paraId="3D4F8063">
            <w:pPr>
              <w:pStyle w:val="70"/>
              <w:keepNext w:val="0"/>
              <w:keepLines w:val="0"/>
              <w:pageBreakBefore w:val="0"/>
              <w:widowControl w:val="0"/>
              <w:kinsoku/>
              <w:wordWrap/>
              <w:overflowPunct/>
              <w:topLinePunct w:val="0"/>
              <w:autoSpaceDE/>
              <w:autoSpaceDN/>
              <w:bidi w:val="0"/>
              <w:adjustRightInd/>
              <w:snapToGrid w:val="0"/>
              <w:spacing w:beforeLines="0" w:afterLines="0"/>
              <w:jc w:val="both"/>
              <w:textAlignment w:val="auto"/>
              <w:rPr>
                <w:rFonts w:hint="default" w:ascii="Times New Roman" w:hAnsi="Times New Roman" w:cs="Times New Roman"/>
                <w:b w:val="0"/>
                <w:bCs w:val="0"/>
                <w:color w:val="auto"/>
                <w:u w:val="single" w:color="auto"/>
              </w:rPr>
            </w:pPr>
            <w:r>
              <w:rPr>
                <w:rFonts w:hint="eastAsia" w:ascii="Times New Roman" w:hAnsi="Times New Roman" w:eastAsia="宋体" w:cs="Times New Roman"/>
                <w:b w:val="0"/>
                <w:bCs w:val="0"/>
                <w:color w:val="auto"/>
                <w:kern w:val="0"/>
                <w:sz w:val="24"/>
                <w:szCs w:val="24"/>
                <w:u w:val="single" w:color="auto"/>
                <w:lang w:val="en-US" w:eastAsia="zh-CN" w:bidi="ar"/>
              </w:rPr>
              <w:t>（2）</w:t>
            </w:r>
            <w:r>
              <w:rPr>
                <w:rStyle w:val="28"/>
                <w:rFonts w:hint="default" w:ascii="Times New Roman" w:hAnsi="Times New Roman" w:eastAsia="宋体" w:cs="Times New Roman"/>
                <w:b w:val="0"/>
                <w:bCs w:val="0"/>
                <w:color w:val="auto"/>
                <w:kern w:val="0"/>
                <w:sz w:val="24"/>
                <w:szCs w:val="24"/>
                <w:u w:val="single" w:color="auto"/>
                <w:lang w:val="en-US" w:eastAsia="zh-CN" w:bidi="ar"/>
              </w:rPr>
              <w:t>pH值</w:t>
            </w:r>
            <w:r>
              <w:rPr>
                <w:rFonts w:hint="default" w:ascii="Times New Roman" w:hAnsi="Times New Roman" w:eastAsia="宋体" w:cs="Times New Roman"/>
                <w:b w:val="0"/>
                <w:bCs w:val="0"/>
                <w:color w:val="auto"/>
                <w:kern w:val="0"/>
                <w:sz w:val="24"/>
                <w:szCs w:val="24"/>
                <w:u w:val="single" w:color="auto"/>
                <w:lang w:val="en-US" w:eastAsia="zh-CN" w:bidi="ar"/>
              </w:rPr>
              <w:t>：标准要求钢筋混凝土拌合用水pH≥4.5。本项目废水源自混凝土清洗废水，水质呈弱碱性，符合拌合用水pH控制要求，不会影响水泥正常水化、凝结硬化过程。</w:t>
            </w:r>
          </w:p>
          <w:p w14:paraId="007980AA">
            <w:pPr>
              <w:pStyle w:val="70"/>
              <w:keepNext w:val="0"/>
              <w:keepLines w:val="0"/>
              <w:pageBreakBefore w:val="0"/>
              <w:widowControl w:val="0"/>
              <w:kinsoku/>
              <w:wordWrap/>
              <w:overflowPunct/>
              <w:topLinePunct w:val="0"/>
              <w:autoSpaceDE/>
              <w:autoSpaceDN/>
              <w:bidi w:val="0"/>
              <w:adjustRightInd/>
              <w:snapToGrid w:val="0"/>
              <w:spacing w:beforeLines="0" w:afterLines="0"/>
              <w:jc w:val="both"/>
              <w:textAlignment w:val="auto"/>
              <w:rPr>
                <w:rFonts w:hint="default" w:ascii="Times New Roman" w:hAnsi="Times New Roman" w:cs="Times New Roman"/>
                <w:b w:val="0"/>
                <w:bCs w:val="0"/>
                <w:color w:val="auto"/>
                <w:u w:val="single" w:color="auto"/>
              </w:rPr>
            </w:pPr>
            <w:r>
              <w:rPr>
                <w:rFonts w:hint="eastAsia" w:ascii="Times New Roman" w:hAnsi="Times New Roman" w:eastAsia="宋体" w:cs="Times New Roman"/>
                <w:b w:val="0"/>
                <w:bCs w:val="0"/>
                <w:color w:val="auto"/>
                <w:kern w:val="0"/>
                <w:sz w:val="24"/>
                <w:szCs w:val="24"/>
                <w:u w:val="single" w:color="auto"/>
                <w:lang w:val="en-US" w:eastAsia="zh-CN" w:bidi="ar"/>
              </w:rPr>
              <w:t>（3）</w:t>
            </w:r>
            <w:r>
              <w:rPr>
                <w:rStyle w:val="28"/>
                <w:rFonts w:hint="default" w:ascii="Times New Roman" w:hAnsi="Times New Roman" w:eastAsia="宋体" w:cs="Times New Roman"/>
                <w:b w:val="0"/>
                <w:bCs w:val="0"/>
                <w:color w:val="auto"/>
                <w:kern w:val="0"/>
                <w:sz w:val="24"/>
                <w:szCs w:val="24"/>
                <w:u w:val="single" w:color="auto"/>
                <w:lang w:val="en-US" w:eastAsia="zh-CN" w:bidi="ar"/>
              </w:rPr>
              <w:t>氯离子含量</w:t>
            </w:r>
            <w:r>
              <w:rPr>
                <w:rFonts w:hint="default" w:ascii="Times New Roman" w:hAnsi="Times New Roman" w:eastAsia="宋体" w:cs="Times New Roman"/>
                <w:b w:val="0"/>
                <w:bCs w:val="0"/>
                <w:color w:val="auto"/>
                <w:kern w:val="0"/>
                <w:sz w:val="24"/>
                <w:szCs w:val="24"/>
                <w:u w:val="single" w:color="auto"/>
                <w:lang w:val="en-US" w:eastAsia="zh-CN" w:bidi="ar"/>
              </w:rPr>
              <w:t>：标准限值要求钢筋混凝土拌合用水氯离子≤1000mg/L（设计年限100年结构≤500mg/L）。项目废水无外源氯离子输入，仅为混凝土原料溶出本底含量，远低于规范限值，不会造成钢筋锈蚀，可保障混凝土结构耐久性。</w:t>
            </w:r>
          </w:p>
          <w:p w14:paraId="4495A0CA">
            <w:pPr>
              <w:pStyle w:val="70"/>
              <w:keepNext w:val="0"/>
              <w:keepLines w:val="0"/>
              <w:pageBreakBefore w:val="0"/>
              <w:widowControl w:val="0"/>
              <w:kinsoku/>
              <w:wordWrap/>
              <w:overflowPunct/>
              <w:topLinePunct w:val="0"/>
              <w:autoSpaceDE/>
              <w:autoSpaceDN/>
              <w:bidi w:val="0"/>
              <w:adjustRightInd/>
              <w:snapToGrid w:val="0"/>
              <w:spacing w:beforeLines="0" w:afterLines="0"/>
              <w:jc w:val="both"/>
              <w:textAlignment w:val="auto"/>
              <w:rPr>
                <w:rFonts w:hint="default" w:ascii="Times New Roman" w:hAnsi="Times New Roman" w:cs="Times New Roman"/>
                <w:b w:val="0"/>
                <w:bCs w:val="0"/>
                <w:color w:val="auto"/>
                <w:u w:val="single" w:color="auto"/>
              </w:rPr>
            </w:pPr>
            <w:r>
              <w:rPr>
                <w:rFonts w:hint="eastAsia" w:ascii="Times New Roman" w:hAnsi="Times New Roman" w:eastAsia="宋体" w:cs="Times New Roman"/>
                <w:b w:val="0"/>
                <w:bCs w:val="0"/>
                <w:color w:val="auto"/>
                <w:kern w:val="0"/>
                <w:sz w:val="24"/>
                <w:szCs w:val="24"/>
                <w:u w:val="single" w:color="auto"/>
                <w:lang w:val="en-US" w:eastAsia="zh-CN" w:bidi="ar"/>
              </w:rPr>
              <w:t>（4）</w:t>
            </w:r>
            <w:r>
              <w:rPr>
                <w:rStyle w:val="28"/>
                <w:rFonts w:hint="default" w:ascii="Times New Roman" w:hAnsi="Times New Roman" w:eastAsia="宋体" w:cs="Times New Roman"/>
                <w:b w:val="0"/>
                <w:bCs w:val="0"/>
                <w:color w:val="auto"/>
                <w:kern w:val="0"/>
                <w:sz w:val="24"/>
                <w:szCs w:val="24"/>
                <w:u w:val="single" w:color="auto"/>
                <w:lang w:val="en-US" w:eastAsia="zh-CN" w:bidi="ar"/>
              </w:rPr>
              <w:t>硫酸盐含量</w:t>
            </w:r>
            <w:r>
              <w:rPr>
                <w:rFonts w:hint="default" w:ascii="Times New Roman" w:hAnsi="Times New Roman" w:eastAsia="宋体" w:cs="Times New Roman"/>
                <w:b w:val="0"/>
                <w:bCs w:val="0"/>
                <w:color w:val="auto"/>
                <w:kern w:val="0"/>
                <w:sz w:val="24"/>
                <w:szCs w:val="24"/>
                <w:u w:val="single" w:color="auto"/>
                <w:lang w:val="en-US" w:eastAsia="zh-CN" w:bidi="ar"/>
              </w:rPr>
              <w:t>：标准限值要求钢筋混凝土拌合用水硫酸盐≤2000mg/L。项目废水无外源硫酸盐污染，本底含量满足规范要求，可避免混凝土发生硫酸盐侵蚀、膨胀开裂问题。</w:t>
            </w:r>
          </w:p>
          <w:p w14:paraId="342586AC">
            <w:pPr>
              <w:pStyle w:val="70"/>
              <w:keepNext w:val="0"/>
              <w:keepLines w:val="0"/>
              <w:pageBreakBefore w:val="0"/>
              <w:widowControl w:val="0"/>
              <w:kinsoku/>
              <w:wordWrap/>
              <w:overflowPunct/>
              <w:topLinePunct w:val="0"/>
              <w:autoSpaceDE/>
              <w:autoSpaceDN/>
              <w:bidi w:val="0"/>
              <w:adjustRightInd/>
              <w:snapToGrid w:val="0"/>
              <w:spacing w:beforeLines="0" w:afterLines="0"/>
              <w:jc w:val="both"/>
              <w:textAlignment w:val="auto"/>
              <w:rPr>
                <w:rFonts w:hint="default" w:ascii="Times New Roman" w:hAnsi="Times New Roman" w:cs="Times New Roman"/>
                <w:b w:val="0"/>
                <w:bCs w:val="0"/>
                <w:color w:val="auto"/>
                <w:u w:val="single" w:color="auto"/>
              </w:rPr>
            </w:pPr>
            <w:r>
              <w:rPr>
                <w:rFonts w:hint="eastAsia" w:ascii="Times New Roman" w:hAnsi="Times New Roman" w:eastAsia="宋体" w:cs="Times New Roman"/>
                <w:b w:val="0"/>
                <w:bCs w:val="0"/>
                <w:color w:val="auto"/>
                <w:kern w:val="0"/>
                <w:sz w:val="24"/>
                <w:szCs w:val="24"/>
                <w:u w:val="single" w:color="auto"/>
                <w:lang w:val="en-US" w:eastAsia="zh-CN" w:bidi="ar"/>
              </w:rPr>
              <w:t>（5）</w:t>
            </w:r>
            <w:r>
              <w:rPr>
                <w:rStyle w:val="28"/>
                <w:rFonts w:hint="default" w:ascii="Times New Roman" w:hAnsi="Times New Roman" w:eastAsia="宋体" w:cs="Times New Roman"/>
                <w:b w:val="0"/>
                <w:bCs w:val="0"/>
                <w:color w:val="auto"/>
                <w:kern w:val="0"/>
                <w:sz w:val="24"/>
                <w:szCs w:val="24"/>
                <w:u w:val="single" w:color="auto"/>
                <w:lang w:val="en-US" w:eastAsia="zh-CN" w:bidi="ar"/>
              </w:rPr>
              <w:t>可溶物、碱含量</w:t>
            </w:r>
            <w:r>
              <w:rPr>
                <w:rFonts w:hint="default" w:ascii="Times New Roman" w:hAnsi="Times New Roman" w:eastAsia="宋体" w:cs="Times New Roman"/>
                <w:b w:val="0"/>
                <w:bCs w:val="0"/>
                <w:color w:val="auto"/>
                <w:kern w:val="0"/>
                <w:sz w:val="24"/>
                <w:szCs w:val="24"/>
                <w:u w:val="single" w:color="auto"/>
                <w:lang w:val="en-US" w:eastAsia="zh-CN" w:bidi="ar"/>
              </w:rPr>
              <w:t>：项目废水可溶物、碱含量均为水泥、砂石天然本底组分，无外加污染，满足JGJ 63-2006限值要求；且项目采用非碱活性骨料，根据规范要求，可豁免碱含量专项管控风险。</w:t>
            </w:r>
          </w:p>
          <w:p w14:paraId="6D404D75">
            <w:pPr>
              <w:pStyle w:val="70"/>
              <w:keepNext w:val="0"/>
              <w:keepLines w:val="0"/>
              <w:pageBreakBefore w:val="0"/>
              <w:widowControl w:val="0"/>
              <w:kinsoku/>
              <w:wordWrap/>
              <w:overflowPunct/>
              <w:topLinePunct w:val="0"/>
              <w:autoSpaceDE/>
              <w:autoSpaceDN/>
              <w:bidi w:val="0"/>
              <w:adjustRightInd/>
              <w:snapToGrid w:val="0"/>
              <w:spacing w:beforeLines="0" w:afterLines="0"/>
              <w:jc w:val="both"/>
              <w:textAlignment w:val="auto"/>
              <w:rPr>
                <w:rFonts w:hint="default" w:ascii="Times New Roman" w:hAnsi="Times New Roman" w:cs="Times New Roman"/>
                <w:b w:val="0"/>
                <w:bCs w:val="0"/>
                <w:color w:val="auto"/>
                <w:u w:val="single" w:color="auto"/>
              </w:rPr>
            </w:pPr>
            <w:r>
              <w:rPr>
                <w:rFonts w:hint="default" w:ascii="Times New Roman" w:hAnsi="Times New Roman" w:eastAsia="宋体" w:cs="Times New Roman"/>
                <w:b w:val="0"/>
                <w:bCs w:val="0"/>
                <w:color w:val="auto"/>
                <w:kern w:val="0"/>
                <w:sz w:val="24"/>
                <w:szCs w:val="24"/>
                <w:u w:val="single" w:color="auto"/>
                <w:lang w:val="en-US" w:eastAsia="zh-CN" w:bidi="ar"/>
              </w:rPr>
              <w:t>同时，根据规范要求，设备洗刷回用废水经沉淀处理后，可用于常规钢筋、素混凝土拌合生产，仅限制</w:t>
            </w:r>
            <w:r>
              <w:rPr>
                <w:rStyle w:val="28"/>
                <w:rFonts w:hint="default" w:ascii="Times New Roman" w:hAnsi="Times New Roman" w:eastAsia="宋体" w:cs="Times New Roman"/>
                <w:b w:val="0"/>
                <w:bCs w:val="0"/>
                <w:color w:val="auto"/>
                <w:kern w:val="0"/>
                <w:sz w:val="24"/>
                <w:szCs w:val="24"/>
                <w:u w:val="single" w:color="auto"/>
                <w:lang w:val="en-US" w:eastAsia="zh-CN" w:bidi="ar"/>
              </w:rPr>
              <w:t>不得用于预应力混凝土、装饰混凝土及碱活性骨料混凝土</w:t>
            </w:r>
            <w:r>
              <w:rPr>
                <w:rFonts w:hint="default" w:ascii="Times New Roman" w:hAnsi="Times New Roman" w:eastAsia="宋体" w:cs="Times New Roman"/>
                <w:b w:val="0"/>
                <w:bCs w:val="0"/>
                <w:color w:val="auto"/>
                <w:kern w:val="0"/>
                <w:sz w:val="24"/>
                <w:szCs w:val="24"/>
                <w:u w:val="single" w:color="auto"/>
                <w:lang w:val="en-US" w:eastAsia="zh-CN" w:bidi="ar"/>
              </w:rPr>
              <w:t>，本项目生产产品均为普通商用混凝土，不涉及受限品类，回用工况符合规范适用条件。</w:t>
            </w:r>
          </w:p>
          <w:p w14:paraId="66383878">
            <w:pPr>
              <w:pStyle w:val="70"/>
              <w:keepNext w:val="0"/>
              <w:keepLines w:val="0"/>
              <w:pageBreakBefore w:val="0"/>
              <w:widowControl w:val="0"/>
              <w:kinsoku/>
              <w:wordWrap/>
              <w:overflowPunct/>
              <w:topLinePunct w:val="0"/>
              <w:autoSpaceDE/>
              <w:autoSpaceDN/>
              <w:bidi w:val="0"/>
              <w:adjustRightInd/>
              <w:snapToGrid w:val="0"/>
              <w:spacing w:beforeLines="0" w:afterLines="0"/>
              <w:jc w:val="both"/>
              <w:textAlignment w:val="auto"/>
              <w:rPr>
                <w:rFonts w:hint="default" w:ascii="Times New Roman" w:hAnsi="Times New Roman" w:cs="Times New Roman"/>
                <w:b w:val="0"/>
                <w:bCs w:val="0"/>
                <w:color w:val="auto"/>
                <w:u w:val="single" w:color="auto"/>
              </w:rPr>
            </w:pPr>
            <w:r>
              <w:rPr>
                <w:rStyle w:val="28"/>
                <w:rFonts w:hint="eastAsia" w:ascii="Times New Roman" w:hAnsi="Times New Roman" w:eastAsia="宋体" w:cs="Times New Roman"/>
                <w:b w:val="0"/>
                <w:bCs w:val="0"/>
                <w:color w:val="auto"/>
                <w:kern w:val="0"/>
                <w:sz w:val="24"/>
                <w:szCs w:val="24"/>
                <w:u w:val="single" w:color="auto"/>
                <w:lang w:val="en-US" w:eastAsia="zh-CN" w:bidi="ar"/>
              </w:rPr>
              <w:t>3</w:t>
            </w:r>
            <w:r>
              <w:rPr>
                <w:rStyle w:val="28"/>
                <w:rFonts w:hint="default" w:ascii="Times New Roman" w:hAnsi="Times New Roman" w:eastAsia="宋体" w:cs="Times New Roman"/>
                <w:b w:val="0"/>
                <w:bCs w:val="0"/>
                <w:color w:val="auto"/>
                <w:kern w:val="0"/>
                <w:sz w:val="24"/>
                <w:szCs w:val="24"/>
                <w:u w:val="single" w:color="auto"/>
                <w:lang w:val="en-US" w:eastAsia="zh-CN" w:bidi="ar"/>
              </w:rPr>
              <w:t>、水质对混凝土产品质量的影响分析</w:t>
            </w:r>
          </w:p>
          <w:p w14:paraId="58F09DC5">
            <w:pPr>
              <w:pStyle w:val="70"/>
              <w:keepNext w:val="0"/>
              <w:keepLines w:val="0"/>
              <w:pageBreakBefore w:val="0"/>
              <w:widowControl w:val="0"/>
              <w:kinsoku/>
              <w:wordWrap/>
              <w:overflowPunct/>
              <w:topLinePunct w:val="0"/>
              <w:autoSpaceDE/>
              <w:autoSpaceDN/>
              <w:bidi w:val="0"/>
              <w:adjustRightInd/>
              <w:snapToGrid w:val="0"/>
              <w:spacing w:beforeLines="0" w:afterLines="0"/>
              <w:jc w:val="both"/>
              <w:textAlignment w:val="auto"/>
              <w:rPr>
                <w:rFonts w:hint="default" w:ascii="Times New Roman" w:hAnsi="Times New Roman" w:cs="Times New Roman"/>
                <w:b w:val="0"/>
                <w:bCs w:val="0"/>
                <w:color w:val="auto"/>
                <w:u w:val="single" w:color="auto"/>
              </w:rPr>
            </w:pPr>
            <w:r>
              <w:rPr>
                <w:rFonts w:hint="default" w:ascii="Times New Roman" w:hAnsi="Times New Roman" w:eastAsia="宋体" w:cs="Times New Roman"/>
                <w:b w:val="0"/>
                <w:bCs w:val="0"/>
                <w:color w:val="auto"/>
                <w:kern w:val="0"/>
                <w:sz w:val="24"/>
                <w:szCs w:val="24"/>
                <w:u w:val="single" w:color="auto"/>
                <w:lang w:val="en-US" w:eastAsia="zh-CN" w:bidi="ar"/>
              </w:rPr>
              <w:t>回用废水经三级沉淀后，高浓度悬浮颗粒物已基本去除，剩余微量细颗粒为混凝土原生原料，掺入拌合体系后可等效替代部分粉料，不会改变混凝土配合比设计，不会影响水泥凝结时间、胶砂强度、密实度及耐久性指标。结合规范要求，项目回用水水质可满足常规混凝土拌合生产要求，</w:t>
            </w:r>
            <w:r>
              <w:rPr>
                <w:rStyle w:val="28"/>
                <w:rFonts w:hint="default" w:ascii="Times New Roman" w:hAnsi="Times New Roman" w:eastAsia="宋体" w:cs="Times New Roman"/>
                <w:b w:val="0"/>
                <w:bCs w:val="0"/>
                <w:color w:val="auto"/>
                <w:kern w:val="0"/>
                <w:sz w:val="24"/>
                <w:szCs w:val="24"/>
                <w:u w:val="single" w:color="auto"/>
                <w:lang w:val="en-US" w:eastAsia="zh-CN" w:bidi="ar"/>
              </w:rPr>
              <w:t>无质量超标风险、无产品质量隐患</w:t>
            </w:r>
            <w:r>
              <w:rPr>
                <w:rFonts w:hint="default" w:ascii="Times New Roman" w:hAnsi="Times New Roman" w:eastAsia="宋体" w:cs="Times New Roman"/>
                <w:b w:val="0"/>
                <w:bCs w:val="0"/>
                <w:color w:val="auto"/>
                <w:kern w:val="0"/>
                <w:sz w:val="24"/>
                <w:szCs w:val="24"/>
                <w:u w:val="single" w:color="auto"/>
                <w:lang w:val="en-US" w:eastAsia="zh-CN" w:bidi="ar"/>
              </w:rPr>
              <w:t>。</w:t>
            </w:r>
          </w:p>
          <w:p w14:paraId="4E352F9E">
            <w:pPr>
              <w:pStyle w:val="70"/>
              <w:keepNext w:val="0"/>
              <w:keepLines w:val="0"/>
              <w:pageBreakBefore w:val="0"/>
              <w:widowControl w:val="0"/>
              <w:kinsoku/>
              <w:wordWrap/>
              <w:overflowPunct/>
              <w:topLinePunct w:val="0"/>
              <w:autoSpaceDE/>
              <w:autoSpaceDN/>
              <w:bidi w:val="0"/>
              <w:adjustRightInd/>
              <w:snapToGrid w:val="0"/>
              <w:spacing w:beforeLines="0" w:afterLines="0"/>
              <w:jc w:val="both"/>
              <w:textAlignment w:val="auto"/>
              <w:rPr>
                <w:rFonts w:hint="default" w:ascii="Times New Roman" w:hAnsi="Times New Roman" w:cs="Times New Roman"/>
                <w:b w:val="0"/>
                <w:bCs w:val="0"/>
                <w:color w:val="auto"/>
                <w:u w:val="single" w:color="auto"/>
              </w:rPr>
            </w:pPr>
            <w:r>
              <w:rPr>
                <w:rStyle w:val="28"/>
                <w:rFonts w:hint="eastAsia" w:ascii="Times New Roman" w:hAnsi="Times New Roman" w:eastAsia="宋体" w:cs="Times New Roman"/>
                <w:b w:val="0"/>
                <w:bCs w:val="0"/>
                <w:color w:val="auto"/>
                <w:kern w:val="0"/>
                <w:sz w:val="24"/>
                <w:szCs w:val="24"/>
                <w:u w:val="single" w:color="auto"/>
                <w:lang w:val="en-US" w:eastAsia="zh-CN" w:bidi="ar"/>
              </w:rPr>
              <w:t>4</w:t>
            </w:r>
            <w:r>
              <w:rPr>
                <w:rStyle w:val="28"/>
                <w:rFonts w:hint="default" w:ascii="Times New Roman" w:hAnsi="Times New Roman" w:eastAsia="宋体" w:cs="Times New Roman"/>
                <w:b w:val="0"/>
                <w:bCs w:val="0"/>
                <w:color w:val="auto"/>
                <w:kern w:val="0"/>
                <w:sz w:val="24"/>
                <w:szCs w:val="24"/>
                <w:u w:val="single" w:color="auto"/>
                <w:lang w:val="en-US" w:eastAsia="zh-CN" w:bidi="ar"/>
              </w:rPr>
              <w:t>、配套保障及补充管控措施</w:t>
            </w:r>
          </w:p>
          <w:p w14:paraId="4D3F32C5">
            <w:pPr>
              <w:pStyle w:val="70"/>
              <w:keepNext w:val="0"/>
              <w:keepLines w:val="0"/>
              <w:pageBreakBefore w:val="0"/>
              <w:widowControl w:val="0"/>
              <w:kinsoku/>
              <w:wordWrap/>
              <w:overflowPunct/>
              <w:topLinePunct w:val="0"/>
              <w:autoSpaceDE/>
              <w:autoSpaceDN/>
              <w:bidi w:val="0"/>
              <w:adjustRightInd/>
              <w:snapToGrid w:val="0"/>
              <w:spacing w:beforeLines="0" w:afterLines="0"/>
              <w:jc w:val="both"/>
              <w:textAlignment w:val="auto"/>
              <w:rPr>
                <w:rFonts w:hint="default" w:ascii="Times New Roman" w:hAnsi="Times New Roman" w:cs="Times New Roman"/>
                <w:b w:val="0"/>
                <w:bCs w:val="0"/>
                <w:color w:val="auto"/>
                <w:u w:val="single" w:color="auto"/>
              </w:rPr>
            </w:pPr>
            <w:r>
              <w:rPr>
                <w:rFonts w:hint="default" w:ascii="Times New Roman" w:hAnsi="Times New Roman" w:eastAsia="宋体" w:cs="Times New Roman"/>
                <w:b w:val="0"/>
                <w:bCs w:val="0"/>
                <w:color w:val="auto"/>
                <w:kern w:val="0"/>
                <w:sz w:val="24"/>
                <w:szCs w:val="24"/>
                <w:u w:val="single" w:color="auto"/>
                <w:lang w:val="en-US" w:eastAsia="zh-CN" w:bidi="ar"/>
              </w:rPr>
              <w:t>为进一步保障回用水质稳定、杜绝波动风险，项目配套落实常态化管控措施：①沉淀池定期清淤，每季度清理底部沉积泥沙，保障沉淀处理效率；②按照JGJ 63-2006检验规则，每3个月对回用水水质开展一次全指标检测，重点监测不溶物、氯离子、pH、硫酸盐等核心指标，留存检测台账；③回用废水与新鲜自来水搭配拌合使用，不单独高比例回用，进一步稳定混凝土生产质量；④严格执行规范要求，回用水不用于预应力、装饰类混凝土生产。</w:t>
            </w:r>
          </w:p>
          <w:p w14:paraId="233B6F26">
            <w:pPr>
              <w:pStyle w:val="70"/>
              <w:keepNext w:val="0"/>
              <w:keepLines w:val="0"/>
              <w:pageBreakBefore w:val="0"/>
              <w:widowControl w:val="0"/>
              <w:kinsoku/>
              <w:wordWrap/>
              <w:overflowPunct/>
              <w:topLinePunct w:val="0"/>
              <w:autoSpaceDE/>
              <w:autoSpaceDN/>
              <w:bidi w:val="0"/>
              <w:adjustRightInd/>
              <w:snapToGrid w:val="0"/>
              <w:spacing w:beforeLines="0" w:afterLines="0"/>
              <w:jc w:val="both"/>
              <w:textAlignment w:val="auto"/>
              <w:rPr>
                <w:rFonts w:hint="default" w:ascii="Times New Roman" w:hAnsi="Times New Roman" w:cs="Times New Roman"/>
                <w:b w:val="0"/>
                <w:bCs w:val="0"/>
                <w:color w:val="auto"/>
                <w:u w:val="single" w:color="auto"/>
              </w:rPr>
            </w:pPr>
            <w:r>
              <w:rPr>
                <w:rStyle w:val="28"/>
                <w:rFonts w:hint="eastAsia" w:ascii="Times New Roman" w:hAnsi="Times New Roman" w:eastAsia="宋体" w:cs="Times New Roman"/>
                <w:b w:val="0"/>
                <w:bCs w:val="0"/>
                <w:color w:val="auto"/>
                <w:kern w:val="0"/>
                <w:sz w:val="24"/>
                <w:szCs w:val="24"/>
                <w:u w:val="single" w:color="auto"/>
                <w:lang w:val="en-US" w:eastAsia="zh-CN" w:bidi="ar"/>
              </w:rPr>
              <w:t>5</w:t>
            </w:r>
            <w:r>
              <w:rPr>
                <w:rStyle w:val="28"/>
                <w:rFonts w:hint="default" w:ascii="Times New Roman" w:hAnsi="Times New Roman" w:eastAsia="宋体" w:cs="Times New Roman"/>
                <w:b w:val="0"/>
                <w:bCs w:val="0"/>
                <w:color w:val="auto"/>
                <w:kern w:val="0"/>
                <w:sz w:val="24"/>
                <w:szCs w:val="24"/>
                <w:u w:val="single" w:color="auto"/>
                <w:lang w:val="en-US" w:eastAsia="zh-CN" w:bidi="ar"/>
              </w:rPr>
              <w:t>、回用可行性结论</w:t>
            </w:r>
          </w:p>
          <w:p w14:paraId="109CE437">
            <w:pPr>
              <w:keepNext w:val="0"/>
              <w:keepLines w:val="0"/>
              <w:widowControl/>
              <w:suppressLineNumbers w:val="0"/>
              <w:spacing w:line="360" w:lineRule="auto"/>
              <w:ind w:firstLine="480" w:firstLineChars="200"/>
              <w:jc w:val="both"/>
              <w:rPr>
                <w:rFonts w:hint="eastAsia" w:ascii="Times New Roman" w:hAnsi="Times New Roman"/>
                <w:b w:val="0"/>
                <w:bCs w:val="0"/>
                <w:color w:val="auto"/>
                <w:sz w:val="24"/>
                <w:szCs w:val="24"/>
                <w:highlight w:val="none"/>
                <w:u w:val="single" w:color="auto"/>
                <w:lang w:val="en-US" w:eastAsia="zh-CN"/>
              </w:rPr>
            </w:pPr>
            <w:r>
              <w:rPr>
                <w:rFonts w:hint="default" w:ascii="Times New Roman" w:hAnsi="Times New Roman" w:eastAsia="宋体" w:cs="Times New Roman"/>
                <w:b w:val="0"/>
                <w:bCs w:val="0"/>
                <w:color w:val="auto"/>
                <w:kern w:val="0"/>
                <w:sz w:val="24"/>
                <w:szCs w:val="24"/>
                <w:u w:val="single" w:color="auto"/>
                <w:lang w:val="en-US" w:eastAsia="zh-CN" w:bidi="ar"/>
              </w:rPr>
              <w:t>综上，本项目罐车及设备清洗废水经三级沉淀池48h静置沉淀后，水质各项指标均满足《混凝土用水标准》（JGJ 63-2006）钢筋混凝土拌合用水要求，水质稳定、无超标风险，对混凝土产品质量无不利影响，废水回用方案技术合理、可行，可实现生产废水全部循环利用、不外排。</w:t>
            </w:r>
          </w:p>
          <w:p w14:paraId="18726D46">
            <w:pPr>
              <w:adjustRightInd w:val="0"/>
              <w:snapToGrid w:val="0"/>
              <w:spacing w:line="360" w:lineRule="auto"/>
              <w:ind w:firstLine="482" w:firstLineChars="200"/>
              <w:rPr>
                <w:b/>
                <w:bCs/>
                <w:color w:val="auto"/>
                <w:sz w:val="24"/>
                <w:szCs w:val="24"/>
                <w:highlight w:val="none"/>
              </w:rPr>
            </w:pPr>
            <w:r>
              <w:rPr>
                <w:b/>
                <w:bCs/>
                <w:color w:val="auto"/>
                <w:sz w:val="24"/>
                <w:szCs w:val="24"/>
                <w:highlight w:val="none"/>
              </w:rPr>
              <w:t>3、声环境</w:t>
            </w:r>
          </w:p>
          <w:p w14:paraId="0EFE96AD">
            <w:pPr>
              <w:spacing w:line="360" w:lineRule="auto"/>
              <w:ind w:firstLine="482" w:firstLineChars="200"/>
              <w:rPr>
                <w:rFonts w:hint="eastAsia" w:eastAsia="宋体"/>
                <w:b/>
                <w:bCs/>
                <w:color w:val="auto"/>
                <w:sz w:val="24"/>
                <w:szCs w:val="24"/>
                <w:highlight w:val="none"/>
                <w:lang w:eastAsia="zh-CN"/>
              </w:rPr>
            </w:pPr>
            <w:r>
              <w:rPr>
                <w:rFonts w:hint="eastAsia"/>
                <w:b/>
                <w:bCs/>
                <w:color w:val="auto"/>
                <w:sz w:val="24"/>
                <w:szCs w:val="24"/>
                <w:highlight w:val="none"/>
                <w:lang w:val="en-US" w:eastAsia="zh-CN"/>
              </w:rPr>
              <w:t>3.1</w:t>
            </w:r>
            <w:r>
              <w:rPr>
                <w:rFonts w:hint="eastAsia"/>
                <w:b/>
                <w:bCs/>
                <w:color w:val="auto"/>
                <w:sz w:val="24"/>
                <w:szCs w:val="24"/>
                <w:highlight w:val="none"/>
              </w:rPr>
              <w:t>噪声源</w:t>
            </w:r>
            <w:r>
              <w:rPr>
                <w:rFonts w:hint="eastAsia"/>
                <w:b/>
                <w:bCs/>
                <w:color w:val="auto"/>
                <w:sz w:val="24"/>
                <w:szCs w:val="24"/>
                <w:highlight w:val="none"/>
                <w:lang w:eastAsia="zh-CN"/>
              </w:rPr>
              <w:t>强</w:t>
            </w:r>
          </w:p>
          <w:p w14:paraId="47F1D54C">
            <w:pPr>
              <w:spacing w:line="360" w:lineRule="auto"/>
              <w:ind w:firstLine="480" w:firstLineChars="200"/>
              <w:rPr>
                <w:color w:val="auto"/>
                <w:sz w:val="24"/>
                <w:szCs w:val="24"/>
                <w:highlight w:val="none"/>
              </w:rPr>
            </w:pPr>
            <w:r>
              <w:rPr>
                <w:rFonts w:hint="eastAsia"/>
                <w:color w:val="auto"/>
                <w:sz w:val="24"/>
                <w:szCs w:val="24"/>
                <w:highlight w:val="none"/>
                <w:u w:val="single"/>
              </w:rPr>
              <w:t>本项目产噪设备主要</w:t>
            </w:r>
            <w:r>
              <w:rPr>
                <w:rFonts w:hint="eastAsia"/>
                <w:color w:val="auto"/>
                <w:sz w:val="24"/>
                <w:szCs w:val="24"/>
                <w:highlight w:val="none"/>
                <w:u w:val="single"/>
                <w:lang w:val="en-US" w:eastAsia="zh-CN"/>
              </w:rPr>
              <w:t>为</w:t>
            </w:r>
            <w:r>
              <w:rPr>
                <w:color w:val="auto"/>
                <w:sz w:val="24"/>
                <w:szCs w:val="24"/>
                <w:highlight w:val="none"/>
                <w:u w:val="single"/>
              </w:rPr>
              <w:t>搅拌站的生产设备</w:t>
            </w:r>
            <w:r>
              <w:rPr>
                <w:rFonts w:hint="eastAsia"/>
                <w:color w:val="auto"/>
                <w:sz w:val="24"/>
                <w:szCs w:val="24"/>
                <w:highlight w:val="none"/>
                <w:u w:val="single"/>
                <w:lang w:eastAsia="zh-CN"/>
              </w:rPr>
              <w:t>、</w:t>
            </w:r>
            <w:r>
              <w:rPr>
                <w:rFonts w:hint="eastAsia"/>
                <w:color w:val="auto"/>
                <w:sz w:val="24"/>
                <w:szCs w:val="24"/>
                <w:highlight w:val="none"/>
                <w:u w:val="single"/>
              </w:rPr>
              <w:t>运输车辆</w:t>
            </w:r>
            <w:r>
              <w:rPr>
                <w:rFonts w:hint="eastAsia"/>
                <w:color w:val="auto"/>
                <w:sz w:val="24"/>
                <w:szCs w:val="24"/>
                <w:highlight w:val="none"/>
                <w:u w:val="single"/>
                <w:lang w:eastAsia="zh-CN"/>
              </w:rPr>
              <w:t>、化验设备</w:t>
            </w:r>
            <w:r>
              <w:rPr>
                <w:rFonts w:hint="eastAsia"/>
                <w:color w:val="auto"/>
                <w:sz w:val="24"/>
                <w:szCs w:val="24"/>
                <w:highlight w:val="none"/>
                <w:u w:val="single"/>
              </w:rPr>
              <w:t>等</w:t>
            </w:r>
            <w:r>
              <w:rPr>
                <w:rFonts w:hint="eastAsia"/>
                <w:color w:val="auto"/>
                <w:sz w:val="24"/>
                <w:szCs w:val="24"/>
                <w:highlight w:val="none"/>
                <w:u w:val="single"/>
                <w:lang w:eastAsia="zh-CN"/>
              </w:rPr>
              <w:t>点声源</w:t>
            </w:r>
            <w:r>
              <w:rPr>
                <w:rFonts w:hint="eastAsia"/>
                <w:color w:val="auto"/>
                <w:sz w:val="24"/>
                <w:szCs w:val="24"/>
                <w:highlight w:val="none"/>
                <w:u w:val="single"/>
              </w:rPr>
              <w:t>，其噪声源强约为</w:t>
            </w:r>
            <w:r>
              <w:rPr>
                <w:rFonts w:hint="eastAsia"/>
                <w:color w:val="auto"/>
                <w:sz w:val="24"/>
                <w:szCs w:val="24"/>
                <w:highlight w:val="none"/>
                <w:u w:val="single"/>
                <w:lang w:val="en-US" w:eastAsia="zh-CN"/>
              </w:rPr>
              <w:t>60</w:t>
            </w:r>
            <w:r>
              <w:rPr>
                <w:rFonts w:hint="eastAsia"/>
                <w:color w:val="auto"/>
                <w:sz w:val="24"/>
                <w:szCs w:val="24"/>
                <w:highlight w:val="none"/>
                <w:u w:val="single"/>
              </w:rPr>
              <w:t>-85dB（A）之间。</w:t>
            </w:r>
            <w:r>
              <w:rPr>
                <w:rFonts w:ascii="宋体" w:hAnsi="宋体" w:eastAsia="宋体" w:cs="宋体"/>
                <w:color w:val="auto"/>
                <w:sz w:val="24"/>
                <w:szCs w:val="24"/>
              </w:rPr>
              <w:t>项目优先选用低噪声设备，同时对高噪设备配套减振底座、消声器等降噪设施</w:t>
            </w:r>
            <w:r>
              <w:rPr>
                <w:rFonts w:hint="eastAsia"/>
                <w:color w:val="auto"/>
                <w:sz w:val="24"/>
                <w:szCs w:val="24"/>
                <w:highlight w:val="none"/>
              </w:rPr>
              <w:t>。项目噪声源情况详见下表。</w:t>
            </w:r>
          </w:p>
          <w:p w14:paraId="71744183">
            <w:pPr>
              <w:pStyle w:val="55"/>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color w:val="auto"/>
                <w:highlight w:val="none"/>
                <w:u w:val="none" w:color="auto"/>
              </w:rPr>
            </w:pPr>
            <w:r>
              <w:rPr>
                <w:rFonts w:hint="default"/>
                <w:color w:val="auto"/>
                <w:highlight w:val="none"/>
                <w:u w:val="none" w:color="auto"/>
              </w:rPr>
              <w:t>表</w:t>
            </w:r>
            <w:r>
              <w:rPr>
                <w:rFonts w:hint="eastAsia"/>
                <w:color w:val="auto"/>
                <w:highlight w:val="none"/>
                <w:u w:val="none" w:color="auto"/>
                <w:lang w:val="en-US" w:eastAsia="zh-CN"/>
              </w:rPr>
              <w:t>4-9</w:t>
            </w:r>
            <w:r>
              <w:rPr>
                <w:rFonts w:hint="default"/>
                <w:color w:val="auto"/>
                <w:highlight w:val="none"/>
                <w:u w:val="none" w:color="auto"/>
              </w:rPr>
              <w:t xml:space="preserve">  本项目噪声设备源及噪声值一览表</w:t>
            </w:r>
          </w:p>
          <w:tbl>
            <w:tblPr>
              <w:tblStyle w:val="26"/>
              <w:tblW w:w="4991"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84"/>
              <w:gridCol w:w="854"/>
              <w:gridCol w:w="851"/>
              <w:gridCol w:w="893"/>
              <w:gridCol w:w="818"/>
              <w:gridCol w:w="624"/>
              <w:gridCol w:w="1250"/>
              <w:gridCol w:w="859"/>
              <w:gridCol w:w="1062"/>
              <w:gridCol w:w="759"/>
            </w:tblGrid>
            <w:tr w14:paraId="65EC5F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276" w:type="pct"/>
                  <w:vMerge w:val="restart"/>
                  <w:tcBorders>
                    <w:tl2br w:val="nil"/>
                    <w:tr2bl w:val="nil"/>
                  </w:tcBorders>
                  <w:noWrap w:val="0"/>
                  <w:vAlign w:val="center"/>
                </w:tcPr>
                <w:p w14:paraId="0F8C048E">
                  <w:pPr>
                    <w:jc w:val="center"/>
                    <w:rPr>
                      <w:rFonts w:hint="default" w:ascii="Times New Roman" w:hAnsi="Times New Roman" w:eastAsia="宋体" w:cs="Times New Roman"/>
                      <w:color w:val="auto"/>
                      <w:highlight w:val="none"/>
                      <w:u w:val="single" w:color="auto"/>
                      <w:vertAlign w:val="baseline"/>
                      <w:lang w:val="en-US" w:eastAsia="zh-CN"/>
                    </w:rPr>
                  </w:pPr>
                  <w:r>
                    <w:rPr>
                      <w:rFonts w:hint="default" w:ascii="Times New Roman" w:hAnsi="Times New Roman" w:eastAsia="宋体" w:cs="Times New Roman"/>
                      <w:color w:val="auto"/>
                      <w:highlight w:val="none"/>
                      <w:u w:val="single" w:color="auto"/>
                      <w:vertAlign w:val="baseline"/>
                      <w:lang w:val="en-US" w:eastAsia="zh-CN"/>
                    </w:rPr>
                    <w:t>序号</w:t>
                  </w:r>
                </w:p>
              </w:tc>
              <w:tc>
                <w:tcPr>
                  <w:tcW w:w="522" w:type="pct"/>
                  <w:vMerge w:val="restart"/>
                  <w:tcBorders>
                    <w:tl2br w:val="nil"/>
                    <w:tr2bl w:val="nil"/>
                  </w:tcBorders>
                  <w:noWrap w:val="0"/>
                  <w:vAlign w:val="center"/>
                </w:tcPr>
                <w:p w14:paraId="2DA0E441">
                  <w:pPr>
                    <w:jc w:val="center"/>
                    <w:rPr>
                      <w:rFonts w:hint="default" w:ascii="Times New Roman" w:hAnsi="Times New Roman" w:eastAsia="宋体" w:cs="Times New Roman"/>
                      <w:color w:val="auto"/>
                      <w:highlight w:val="none"/>
                      <w:u w:val="single" w:color="auto"/>
                      <w:vertAlign w:val="baseline"/>
                      <w:lang w:val="en-US" w:eastAsia="zh-CN"/>
                    </w:rPr>
                  </w:pPr>
                  <w:r>
                    <w:rPr>
                      <w:rFonts w:hint="default" w:ascii="Times New Roman" w:hAnsi="Times New Roman" w:eastAsia="宋体" w:cs="Times New Roman"/>
                      <w:color w:val="auto"/>
                      <w:highlight w:val="none"/>
                      <w:u w:val="single" w:color="auto"/>
                      <w:vertAlign w:val="baseline"/>
                      <w:lang w:val="en-US" w:eastAsia="zh-CN"/>
                    </w:rPr>
                    <w:t>建筑物名称</w:t>
                  </w:r>
                </w:p>
              </w:tc>
              <w:tc>
                <w:tcPr>
                  <w:tcW w:w="520" w:type="pct"/>
                  <w:vMerge w:val="restart"/>
                  <w:tcBorders>
                    <w:tl2br w:val="nil"/>
                    <w:tr2bl w:val="nil"/>
                  </w:tcBorders>
                  <w:noWrap w:val="0"/>
                  <w:vAlign w:val="center"/>
                </w:tcPr>
                <w:p w14:paraId="66B2C152">
                  <w:pPr>
                    <w:jc w:val="center"/>
                    <w:rPr>
                      <w:rFonts w:hint="default" w:ascii="Times New Roman" w:hAnsi="Times New Roman" w:eastAsia="宋体" w:cs="Times New Roman"/>
                      <w:color w:val="auto"/>
                      <w:highlight w:val="none"/>
                      <w:u w:val="single" w:color="auto"/>
                      <w:vertAlign w:val="baseline"/>
                      <w:lang w:val="en-US" w:eastAsia="zh-CN"/>
                    </w:rPr>
                  </w:pPr>
                  <w:r>
                    <w:rPr>
                      <w:rFonts w:hint="default" w:ascii="Times New Roman" w:hAnsi="Times New Roman" w:eastAsia="宋体" w:cs="Times New Roman"/>
                      <w:color w:val="auto"/>
                      <w:highlight w:val="none"/>
                      <w:u w:val="single" w:color="auto"/>
                      <w:vertAlign w:val="baseline"/>
                      <w:lang w:val="en-US" w:eastAsia="zh-CN"/>
                    </w:rPr>
                    <w:t>声源名称</w:t>
                  </w:r>
                </w:p>
              </w:tc>
              <w:tc>
                <w:tcPr>
                  <w:tcW w:w="1287" w:type="pct"/>
                  <w:gridSpan w:val="3"/>
                  <w:tcBorders>
                    <w:tl2br w:val="nil"/>
                    <w:tr2bl w:val="nil"/>
                  </w:tcBorders>
                  <w:noWrap w:val="0"/>
                  <w:vAlign w:val="center"/>
                </w:tcPr>
                <w:p w14:paraId="1AFB0E41">
                  <w:pPr>
                    <w:jc w:val="center"/>
                    <w:rPr>
                      <w:rFonts w:hint="default" w:ascii="Times New Roman" w:hAnsi="Times New Roman" w:eastAsia="宋体" w:cs="Times New Roman"/>
                      <w:color w:val="auto"/>
                      <w:highlight w:val="none"/>
                      <w:u w:val="single" w:color="auto"/>
                      <w:vertAlign w:val="baseline"/>
                      <w:lang w:val="en-US" w:eastAsia="zh-CN"/>
                    </w:rPr>
                  </w:pPr>
                  <w:r>
                    <w:rPr>
                      <w:rFonts w:hint="default" w:ascii="Times New Roman" w:hAnsi="Times New Roman" w:eastAsia="宋体" w:cs="Times New Roman"/>
                      <w:color w:val="auto"/>
                      <w:highlight w:val="none"/>
                      <w:u w:val="single" w:color="auto"/>
                      <w:vertAlign w:val="baseline"/>
                      <w:lang w:val="en-US" w:eastAsia="zh-CN"/>
                    </w:rPr>
                    <w:t>空间相对位置/m</w:t>
                  </w:r>
                </w:p>
              </w:tc>
              <w:tc>
                <w:tcPr>
                  <w:tcW w:w="756" w:type="pct"/>
                  <w:tcBorders>
                    <w:tl2br w:val="nil"/>
                    <w:tr2bl w:val="nil"/>
                  </w:tcBorders>
                  <w:noWrap w:val="0"/>
                  <w:vAlign w:val="center"/>
                </w:tcPr>
                <w:p w14:paraId="73A1052B">
                  <w:pPr>
                    <w:jc w:val="center"/>
                    <w:rPr>
                      <w:rFonts w:hint="default" w:ascii="Times New Roman" w:hAnsi="Times New Roman" w:eastAsia="宋体" w:cs="Times New Roman"/>
                      <w:color w:val="auto"/>
                      <w:highlight w:val="none"/>
                      <w:u w:val="single" w:color="auto"/>
                      <w:vertAlign w:val="baseline"/>
                      <w:lang w:val="en-US" w:eastAsia="zh-CN"/>
                    </w:rPr>
                  </w:pPr>
                  <w:r>
                    <w:rPr>
                      <w:rFonts w:hint="default" w:ascii="Times New Roman" w:hAnsi="Times New Roman" w:eastAsia="宋体" w:cs="Times New Roman"/>
                      <w:color w:val="auto"/>
                      <w:highlight w:val="none"/>
                      <w:u w:val="single" w:color="auto"/>
                      <w:vertAlign w:val="baseline"/>
                      <w:lang w:val="en-US" w:eastAsia="zh-CN"/>
                    </w:rPr>
                    <w:t>声源源强</w:t>
                  </w:r>
                </w:p>
              </w:tc>
              <w:tc>
                <w:tcPr>
                  <w:tcW w:w="525" w:type="pct"/>
                  <w:vMerge w:val="restart"/>
                  <w:tcBorders>
                    <w:tl2br w:val="nil"/>
                    <w:tr2bl w:val="nil"/>
                  </w:tcBorders>
                  <w:noWrap w:val="0"/>
                  <w:vAlign w:val="center"/>
                </w:tcPr>
                <w:p w14:paraId="21AA92B9">
                  <w:pPr>
                    <w:jc w:val="center"/>
                    <w:rPr>
                      <w:rFonts w:hint="default" w:ascii="Times New Roman" w:hAnsi="Times New Roman" w:eastAsia="宋体" w:cs="Times New Roman"/>
                      <w:color w:val="auto"/>
                      <w:highlight w:val="none"/>
                      <w:u w:val="single" w:color="auto"/>
                      <w:vertAlign w:val="baseline"/>
                      <w:lang w:val="en-US" w:eastAsia="zh-CN"/>
                    </w:rPr>
                  </w:pPr>
                  <w:r>
                    <w:rPr>
                      <w:rFonts w:hint="default" w:ascii="Times New Roman" w:hAnsi="Times New Roman" w:eastAsia="宋体" w:cs="Times New Roman"/>
                      <w:color w:val="auto"/>
                      <w:highlight w:val="none"/>
                      <w:u w:val="single" w:color="auto"/>
                      <w:vertAlign w:val="baseline"/>
                      <w:lang w:val="en-US" w:eastAsia="zh-CN"/>
                    </w:rPr>
                    <w:t>声源控制措施</w:t>
                  </w:r>
                </w:p>
              </w:tc>
              <w:tc>
                <w:tcPr>
                  <w:tcW w:w="645" w:type="pct"/>
                  <w:tcBorders>
                    <w:tl2br w:val="nil"/>
                    <w:tr2bl w:val="nil"/>
                  </w:tcBorders>
                  <w:noWrap w:val="0"/>
                  <w:vAlign w:val="center"/>
                </w:tcPr>
                <w:p w14:paraId="32CABDCB">
                  <w:pPr>
                    <w:ind w:firstLine="0" w:firstLineChars="0"/>
                    <w:jc w:val="center"/>
                    <w:rPr>
                      <w:rFonts w:hint="default" w:ascii="Times New Roman" w:hAnsi="Times New Roman" w:eastAsia="宋体" w:cs="Times New Roman"/>
                      <w:color w:val="auto"/>
                      <w:highlight w:val="none"/>
                      <w:u w:val="single" w:color="auto"/>
                      <w:vertAlign w:val="baseline"/>
                      <w:lang w:val="en-US" w:eastAsia="zh-CN"/>
                    </w:rPr>
                  </w:pPr>
                  <w:r>
                    <w:rPr>
                      <w:rFonts w:hint="eastAsia" w:ascii="Times New Roman" w:hAnsi="Times New Roman" w:eastAsia="宋体" w:cs="Times New Roman"/>
                      <w:color w:val="auto"/>
                      <w:highlight w:val="none"/>
                      <w:u w:val="single" w:color="auto"/>
                      <w:vertAlign w:val="baseline"/>
                      <w:lang w:val="en-US" w:eastAsia="zh-CN"/>
                    </w:rPr>
                    <w:t>降噪后</w:t>
                  </w:r>
                </w:p>
              </w:tc>
              <w:tc>
                <w:tcPr>
                  <w:tcW w:w="466" w:type="pct"/>
                  <w:vMerge w:val="restart"/>
                  <w:tcBorders>
                    <w:tl2br w:val="nil"/>
                    <w:tr2bl w:val="nil"/>
                  </w:tcBorders>
                  <w:noWrap w:val="0"/>
                  <w:vAlign w:val="center"/>
                </w:tcPr>
                <w:p w14:paraId="40C1A42F">
                  <w:pPr>
                    <w:ind w:firstLine="0" w:firstLineChars="0"/>
                    <w:jc w:val="center"/>
                    <w:rPr>
                      <w:rFonts w:hint="default" w:ascii="Times New Roman" w:hAnsi="Times New Roman" w:eastAsia="宋体" w:cs="Times New Roman"/>
                      <w:color w:val="auto"/>
                      <w:highlight w:val="none"/>
                      <w:u w:val="single" w:color="auto"/>
                      <w:vertAlign w:val="baseline"/>
                      <w:lang w:val="en-US" w:eastAsia="zh-CN"/>
                    </w:rPr>
                  </w:pPr>
                  <w:r>
                    <w:rPr>
                      <w:rFonts w:hint="default" w:ascii="Times New Roman" w:hAnsi="Times New Roman" w:eastAsia="宋体" w:cs="Times New Roman"/>
                      <w:color w:val="auto"/>
                      <w:highlight w:val="none"/>
                      <w:u w:val="single" w:color="auto"/>
                      <w:vertAlign w:val="baseline"/>
                      <w:lang w:val="en-US" w:eastAsia="zh-CN"/>
                    </w:rPr>
                    <w:t>运行时段</w:t>
                  </w:r>
                </w:p>
              </w:tc>
            </w:tr>
            <w:tr w14:paraId="67AEC2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276" w:type="pct"/>
                  <w:vMerge w:val="continue"/>
                  <w:tcBorders>
                    <w:tl2br w:val="nil"/>
                    <w:tr2bl w:val="nil"/>
                  </w:tcBorders>
                  <w:noWrap w:val="0"/>
                  <w:vAlign w:val="center"/>
                </w:tcPr>
                <w:p w14:paraId="47420DB2">
                  <w:pPr>
                    <w:jc w:val="center"/>
                    <w:rPr>
                      <w:rFonts w:hint="default" w:ascii="Times New Roman" w:hAnsi="Times New Roman" w:eastAsia="宋体" w:cs="Times New Roman"/>
                      <w:color w:val="auto"/>
                      <w:highlight w:val="none"/>
                      <w:u w:val="single" w:color="auto"/>
                      <w:vertAlign w:val="baseline"/>
                      <w:lang w:val="en-US" w:eastAsia="zh-CN"/>
                    </w:rPr>
                  </w:pPr>
                </w:p>
              </w:tc>
              <w:tc>
                <w:tcPr>
                  <w:tcW w:w="522" w:type="pct"/>
                  <w:vMerge w:val="continue"/>
                  <w:tcBorders>
                    <w:tl2br w:val="nil"/>
                    <w:tr2bl w:val="nil"/>
                  </w:tcBorders>
                  <w:noWrap w:val="0"/>
                  <w:vAlign w:val="center"/>
                </w:tcPr>
                <w:p w14:paraId="044A8398">
                  <w:pPr>
                    <w:jc w:val="center"/>
                    <w:rPr>
                      <w:rFonts w:hint="default" w:ascii="Times New Roman" w:hAnsi="Times New Roman" w:eastAsia="宋体" w:cs="Times New Roman"/>
                      <w:color w:val="auto"/>
                      <w:highlight w:val="none"/>
                      <w:u w:val="single" w:color="auto"/>
                      <w:vertAlign w:val="baseline"/>
                      <w:lang w:val="en-US" w:eastAsia="zh-CN"/>
                    </w:rPr>
                  </w:pPr>
                </w:p>
              </w:tc>
              <w:tc>
                <w:tcPr>
                  <w:tcW w:w="520" w:type="pct"/>
                  <w:vMerge w:val="continue"/>
                  <w:tcBorders>
                    <w:tl2br w:val="nil"/>
                    <w:tr2bl w:val="nil"/>
                  </w:tcBorders>
                  <w:noWrap w:val="0"/>
                  <w:vAlign w:val="center"/>
                </w:tcPr>
                <w:p w14:paraId="39B4CB26">
                  <w:pPr>
                    <w:jc w:val="center"/>
                    <w:rPr>
                      <w:rFonts w:hint="default" w:ascii="Times New Roman" w:hAnsi="Times New Roman" w:eastAsia="宋体" w:cs="Times New Roman"/>
                      <w:color w:val="auto"/>
                      <w:highlight w:val="none"/>
                      <w:u w:val="single" w:color="auto"/>
                      <w:vertAlign w:val="baseline"/>
                      <w:lang w:val="en-US" w:eastAsia="zh-CN"/>
                    </w:rPr>
                  </w:pPr>
                </w:p>
              </w:tc>
              <w:tc>
                <w:tcPr>
                  <w:tcW w:w="476" w:type="pct"/>
                  <w:tcBorders>
                    <w:tl2br w:val="nil"/>
                    <w:tr2bl w:val="nil"/>
                  </w:tcBorders>
                  <w:noWrap w:val="0"/>
                  <w:vAlign w:val="center"/>
                </w:tcPr>
                <w:p w14:paraId="0B13EA81">
                  <w:pPr>
                    <w:jc w:val="center"/>
                    <w:rPr>
                      <w:rFonts w:hint="default" w:ascii="Times New Roman" w:hAnsi="Times New Roman" w:eastAsia="宋体" w:cs="Times New Roman"/>
                      <w:color w:val="auto"/>
                      <w:highlight w:val="none"/>
                      <w:u w:val="single" w:color="auto"/>
                      <w:vertAlign w:val="baseline"/>
                      <w:lang w:val="en-US" w:eastAsia="zh-CN"/>
                    </w:rPr>
                  </w:pPr>
                  <w:r>
                    <w:rPr>
                      <w:rFonts w:hint="default" w:ascii="Times New Roman" w:hAnsi="Times New Roman" w:eastAsia="宋体" w:cs="Times New Roman"/>
                      <w:color w:val="auto"/>
                      <w:highlight w:val="none"/>
                      <w:u w:val="single" w:color="auto"/>
                      <w:vertAlign w:val="baseline"/>
                      <w:lang w:val="en-US" w:eastAsia="zh-CN"/>
                    </w:rPr>
                    <w:t>X</w:t>
                  </w:r>
                </w:p>
              </w:tc>
              <w:tc>
                <w:tcPr>
                  <w:tcW w:w="425" w:type="pct"/>
                  <w:tcBorders>
                    <w:tl2br w:val="nil"/>
                    <w:tr2bl w:val="nil"/>
                  </w:tcBorders>
                  <w:noWrap w:val="0"/>
                  <w:vAlign w:val="center"/>
                </w:tcPr>
                <w:p w14:paraId="6B65425E">
                  <w:pPr>
                    <w:jc w:val="center"/>
                    <w:rPr>
                      <w:rFonts w:hint="default" w:ascii="Times New Roman" w:hAnsi="Times New Roman" w:cs="Times New Roman"/>
                      <w:color w:val="auto"/>
                      <w:highlight w:val="none"/>
                      <w:u w:val="single" w:color="auto"/>
                    </w:rPr>
                  </w:pPr>
                  <w:r>
                    <w:rPr>
                      <w:rFonts w:hint="default" w:ascii="Times New Roman" w:hAnsi="Times New Roman" w:eastAsia="宋体" w:cs="Times New Roman"/>
                      <w:color w:val="auto"/>
                      <w:highlight w:val="none"/>
                      <w:u w:val="single" w:color="auto"/>
                      <w:vertAlign w:val="baseline"/>
                      <w:lang w:val="en-US" w:eastAsia="zh-CN"/>
                    </w:rPr>
                    <w:t>Y</w:t>
                  </w:r>
                </w:p>
              </w:tc>
              <w:tc>
                <w:tcPr>
                  <w:tcW w:w="386" w:type="pct"/>
                  <w:tcBorders>
                    <w:tl2br w:val="nil"/>
                    <w:tr2bl w:val="nil"/>
                  </w:tcBorders>
                  <w:noWrap w:val="0"/>
                  <w:vAlign w:val="center"/>
                </w:tcPr>
                <w:p w14:paraId="24B5CFD4">
                  <w:pPr>
                    <w:jc w:val="center"/>
                    <w:rPr>
                      <w:rFonts w:hint="default" w:ascii="Times New Roman" w:hAnsi="Times New Roman" w:cs="Times New Roman"/>
                      <w:color w:val="auto"/>
                      <w:highlight w:val="none"/>
                      <w:u w:val="single" w:color="auto"/>
                    </w:rPr>
                  </w:pPr>
                  <w:r>
                    <w:rPr>
                      <w:rFonts w:hint="default" w:ascii="Times New Roman" w:hAnsi="Times New Roman" w:eastAsia="宋体" w:cs="Times New Roman"/>
                      <w:color w:val="auto"/>
                      <w:highlight w:val="none"/>
                      <w:u w:val="single" w:color="auto"/>
                      <w:vertAlign w:val="baseline"/>
                      <w:lang w:val="en-US" w:eastAsia="zh-CN"/>
                    </w:rPr>
                    <w:t>Z</w:t>
                  </w:r>
                </w:p>
              </w:tc>
              <w:tc>
                <w:tcPr>
                  <w:tcW w:w="756" w:type="pct"/>
                  <w:tcBorders>
                    <w:tl2br w:val="nil"/>
                    <w:tr2bl w:val="nil"/>
                  </w:tcBorders>
                  <w:noWrap w:val="0"/>
                  <w:vAlign w:val="center"/>
                </w:tcPr>
                <w:p w14:paraId="0905280F">
                  <w:pPr>
                    <w:jc w:val="center"/>
                    <w:rPr>
                      <w:rFonts w:hint="default" w:ascii="Times New Roman" w:hAnsi="Times New Roman" w:eastAsia="宋体" w:cs="Times New Roman"/>
                      <w:color w:val="auto"/>
                      <w:highlight w:val="none"/>
                      <w:u w:val="single" w:color="auto"/>
                      <w:vertAlign w:val="baseline"/>
                      <w:lang w:val="en-US" w:eastAsia="zh-CN"/>
                    </w:rPr>
                  </w:pPr>
                  <w:r>
                    <w:rPr>
                      <w:rFonts w:hint="default" w:ascii="Times New Roman" w:hAnsi="Times New Roman" w:eastAsia="宋体" w:cs="Times New Roman"/>
                      <w:color w:val="auto"/>
                      <w:highlight w:val="none"/>
                      <w:u w:val="single" w:color="auto"/>
                      <w:vertAlign w:val="baseline"/>
                      <w:lang w:val="en-US" w:eastAsia="zh-CN"/>
                    </w:rPr>
                    <w:t>声功率计/dB（A）</w:t>
                  </w:r>
                </w:p>
              </w:tc>
              <w:tc>
                <w:tcPr>
                  <w:tcW w:w="525" w:type="pct"/>
                  <w:vMerge w:val="continue"/>
                  <w:tcBorders>
                    <w:tl2br w:val="nil"/>
                    <w:tr2bl w:val="nil"/>
                  </w:tcBorders>
                  <w:noWrap w:val="0"/>
                  <w:vAlign w:val="center"/>
                </w:tcPr>
                <w:p w14:paraId="4C7F0DE6">
                  <w:pPr>
                    <w:jc w:val="center"/>
                    <w:rPr>
                      <w:rFonts w:hint="default" w:ascii="Times New Roman" w:hAnsi="Times New Roman" w:eastAsia="宋体" w:cs="Times New Roman"/>
                      <w:color w:val="auto"/>
                      <w:highlight w:val="none"/>
                      <w:u w:val="single" w:color="auto"/>
                      <w:vertAlign w:val="baseline"/>
                      <w:lang w:val="en-US" w:eastAsia="zh-CN"/>
                    </w:rPr>
                  </w:pPr>
                </w:p>
              </w:tc>
              <w:tc>
                <w:tcPr>
                  <w:tcW w:w="645" w:type="pct"/>
                  <w:tcBorders>
                    <w:tl2br w:val="nil"/>
                    <w:tr2bl w:val="nil"/>
                  </w:tcBorders>
                  <w:noWrap w:val="0"/>
                  <w:vAlign w:val="center"/>
                </w:tcPr>
                <w:p w14:paraId="288A4000">
                  <w:pPr>
                    <w:jc w:val="center"/>
                    <w:rPr>
                      <w:rFonts w:hint="default" w:ascii="Times New Roman" w:hAnsi="Times New Roman" w:eastAsia="宋体" w:cs="Times New Roman"/>
                      <w:color w:val="auto"/>
                      <w:highlight w:val="none"/>
                      <w:u w:val="single" w:color="auto"/>
                      <w:vertAlign w:val="baseline"/>
                      <w:lang w:val="en-US" w:eastAsia="zh-CN"/>
                    </w:rPr>
                  </w:pPr>
                  <w:r>
                    <w:rPr>
                      <w:rFonts w:hint="default" w:ascii="Times New Roman" w:hAnsi="Times New Roman" w:eastAsia="宋体" w:cs="Times New Roman"/>
                      <w:color w:val="auto"/>
                      <w:highlight w:val="none"/>
                      <w:u w:val="single" w:color="auto"/>
                      <w:vertAlign w:val="baseline"/>
                      <w:lang w:val="en-US" w:eastAsia="zh-CN"/>
                    </w:rPr>
                    <w:t>声功率计/dB（A）</w:t>
                  </w:r>
                </w:p>
              </w:tc>
              <w:tc>
                <w:tcPr>
                  <w:tcW w:w="466" w:type="pct"/>
                  <w:vMerge w:val="continue"/>
                  <w:tcBorders>
                    <w:tl2br w:val="nil"/>
                    <w:tr2bl w:val="nil"/>
                  </w:tcBorders>
                  <w:noWrap w:val="0"/>
                  <w:vAlign w:val="center"/>
                </w:tcPr>
                <w:p w14:paraId="037DF6BD">
                  <w:pPr>
                    <w:jc w:val="center"/>
                    <w:rPr>
                      <w:rFonts w:hint="default" w:ascii="Times New Roman" w:hAnsi="Times New Roman" w:eastAsia="宋体" w:cs="Times New Roman"/>
                      <w:color w:val="auto"/>
                      <w:highlight w:val="none"/>
                      <w:u w:val="single" w:color="auto"/>
                      <w:vertAlign w:val="baseline"/>
                      <w:lang w:val="en-US" w:eastAsia="zh-CN"/>
                    </w:rPr>
                  </w:pPr>
                </w:p>
              </w:tc>
            </w:tr>
            <w:tr w14:paraId="466993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276" w:type="pct"/>
                  <w:tcBorders>
                    <w:tl2br w:val="nil"/>
                    <w:tr2bl w:val="nil"/>
                  </w:tcBorders>
                  <w:noWrap w:val="0"/>
                  <w:vAlign w:val="center"/>
                </w:tcPr>
                <w:p w14:paraId="1B78CE4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color w:val="auto"/>
                      <w:kern w:val="2"/>
                      <w:sz w:val="21"/>
                      <w:szCs w:val="24"/>
                      <w:highlight w:val="none"/>
                      <w:u w:val="single" w:color="auto"/>
                      <w:vertAlign w:val="baseline"/>
                      <w:lang w:val="en-US" w:eastAsia="zh-CN" w:bidi="ar-SA"/>
                    </w:rPr>
                  </w:pPr>
                  <w:r>
                    <w:rPr>
                      <w:rFonts w:hint="default" w:ascii="Times New Roman" w:hAnsi="Times New Roman" w:cs="Times New Roman"/>
                      <w:color w:val="auto"/>
                      <w:sz w:val="21"/>
                      <w:szCs w:val="21"/>
                      <w:highlight w:val="none"/>
                      <w:u w:val="single" w:color="auto"/>
                    </w:rPr>
                    <w:t>1</w:t>
                  </w:r>
                </w:p>
              </w:tc>
              <w:tc>
                <w:tcPr>
                  <w:tcW w:w="522" w:type="pct"/>
                  <w:vMerge w:val="restart"/>
                  <w:tcBorders>
                    <w:tl2br w:val="nil"/>
                    <w:tr2bl w:val="nil"/>
                  </w:tcBorders>
                  <w:noWrap w:val="0"/>
                  <w:vAlign w:val="center"/>
                </w:tcPr>
                <w:p w14:paraId="29DD78BB">
                  <w:pPr>
                    <w:jc w:val="center"/>
                    <w:rPr>
                      <w:rFonts w:hint="default" w:ascii="Times New Roman" w:hAnsi="Times New Roman" w:eastAsia="宋体" w:cs="Times New Roman"/>
                      <w:color w:val="auto"/>
                      <w:kern w:val="0"/>
                      <w:szCs w:val="21"/>
                      <w:highlight w:val="none"/>
                      <w:u w:val="single" w:color="auto"/>
                      <w:lang w:val="en-US" w:eastAsia="zh-CN"/>
                    </w:rPr>
                  </w:pPr>
                  <w:r>
                    <w:rPr>
                      <w:rFonts w:hint="eastAsia" w:ascii="Times New Roman" w:hAnsi="Times New Roman" w:cs="Times New Roman"/>
                      <w:color w:val="auto"/>
                      <w:kern w:val="0"/>
                      <w:szCs w:val="21"/>
                      <w:highlight w:val="none"/>
                      <w:u w:val="single" w:color="auto"/>
                      <w:lang w:val="en-US" w:eastAsia="zh-CN"/>
                    </w:rPr>
                    <w:t>生产厂区</w:t>
                  </w:r>
                </w:p>
              </w:tc>
              <w:tc>
                <w:tcPr>
                  <w:tcW w:w="520" w:type="pct"/>
                  <w:tcBorders>
                    <w:tl2br w:val="nil"/>
                    <w:tr2bl w:val="nil"/>
                  </w:tcBorders>
                  <w:noWrap w:val="0"/>
                  <w:vAlign w:val="center"/>
                </w:tcPr>
                <w:p w14:paraId="54EA9E5D">
                  <w:pPr>
                    <w:jc w:val="center"/>
                    <w:rPr>
                      <w:rFonts w:hint="default" w:ascii="Times New Roman" w:hAnsi="Times New Roman" w:cs="Times New Roman"/>
                      <w:color w:val="auto"/>
                      <w:kern w:val="2"/>
                      <w:sz w:val="21"/>
                      <w:szCs w:val="24"/>
                      <w:highlight w:val="none"/>
                      <w:u w:val="single" w:color="auto"/>
                      <w:vertAlign w:val="baseline"/>
                      <w:lang w:val="en-US" w:eastAsia="zh-CN" w:bidi="ar-SA"/>
                    </w:rPr>
                  </w:pPr>
                  <w:r>
                    <w:rPr>
                      <w:rFonts w:hint="eastAsia"/>
                      <w:color w:val="auto"/>
                      <w:szCs w:val="21"/>
                      <w:highlight w:val="none"/>
                      <w:u w:val="single" w:color="auto"/>
                    </w:rPr>
                    <w:t>搅拌</w:t>
                  </w:r>
                  <w:r>
                    <w:rPr>
                      <w:rFonts w:hint="eastAsia"/>
                      <w:color w:val="auto"/>
                      <w:szCs w:val="21"/>
                      <w:highlight w:val="none"/>
                      <w:u w:val="single" w:color="auto"/>
                      <w:lang w:val="en-US" w:eastAsia="zh-CN"/>
                    </w:rPr>
                    <w:t>楼</w:t>
                  </w:r>
                </w:p>
              </w:tc>
              <w:tc>
                <w:tcPr>
                  <w:tcW w:w="476" w:type="pct"/>
                  <w:tcBorders>
                    <w:tl2br w:val="nil"/>
                    <w:tr2bl w:val="nil"/>
                  </w:tcBorders>
                  <w:noWrap w:val="0"/>
                  <w:vAlign w:val="center"/>
                </w:tcPr>
                <w:p w14:paraId="72234BE4">
                  <w:pPr>
                    <w:jc w:val="center"/>
                    <w:rPr>
                      <w:rFonts w:hint="default" w:ascii="Times New Roman" w:hAnsi="Times New Roman"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-0.98</w:t>
                  </w:r>
                </w:p>
              </w:tc>
              <w:tc>
                <w:tcPr>
                  <w:tcW w:w="425" w:type="pct"/>
                  <w:tcBorders>
                    <w:tl2br w:val="nil"/>
                    <w:tr2bl w:val="nil"/>
                  </w:tcBorders>
                  <w:noWrap w:val="0"/>
                  <w:vAlign w:val="center"/>
                </w:tcPr>
                <w:p w14:paraId="5303B083">
                  <w:pPr>
                    <w:jc w:val="center"/>
                    <w:rPr>
                      <w:rFonts w:hint="default" w:ascii="Times New Roman" w:hAnsi="Times New Roman" w:eastAsia="宋体" w:cs="Times New Roman"/>
                      <w:color w:val="auto"/>
                      <w:highlight w:val="none"/>
                      <w:u w:val="single" w:color="auto"/>
                      <w:lang w:val="en-US" w:eastAsia="zh-CN"/>
                    </w:rPr>
                  </w:pPr>
                  <w:r>
                    <w:rPr>
                      <w:rFonts w:hint="eastAsia" w:cs="Times New Roman"/>
                      <w:color w:val="auto"/>
                      <w:highlight w:val="none"/>
                      <w:u w:val="single" w:color="auto"/>
                      <w:lang w:val="en-US" w:eastAsia="zh-CN"/>
                    </w:rPr>
                    <w:t>20.77</w:t>
                  </w:r>
                </w:p>
              </w:tc>
              <w:tc>
                <w:tcPr>
                  <w:tcW w:w="386" w:type="pct"/>
                  <w:tcBorders>
                    <w:tl2br w:val="nil"/>
                    <w:tr2bl w:val="nil"/>
                  </w:tcBorders>
                  <w:noWrap w:val="0"/>
                  <w:vAlign w:val="center"/>
                </w:tcPr>
                <w:p w14:paraId="456F67AC">
                  <w:pPr>
                    <w:jc w:val="center"/>
                    <w:rPr>
                      <w:rFonts w:hint="eastAsia" w:ascii="Times New Roman" w:hAnsi="Times New Roman" w:eastAsia="宋体" w:cs="Times New Roman"/>
                      <w:color w:val="auto"/>
                      <w:highlight w:val="none"/>
                      <w:u w:val="single" w:color="auto"/>
                      <w:lang w:val="en-US" w:eastAsia="zh-CN"/>
                    </w:rPr>
                  </w:pPr>
                  <w:r>
                    <w:rPr>
                      <w:rFonts w:hint="eastAsia" w:cs="Times New Roman"/>
                      <w:color w:val="auto"/>
                      <w:highlight w:val="none"/>
                      <w:u w:val="single" w:color="auto"/>
                      <w:lang w:val="en-US" w:eastAsia="zh-CN"/>
                    </w:rPr>
                    <w:t>1</w:t>
                  </w:r>
                </w:p>
              </w:tc>
              <w:tc>
                <w:tcPr>
                  <w:tcW w:w="756" w:type="pct"/>
                  <w:tcBorders>
                    <w:tl2br w:val="nil"/>
                    <w:tr2bl w:val="nil"/>
                  </w:tcBorders>
                  <w:noWrap w:val="0"/>
                  <w:vAlign w:val="center"/>
                </w:tcPr>
                <w:p w14:paraId="75F4C2B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color w:val="auto"/>
                      <w:kern w:val="2"/>
                      <w:sz w:val="21"/>
                      <w:szCs w:val="24"/>
                      <w:highlight w:val="none"/>
                      <w:u w:val="single" w:color="auto"/>
                      <w:vertAlign w:val="baseline"/>
                      <w:lang w:val="en-US" w:eastAsia="zh-CN" w:bidi="ar-SA"/>
                    </w:rPr>
                  </w:pPr>
                  <w:r>
                    <w:rPr>
                      <w:rFonts w:hint="default" w:ascii="Times New Roman" w:hAnsi="Times New Roman" w:cs="Times New Roman"/>
                      <w:color w:val="auto"/>
                      <w:sz w:val="21"/>
                      <w:szCs w:val="21"/>
                      <w:highlight w:val="none"/>
                      <w:u w:val="single" w:color="auto"/>
                    </w:rPr>
                    <w:t>8</w:t>
                  </w:r>
                  <w:r>
                    <w:rPr>
                      <w:rFonts w:hint="eastAsia" w:ascii="Times New Roman" w:hAnsi="Times New Roman" w:cs="Times New Roman"/>
                      <w:color w:val="auto"/>
                      <w:sz w:val="21"/>
                      <w:szCs w:val="21"/>
                      <w:highlight w:val="none"/>
                      <w:u w:val="single" w:color="auto"/>
                      <w:lang w:val="en-US" w:eastAsia="zh-CN"/>
                    </w:rPr>
                    <w:t>0</w:t>
                  </w:r>
                  <w:r>
                    <w:rPr>
                      <w:rFonts w:hint="default" w:ascii="Times New Roman" w:hAnsi="Times New Roman" w:cs="Times New Roman"/>
                      <w:color w:val="auto"/>
                      <w:sz w:val="21"/>
                      <w:szCs w:val="21"/>
                      <w:highlight w:val="none"/>
                      <w:u w:val="single" w:color="auto"/>
                    </w:rPr>
                    <w:t>-</w:t>
                  </w:r>
                  <w:r>
                    <w:rPr>
                      <w:rFonts w:hint="eastAsia" w:ascii="Times New Roman" w:hAnsi="Times New Roman" w:cs="Times New Roman"/>
                      <w:color w:val="auto"/>
                      <w:sz w:val="21"/>
                      <w:szCs w:val="21"/>
                      <w:highlight w:val="none"/>
                      <w:u w:val="single" w:color="auto"/>
                      <w:lang w:val="en-US" w:eastAsia="zh-CN"/>
                    </w:rPr>
                    <w:t>85</w:t>
                  </w:r>
                </w:p>
              </w:tc>
              <w:tc>
                <w:tcPr>
                  <w:tcW w:w="525" w:type="pct"/>
                  <w:vMerge w:val="restart"/>
                  <w:tcBorders>
                    <w:tl2br w:val="nil"/>
                    <w:tr2bl w:val="nil"/>
                  </w:tcBorders>
                  <w:noWrap w:val="0"/>
                  <w:vAlign w:val="center"/>
                </w:tcPr>
                <w:p w14:paraId="77E48918">
                  <w:pPr>
                    <w:jc w:val="center"/>
                    <w:rPr>
                      <w:rFonts w:hint="eastAsia" w:ascii="Times New Roman" w:hAnsi="Times New Roman" w:eastAsia="宋体" w:cs="Times New Roman"/>
                      <w:color w:val="auto"/>
                      <w:highlight w:val="none"/>
                      <w:u w:val="single" w:color="auto"/>
                      <w:vertAlign w:val="baseline"/>
                      <w:lang w:val="en-US" w:eastAsia="zh-CN"/>
                    </w:rPr>
                  </w:pPr>
                  <w:r>
                    <w:rPr>
                      <w:rFonts w:hint="default" w:ascii="Times New Roman" w:hAnsi="Times New Roman" w:eastAsia="宋体" w:cs="Times New Roman"/>
                      <w:color w:val="auto"/>
                      <w:highlight w:val="none"/>
                      <w:u w:val="single" w:color="auto"/>
                    </w:rPr>
                    <w:t>选择低噪设备</w:t>
                  </w:r>
                  <w:r>
                    <w:rPr>
                      <w:rFonts w:hint="default" w:ascii="Times New Roman" w:hAnsi="Times New Roman" w:cs="Times New Roman"/>
                      <w:color w:val="auto"/>
                      <w:highlight w:val="none"/>
                      <w:u w:val="single" w:color="auto"/>
                    </w:rPr>
                    <w:t>、基础减振</w:t>
                  </w:r>
                  <w:r>
                    <w:rPr>
                      <w:rFonts w:hint="eastAsia" w:cs="Times New Roman"/>
                      <w:color w:val="auto"/>
                      <w:highlight w:val="none"/>
                      <w:u w:val="single" w:color="auto"/>
                      <w:lang w:eastAsia="zh-CN"/>
                    </w:rPr>
                    <w:t>、建筑隔声</w:t>
                  </w:r>
                </w:p>
              </w:tc>
              <w:tc>
                <w:tcPr>
                  <w:tcW w:w="645" w:type="pct"/>
                  <w:tcBorders>
                    <w:tl2br w:val="nil"/>
                    <w:tr2bl w:val="nil"/>
                  </w:tcBorders>
                  <w:noWrap w:val="0"/>
                  <w:vAlign w:val="center"/>
                </w:tcPr>
                <w:p w14:paraId="19ED11E3">
                  <w:pPr>
                    <w:ind w:firstLine="0" w:firstLineChars="0"/>
                    <w:jc w:val="center"/>
                    <w:rPr>
                      <w:rFonts w:hint="default" w:ascii="Times New Roman" w:hAnsi="Times New Roman" w:eastAsia="宋体"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65</w:t>
                  </w:r>
                </w:p>
              </w:tc>
              <w:tc>
                <w:tcPr>
                  <w:tcW w:w="466" w:type="pct"/>
                  <w:vMerge w:val="restart"/>
                  <w:tcBorders>
                    <w:tl2br w:val="nil"/>
                    <w:tr2bl w:val="nil"/>
                  </w:tcBorders>
                  <w:noWrap w:val="0"/>
                  <w:vAlign w:val="center"/>
                </w:tcPr>
                <w:p w14:paraId="3FC3297F">
                  <w:pPr>
                    <w:ind w:firstLine="0" w:firstLineChars="0"/>
                    <w:jc w:val="center"/>
                    <w:rPr>
                      <w:rFonts w:hint="default" w:ascii="Times New Roman" w:hAnsi="Times New Roman" w:eastAsia="宋体" w:cs="Times New Roman"/>
                      <w:color w:val="auto"/>
                      <w:highlight w:val="none"/>
                      <w:u w:val="single" w:color="auto"/>
                      <w:vertAlign w:val="baseline"/>
                      <w:lang w:val="en-US" w:eastAsia="zh-CN"/>
                    </w:rPr>
                  </w:pPr>
                  <w:r>
                    <w:rPr>
                      <w:rFonts w:hint="eastAsia" w:ascii="Times New Roman" w:hAnsi="Times New Roman" w:eastAsia="宋体" w:cs="Times New Roman"/>
                      <w:color w:val="auto"/>
                      <w:highlight w:val="none"/>
                      <w:u w:val="single" w:color="auto"/>
                      <w:vertAlign w:val="baseline"/>
                      <w:lang w:val="en-US" w:eastAsia="zh-CN"/>
                    </w:rPr>
                    <w:t>10</w:t>
                  </w:r>
                  <w:r>
                    <w:rPr>
                      <w:rFonts w:hint="default" w:ascii="Times New Roman" w:hAnsi="Times New Roman" w:eastAsia="宋体" w:cs="Times New Roman"/>
                      <w:color w:val="auto"/>
                      <w:highlight w:val="none"/>
                      <w:u w:val="single" w:color="auto"/>
                      <w:vertAlign w:val="baseline"/>
                      <w:lang w:val="en-US" w:eastAsia="zh-CN"/>
                    </w:rPr>
                    <w:t>h</w:t>
                  </w:r>
                </w:p>
              </w:tc>
            </w:tr>
            <w:tr w14:paraId="1C6D82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276" w:type="pct"/>
                  <w:tcBorders>
                    <w:tl2br w:val="nil"/>
                    <w:tr2bl w:val="nil"/>
                  </w:tcBorders>
                  <w:noWrap w:val="0"/>
                  <w:vAlign w:val="center"/>
                </w:tcPr>
                <w:p w14:paraId="79FC74D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color w:val="auto"/>
                      <w:highlight w:val="none"/>
                      <w:u w:val="single" w:color="auto"/>
                      <w:vertAlign w:val="baseline"/>
                      <w:lang w:val="en-US" w:eastAsia="zh-CN"/>
                    </w:rPr>
                  </w:pPr>
                  <w:r>
                    <w:rPr>
                      <w:rFonts w:hint="default" w:ascii="Times New Roman" w:hAnsi="Times New Roman" w:cs="Times New Roman"/>
                      <w:color w:val="auto"/>
                      <w:sz w:val="21"/>
                      <w:szCs w:val="21"/>
                      <w:highlight w:val="none"/>
                      <w:u w:val="single" w:color="auto"/>
                    </w:rPr>
                    <w:t>2</w:t>
                  </w:r>
                </w:p>
              </w:tc>
              <w:tc>
                <w:tcPr>
                  <w:tcW w:w="522" w:type="pct"/>
                  <w:vMerge w:val="continue"/>
                  <w:tcBorders>
                    <w:tl2br w:val="nil"/>
                    <w:tr2bl w:val="nil"/>
                  </w:tcBorders>
                  <w:noWrap w:val="0"/>
                  <w:vAlign w:val="center"/>
                </w:tcPr>
                <w:p w14:paraId="7C406B10">
                  <w:pPr>
                    <w:jc w:val="center"/>
                    <w:rPr>
                      <w:rFonts w:hint="default" w:ascii="Times New Roman" w:hAnsi="Times New Roman" w:cs="Times New Roman"/>
                      <w:color w:val="auto"/>
                      <w:kern w:val="0"/>
                      <w:szCs w:val="21"/>
                      <w:highlight w:val="none"/>
                      <w:u w:val="single" w:color="auto"/>
                    </w:rPr>
                  </w:pPr>
                </w:p>
              </w:tc>
              <w:tc>
                <w:tcPr>
                  <w:tcW w:w="520" w:type="pct"/>
                  <w:tcBorders>
                    <w:tl2br w:val="nil"/>
                    <w:tr2bl w:val="nil"/>
                  </w:tcBorders>
                  <w:noWrap w:val="0"/>
                  <w:vAlign w:val="center"/>
                </w:tcPr>
                <w:p w14:paraId="27E7F995">
                  <w:pPr>
                    <w:jc w:val="center"/>
                    <w:rPr>
                      <w:rFonts w:hint="default" w:ascii="Times New Roman" w:hAnsi="Times New Roman" w:cs="Times New Roman"/>
                      <w:color w:val="auto"/>
                      <w:kern w:val="0"/>
                      <w:szCs w:val="21"/>
                      <w:highlight w:val="none"/>
                      <w:u w:val="single" w:color="auto"/>
                    </w:rPr>
                  </w:pPr>
                  <w:r>
                    <w:rPr>
                      <w:rFonts w:hint="eastAsia"/>
                      <w:color w:val="auto"/>
                      <w:szCs w:val="21"/>
                      <w:highlight w:val="none"/>
                      <w:u w:val="single" w:color="auto"/>
                      <w:lang w:val="en-US" w:eastAsia="zh-CN"/>
                    </w:rPr>
                    <w:t>罐车</w:t>
                  </w:r>
                </w:p>
              </w:tc>
              <w:tc>
                <w:tcPr>
                  <w:tcW w:w="476" w:type="pct"/>
                  <w:tcBorders>
                    <w:tl2br w:val="nil"/>
                    <w:tr2bl w:val="nil"/>
                  </w:tcBorders>
                  <w:noWrap w:val="0"/>
                  <w:vAlign w:val="center"/>
                </w:tcPr>
                <w:p w14:paraId="5457137D">
                  <w:pPr>
                    <w:jc w:val="center"/>
                    <w:rPr>
                      <w:rFonts w:hint="default" w:ascii="Times New Roman" w:hAnsi="Times New Roman" w:eastAsia="宋体" w:cs="Times New Roman"/>
                      <w:color w:val="auto"/>
                      <w:kern w:val="2"/>
                      <w:sz w:val="21"/>
                      <w:szCs w:val="24"/>
                      <w:highlight w:val="none"/>
                      <w:u w:val="single" w:color="auto"/>
                      <w:vertAlign w:val="baseline"/>
                      <w:lang w:val="en-US" w:eastAsia="zh-CN" w:bidi="ar-SA"/>
                    </w:rPr>
                  </w:pPr>
                  <w:r>
                    <w:rPr>
                      <w:rFonts w:hint="eastAsia" w:cs="Times New Roman"/>
                      <w:color w:val="auto"/>
                      <w:kern w:val="2"/>
                      <w:sz w:val="21"/>
                      <w:szCs w:val="24"/>
                      <w:highlight w:val="none"/>
                      <w:u w:val="single" w:color="auto"/>
                      <w:vertAlign w:val="baseline"/>
                      <w:lang w:val="en-US" w:eastAsia="zh-CN" w:bidi="ar-SA"/>
                    </w:rPr>
                    <w:t>8.5</w:t>
                  </w:r>
                </w:p>
              </w:tc>
              <w:tc>
                <w:tcPr>
                  <w:tcW w:w="425" w:type="pct"/>
                  <w:tcBorders>
                    <w:tl2br w:val="nil"/>
                    <w:tr2bl w:val="nil"/>
                  </w:tcBorders>
                  <w:noWrap w:val="0"/>
                  <w:vAlign w:val="center"/>
                </w:tcPr>
                <w:p w14:paraId="525BA8C0">
                  <w:pPr>
                    <w:jc w:val="center"/>
                    <w:rPr>
                      <w:rFonts w:hint="default" w:ascii="Times New Roman" w:hAnsi="Times New Roman" w:cs="Times New Roman"/>
                      <w:color w:val="auto"/>
                      <w:kern w:val="2"/>
                      <w:sz w:val="21"/>
                      <w:szCs w:val="24"/>
                      <w:highlight w:val="none"/>
                      <w:u w:val="single" w:color="auto"/>
                      <w:vertAlign w:val="baseline"/>
                      <w:lang w:val="en-US" w:eastAsia="zh-CN" w:bidi="ar-SA"/>
                    </w:rPr>
                  </w:pPr>
                  <w:r>
                    <w:rPr>
                      <w:rFonts w:hint="eastAsia" w:cs="Times New Roman"/>
                      <w:color w:val="auto"/>
                      <w:kern w:val="2"/>
                      <w:sz w:val="21"/>
                      <w:szCs w:val="24"/>
                      <w:highlight w:val="none"/>
                      <w:u w:val="single" w:color="auto"/>
                      <w:vertAlign w:val="baseline"/>
                      <w:lang w:val="en-US" w:eastAsia="zh-CN" w:bidi="ar-SA"/>
                    </w:rPr>
                    <w:t>16.5</w:t>
                  </w:r>
                </w:p>
              </w:tc>
              <w:tc>
                <w:tcPr>
                  <w:tcW w:w="386" w:type="pct"/>
                  <w:tcBorders>
                    <w:tl2br w:val="nil"/>
                    <w:tr2bl w:val="nil"/>
                  </w:tcBorders>
                  <w:noWrap w:val="0"/>
                  <w:vAlign w:val="center"/>
                </w:tcPr>
                <w:p w14:paraId="012E3B5E">
                  <w:pPr>
                    <w:jc w:val="center"/>
                    <w:rPr>
                      <w:rFonts w:hint="default" w:ascii="Times New Roman" w:hAnsi="Times New Roman" w:eastAsia="宋体"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1</w:t>
                  </w:r>
                </w:p>
              </w:tc>
              <w:tc>
                <w:tcPr>
                  <w:tcW w:w="756" w:type="pct"/>
                  <w:tcBorders>
                    <w:tl2br w:val="nil"/>
                    <w:tr2bl w:val="nil"/>
                  </w:tcBorders>
                  <w:noWrap w:val="0"/>
                  <w:vAlign w:val="center"/>
                </w:tcPr>
                <w:p w14:paraId="594AB92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highlight w:val="none"/>
                      <w:u w:val="single" w:color="auto"/>
                      <w:lang w:val="en-US" w:eastAsia="zh-CN"/>
                    </w:rPr>
                  </w:pPr>
                  <w:r>
                    <w:rPr>
                      <w:rFonts w:hint="eastAsia" w:cs="Times New Roman"/>
                      <w:color w:val="auto"/>
                      <w:sz w:val="21"/>
                      <w:szCs w:val="21"/>
                      <w:highlight w:val="none"/>
                      <w:u w:val="single" w:color="auto"/>
                      <w:lang w:val="en-US" w:eastAsia="zh-CN"/>
                    </w:rPr>
                    <w:t>80</w:t>
                  </w:r>
                  <w:r>
                    <w:rPr>
                      <w:rFonts w:hint="default" w:ascii="Times New Roman" w:hAnsi="Times New Roman" w:cs="Times New Roman"/>
                      <w:color w:val="auto"/>
                      <w:sz w:val="21"/>
                      <w:szCs w:val="21"/>
                      <w:highlight w:val="none"/>
                      <w:u w:val="single" w:color="auto"/>
                    </w:rPr>
                    <w:t>-8</w:t>
                  </w:r>
                  <w:r>
                    <w:rPr>
                      <w:rFonts w:hint="eastAsia" w:cs="Times New Roman"/>
                      <w:color w:val="auto"/>
                      <w:sz w:val="21"/>
                      <w:szCs w:val="21"/>
                      <w:highlight w:val="none"/>
                      <w:u w:val="single" w:color="auto"/>
                      <w:lang w:val="en-US" w:eastAsia="zh-CN"/>
                    </w:rPr>
                    <w:t>5</w:t>
                  </w:r>
                </w:p>
              </w:tc>
              <w:tc>
                <w:tcPr>
                  <w:tcW w:w="525" w:type="pct"/>
                  <w:vMerge w:val="continue"/>
                  <w:tcBorders>
                    <w:tl2br w:val="nil"/>
                    <w:tr2bl w:val="nil"/>
                  </w:tcBorders>
                  <w:noWrap w:val="0"/>
                  <w:vAlign w:val="center"/>
                </w:tcPr>
                <w:p w14:paraId="6F6C268D">
                  <w:pPr>
                    <w:jc w:val="center"/>
                    <w:rPr>
                      <w:rFonts w:hint="default" w:ascii="Times New Roman" w:hAnsi="Times New Roman" w:eastAsia="宋体" w:cs="Times New Roman"/>
                      <w:color w:val="auto"/>
                      <w:highlight w:val="green"/>
                      <w:u w:val="single" w:color="auto"/>
                    </w:rPr>
                  </w:pPr>
                </w:p>
              </w:tc>
              <w:tc>
                <w:tcPr>
                  <w:tcW w:w="645" w:type="pct"/>
                  <w:tcBorders>
                    <w:tl2br w:val="nil"/>
                    <w:tr2bl w:val="nil"/>
                  </w:tcBorders>
                  <w:noWrap w:val="0"/>
                  <w:vAlign w:val="center"/>
                </w:tcPr>
                <w:p w14:paraId="378886EE">
                  <w:pPr>
                    <w:jc w:val="center"/>
                    <w:rPr>
                      <w:rFonts w:hint="default" w:ascii="Times New Roman" w:hAnsi="Times New Roman" w:eastAsia="宋体"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65</w:t>
                  </w:r>
                </w:p>
              </w:tc>
              <w:tc>
                <w:tcPr>
                  <w:tcW w:w="466" w:type="pct"/>
                  <w:vMerge w:val="continue"/>
                  <w:tcBorders>
                    <w:tl2br w:val="nil"/>
                    <w:tr2bl w:val="nil"/>
                  </w:tcBorders>
                  <w:noWrap w:val="0"/>
                  <w:vAlign w:val="center"/>
                </w:tcPr>
                <w:p w14:paraId="58ED1777">
                  <w:pPr>
                    <w:ind w:firstLine="420" w:firstLineChars="200"/>
                    <w:jc w:val="center"/>
                    <w:rPr>
                      <w:rFonts w:hint="default" w:ascii="Times New Roman" w:hAnsi="Times New Roman" w:eastAsia="宋体" w:cs="Times New Roman"/>
                      <w:color w:val="auto"/>
                      <w:highlight w:val="green"/>
                      <w:u w:val="single" w:color="auto"/>
                      <w:vertAlign w:val="baseline"/>
                      <w:lang w:val="en-US" w:eastAsia="zh-CN"/>
                    </w:rPr>
                  </w:pPr>
                </w:p>
              </w:tc>
            </w:tr>
            <w:tr w14:paraId="3E3987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276" w:type="pct"/>
                  <w:tcBorders>
                    <w:tl2br w:val="nil"/>
                    <w:tr2bl w:val="nil"/>
                  </w:tcBorders>
                  <w:noWrap w:val="0"/>
                  <w:vAlign w:val="center"/>
                </w:tcPr>
                <w:p w14:paraId="716EA76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color w:val="auto"/>
                      <w:highlight w:val="none"/>
                      <w:u w:val="single" w:color="auto"/>
                      <w:vertAlign w:val="baseline"/>
                      <w:lang w:val="en-US" w:eastAsia="zh-CN"/>
                    </w:rPr>
                  </w:pPr>
                  <w:r>
                    <w:rPr>
                      <w:rFonts w:hint="eastAsia" w:cs="Times New Roman"/>
                      <w:color w:val="auto"/>
                      <w:sz w:val="21"/>
                      <w:szCs w:val="21"/>
                      <w:highlight w:val="none"/>
                      <w:u w:val="single" w:color="auto"/>
                      <w:lang w:val="en-US" w:eastAsia="zh-CN"/>
                    </w:rPr>
                    <w:t>3</w:t>
                  </w:r>
                </w:p>
              </w:tc>
              <w:tc>
                <w:tcPr>
                  <w:tcW w:w="522" w:type="pct"/>
                  <w:vMerge w:val="continue"/>
                  <w:tcBorders>
                    <w:tl2br w:val="nil"/>
                    <w:tr2bl w:val="nil"/>
                  </w:tcBorders>
                  <w:noWrap w:val="0"/>
                  <w:vAlign w:val="center"/>
                </w:tcPr>
                <w:p w14:paraId="1BA9BD12">
                  <w:pPr>
                    <w:jc w:val="center"/>
                    <w:rPr>
                      <w:rFonts w:hint="default" w:ascii="Times New Roman" w:hAnsi="Times New Roman" w:cs="Times New Roman"/>
                      <w:color w:val="auto"/>
                      <w:kern w:val="0"/>
                      <w:szCs w:val="21"/>
                      <w:highlight w:val="none"/>
                      <w:u w:val="single" w:color="auto"/>
                    </w:rPr>
                  </w:pPr>
                </w:p>
              </w:tc>
              <w:tc>
                <w:tcPr>
                  <w:tcW w:w="520" w:type="pct"/>
                  <w:tcBorders>
                    <w:tl2br w:val="nil"/>
                    <w:tr2bl w:val="nil"/>
                  </w:tcBorders>
                  <w:noWrap w:val="0"/>
                  <w:vAlign w:val="center"/>
                </w:tcPr>
                <w:p w14:paraId="06159C4C">
                  <w:pPr>
                    <w:jc w:val="center"/>
                    <w:rPr>
                      <w:rFonts w:hint="default" w:ascii="Times New Roman" w:hAnsi="Times New Roman" w:cs="Times New Roman"/>
                      <w:color w:val="auto"/>
                      <w:kern w:val="0"/>
                      <w:szCs w:val="21"/>
                      <w:highlight w:val="none"/>
                      <w:u w:val="single" w:color="auto"/>
                    </w:rPr>
                  </w:pPr>
                  <w:r>
                    <w:rPr>
                      <w:rFonts w:hint="eastAsia"/>
                      <w:color w:val="auto"/>
                      <w:szCs w:val="21"/>
                      <w:highlight w:val="none"/>
                      <w:u w:val="single" w:color="auto"/>
                      <w:lang w:val="en-US" w:eastAsia="zh-CN"/>
                    </w:rPr>
                    <w:t>铲车</w:t>
                  </w:r>
                </w:p>
              </w:tc>
              <w:tc>
                <w:tcPr>
                  <w:tcW w:w="476" w:type="pct"/>
                  <w:tcBorders>
                    <w:tl2br w:val="nil"/>
                    <w:tr2bl w:val="nil"/>
                  </w:tcBorders>
                  <w:noWrap w:val="0"/>
                  <w:vAlign w:val="center"/>
                </w:tcPr>
                <w:p w14:paraId="41BD5FBA">
                  <w:pPr>
                    <w:jc w:val="center"/>
                    <w:rPr>
                      <w:rFonts w:hint="default" w:ascii="Times New Roman" w:hAnsi="Times New Roman" w:eastAsia="宋体" w:cs="Times New Roman"/>
                      <w:color w:val="auto"/>
                      <w:kern w:val="2"/>
                      <w:sz w:val="21"/>
                      <w:szCs w:val="24"/>
                      <w:highlight w:val="none"/>
                      <w:u w:val="single" w:color="auto"/>
                      <w:vertAlign w:val="baseline"/>
                      <w:lang w:val="en-US" w:eastAsia="zh-CN" w:bidi="ar-SA"/>
                    </w:rPr>
                  </w:pPr>
                  <w:r>
                    <w:rPr>
                      <w:rFonts w:hint="eastAsia" w:cs="Times New Roman"/>
                      <w:color w:val="auto"/>
                      <w:kern w:val="2"/>
                      <w:sz w:val="21"/>
                      <w:szCs w:val="24"/>
                      <w:highlight w:val="none"/>
                      <w:u w:val="single" w:color="auto"/>
                      <w:vertAlign w:val="baseline"/>
                      <w:lang w:val="en-US" w:eastAsia="zh-CN" w:bidi="ar-SA"/>
                    </w:rPr>
                    <w:t>4.71</w:t>
                  </w:r>
                </w:p>
              </w:tc>
              <w:tc>
                <w:tcPr>
                  <w:tcW w:w="425" w:type="pct"/>
                  <w:tcBorders>
                    <w:tl2br w:val="nil"/>
                    <w:tr2bl w:val="nil"/>
                  </w:tcBorders>
                  <w:noWrap w:val="0"/>
                  <w:vAlign w:val="center"/>
                </w:tcPr>
                <w:p w14:paraId="118EB188">
                  <w:pPr>
                    <w:jc w:val="center"/>
                    <w:rPr>
                      <w:rFonts w:hint="default" w:ascii="Times New Roman" w:hAnsi="Times New Roman" w:cs="Times New Roman"/>
                      <w:color w:val="auto"/>
                      <w:kern w:val="2"/>
                      <w:sz w:val="21"/>
                      <w:szCs w:val="24"/>
                      <w:highlight w:val="none"/>
                      <w:u w:val="single" w:color="auto"/>
                      <w:vertAlign w:val="baseline"/>
                      <w:lang w:val="en-US" w:eastAsia="zh-CN" w:bidi="ar-SA"/>
                    </w:rPr>
                  </w:pPr>
                  <w:r>
                    <w:rPr>
                      <w:rFonts w:hint="eastAsia" w:cs="Times New Roman"/>
                      <w:color w:val="auto"/>
                      <w:kern w:val="2"/>
                      <w:sz w:val="21"/>
                      <w:szCs w:val="24"/>
                      <w:highlight w:val="none"/>
                      <w:u w:val="single" w:color="auto"/>
                      <w:vertAlign w:val="baseline"/>
                      <w:lang w:val="en-US" w:eastAsia="zh-CN" w:bidi="ar-SA"/>
                    </w:rPr>
                    <w:t>20.77</w:t>
                  </w:r>
                </w:p>
              </w:tc>
              <w:tc>
                <w:tcPr>
                  <w:tcW w:w="386" w:type="pct"/>
                  <w:tcBorders>
                    <w:tl2br w:val="nil"/>
                    <w:tr2bl w:val="nil"/>
                  </w:tcBorders>
                  <w:noWrap w:val="0"/>
                  <w:vAlign w:val="center"/>
                </w:tcPr>
                <w:p w14:paraId="25AA3E75">
                  <w:pPr>
                    <w:jc w:val="center"/>
                    <w:rPr>
                      <w:rFonts w:hint="default" w:ascii="Times New Roman" w:hAnsi="Times New Roman" w:eastAsia="宋体"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1</w:t>
                  </w:r>
                </w:p>
              </w:tc>
              <w:tc>
                <w:tcPr>
                  <w:tcW w:w="756" w:type="pct"/>
                  <w:tcBorders>
                    <w:tl2br w:val="nil"/>
                    <w:tr2bl w:val="nil"/>
                  </w:tcBorders>
                  <w:noWrap w:val="0"/>
                  <w:vAlign w:val="center"/>
                </w:tcPr>
                <w:p w14:paraId="71F98EE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highlight w:val="none"/>
                      <w:u w:val="single" w:color="auto"/>
                      <w:lang w:val="en-US" w:eastAsia="zh-CN"/>
                    </w:rPr>
                  </w:pPr>
                  <w:r>
                    <w:rPr>
                      <w:rFonts w:hint="eastAsia" w:cs="Times New Roman"/>
                      <w:color w:val="auto"/>
                      <w:sz w:val="21"/>
                      <w:szCs w:val="21"/>
                      <w:highlight w:val="none"/>
                      <w:u w:val="single" w:color="auto"/>
                      <w:lang w:val="en-US" w:eastAsia="zh-CN"/>
                    </w:rPr>
                    <w:t>80-85</w:t>
                  </w:r>
                </w:p>
              </w:tc>
              <w:tc>
                <w:tcPr>
                  <w:tcW w:w="525" w:type="pct"/>
                  <w:vMerge w:val="continue"/>
                  <w:tcBorders>
                    <w:tl2br w:val="nil"/>
                    <w:tr2bl w:val="nil"/>
                  </w:tcBorders>
                  <w:noWrap w:val="0"/>
                  <w:vAlign w:val="center"/>
                </w:tcPr>
                <w:p w14:paraId="027027E6">
                  <w:pPr>
                    <w:jc w:val="center"/>
                    <w:rPr>
                      <w:rFonts w:hint="default" w:ascii="Times New Roman" w:hAnsi="Times New Roman" w:eastAsia="宋体" w:cs="Times New Roman"/>
                      <w:color w:val="auto"/>
                      <w:highlight w:val="green"/>
                      <w:u w:val="single" w:color="auto"/>
                    </w:rPr>
                  </w:pPr>
                </w:p>
              </w:tc>
              <w:tc>
                <w:tcPr>
                  <w:tcW w:w="645" w:type="pct"/>
                  <w:tcBorders>
                    <w:tl2br w:val="nil"/>
                    <w:tr2bl w:val="nil"/>
                  </w:tcBorders>
                  <w:noWrap w:val="0"/>
                  <w:vAlign w:val="center"/>
                </w:tcPr>
                <w:p w14:paraId="44AA3FD1">
                  <w:pPr>
                    <w:jc w:val="center"/>
                    <w:rPr>
                      <w:rFonts w:hint="default" w:ascii="Times New Roman" w:hAnsi="Times New Roman" w:eastAsia="宋体"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65</w:t>
                  </w:r>
                </w:p>
              </w:tc>
              <w:tc>
                <w:tcPr>
                  <w:tcW w:w="466" w:type="pct"/>
                  <w:vMerge w:val="continue"/>
                  <w:tcBorders>
                    <w:tl2br w:val="nil"/>
                    <w:tr2bl w:val="nil"/>
                  </w:tcBorders>
                  <w:noWrap w:val="0"/>
                  <w:vAlign w:val="center"/>
                </w:tcPr>
                <w:p w14:paraId="14AD0D91">
                  <w:pPr>
                    <w:ind w:firstLine="420" w:firstLineChars="200"/>
                    <w:jc w:val="center"/>
                    <w:rPr>
                      <w:rFonts w:hint="default" w:ascii="Times New Roman" w:hAnsi="Times New Roman" w:eastAsia="宋体" w:cs="Times New Roman"/>
                      <w:color w:val="auto"/>
                      <w:highlight w:val="green"/>
                      <w:u w:val="single" w:color="auto"/>
                      <w:vertAlign w:val="baseline"/>
                      <w:lang w:val="en-US" w:eastAsia="zh-CN"/>
                    </w:rPr>
                  </w:pPr>
                </w:p>
              </w:tc>
            </w:tr>
            <w:tr w14:paraId="19350D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76" w:type="pct"/>
                  <w:tcBorders>
                    <w:tl2br w:val="nil"/>
                    <w:tr2bl w:val="nil"/>
                  </w:tcBorders>
                  <w:noWrap w:val="0"/>
                  <w:vAlign w:val="center"/>
                </w:tcPr>
                <w:p w14:paraId="72D03CC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color w:val="auto"/>
                      <w:highlight w:val="none"/>
                      <w:u w:val="single" w:color="auto"/>
                      <w:vertAlign w:val="baseline"/>
                      <w:lang w:val="en-US" w:eastAsia="zh-CN"/>
                    </w:rPr>
                  </w:pPr>
                  <w:r>
                    <w:rPr>
                      <w:rFonts w:hint="eastAsia" w:cs="Times New Roman"/>
                      <w:color w:val="auto"/>
                      <w:sz w:val="21"/>
                      <w:szCs w:val="21"/>
                      <w:highlight w:val="none"/>
                      <w:u w:val="single" w:color="auto"/>
                      <w:lang w:val="en-US" w:eastAsia="zh-CN"/>
                    </w:rPr>
                    <w:t>4</w:t>
                  </w:r>
                </w:p>
              </w:tc>
              <w:tc>
                <w:tcPr>
                  <w:tcW w:w="522" w:type="pct"/>
                  <w:vMerge w:val="continue"/>
                  <w:tcBorders>
                    <w:tl2br w:val="nil"/>
                    <w:tr2bl w:val="nil"/>
                  </w:tcBorders>
                  <w:noWrap w:val="0"/>
                  <w:vAlign w:val="center"/>
                </w:tcPr>
                <w:p w14:paraId="452B1692">
                  <w:pPr>
                    <w:jc w:val="center"/>
                    <w:rPr>
                      <w:rFonts w:hint="default" w:ascii="Times New Roman" w:hAnsi="Times New Roman" w:cs="Times New Roman"/>
                      <w:color w:val="auto"/>
                      <w:kern w:val="0"/>
                      <w:szCs w:val="21"/>
                      <w:highlight w:val="none"/>
                      <w:u w:val="single" w:color="auto"/>
                    </w:rPr>
                  </w:pPr>
                </w:p>
              </w:tc>
              <w:tc>
                <w:tcPr>
                  <w:tcW w:w="520" w:type="pct"/>
                  <w:tcBorders>
                    <w:tl2br w:val="nil"/>
                    <w:tr2bl w:val="nil"/>
                  </w:tcBorders>
                  <w:noWrap w:val="0"/>
                  <w:vAlign w:val="center"/>
                </w:tcPr>
                <w:p w14:paraId="4C1960C1">
                  <w:pPr>
                    <w:widowControl/>
                    <w:adjustRightInd w:val="0"/>
                    <w:snapToGrid w:val="0"/>
                    <w:jc w:val="center"/>
                    <w:rPr>
                      <w:rFonts w:hint="eastAsia" w:ascii="Times New Roman" w:hAnsi="Times New Roman" w:cs="Times New Roman"/>
                      <w:color w:val="auto"/>
                      <w:kern w:val="0"/>
                      <w:szCs w:val="21"/>
                      <w:highlight w:val="none"/>
                      <w:u w:val="single" w:color="auto"/>
                      <w:lang w:val="en-US" w:eastAsia="zh-CN"/>
                    </w:rPr>
                  </w:pPr>
                  <w:r>
                    <w:rPr>
                      <w:rFonts w:hint="eastAsia" w:ascii="宋体" w:hAnsi="宋体" w:eastAsia="宋体" w:cs="宋体"/>
                      <w:color w:val="auto"/>
                      <w:kern w:val="0"/>
                      <w:sz w:val="21"/>
                      <w:szCs w:val="21"/>
                      <w:highlight w:val="none"/>
                      <w:u w:val="single" w:color="auto"/>
                      <w:lang w:eastAsia="zh-CN"/>
                    </w:rPr>
                    <w:t>集料平皮带输送机</w:t>
                  </w:r>
                </w:p>
              </w:tc>
              <w:tc>
                <w:tcPr>
                  <w:tcW w:w="476" w:type="pct"/>
                  <w:tcBorders>
                    <w:tl2br w:val="nil"/>
                    <w:tr2bl w:val="nil"/>
                  </w:tcBorders>
                  <w:noWrap w:val="0"/>
                  <w:vAlign w:val="center"/>
                </w:tcPr>
                <w:p w14:paraId="6E9DA464">
                  <w:pPr>
                    <w:jc w:val="center"/>
                    <w:rPr>
                      <w:rFonts w:hint="default" w:ascii="Times New Roman" w:hAnsi="Times New Roman" w:cs="Times New Roman"/>
                      <w:color w:val="auto"/>
                      <w:kern w:val="2"/>
                      <w:sz w:val="21"/>
                      <w:szCs w:val="24"/>
                      <w:highlight w:val="none"/>
                      <w:u w:val="single" w:color="auto"/>
                      <w:vertAlign w:val="baseline"/>
                      <w:lang w:val="en-US" w:eastAsia="zh-CN" w:bidi="ar-SA"/>
                    </w:rPr>
                  </w:pPr>
                  <w:r>
                    <w:rPr>
                      <w:rFonts w:hint="eastAsia" w:cs="Times New Roman"/>
                      <w:color w:val="auto"/>
                      <w:kern w:val="2"/>
                      <w:sz w:val="21"/>
                      <w:szCs w:val="24"/>
                      <w:highlight w:val="none"/>
                      <w:u w:val="single" w:color="auto"/>
                      <w:vertAlign w:val="baseline"/>
                      <w:lang w:val="en-US" w:eastAsia="zh-CN" w:bidi="ar-SA"/>
                    </w:rPr>
                    <w:t>-10</w:t>
                  </w:r>
                </w:p>
              </w:tc>
              <w:tc>
                <w:tcPr>
                  <w:tcW w:w="425" w:type="pct"/>
                  <w:tcBorders>
                    <w:tl2br w:val="nil"/>
                    <w:tr2bl w:val="nil"/>
                  </w:tcBorders>
                  <w:noWrap w:val="0"/>
                  <w:vAlign w:val="center"/>
                </w:tcPr>
                <w:p w14:paraId="28ABA6FA">
                  <w:pPr>
                    <w:jc w:val="center"/>
                    <w:rPr>
                      <w:rFonts w:hint="default" w:ascii="Times New Roman" w:hAnsi="Times New Roman" w:eastAsia="宋体"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18.4</w:t>
                  </w:r>
                </w:p>
              </w:tc>
              <w:tc>
                <w:tcPr>
                  <w:tcW w:w="386" w:type="pct"/>
                  <w:tcBorders>
                    <w:tl2br w:val="nil"/>
                    <w:tr2bl w:val="nil"/>
                  </w:tcBorders>
                  <w:noWrap w:val="0"/>
                  <w:vAlign w:val="center"/>
                </w:tcPr>
                <w:p w14:paraId="432C7E94">
                  <w:pPr>
                    <w:jc w:val="center"/>
                    <w:rPr>
                      <w:rFonts w:hint="default" w:ascii="Times New Roman" w:hAnsi="Times New Roman"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1</w:t>
                  </w:r>
                </w:p>
              </w:tc>
              <w:tc>
                <w:tcPr>
                  <w:tcW w:w="756" w:type="pct"/>
                  <w:tcBorders>
                    <w:tl2br w:val="nil"/>
                    <w:tr2bl w:val="nil"/>
                  </w:tcBorders>
                  <w:noWrap w:val="0"/>
                  <w:vAlign w:val="center"/>
                </w:tcPr>
                <w:p w14:paraId="3C1FEB3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bCs/>
                      <w:color w:val="auto"/>
                      <w:sz w:val="21"/>
                      <w:szCs w:val="21"/>
                      <w:highlight w:val="none"/>
                      <w:u w:val="single" w:color="auto"/>
                      <w:lang w:val="en-US" w:eastAsia="zh-CN"/>
                    </w:rPr>
                  </w:pPr>
                  <w:r>
                    <w:rPr>
                      <w:rFonts w:hint="eastAsia" w:cs="Times New Roman"/>
                      <w:color w:val="auto"/>
                      <w:sz w:val="21"/>
                      <w:szCs w:val="21"/>
                      <w:highlight w:val="none"/>
                      <w:u w:val="single" w:color="auto"/>
                      <w:lang w:val="en-US" w:eastAsia="zh-CN"/>
                    </w:rPr>
                    <w:t>75-80</w:t>
                  </w:r>
                </w:p>
              </w:tc>
              <w:tc>
                <w:tcPr>
                  <w:tcW w:w="525" w:type="pct"/>
                  <w:vMerge w:val="continue"/>
                  <w:tcBorders>
                    <w:tl2br w:val="nil"/>
                    <w:tr2bl w:val="nil"/>
                  </w:tcBorders>
                  <w:noWrap w:val="0"/>
                  <w:vAlign w:val="center"/>
                </w:tcPr>
                <w:p w14:paraId="52FC08AC">
                  <w:pPr>
                    <w:jc w:val="center"/>
                    <w:rPr>
                      <w:rFonts w:hint="default" w:ascii="Times New Roman" w:hAnsi="Times New Roman" w:eastAsia="宋体" w:cs="Times New Roman"/>
                      <w:color w:val="auto"/>
                      <w:highlight w:val="green"/>
                      <w:u w:val="single" w:color="auto"/>
                      <w:vertAlign w:val="baseline"/>
                      <w:lang w:val="en-US" w:eastAsia="zh-CN"/>
                    </w:rPr>
                  </w:pPr>
                </w:p>
              </w:tc>
              <w:tc>
                <w:tcPr>
                  <w:tcW w:w="645" w:type="pct"/>
                  <w:tcBorders>
                    <w:tl2br w:val="nil"/>
                    <w:tr2bl w:val="nil"/>
                  </w:tcBorders>
                  <w:noWrap w:val="0"/>
                  <w:vAlign w:val="center"/>
                </w:tcPr>
                <w:p w14:paraId="2E5C36A1">
                  <w:pPr>
                    <w:jc w:val="center"/>
                    <w:rPr>
                      <w:rFonts w:hint="default" w:ascii="Times New Roman" w:hAnsi="Times New Roman" w:eastAsia="宋体"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60</w:t>
                  </w:r>
                </w:p>
              </w:tc>
              <w:tc>
                <w:tcPr>
                  <w:tcW w:w="466" w:type="pct"/>
                  <w:vMerge w:val="continue"/>
                  <w:tcBorders>
                    <w:tl2br w:val="nil"/>
                    <w:tr2bl w:val="nil"/>
                  </w:tcBorders>
                  <w:noWrap w:val="0"/>
                  <w:vAlign w:val="center"/>
                </w:tcPr>
                <w:p w14:paraId="434A93FC">
                  <w:pPr>
                    <w:jc w:val="center"/>
                    <w:rPr>
                      <w:rFonts w:hint="default" w:ascii="Times New Roman" w:hAnsi="Times New Roman" w:eastAsia="宋体" w:cs="Times New Roman"/>
                      <w:color w:val="auto"/>
                      <w:highlight w:val="green"/>
                      <w:u w:val="single" w:color="auto"/>
                      <w:vertAlign w:val="baseline"/>
                      <w:lang w:val="en-US" w:eastAsia="zh-CN"/>
                    </w:rPr>
                  </w:pPr>
                </w:p>
              </w:tc>
            </w:tr>
            <w:tr w14:paraId="6C563A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76" w:type="pct"/>
                  <w:tcBorders>
                    <w:tl2br w:val="nil"/>
                    <w:tr2bl w:val="nil"/>
                  </w:tcBorders>
                  <w:noWrap w:val="0"/>
                  <w:vAlign w:val="center"/>
                </w:tcPr>
                <w:p w14:paraId="2C1FB88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color w:val="auto"/>
                      <w:highlight w:val="none"/>
                      <w:u w:val="single" w:color="auto"/>
                      <w:vertAlign w:val="baseline"/>
                      <w:lang w:val="en-US" w:eastAsia="zh-CN"/>
                    </w:rPr>
                  </w:pPr>
                  <w:r>
                    <w:rPr>
                      <w:rFonts w:hint="eastAsia" w:cs="Times New Roman"/>
                      <w:color w:val="auto"/>
                      <w:sz w:val="21"/>
                      <w:szCs w:val="21"/>
                      <w:highlight w:val="none"/>
                      <w:u w:val="single" w:color="auto"/>
                      <w:lang w:val="en-US" w:eastAsia="zh-CN"/>
                    </w:rPr>
                    <w:t>5</w:t>
                  </w:r>
                </w:p>
              </w:tc>
              <w:tc>
                <w:tcPr>
                  <w:tcW w:w="522" w:type="pct"/>
                  <w:vMerge w:val="continue"/>
                  <w:tcBorders>
                    <w:tl2br w:val="nil"/>
                    <w:tr2bl w:val="nil"/>
                  </w:tcBorders>
                  <w:noWrap w:val="0"/>
                  <w:vAlign w:val="center"/>
                </w:tcPr>
                <w:p w14:paraId="12E567EA">
                  <w:pPr>
                    <w:jc w:val="center"/>
                    <w:rPr>
                      <w:rFonts w:hint="default" w:ascii="Times New Roman" w:hAnsi="Times New Roman" w:cs="Times New Roman"/>
                      <w:color w:val="auto"/>
                      <w:kern w:val="0"/>
                      <w:szCs w:val="21"/>
                      <w:highlight w:val="none"/>
                      <w:u w:val="single" w:color="auto"/>
                    </w:rPr>
                  </w:pPr>
                </w:p>
              </w:tc>
              <w:tc>
                <w:tcPr>
                  <w:tcW w:w="520" w:type="pct"/>
                  <w:tcBorders>
                    <w:tl2br w:val="nil"/>
                    <w:tr2bl w:val="nil"/>
                  </w:tcBorders>
                  <w:noWrap w:val="0"/>
                  <w:vAlign w:val="center"/>
                </w:tcPr>
                <w:p w14:paraId="75E87919">
                  <w:pPr>
                    <w:widowControl/>
                    <w:adjustRightInd w:val="0"/>
                    <w:snapToGrid w:val="0"/>
                    <w:jc w:val="center"/>
                    <w:rPr>
                      <w:rFonts w:hint="eastAsia" w:ascii="Times New Roman" w:hAnsi="Times New Roman" w:cs="Times New Roman"/>
                      <w:color w:val="auto"/>
                      <w:kern w:val="0"/>
                      <w:szCs w:val="21"/>
                      <w:highlight w:val="none"/>
                      <w:u w:val="single" w:color="auto"/>
                      <w:lang w:val="en-US" w:eastAsia="zh-CN"/>
                    </w:rPr>
                  </w:pPr>
                  <w:r>
                    <w:rPr>
                      <w:rFonts w:hint="eastAsia" w:ascii="宋体" w:hAnsi="宋体" w:eastAsia="宋体" w:cs="宋体"/>
                      <w:color w:val="auto"/>
                      <w:kern w:val="0"/>
                      <w:sz w:val="21"/>
                      <w:szCs w:val="21"/>
                      <w:highlight w:val="none"/>
                      <w:u w:val="single" w:color="auto"/>
                      <w:lang w:eastAsia="zh-CN"/>
                    </w:rPr>
                    <w:t>斜皮带输送机</w:t>
                  </w:r>
                </w:p>
              </w:tc>
              <w:tc>
                <w:tcPr>
                  <w:tcW w:w="476" w:type="pct"/>
                  <w:tcBorders>
                    <w:tl2br w:val="nil"/>
                    <w:tr2bl w:val="nil"/>
                  </w:tcBorders>
                  <w:noWrap w:val="0"/>
                  <w:vAlign w:val="center"/>
                </w:tcPr>
                <w:p w14:paraId="27573DEC">
                  <w:pPr>
                    <w:jc w:val="center"/>
                    <w:rPr>
                      <w:rFonts w:hint="default" w:ascii="Times New Roman" w:hAnsi="Times New Roman" w:cs="Times New Roman"/>
                      <w:color w:val="auto"/>
                      <w:kern w:val="2"/>
                      <w:sz w:val="21"/>
                      <w:szCs w:val="24"/>
                      <w:highlight w:val="none"/>
                      <w:u w:val="single" w:color="auto"/>
                      <w:vertAlign w:val="baseline"/>
                      <w:lang w:val="en-US" w:eastAsia="zh-CN" w:bidi="ar-SA"/>
                    </w:rPr>
                  </w:pPr>
                  <w:r>
                    <w:rPr>
                      <w:rFonts w:hint="eastAsia" w:cs="Times New Roman"/>
                      <w:color w:val="auto"/>
                      <w:kern w:val="2"/>
                      <w:sz w:val="21"/>
                      <w:szCs w:val="24"/>
                      <w:highlight w:val="none"/>
                      <w:u w:val="single" w:color="auto"/>
                      <w:vertAlign w:val="baseline"/>
                      <w:lang w:val="en-US" w:eastAsia="zh-CN" w:bidi="ar-SA"/>
                    </w:rPr>
                    <w:t>-8</w:t>
                  </w:r>
                </w:p>
              </w:tc>
              <w:tc>
                <w:tcPr>
                  <w:tcW w:w="425" w:type="pct"/>
                  <w:tcBorders>
                    <w:tl2br w:val="nil"/>
                    <w:tr2bl w:val="nil"/>
                  </w:tcBorders>
                  <w:noWrap w:val="0"/>
                  <w:vAlign w:val="center"/>
                </w:tcPr>
                <w:p w14:paraId="3BCF8813">
                  <w:pPr>
                    <w:jc w:val="center"/>
                    <w:rPr>
                      <w:rFonts w:hint="default" w:ascii="Times New Roman" w:hAnsi="Times New Roman" w:eastAsia="宋体"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16.2</w:t>
                  </w:r>
                </w:p>
              </w:tc>
              <w:tc>
                <w:tcPr>
                  <w:tcW w:w="386" w:type="pct"/>
                  <w:tcBorders>
                    <w:tl2br w:val="nil"/>
                    <w:tr2bl w:val="nil"/>
                  </w:tcBorders>
                  <w:noWrap w:val="0"/>
                  <w:vAlign w:val="center"/>
                </w:tcPr>
                <w:p w14:paraId="73935E79">
                  <w:pPr>
                    <w:jc w:val="center"/>
                    <w:rPr>
                      <w:rFonts w:hint="default" w:ascii="Times New Roman" w:hAnsi="Times New Roman"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1</w:t>
                  </w:r>
                </w:p>
              </w:tc>
              <w:tc>
                <w:tcPr>
                  <w:tcW w:w="756" w:type="pct"/>
                  <w:tcBorders>
                    <w:tl2br w:val="nil"/>
                    <w:tr2bl w:val="nil"/>
                  </w:tcBorders>
                  <w:noWrap w:val="0"/>
                  <w:vAlign w:val="center"/>
                </w:tcPr>
                <w:p w14:paraId="3CB6AED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bCs/>
                      <w:color w:val="auto"/>
                      <w:sz w:val="21"/>
                      <w:szCs w:val="21"/>
                      <w:highlight w:val="none"/>
                      <w:u w:val="single" w:color="auto"/>
                      <w:lang w:val="en-US" w:eastAsia="zh-CN"/>
                    </w:rPr>
                  </w:pPr>
                  <w:r>
                    <w:rPr>
                      <w:rFonts w:hint="eastAsia" w:cs="Times New Roman"/>
                      <w:color w:val="auto"/>
                      <w:sz w:val="21"/>
                      <w:szCs w:val="21"/>
                      <w:highlight w:val="none"/>
                      <w:u w:val="single" w:color="auto"/>
                      <w:lang w:val="en-US" w:eastAsia="zh-CN"/>
                    </w:rPr>
                    <w:t>75-80</w:t>
                  </w:r>
                </w:p>
              </w:tc>
              <w:tc>
                <w:tcPr>
                  <w:tcW w:w="525" w:type="pct"/>
                  <w:vMerge w:val="continue"/>
                  <w:tcBorders>
                    <w:tl2br w:val="nil"/>
                    <w:tr2bl w:val="nil"/>
                  </w:tcBorders>
                  <w:noWrap w:val="0"/>
                  <w:vAlign w:val="center"/>
                </w:tcPr>
                <w:p w14:paraId="46E5D690">
                  <w:pPr>
                    <w:jc w:val="center"/>
                    <w:rPr>
                      <w:rFonts w:hint="default" w:ascii="Times New Roman" w:hAnsi="Times New Roman" w:eastAsia="宋体" w:cs="Times New Roman"/>
                      <w:color w:val="auto"/>
                      <w:highlight w:val="green"/>
                      <w:u w:val="single" w:color="auto"/>
                      <w:vertAlign w:val="baseline"/>
                      <w:lang w:val="en-US" w:eastAsia="zh-CN"/>
                    </w:rPr>
                  </w:pPr>
                </w:p>
              </w:tc>
              <w:tc>
                <w:tcPr>
                  <w:tcW w:w="645" w:type="pct"/>
                  <w:tcBorders>
                    <w:tl2br w:val="nil"/>
                    <w:tr2bl w:val="nil"/>
                  </w:tcBorders>
                  <w:noWrap w:val="0"/>
                  <w:vAlign w:val="center"/>
                </w:tcPr>
                <w:p w14:paraId="4F43C543">
                  <w:pPr>
                    <w:jc w:val="center"/>
                    <w:rPr>
                      <w:rFonts w:hint="default" w:ascii="Times New Roman" w:hAnsi="Times New Roman" w:eastAsia="宋体"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60</w:t>
                  </w:r>
                </w:p>
              </w:tc>
              <w:tc>
                <w:tcPr>
                  <w:tcW w:w="466" w:type="pct"/>
                  <w:vMerge w:val="continue"/>
                  <w:tcBorders>
                    <w:tl2br w:val="nil"/>
                    <w:tr2bl w:val="nil"/>
                  </w:tcBorders>
                  <w:noWrap w:val="0"/>
                  <w:vAlign w:val="center"/>
                </w:tcPr>
                <w:p w14:paraId="69F3C62A">
                  <w:pPr>
                    <w:jc w:val="center"/>
                    <w:rPr>
                      <w:rFonts w:hint="default" w:ascii="Times New Roman" w:hAnsi="Times New Roman" w:eastAsia="宋体" w:cs="Times New Roman"/>
                      <w:color w:val="auto"/>
                      <w:highlight w:val="green"/>
                      <w:u w:val="single" w:color="auto"/>
                      <w:vertAlign w:val="baseline"/>
                      <w:lang w:val="en-US" w:eastAsia="zh-CN"/>
                    </w:rPr>
                  </w:pPr>
                </w:p>
              </w:tc>
            </w:tr>
            <w:tr w14:paraId="1A6A93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76" w:type="pct"/>
                  <w:tcBorders>
                    <w:tl2br w:val="nil"/>
                    <w:tr2bl w:val="nil"/>
                  </w:tcBorders>
                  <w:noWrap w:val="0"/>
                  <w:vAlign w:val="center"/>
                </w:tcPr>
                <w:p w14:paraId="7E3BDAB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color w:val="auto"/>
                      <w:highlight w:val="none"/>
                      <w:u w:val="single" w:color="auto"/>
                      <w:vertAlign w:val="baseline"/>
                      <w:lang w:val="en-US" w:eastAsia="zh-CN"/>
                    </w:rPr>
                  </w:pPr>
                  <w:r>
                    <w:rPr>
                      <w:rFonts w:hint="eastAsia" w:cs="Times New Roman"/>
                      <w:color w:val="auto"/>
                      <w:sz w:val="21"/>
                      <w:szCs w:val="21"/>
                      <w:highlight w:val="none"/>
                      <w:u w:val="single" w:color="auto"/>
                      <w:lang w:val="en-US" w:eastAsia="zh-CN"/>
                    </w:rPr>
                    <w:t>6</w:t>
                  </w:r>
                </w:p>
              </w:tc>
              <w:tc>
                <w:tcPr>
                  <w:tcW w:w="522" w:type="pct"/>
                  <w:vMerge w:val="continue"/>
                  <w:tcBorders>
                    <w:tl2br w:val="nil"/>
                    <w:tr2bl w:val="nil"/>
                  </w:tcBorders>
                  <w:noWrap w:val="0"/>
                  <w:vAlign w:val="center"/>
                </w:tcPr>
                <w:p w14:paraId="0AF10867">
                  <w:pPr>
                    <w:jc w:val="center"/>
                    <w:rPr>
                      <w:rFonts w:hint="default" w:ascii="Times New Roman" w:hAnsi="Times New Roman" w:cs="Times New Roman"/>
                      <w:color w:val="auto"/>
                      <w:kern w:val="0"/>
                      <w:szCs w:val="21"/>
                      <w:highlight w:val="none"/>
                      <w:u w:val="single" w:color="auto"/>
                    </w:rPr>
                  </w:pPr>
                </w:p>
              </w:tc>
              <w:tc>
                <w:tcPr>
                  <w:tcW w:w="520" w:type="pct"/>
                  <w:tcBorders>
                    <w:tl2br w:val="nil"/>
                    <w:tr2bl w:val="nil"/>
                  </w:tcBorders>
                  <w:noWrap w:val="0"/>
                  <w:vAlign w:val="center"/>
                </w:tcPr>
                <w:p w14:paraId="74EE20DE">
                  <w:pPr>
                    <w:snapToGrid w:val="0"/>
                    <w:jc w:val="center"/>
                    <w:rPr>
                      <w:rFonts w:hint="eastAsia" w:ascii="Times New Roman" w:hAnsi="Times New Roman" w:cs="Times New Roman"/>
                      <w:color w:val="auto"/>
                      <w:kern w:val="0"/>
                      <w:szCs w:val="21"/>
                      <w:highlight w:val="none"/>
                      <w:u w:val="single" w:color="auto"/>
                      <w:lang w:val="en-US" w:eastAsia="zh-CN"/>
                    </w:rPr>
                  </w:pPr>
                  <w:r>
                    <w:rPr>
                      <w:rFonts w:hint="eastAsia" w:cs="Times New Roman"/>
                      <w:i w:val="0"/>
                      <w:iCs w:val="0"/>
                      <w:color w:val="auto"/>
                      <w:highlight w:val="none"/>
                      <w:u w:val="single" w:color="auto"/>
                      <w:lang w:eastAsia="zh-CN"/>
                    </w:rPr>
                    <w:t>给料机</w:t>
                  </w:r>
                </w:p>
              </w:tc>
              <w:tc>
                <w:tcPr>
                  <w:tcW w:w="476" w:type="pct"/>
                  <w:tcBorders>
                    <w:tl2br w:val="nil"/>
                    <w:tr2bl w:val="nil"/>
                  </w:tcBorders>
                  <w:noWrap w:val="0"/>
                  <w:vAlign w:val="center"/>
                </w:tcPr>
                <w:p w14:paraId="0B378010">
                  <w:pPr>
                    <w:jc w:val="center"/>
                    <w:rPr>
                      <w:rFonts w:hint="default" w:ascii="Times New Roman" w:hAnsi="Times New Roman" w:cs="Times New Roman"/>
                      <w:color w:val="auto"/>
                      <w:kern w:val="2"/>
                      <w:sz w:val="21"/>
                      <w:szCs w:val="24"/>
                      <w:highlight w:val="none"/>
                      <w:u w:val="single" w:color="auto"/>
                      <w:vertAlign w:val="baseline"/>
                      <w:lang w:val="en-US" w:eastAsia="zh-CN" w:bidi="ar-SA"/>
                    </w:rPr>
                  </w:pPr>
                  <w:r>
                    <w:rPr>
                      <w:rFonts w:hint="eastAsia" w:cs="Times New Roman"/>
                      <w:color w:val="auto"/>
                      <w:kern w:val="2"/>
                      <w:sz w:val="21"/>
                      <w:szCs w:val="24"/>
                      <w:highlight w:val="none"/>
                      <w:u w:val="single" w:color="auto"/>
                      <w:vertAlign w:val="baseline"/>
                      <w:lang w:val="en-US" w:eastAsia="zh-CN" w:bidi="ar-SA"/>
                    </w:rPr>
                    <w:t>-9.13</w:t>
                  </w:r>
                </w:p>
              </w:tc>
              <w:tc>
                <w:tcPr>
                  <w:tcW w:w="425" w:type="pct"/>
                  <w:tcBorders>
                    <w:tl2br w:val="nil"/>
                    <w:tr2bl w:val="nil"/>
                  </w:tcBorders>
                  <w:noWrap w:val="0"/>
                  <w:vAlign w:val="center"/>
                </w:tcPr>
                <w:p w14:paraId="5C7A8B3B">
                  <w:pPr>
                    <w:jc w:val="center"/>
                    <w:rPr>
                      <w:rFonts w:hint="default" w:ascii="Times New Roman" w:hAnsi="Times New Roman" w:eastAsia="宋体"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11.59</w:t>
                  </w:r>
                </w:p>
              </w:tc>
              <w:tc>
                <w:tcPr>
                  <w:tcW w:w="386" w:type="pct"/>
                  <w:tcBorders>
                    <w:tl2br w:val="nil"/>
                    <w:tr2bl w:val="nil"/>
                  </w:tcBorders>
                  <w:noWrap w:val="0"/>
                  <w:vAlign w:val="center"/>
                </w:tcPr>
                <w:p w14:paraId="6A44408C">
                  <w:pPr>
                    <w:jc w:val="center"/>
                    <w:rPr>
                      <w:rFonts w:hint="default" w:ascii="Times New Roman" w:hAnsi="Times New Roman"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1</w:t>
                  </w:r>
                </w:p>
              </w:tc>
              <w:tc>
                <w:tcPr>
                  <w:tcW w:w="756" w:type="pct"/>
                  <w:tcBorders>
                    <w:tl2br w:val="nil"/>
                    <w:tr2bl w:val="nil"/>
                  </w:tcBorders>
                  <w:noWrap w:val="0"/>
                  <w:vAlign w:val="center"/>
                </w:tcPr>
                <w:p w14:paraId="2586FB7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bCs/>
                      <w:color w:val="auto"/>
                      <w:sz w:val="21"/>
                      <w:szCs w:val="21"/>
                      <w:highlight w:val="none"/>
                      <w:u w:val="single" w:color="auto"/>
                      <w:lang w:val="en-US" w:eastAsia="zh-CN"/>
                    </w:rPr>
                  </w:pPr>
                  <w:r>
                    <w:rPr>
                      <w:rFonts w:hint="eastAsia" w:cs="Times New Roman"/>
                      <w:color w:val="auto"/>
                      <w:sz w:val="21"/>
                      <w:szCs w:val="21"/>
                      <w:highlight w:val="none"/>
                      <w:u w:val="single" w:color="auto"/>
                      <w:lang w:val="en-US" w:eastAsia="zh-CN"/>
                    </w:rPr>
                    <w:t>75-80</w:t>
                  </w:r>
                </w:p>
              </w:tc>
              <w:tc>
                <w:tcPr>
                  <w:tcW w:w="525" w:type="pct"/>
                  <w:vMerge w:val="continue"/>
                  <w:tcBorders>
                    <w:tl2br w:val="nil"/>
                    <w:tr2bl w:val="nil"/>
                  </w:tcBorders>
                  <w:noWrap w:val="0"/>
                  <w:vAlign w:val="center"/>
                </w:tcPr>
                <w:p w14:paraId="09512D81">
                  <w:pPr>
                    <w:jc w:val="center"/>
                    <w:rPr>
                      <w:rFonts w:hint="default" w:ascii="Times New Roman" w:hAnsi="Times New Roman" w:eastAsia="宋体" w:cs="Times New Roman"/>
                      <w:color w:val="auto"/>
                      <w:highlight w:val="green"/>
                      <w:u w:val="single" w:color="auto"/>
                      <w:vertAlign w:val="baseline"/>
                      <w:lang w:val="en-US" w:eastAsia="zh-CN"/>
                    </w:rPr>
                  </w:pPr>
                </w:p>
              </w:tc>
              <w:tc>
                <w:tcPr>
                  <w:tcW w:w="645" w:type="pct"/>
                  <w:tcBorders>
                    <w:tl2br w:val="nil"/>
                    <w:tr2bl w:val="nil"/>
                  </w:tcBorders>
                  <w:noWrap w:val="0"/>
                  <w:vAlign w:val="center"/>
                </w:tcPr>
                <w:p w14:paraId="36149BFF">
                  <w:pPr>
                    <w:jc w:val="center"/>
                    <w:rPr>
                      <w:rFonts w:hint="default" w:ascii="Times New Roman" w:hAnsi="Times New Roman" w:eastAsia="宋体"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60</w:t>
                  </w:r>
                </w:p>
              </w:tc>
              <w:tc>
                <w:tcPr>
                  <w:tcW w:w="466" w:type="pct"/>
                  <w:vMerge w:val="continue"/>
                  <w:tcBorders>
                    <w:tl2br w:val="nil"/>
                    <w:tr2bl w:val="nil"/>
                  </w:tcBorders>
                  <w:noWrap w:val="0"/>
                  <w:vAlign w:val="center"/>
                </w:tcPr>
                <w:p w14:paraId="07CC454C">
                  <w:pPr>
                    <w:jc w:val="center"/>
                    <w:rPr>
                      <w:rFonts w:hint="default" w:ascii="Times New Roman" w:hAnsi="Times New Roman" w:eastAsia="宋体" w:cs="Times New Roman"/>
                      <w:color w:val="auto"/>
                      <w:highlight w:val="green"/>
                      <w:u w:val="single" w:color="auto"/>
                      <w:vertAlign w:val="baseline"/>
                      <w:lang w:val="en-US" w:eastAsia="zh-CN"/>
                    </w:rPr>
                  </w:pPr>
                </w:p>
              </w:tc>
            </w:tr>
            <w:tr w14:paraId="4E744A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76" w:type="pct"/>
                  <w:tcBorders>
                    <w:tl2br w:val="nil"/>
                    <w:tr2bl w:val="nil"/>
                  </w:tcBorders>
                  <w:noWrap w:val="0"/>
                  <w:vAlign w:val="center"/>
                </w:tcPr>
                <w:p w14:paraId="3780185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color w:val="auto"/>
                      <w:highlight w:val="none"/>
                      <w:u w:val="single" w:color="auto"/>
                      <w:vertAlign w:val="baseline"/>
                      <w:lang w:val="en-US" w:eastAsia="zh-CN"/>
                    </w:rPr>
                  </w:pPr>
                  <w:r>
                    <w:rPr>
                      <w:rFonts w:hint="eastAsia" w:cs="Times New Roman"/>
                      <w:color w:val="auto"/>
                      <w:sz w:val="21"/>
                      <w:szCs w:val="21"/>
                      <w:highlight w:val="none"/>
                      <w:u w:val="single" w:color="auto"/>
                      <w:lang w:val="en-US" w:eastAsia="zh-CN"/>
                    </w:rPr>
                    <w:t>7</w:t>
                  </w:r>
                </w:p>
              </w:tc>
              <w:tc>
                <w:tcPr>
                  <w:tcW w:w="522" w:type="pct"/>
                  <w:vMerge w:val="continue"/>
                  <w:tcBorders>
                    <w:tl2br w:val="nil"/>
                    <w:tr2bl w:val="nil"/>
                  </w:tcBorders>
                  <w:noWrap w:val="0"/>
                  <w:vAlign w:val="center"/>
                </w:tcPr>
                <w:p w14:paraId="44D05175">
                  <w:pPr>
                    <w:jc w:val="center"/>
                    <w:rPr>
                      <w:rFonts w:hint="default" w:ascii="Times New Roman" w:hAnsi="Times New Roman" w:cs="Times New Roman"/>
                      <w:color w:val="auto"/>
                      <w:kern w:val="0"/>
                      <w:szCs w:val="21"/>
                      <w:highlight w:val="none"/>
                      <w:u w:val="single" w:color="auto"/>
                    </w:rPr>
                  </w:pPr>
                </w:p>
              </w:tc>
              <w:tc>
                <w:tcPr>
                  <w:tcW w:w="520" w:type="pct"/>
                  <w:tcBorders>
                    <w:tl2br w:val="nil"/>
                    <w:tr2bl w:val="nil"/>
                  </w:tcBorders>
                  <w:noWrap w:val="0"/>
                  <w:vAlign w:val="center"/>
                </w:tcPr>
                <w:p w14:paraId="6DF958F3">
                  <w:pPr>
                    <w:jc w:val="center"/>
                    <w:rPr>
                      <w:rFonts w:hint="eastAsia" w:ascii="Times New Roman" w:hAnsi="Times New Roman" w:cs="Times New Roman"/>
                      <w:color w:val="auto"/>
                      <w:kern w:val="0"/>
                      <w:szCs w:val="21"/>
                      <w:highlight w:val="none"/>
                      <w:u w:val="single" w:color="auto"/>
                      <w:lang w:val="en-US" w:eastAsia="zh-CN"/>
                    </w:rPr>
                  </w:pPr>
                  <w:r>
                    <w:rPr>
                      <w:rFonts w:hint="default" w:ascii="Times New Roman" w:hAnsi="Times New Roman" w:eastAsia="宋体" w:cs="Times New Roman"/>
                      <w:color w:val="auto"/>
                      <w:highlight w:val="none"/>
                      <w:u w:val="single" w:color="auto"/>
                      <w:shd w:val="clear" w:color="auto" w:fill="auto"/>
                      <w:lang w:val="zh-TW" w:eastAsia="zh-TW"/>
                    </w:rPr>
                    <w:t>水泥净浆搅拌机</w:t>
                  </w:r>
                </w:p>
              </w:tc>
              <w:tc>
                <w:tcPr>
                  <w:tcW w:w="476" w:type="pct"/>
                  <w:tcBorders>
                    <w:tl2br w:val="nil"/>
                    <w:tr2bl w:val="nil"/>
                  </w:tcBorders>
                  <w:noWrap w:val="0"/>
                  <w:vAlign w:val="center"/>
                </w:tcPr>
                <w:p w14:paraId="3281DE4E">
                  <w:pPr>
                    <w:jc w:val="center"/>
                    <w:rPr>
                      <w:rFonts w:hint="default" w:ascii="Times New Roman" w:hAnsi="Times New Roman" w:cs="Times New Roman"/>
                      <w:color w:val="auto"/>
                      <w:kern w:val="2"/>
                      <w:sz w:val="21"/>
                      <w:szCs w:val="24"/>
                      <w:highlight w:val="none"/>
                      <w:u w:val="single" w:color="auto"/>
                      <w:vertAlign w:val="baseline"/>
                      <w:lang w:val="en-US" w:eastAsia="zh-CN" w:bidi="ar-SA"/>
                    </w:rPr>
                  </w:pPr>
                  <w:r>
                    <w:rPr>
                      <w:rFonts w:hint="eastAsia" w:cs="Times New Roman"/>
                      <w:color w:val="auto"/>
                      <w:kern w:val="2"/>
                      <w:sz w:val="21"/>
                      <w:szCs w:val="24"/>
                      <w:highlight w:val="none"/>
                      <w:u w:val="single" w:color="auto"/>
                      <w:vertAlign w:val="baseline"/>
                      <w:lang w:val="en-US" w:eastAsia="zh-CN" w:bidi="ar-SA"/>
                    </w:rPr>
                    <w:t>-4.15</w:t>
                  </w:r>
                </w:p>
              </w:tc>
              <w:tc>
                <w:tcPr>
                  <w:tcW w:w="425" w:type="pct"/>
                  <w:tcBorders>
                    <w:tl2br w:val="nil"/>
                    <w:tr2bl w:val="nil"/>
                  </w:tcBorders>
                  <w:noWrap w:val="0"/>
                  <w:vAlign w:val="center"/>
                </w:tcPr>
                <w:p w14:paraId="39491B74">
                  <w:pPr>
                    <w:jc w:val="center"/>
                    <w:rPr>
                      <w:rFonts w:hint="default" w:ascii="Times New Roman" w:hAnsi="Times New Roman" w:eastAsia="宋体"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5.68</w:t>
                  </w:r>
                </w:p>
              </w:tc>
              <w:tc>
                <w:tcPr>
                  <w:tcW w:w="386" w:type="pct"/>
                  <w:tcBorders>
                    <w:tl2br w:val="nil"/>
                    <w:tr2bl w:val="nil"/>
                  </w:tcBorders>
                  <w:noWrap w:val="0"/>
                  <w:vAlign w:val="center"/>
                </w:tcPr>
                <w:p w14:paraId="73D8956C">
                  <w:pPr>
                    <w:jc w:val="center"/>
                    <w:rPr>
                      <w:rFonts w:hint="default" w:ascii="Times New Roman" w:hAnsi="Times New Roman"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1</w:t>
                  </w:r>
                </w:p>
              </w:tc>
              <w:tc>
                <w:tcPr>
                  <w:tcW w:w="756" w:type="pct"/>
                  <w:tcBorders>
                    <w:tl2br w:val="nil"/>
                    <w:tr2bl w:val="nil"/>
                  </w:tcBorders>
                  <w:noWrap w:val="0"/>
                  <w:vAlign w:val="center"/>
                </w:tcPr>
                <w:p w14:paraId="76BDDBB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bCs/>
                      <w:color w:val="auto"/>
                      <w:sz w:val="21"/>
                      <w:szCs w:val="21"/>
                      <w:highlight w:val="none"/>
                      <w:u w:val="single" w:color="auto"/>
                      <w:lang w:val="en-US" w:eastAsia="zh-CN"/>
                    </w:rPr>
                  </w:pPr>
                  <w:r>
                    <w:rPr>
                      <w:rFonts w:hint="default" w:ascii="Times New Roman" w:hAnsi="Times New Roman" w:cs="Times New Roman"/>
                      <w:color w:val="auto"/>
                      <w:sz w:val="21"/>
                      <w:szCs w:val="21"/>
                      <w:highlight w:val="none"/>
                      <w:u w:val="single" w:color="auto"/>
                    </w:rPr>
                    <w:t>8</w:t>
                  </w:r>
                  <w:r>
                    <w:rPr>
                      <w:rFonts w:hint="eastAsia" w:ascii="Times New Roman" w:hAnsi="Times New Roman" w:cs="Times New Roman"/>
                      <w:color w:val="auto"/>
                      <w:sz w:val="21"/>
                      <w:szCs w:val="21"/>
                      <w:highlight w:val="none"/>
                      <w:u w:val="single" w:color="auto"/>
                      <w:lang w:val="en-US" w:eastAsia="zh-CN"/>
                    </w:rPr>
                    <w:t>0</w:t>
                  </w:r>
                  <w:r>
                    <w:rPr>
                      <w:rFonts w:hint="default" w:ascii="Times New Roman" w:hAnsi="Times New Roman" w:cs="Times New Roman"/>
                      <w:color w:val="auto"/>
                      <w:sz w:val="21"/>
                      <w:szCs w:val="21"/>
                      <w:highlight w:val="none"/>
                      <w:u w:val="single" w:color="auto"/>
                    </w:rPr>
                    <w:t>-</w:t>
                  </w:r>
                  <w:r>
                    <w:rPr>
                      <w:rFonts w:hint="eastAsia" w:ascii="Times New Roman" w:hAnsi="Times New Roman" w:cs="Times New Roman"/>
                      <w:color w:val="auto"/>
                      <w:sz w:val="21"/>
                      <w:szCs w:val="21"/>
                      <w:highlight w:val="none"/>
                      <w:u w:val="single" w:color="auto"/>
                      <w:lang w:val="en-US" w:eastAsia="zh-CN"/>
                    </w:rPr>
                    <w:t>85</w:t>
                  </w:r>
                </w:p>
              </w:tc>
              <w:tc>
                <w:tcPr>
                  <w:tcW w:w="525" w:type="pct"/>
                  <w:vMerge w:val="continue"/>
                  <w:tcBorders>
                    <w:tl2br w:val="nil"/>
                    <w:tr2bl w:val="nil"/>
                  </w:tcBorders>
                  <w:noWrap w:val="0"/>
                  <w:vAlign w:val="center"/>
                </w:tcPr>
                <w:p w14:paraId="2E92FFB5">
                  <w:pPr>
                    <w:jc w:val="center"/>
                    <w:rPr>
                      <w:rFonts w:hint="default" w:ascii="Times New Roman" w:hAnsi="Times New Roman" w:eastAsia="宋体" w:cs="Times New Roman"/>
                      <w:color w:val="auto"/>
                      <w:highlight w:val="green"/>
                      <w:u w:val="single" w:color="auto"/>
                      <w:vertAlign w:val="baseline"/>
                      <w:lang w:val="en-US" w:eastAsia="zh-CN"/>
                    </w:rPr>
                  </w:pPr>
                </w:p>
              </w:tc>
              <w:tc>
                <w:tcPr>
                  <w:tcW w:w="645" w:type="pct"/>
                  <w:tcBorders>
                    <w:tl2br w:val="nil"/>
                    <w:tr2bl w:val="nil"/>
                  </w:tcBorders>
                  <w:noWrap w:val="0"/>
                  <w:vAlign w:val="center"/>
                </w:tcPr>
                <w:p w14:paraId="26C30A09">
                  <w:pPr>
                    <w:jc w:val="center"/>
                    <w:rPr>
                      <w:rFonts w:hint="default" w:ascii="Times New Roman" w:hAnsi="Times New Roman" w:eastAsia="宋体"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65</w:t>
                  </w:r>
                </w:p>
              </w:tc>
              <w:tc>
                <w:tcPr>
                  <w:tcW w:w="466" w:type="pct"/>
                  <w:vMerge w:val="continue"/>
                  <w:tcBorders>
                    <w:tl2br w:val="nil"/>
                    <w:tr2bl w:val="nil"/>
                  </w:tcBorders>
                  <w:noWrap w:val="0"/>
                  <w:vAlign w:val="center"/>
                </w:tcPr>
                <w:p w14:paraId="0230D6EC">
                  <w:pPr>
                    <w:jc w:val="center"/>
                    <w:rPr>
                      <w:rFonts w:hint="default" w:ascii="Times New Roman" w:hAnsi="Times New Roman" w:eastAsia="宋体" w:cs="Times New Roman"/>
                      <w:color w:val="auto"/>
                      <w:highlight w:val="green"/>
                      <w:u w:val="single" w:color="auto"/>
                      <w:vertAlign w:val="baseline"/>
                      <w:lang w:val="en-US" w:eastAsia="zh-CN"/>
                    </w:rPr>
                  </w:pPr>
                </w:p>
              </w:tc>
            </w:tr>
            <w:tr w14:paraId="3C935F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76" w:type="pct"/>
                  <w:tcBorders>
                    <w:tl2br w:val="nil"/>
                    <w:tr2bl w:val="nil"/>
                  </w:tcBorders>
                  <w:noWrap w:val="0"/>
                  <w:vAlign w:val="center"/>
                </w:tcPr>
                <w:p w14:paraId="603E9BA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color w:val="auto"/>
                      <w:highlight w:val="none"/>
                      <w:u w:val="single" w:color="auto"/>
                      <w:vertAlign w:val="baseline"/>
                      <w:lang w:val="en-US" w:eastAsia="zh-CN"/>
                    </w:rPr>
                  </w:pPr>
                  <w:r>
                    <w:rPr>
                      <w:rFonts w:hint="eastAsia" w:cs="Times New Roman"/>
                      <w:color w:val="auto"/>
                      <w:sz w:val="21"/>
                      <w:szCs w:val="21"/>
                      <w:highlight w:val="none"/>
                      <w:u w:val="single" w:color="auto"/>
                      <w:lang w:val="en-US" w:eastAsia="zh-CN"/>
                    </w:rPr>
                    <w:t>8</w:t>
                  </w:r>
                </w:p>
              </w:tc>
              <w:tc>
                <w:tcPr>
                  <w:tcW w:w="522" w:type="pct"/>
                  <w:vMerge w:val="continue"/>
                  <w:tcBorders>
                    <w:tl2br w:val="nil"/>
                    <w:tr2bl w:val="nil"/>
                  </w:tcBorders>
                  <w:noWrap w:val="0"/>
                  <w:vAlign w:val="center"/>
                </w:tcPr>
                <w:p w14:paraId="3F890C92">
                  <w:pPr>
                    <w:jc w:val="center"/>
                    <w:rPr>
                      <w:rFonts w:hint="default" w:ascii="Times New Roman" w:hAnsi="Times New Roman" w:cs="Times New Roman"/>
                      <w:color w:val="auto"/>
                      <w:kern w:val="0"/>
                      <w:szCs w:val="21"/>
                      <w:highlight w:val="none"/>
                      <w:u w:val="single" w:color="auto"/>
                    </w:rPr>
                  </w:pPr>
                </w:p>
              </w:tc>
              <w:tc>
                <w:tcPr>
                  <w:tcW w:w="520" w:type="pct"/>
                  <w:tcBorders>
                    <w:tl2br w:val="nil"/>
                    <w:tr2bl w:val="nil"/>
                  </w:tcBorders>
                  <w:noWrap w:val="0"/>
                  <w:vAlign w:val="center"/>
                </w:tcPr>
                <w:p w14:paraId="627A5911">
                  <w:pPr>
                    <w:jc w:val="center"/>
                    <w:rPr>
                      <w:rFonts w:hint="eastAsia" w:ascii="Times New Roman" w:hAnsi="Times New Roman" w:cs="Times New Roman"/>
                      <w:color w:val="auto"/>
                      <w:kern w:val="0"/>
                      <w:szCs w:val="21"/>
                      <w:highlight w:val="none"/>
                      <w:u w:val="single" w:color="auto"/>
                      <w:lang w:val="en-US" w:eastAsia="zh-CN"/>
                    </w:rPr>
                  </w:pPr>
                  <w:r>
                    <w:rPr>
                      <w:rFonts w:hint="default" w:ascii="Times New Roman" w:hAnsi="Times New Roman" w:eastAsia="宋体" w:cs="Times New Roman"/>
                      <w:color w:val="auto"/>
                      <w:highlight w:val="none"/>
                      <w:u w:val="single" w:color="auto"/>
                      <w:shd w:val="clear" w:color="auto" w:fill="auto"/>
                      <w:lang w:val="zh-TW" w:eastAsia="zh-TW"/>
                    </w:rPr>
                    <w:t>水泥胶砂搅拌机</w:t>
                  </w:r>
                </w:p>
              </w:tc>
              <w:tc>
                <w:tcPr>
                  <w:tcW w:w="476" w:type="pct"/>
                  <w:tcBorders>
                    <w:tl2br w:val="nil"/>
                    <w:tr2bl w:val="nil"/>
                  </w:tcBorders>
                  <w:noWrap w:val="0"/>
                  <w:vAlign w:val="center"/>
                </w:tcPr>
                <w:p w14:paraId="5EFFC047">
                  <w:pPr>
                    <w:jc w:val="center"/>
                    <w:rPr>
                      <w:rFonts w:hint="default" w:ascii="Times New Roman" w:hAnsi="Times New Roman" w:cs="Times New Roman"/>
                      <w:color w:val="auto"/>
                      <w:kern w:val="2"/>
                      <w:sz w:val="21"/>
                      <w:szCs w:val="24"/>
                      <w:highlight w:val="none"/>
                      <w:u w:val="single" w:color="auto"/>
                      <w:vertAlign w:val="baseline"/>
                      <w:lang w:val="en-US" w:eastAsia="zh-CN" w:bidi="ar-SA"/>
                    </w:rPr>
                  </w:pPr>
                  <w:r>
                    <w:rPr>
                      <w:rFonts w:hint="eastAsia" w:cs="Times New Roman"/>
                      <w:color w:val="auto"/>
                      <w:kern w:val="2"/>
                      <w:sz w:val="21"/>
                      <w:szCs w:val="24"/>
                      <w:highlight w:val="none"/>
                      <w:u w:val="single" w:color="auto"/>
                      <w:vertAlign w:val="baseline"/>
                      <w:lang w:val="en-US" w:eastAsia="zh-CN" w:bidi="ar-SA"/>
                    </w:rPr>
                    <w:t>-2.87</w:t>
                  </w:r>
                </w:p>
              </w:tc>
              <w:tc>
                <w:tcPr>
                  <w:tcW w:w="425" w:type="pct"/>
                  <w:tcBorders>
                    <w:tl2br w:val="nil"/>
                    <w:tr2bl w:val="nil"/>
                  </w:tcBorders>
                  <w:noWrap w:val="0"/>
                  <w:vAlign w:val="center"/>
                </w:tcPr>
                <w:p w14:paraId="0E7F2566">
                  <w:pPr>
                    <w:jc w:val="center"/>
                    <w:rPr>
                      <w:rFonts w:hint="default" w:ascii="Times New Roman" w:hAnsi="Times New Roman" w:eastAsia="宋体"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1.04</w:t>
                  </w:r>
                </w:p>
              </w:tc>
              <w:tc>
                <w:tcPr>
                  <w:tcW w:w="386" w:type="pct"/>
                  <w:tcBorders>
                    <w:tl2br w:val="nil"/>
                    <w:tr2bl w:val="nil"/>
                  </w:tcBorders>
                  <w:noWrap w:val="0"/>
                  <w:vAlign w:val="center"/>
                </w:tcPr>
                <w:p w14:paraId="0D0AB2D4">
                  <w:pPr>
                    <w:jc w:val="center"/>
                    <w:rPr>
                      <w:rFonts w:hint="default" w:ascii="Times New Roman" w:hAnsi="Times New Roman"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1</w:t>
                  </w:r>
                </w:p>
              </w:tc>
              <w:tc>
                <w:tcPr>
                  <w:tcW w:w="756" w:type="pct"/>
                  <w:tcBorders>
                    <w:tl2br w:val="nil"/>
                    <w:tr2bl w:val="nil"/>
                  </w:tcBorders>
                  <w:noWrap w:val="0"/>
                  <w:vAlign w:val="center"/>
                </w:tcPr>
                <w:p w14:paraId="36CFF66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bCs/>
                      <w:color w:val="auto"/>
                      <w:sz w:val="21"/>
                      <w:szCs w:val="21"/>
                      <w:highlight w:val="none"/>
                      <w:u w:val="single" w:color="auto"/>
                      <w:lang w:val="en-US" w:eastAsia="zh-CN"/>
                    </w:rPr>
                  </w:pPr>
                  <w:r>
                    <w:rPr>
                      <w:rFonts w:hint="default" w:ascii="Times New Roman" w:hAnsi="Times New Roman" w:cs="Times New Roman"/>
                      <w:color w:val="auto"/>
                      <w:sz w:val="21"/>
                      <w:szCs w:val="21"/>
                      <w:highlight w:val="none"/>
                      <w:u w:val="single" w:color="auto"/>
                    </w:rPr>
                    <w:t>8</w:t>
                  </w:r>
                  <w:r>
                    <w:rPr>
                      <w:rFonts w:hint="eastAsia" w:ascii="Times New Roman" w:hAnsi="Times New Roman" w:cs="Times New Roman"/>
                      <w:color w:val="auto"/>
                      <w:sz w:val="21"/>
                      <w:szCs w:val="21"/>
                      <w:highlight w:val="none"/>
                      <w:u w:val="single" w:color="auto"/>
                      <w:lang w:val="en-US" w:eastAsia="zh-CN"/>
                    </w:rPr>
                    <w:t>0</w:t>
                  </w:r>
                  <w:r>
                    <w:rPr>
                      <w:rFonts w:hint="default" w:ascii="Times New Roman" w:hAnsi="Times New Roman" w:cs="Times New Roman"/>
                      <w:color w:val="auto"/>
                      <w:sz w:val="21"/>
                      <w:szCs w:val="21"/>
                      <w:highlight w:val="none"/>
                      <w:u w:val="single" w:color="auto"/>
                    </w:rPr>
                    <w:t>-</w:t>
                  </w:r>
                  <w:r>
                    <w:rPr>
                      <w:rFonts w:hint="eastAsia" w:ascii="Times New Roman" w:hAnsi="Times New Roman" w:cs="Times New Roman"/>
                      <w:color w:val="auto"/>
                      <w:sz w:val="21"/>
                      <w:szCs w:val="21"/>
                      <w:highlight w:val="none"/>
                      <w:u w:val="single" w:color="auto"/>
                      <w:lang w:val="en-US" w:eastAsia="zh-CN"/>
                    </w:rPr>
                    <w:t>85</w:t>
                  </w:r>
                </w:p>
              </w:tc>
              <w:tc>
                <w:tcPr>
                  <w:tcW w:w="525" w:type="pct"/>
                  <w:vMerge w:val="continue"/>
                  <w:tcBorders>
                    <w:tl2br w:val="nil"/>
                    <w:tr2bl w:val="nil"/>
                  </w:tcBorders>
                  <w:noWrap w:val="0"/>
                  <w:vAlign w:val="center"/>
                </w:tcPr>
                <w:p w14:paraId="3B9F03E9">
                  <w:pPr>
                    <w:jc w:val="center"/>
                    <w:rPr>
                      <w:rFonts w:hint="default" w:ascii="Times New Roman" w:hAnsi="Times New Roman" w:eastAsia="宋体" w:cs="Times New Roman"/>
                      <w:color w:val="auto"/>
                      <w:highlight w:val="green"/>
                      <w:u w:val="single" w:color="auto"/>
                      <w:vertAlign w:val="baseline"/>
                      <w:lang w:val="en-US" w:eastAsia="zh-CN"/>
                    </w:rPr>
                  </w:pPr>
                </w:p>
              </w:tc>
              <w:tc>
                <w:tcPr>
                  <w:tcW w:w="645" w:type="pct"/>
                  <w:tcBorders>
                    <w:tl2br w:val="nil"/>
                    <w:tr2bl w:val="nil"/>
                  </w:tcBorders>
                  <w:noWrap w:val="0"/>
                  <w:vAlign w:val="center"/>
                </w:tcPr>
                <w:p w14:paraId="019E6EC2">
                  <w:pPr>
                    <w:jc w:val="center"/>
                    <w:rPr>
                      <w:rFonts w:hint="default" w:ascii="Times New Roman" w:hAnsi="Times New Roman" w:eastAsia="宋体"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65</w:t>
                  </w:r>
                </w:p>
              </w:tc>
              <w:tc>
                <w:tcPr>
                  <w:tcW w:w="466" w:type="pct"/>
                  <w:vMerge w:val="continue"/>
                  <w:tcBorders>
                    <w:tl2br w:val="nil"/>
                    <w:tr2bl w:val="nil"/>
                  </w:tcBorders>
                  <w:noWrap w:val="0"/>
                  <w:vAlign w:val="center"/>
                </w:tcPr>
                <w:p w14:paraId="4E3F63B4">
                  <w:pPr>
                    <w:jc w:val="center"/>
                    <w:rPr>
                      <w:rFonts w:hint="default" w:ascii="Times New Roman" w:hAnsi="Times New Roman" w:eastAsia="宋体" w:cs="Times New Roman"/>
                      <w:color w:val="auto"/>
                      <w:highlight w:val="green"/>
                      <w:u w:val="single" w:color="auto"/>
                      <w:vertAlign w:val="baseline"/>
                      <w:lang w:val="en-US" w:eastAsia="zh-CN"/>
                    </w:rPr>
                  </w:pPr>
                </w:p>
              </w:tc>
            </w:tr>
            <w:tr w14:paraId="328AAB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76" w:type="pct"/>
                  <w:tcBorders>
                    <w:tl2br w:val="nil"/>
                    <w:tr2bl w:val="nil"/>
                  </w:tcBorders>
                  <w:noWrap w:val="0"/>
                  <w:vAlign w:val="center"/>
                </w:tcPr>
                <w:p w14:paraId="6213FE8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color w:val="auto"/>
                      <w:highlight w:val="none"/>
                      <w:u w:val="single" w:color="auto"/>
                      <w:vertAlign w:val="baseline"/>
                      <w:lang w:val="en-US" w:eastAsia="zh-CN"/>
                    </w:rPr>
                  </w:pPr>
                  <w:r>
                    <w:rPr>
                      <w:rFonts w:hint="eastAsia" w:cs="Times New Roman"/>
                      <w:color w:val="auto"/>
                      <w:sz w:val="21"/>
                      <w:szCs w:val="21"/>
                      <w:highlight w:val="none"/>
                      <w:u w:val="single" w:color="auto"/>
                      <w:lang w:val="en-US" w:eastAsia="zh-CN"/>
                    </w:rPr>
                    <w:t>9</w:t>
                  </w:r>
                </w:p>
              </w:tc>
              <w:tc>
                <w:tcPr>
                  <w:tcW w:w="522" w:type="pct"/>
                  <w:vMerge w:val="continue"/>
                  <w:tcBorders>
                    <w:tl2br w:val="nil"/>
                    <w:tr2bl w:val="nil"/>
                  </w:tcBorders>
                  <w:noWrap w:val="0"/>
                  <w:vAlign w:val="center"/>
                </w:tcPr>
                <w:p w14:paraId="335DEAA3">
                  <w:pPr>
                    <w:jc w:val="center"/>
                    <w:rPr>
                      <w:rFonts w:hint="default" w:ascii="Times New Roman" w:hAnsi="Times New Roman" w:cs="Times New Roman"/>
                      <w:color w:val="auto"/>
                      <w:kern w:val="0"/>
                      <w:szCs w:val="21"/>
                      <w:highlight w:val="none"/>
                      <w:u w:val="single" w:color="auto"/>
                    </w:rPr>
                  </w:pPr>
                </w:p>
              </w:tc>
              <w:tc>
                <w:tcPr>
                  <w:tcW w:w="520" w:type="pct"/>
                  <w:tcBorders>
                    <w:tl2br w:val="nil"/>
                    <w:tr2bl w:val="nil"/>
                  </w:tcBorders>
                  <w:noWrap w:val="0"/>
                  <w:vAlign w:val="center"/>
                </w:tcPr>
                <w:p w14:paraId="71B8D4DE">
                  <w:pPr>
                    <w:snapToGrid w:val="0"/>
                    <w:jc w:val="center"/>
                    <w:rPr>
                      <w:rFonts w:hint="eastAsia" w:ascii="Times New Roman" w:hAnsi="Times New Roman" w:cs="Times New Roman"/>
                      <w:color w:val="auto"/>
                      <w:kern w:val="0"/>
                      <w:szCs w:val="21"/>
                      <w:highlight w:val="none"/>
                      <w:u w:val="single" w:color="auto"/>
                      <w:lang w:val="en-US" w:eastAsia="zh-CN"/>
                    </w:rPr>
                  </w:pPr>
                  <w:r>
                    <w:rPr>
                      <w:rFonts w:hint="default" w:ascii="Times New Roman" w:hAnsi="Times New Roman" w:eastAsia="宋体" w:cs="Times New Roman"/>
                      <w:color w:val="auto"/>
                      <w:highlight w:val="none"/>
                      <w:u w:val="single" w:color="auto"/>
                      <w:shd w:val="clear" w:color="auto" w:fill="auto"/>
                      <w:lang w:val="zh-TW" w:eastAsia="zh-TW"/>
                    </w:rPr>
                    <w:t>强制式搅拌机</w:t>
                  </w:r>
                </w:p>
              </w:tc>
              <w:tc>
                <w:tcPr>
                  <w:tcW w:w="476" w:type="pct"/>
                  <w:tcBorders>
                    <w:tl2br w:val="nil"/>
                    <w:tr2bl w:val="nil"/>
                  </w:tcBorders>
                  <w:noWrap w:val="0"/>
                  <w:vAlign w:val="center"/>
                </w:tcPr>
                <w:p w14:paraId="47C0FFD1">
                  <w:pPr>
                    <w:jc w:val="center"/>
                    <w:rPr>
                      <w:rFonts w:hint="default" w:ascii="Times New Roman" w:hAnsi="Times New Roman" w:cs="Times New Roman"/>
                      <w:color w:val="auto"/>
                      <w:kern w:val="2"/>
                      <w:sz w:val="21"/>
                      <w:szCs w:val="24"/>
                      <w:highlight w:val="none"/>
                      <w:u w:val="single" w:color="auto"/>
                      <w:vertAlign w:val="baseline"/>
                      <w:lang w:val="en-US" w:eastAsia="zh-CN" w:bidi="ar-SA"/>
                    </w:rPr>
                  </w:pPr>
                  <w:r>
                    <w:rPr>
                      <w:rFonts w:hint="eastAsia" w:cs="Times New Roman"/>
                      <w:color w:val="auto"/>
                      <w:kern w:val="2"/>
                      <w:sz w:val="21"/>
                      <w:szCs w:val="24"/>
                      <w:highlight w:val="none"/>
                      <w:u w:val="single" w:color="auto"/>
                      <w:vertAlign w:val="baseline"/>
                      <w:lang w:val="en-US" w:eastAsia="zh-CN" w:bidi="ar-SA"/>
                    </w:rPr>
                    <w:t>-17.59</w:t>
                  </w:r>
                </w:p>
              </w:tc>
              <w:tc>
                <w:tcPr>
                  <w:tcW w:w="425" w:type="pct"/>
                  <w:tcBorders>
                    <w:tl2br w:val="nil"/>
                    <w:tr2bl w:val="nil"/>
                  </w:tcBorders>
                  <w:noWrap w:val="0"/>
                  <w:vAlign w:val="center"/>
                </w:tcPr>
                <w:p w14:paraId="44675229">
                  <w:pPr>
                    <w:jc w:val="center"/>
                    <w:rPr>
                      <w:rFonts w:hint="default" w:ascii="Times New Roman" w:hAnsi="Times New Roman" w:eastAsia="宋体"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5.61</w:t>
                  </w:r>
                </w:p>
              </w:tc>
              <w:tc>
                <w:tcPr>
                  <w:tcW w:w="386" w:type="pct"/>
                  <w:tcBorders>
                    <w:tl2br w:val="nil"/>
                    <w:tr2bl w:val="nil"/>
                  </w:tcBorders>
                  <w:noWrap w:val="0"/>
                  <w:vAlign w:val="center"/>
                </w:tcPr>
                <w:p w14:paraId="793699AC">
                  <w:pPr>
                    <w:jc w:val="center"/>
                    <w:rPr>
                      <w:rFonts w:hint="default" w:ascii="Times New Roman" w:hAnsi="Times New Roman"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1</w:t>
                  </w:r>
                </w:p>
              </w:tc>
              <w:tc>
                <w:tcPr>
                  <w:tcW w:w="756" w:type="pct"/>
                  <w:tcBorders>
                    <w:tl2br w:val="nil"/>
                    <w:tr2bl w:val="nil"/>
                  </w:tcBorders>
                  <w:noWrap w:val="0"/>
                  <w:vAlign w:val="center"/>
                </w:tcPr>
                <w:p w14:paraId="6D983CC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bCs/>
                      <w:color w:val="auto"/>
                      <w:sz w:val="21"/>
                      <w:szCs w:val="21"/>
                      <w:highlight w:val="none"/>
                      <w:u w:val="single" w:color="auto"/>
                      <w:lang w:val="en-US" w:eastAsia="zh-CN"/>
                    </w:rPr>
                  </w:pPr>
                  <w:r>
                    <w:rPr>
                      <w:rFonts w:hint="default" w:ascii="Times New Roman" w:hAnsi="Times New Roman" w:cs="Times New Roman"/>
                      <w:color w:val="auto"/>
                      <w:sz w:val="21"/>
                      <w:szCs w:val="21"/>
                      <w:highlight w:val="none"/>
                      <w:u w:val="single" w:color="auto"/>
                    </w:rPr>
                    <w:t>8</w:t>
                  </w:r>
                  <w:r>
                    <w:rPr>
                      <w:rFonts w:hint="eastAsia" w:ascii="Times New Roman" w:hAnsi="Times New Roman" w:cs="Times New Roman"/>
                      <w:color w:val="auto"/>
                      <w:sz w:val="21"/>
                      <w:szCs w:val="21"/>
                      <w:highlight w:val="none"/>
                      <w:u w:val="single" w:color="auto"/>
                      <w:lang w:val="en-US" w:eastAsia="zh-CN"/>
                    </w:rPr>
                    <w:t>0</w:t>
                  </w:r>
                  <w:r>
                    <w:rPr>
                      <w:rFonts w:hint="default" w:ascii="Times New Roman" w:hAnsi="Times New Roman" w:cs="Times New Roman"/>
                      <w:color w:val="auto"/>
                      <w:sz w:val="21"/>
                      <w:szCs w:val="21"/>
                      <w:highlight w:val="none"/>
                      <w:u w:val="single" w:color="auto"/>
                    </w:rPr>
                    <w:t>-</w:t>
                  </w:r>
                  <w:r>
                    <w:rPr>
                      <w:rFonts w:hint="eastAsia" w:ascii="Times New Roman" w:hAnsi="Times New Roman" w:cs="Times New Roman"/>
                      <w:color w:val="auto"/>
                      <w:sz w:val="21"/>
                      <w:szCs w:val="21"/>
                      <w:highlight w:val="none"/>
                      <w:u w:val="single" w:color="auto"/>
                      <w:lang w:val="en-US" w:eastAsia="zh-CN"/>
                    </w:rPr>
                    <w:t>85</w:t>
                  </w:r>
                </w:p>
              </w:tc>
              <w:tc>
                <w:tcPr>
                  <w:tcW w:w="525" w:type="pct"/>
                  <w:vMerge w:val="continue"/>
                  <w:tcBorders>
                    <w:tl2br w:val="nil"/>
                    <w:tr2bl w:val="nil"/>
                  </w:tcBorders>
                  <w:noWrap w:val="0"/>
                  <w:vAlign w:val="center"/>
                </w:tcPr>
                <w:p w14:paraId="5F01E99F">
                  <w:pPr>
                    <w:jc w:val="center"/>
                    <w:rPr>
                      <w:rFonts w:hint="default" w:ascii="Times New Roman" w:hAnsi="Times New Roman" w:eastAsia="宋体" w:cs="Times New Roman"/>
                      <w:color w:val="auto"/>
                      <w:highlight w:val="green"/>
                      <w:u w:val="single" w:color="auto"/>
                      <w:vertAlign w:val="baseline"/>
                      <w:lang w:val="en-US" w:eastAsia="zh-CN"/>
                    </w:rPr>
                  </w:pPr>
                </w:p>
              </w:tc>
              <w:tc>
                <w:tcPr>
                  <w:tcW w:w="645" w:type="pct"/>
                  <w:tcBorders>
                    <w:tl2br w:val="nil"/>
                    <w:tr2bl w:val="nil"/>
                  </w:tcBorders>
                  <w:noWrap w:val="0"/>
                  <w:vAlign w:val="center"/>
                </w:tcPr>
                <w:p w14:paraId="63464136">
                  <w:pPr>
                    <w:jc w:val="center"/>
                    <w:rPr>
                      <w:rFonts w:hint="default" w:ascii="Times New Roman" w:hAnsi="Times New Roman" w:eastAsia="宋体"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65</w:t>
                  </w:r>
                </w:p>
              </w:tc>
              <w:tc>
                <w:tcPr>
                  <w:tcW w:w="466" w:type="pct"/>
                  <w:vMerge w:val="continue"/>
                  <w:tcBorders>
                    <w:tl2br w:val="nil"/>
                    <w:tr2bl w:val="nil"/>
                  </w:tcBorders>
                  <w:noWrap w:val="0"/>
                  <w:vAlign w:val="center"/>
                </w:tcPr>
                <w:p w14:paraId="18223AFC">
                  <w:pPr>
                    <w:jc w:val="center"/>
                    <w:rPr>
                      <w:rFonts w:hint="default" w:ascii="Times New Roman" w:hAnsi="Times New Roman" w:eastAsia="宋体" w:cs="Times New Roman"/>
                      <w:color w:val="auto"/>
                      <w:highlight w:val="green"/>
                      <w:u w:val="single" w:color="auto"/>
                      <w:vertAlign w:val="baseline"/>
                      <w:lang w:val="en-US" w:eastAsia="zh-CN"/>
                    </w:rPr>
                  </w:pPr>
                </w:p>
              </w:tc>
            </w:tr>
            <w:tr w14:paraId="762C20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76" w:type="pct"/>
                  <w:tcBorders>
                    <w:tl2br w:val="nil"/>
                    <w:tr2bl w:val="nil"/>
                  </w:tcBorders>
                  <w:noWrap w:val="0"/>
                  <w:vAlign w:val="center"/>
                </w:tcPr>
                <w:p w14:paraId="6F26D12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color w:val="auto"/>
                      <w:highlight w:val="none"/>
                      <w:u w:val="single" w:color="auto"/>
                      <w:vertAlign w:val="baseline"/>
                      <w:lang w:val="en-US" w:eastAsia="zh-CN"/>
                    </w:rPr>
                  </w:pPr>
                  <w:r>
                    <w:rPr>
                      <w:rFonts w:hint="eastAsia" w:cs="Times New Roman"/>
                      <w:color w:val="auto"/>
                      <w:sz w:val="21"/>
                      <w:szCs w:val="21"/>
                      <w:highlight w:val="none"/>
                      <w:u w:val="single" w:color="auto"/>
                      <w:lang w:val="en-US" w:eastAsia="zh-CN"/>
                    </w:rPr>
                    <w:t>10</w:t>
                  </w:r>
                </w:p>
              </w:tc>
              <w:tc>
                <w:tcPr>
                  <w:tcW w:w="522" w:type="pct"/>
                  <w:vMerge w:val="continue"/>
                  <w:tcBorders>
                    <w:tl2br w:val="nil"/>
                    <w:tr2bl w:val="nil"/>
                  </w:tcBorders>
                  <w:noWrap w:val="0"/>
                  <w:vAlign w:val="center"/>
                </w:tcPr>
                <w:p w14:paraId="0C7506CA">
                  <w:pPr>
                    <w:jc w:val="center"/>
                    <w:rPr>
                      <w:rFonts w:hint="default" w:ascii="Times New Roman" w:hAnsi="Times New Roman" w:cs="Times New Roman"/>
                      <w:color w:val="auto"/>
                      <w:kern w:val="0"/>
                      <w:szCs w:val="21"/>
                      <w:highlight w:val="none"/>
                      <w:u w:val="single" w:color="auto"/>
                    </w:rPr>
                  </w:pPr>
                </w:p>
              </w:tc>
              <w:tc>
                <w:tcPr>
                  <w:tcW w:w="520" w:type="pct"/>
                  <w:tcBorders>
                    <w:tl2br w:val="nil"/>
                    <w:tr2bl w:val="nil"/>
                  </w:tcBorders>
                  <w:noWrap w:val="0"/>
                  <w:vAlign w:val="center"/>
                </w:tcPr>
                <w:p w14:paraId="7B19751D">
                  <w:pPr>
                    <w:jc w:val="center"/>
                    <w:rPr>
                      <w:rFonts w:hint="eastAsia" w:ascii="Times New Roman" w:hAnsi="Times New Roman" w:cs="Times New Roman"/>
                      <w:color w:val="auto"/>
                      <w:kern w:val="0"/>
                      <w:szCs w:val="21"/>
                      <w:highlight w:val="none"/>
                      <w:u w:val="single" w:color="auto"/>
                      <w:lang w:val="en-US" w:eastAsia="zh-CN"/>
                    </w:rPr>
                  </w:pPr>
                  <w:r>
                    <w:rPr>
                      <w:rFonts w:hint="default" w:ascii="Times New Roman" w:hAnsi="Times New Roman" w:eastAsia="宋体" w:cs="Times New Roman"/>
                      <w:color w:val="auto"/>
                      <w:highlight w:val="none"/>
                      <w:u w:val="single" w:color="auto"/>
                      <w:shd w:val="clear" w:color="auto" w:fill="auto"/>
                      <w:lang w:val="zh-TW" w:eastAsia="zh-TW"/>
                    </w:rPr>
                    <w:t>压力机</w:t>
                  </w:r>
                </w:p>
              </w:tc>
              <w:tc>
                <w:tcPr>
                  <w:tcW w:w="476" w:type="pct"/>
                  <w:tcBorders>
                    <w:tl2br w:val="nil"/>
                    <w:tr2bl w:val="nil"/>
                  </w:tcBorders>
                  <w:noWrap w:val="0"/>
                  <w:vAlign w:val="center"/>
                </w:tcPr>
                <w:p w14:paraId="0406C739">
                  <w:pPr>
                    <w:jc w:val="center"/>
                    <w:rPr>
                      <w:rFonts w:hint="default" w:ascii="Times New Roman" w:hAnsi="Times New Roman" w:cs="Times New Roman"/>
                      <w:color w:val="auto"/>
                      <w:kern w:val="2"/>
                      <w:sz w:val="21"/>
                      <w:szCs w:val="24"/>
                      <w:highlight w:val="none"/>
                      <w:u w:val="single" w:color="auto"/>
                      <w:vertAlign w:val="baseline"/>
                      <w:lang w:val="en-US" w:eastAsia="zh-CN" w:bidi="ar-SA"/>
                    </w:rPr>
                  </w:pPr>
                  <w:r>
                    <w:rPr>
                      <w:rFonts w:hint="eastAsia" w:cs="Times New Roman"/>
                      <w:color w:val="auto"/>
                      <w:kern w:val="2"/>
                      <w:sz w:val="21"/>
                      <w:szCs w:val="24"/>
                      <w:highlight w:val="none"/>
                      <w:u w:val="single" w:color="auto"/>
                      <w:vertAlign w:val="baseline"/>
                      <w:lang w:val="en-US" w:eastAsia="zh-CN" w:bidi="ar-SA"/>
                    </w:rPr>
                    <w:t>5.47</w:t>
                  </w:r>
                </w:p>
              </w:tc>
              <w:tc>
                <w:tcPr>
                  <w:tcW w:w="425" w:type="pct"/>
                  <w:tcBorders>
                    <w:tl2br w:val="nil"/>
                    <w:tr2bl w:val="nil"/>
                  </w:tcBorders>
                  <w:noWrap w:val="0"/>
                  <w:vAlign w:val="center"/>
                </w:tcPr>
                <w:p w14:paraId="3E72049D">
                  <w:pPr>
                    <w:jc w:val="center"/>
                    <w:rPr>
                      <w:rFonts w:hint="default" w:ascii="Times New Roman" w:hAnsi="Times New Roman" w:eastAsia="宋体"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1.74</w:t>
                  </w:r>
                </w:p>
              </w:tc>
              <w:tc>
                <w:tcPr>
                  <w:tcW w:w="386" w:type="pct"/>
                  <w:tcBorders>
                    <w:tl2br w:val="nil"/>
                    <w:tr2bl w:val="nil"/>
                  </w:tcBorders>
                  <w:noWrap w:val="0"/>
                  <w:vAlign w:val="center"/>
                </w:tcPr>
                <w:p w14:paraId="0C2D3709">
                  <w:pPr>
                    <w:jc w:val="center"/>
                    <w:rPr>
                      <w:rFonts w:hint="default" w:ascii="Times New Roman" w:hAnsi="Times New Roman"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1</w:t>
                  </w:r>
                </w:p>
              </w:tc>
              <w:tc>
                <w:tcPr>
                  <w:tcW w:w="756" w:type="pct"/>
                  <w:tcBorders>
                    <w:tl2br w:val="nil"/>
                    <w:tr2bl w:val="nil"/>
                  </w:tcBorders>
                  <w:noWrap w:val="0"/>
                  <w:vAlign w:val="center"/>
                </w:tcPr>
                <w:p w14:paraId="6E79107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bCs/>
                      <w:color w:val="auto"/>
                      <w:sz w:val="21"/>
                      <w:szCs w:val="21"/>
                      <w:highlight w:val="none"/>
                      <w:u w:val="single" w:color="auto"/>
                      <w:lang w:val="en-US" w:eastAsia="zh-CN"/>
                    </w:rPr>
                  </w:pPr>
                  <w:r>
                    <w:rPr>
                      <w:rFonts w:hint="default" w:ascii="Times New Roman" w:hAnsi="Times New Roman" w:cs="Times New Roman"/>
                      <w:color w:val="auto"/>
                      <w:sz w:val="21"/>
                      <w:szCs w:val="21"/>
                      <w:highlight w:val="none"/>
                      <w:u w:val="single" w:color="auto"/>
                    </w:rPr>
                    <w:t>8</w:t>
                  </w:r>
                  <w:r>
                    <w:rPr>
                      <w:rFonts w:hint="eastAsia" w:ascii="Times New Roman" w:hAnsi="Times New Roman" w:cs="Times New Roman"/>
                      <w:color w:val="auto"/>
                      <w:sz w:val="21"/>
                      <w:szCs w:val="21"/>
                      <w:highlight w:val="none"/>
                      <w:u w:val="single" w:color="auto"/>
                      <w:lang w:val="en-US" w:eastAsia="zh-CN"/>
                    </w:rPr>
                    <w:t>0</w:t>
                  </w:r>
                  <w:r>
                    <w:rPr>
                      <w:rFonts w:hint="default" w:ascii="Times New Roman" w:hAnsi="Times New Roman" w:cs="Times New Roman"/>
                      <w:color w:val="auto"/>
                      <w:sz w:val="21"/>
                      <w:szCs w:val="21"/>
                      <w:highlight w:val="none"/>
                      <w:u w:val="single" w:color="auto"/>
                    </w:rPr>
                    <w:t>-</w:t>
                  </w:r>
                  <w:r>
                    <w:rPr>
                      <w:rFonts w:hint="eastAsia" w:ascii="Times New Roman" w:hAnsi="Times New Roman" w:cs="Times New Roman"/>
                      <w:color w:val="auto"/>
                      <w:sz w:val="21"/>
                      <w:szCs w:val="21"/>
                      <w:highlight w:val="none"/>
                      <w:u w:val="single" w:color="auto"/>
                      <w:lang w:val="en-US" w:eastAsia="zh-CN"/>
                    </w:rPr>
                    <w:t>85</w:t>
                  </w:r>
                </w:p>
              </w:tc>
              <w:tc>
                <w:tcPr>
                  <w:tcW w:w="525" w:type="pct"/>
                  <w:vMerge w:val="continue"/>
                  <w:tcBorders>
                    <w:tl2br w:val="nil"/>
                    <w:tr2bl w:val="nil"/>
                  </w:tcBorders>
                  <w:noWrap w:val="0"/>
                  <w:vAlign w:val="center"/>
                </w:tcPr>
                <w:p w14:paraId="2D853268">
                  <w:pPr>
                    <w:jc w:val="center"/>
                    <w:rPr>
                      <w:rFonts w:hint="default" w:ascii="Times New Roman" w:hAnsi="Times New Roman" w:eastAsia="宋体" w:cs="Times New Roman"/>
                      <w:color w:val="auto"/>
                      <w:highlight w:val="green"/>
                      <w:u w:val="single" w:color="auto"/>
                      <w:vertAlign w:val="baseline"/>
                      <w:lang w:val="en-US" w:eastAsia="zh-CN"/>
                    </w:rPr>
                  </w:pPr>
                </w:p>
              </w:tc>
              <w:tc>
                <w:tcPr>
                  <w:tcW w:w="645" w:type="pct"/>
                  <w:tcBorders>
                    <w:tl2br w:val="nil"/>
                    <w:tr2bl w:val="nil"/>
                  </w:tcBorders>
                  <w:noWrap w:val="0"/>
                  <w:vAlign w:val="center"/>
                </w:tcPr>
                <w:p w14:paraId="4E17F320">
                  <w:pPr>
                    <w:jc w:val="center"/>
                    <w:rPr>
                      <w:rFonts w:hint="default" w:ascii="Times New Roman" w:hAnsi="Times New Roman" w:eastAsia="宋体"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65</w:t>
                  </w:r>
                </w:p>
              </w:tc>
              <w:tc>
                <w:tcPr>
                  <w:tcW w:w="466" w:type="pct"/>
                  <w:vMerge w:val="continue"/>
                  <w:tcBorders>
                    <w:tl2br w:val="nil"/>
                    <w:tr2bl w:val="nil"/>
                  </w:tcBorders>
                  <w:noWrap w:val="0"/>
                  <w:vAlign w:val="center"/>
                </w:tcPr>
                <w:p w14:paraId="3B07BEBF">
                  <w:pPr>
                    <w:jc w:val="center"/>
                    <w:rPr>
                      <w:rFonts w:hint="default" w:ascii="Times New Roman" w:hAnsi="Times New Roman" w:eastAsia="宋体" w:cs="Times New Roman"/>
                      <w:color w:val="auto"/>
                      <w:highlight w:val="green"/>
                      <w:u w:val="single" w:color="auto"/>
                      <w:vertAlign w:val="baseline"/>
                      <w:lang w:val="en-US" w:eastAsia="zh-CN"/>
                    </w:rPr>
                  </w:pPr>
                </w:p>
              </w:tc>
            </w:tr>
            <w:tr w14:paraId="1E2BB0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76" w:type="pct"/>
                  <w:tcBorders>
                    <w:tl2br w:val="nil"/>
                    <w:tr2bl w:val="nil"/>
                  </w:tcBorders>
                  <w:noWrap w:val="0"/>
                  <w:vAlign w:val="center"/>
                </w:tcPr>
                <w:p w14:paraId="1369F2D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color w:val="auto"/>
                      <w:highlight w:val="none"/>
                      <w:u w:val="single" w:color="auto"/>
                      <w:vertAlign w:val="baseline"/>
                      <w:lang w:val="en-US" w:eastAsia="zh-CN"/>
                    </w:rPr>
                  </w:pPr>
                  <w:r>
                    <w:rPr>
                      <w:rFonts w:hint="eastAsia" w:cs="Times New Roman"/>
                      <w:color w:val="auto"/>
                      <w:sz w:val="21"/>
                      <w:szCs w:val="21"/>
                      <w:highlight w:val="none"/>
                      <w:u w:val="single" w:color="auto"/>
                      <w:lang w:val="en-US" w:eastAsia="zh-CN"/>
                    </w:rPr>
                    <w:t>11</w:t>
                  </w:r>
                </w:p>
              </w:tc>
              <w:tc>
                <w:tcPr>
                  <w:tcW w:w="522" w:type="pct"/>
                  <w:vMerge w:val="continue"/>
                  <w:tcBorders>
                    <w:tl2br w:val="nil"/>
                    <w:tr2bl w:val="nil"/>
                  </w:tcBorders>
                  <w:noWrap w:val="0"/>
                  <w:vAlign w:val="center"/>
                </w:tcPr>
                <w:p w14:paraId="13A9B9A5">
                  <w:pPr>
                    <w:jc w:val="center"/>
                    <w:rPr>
                      <w:rFonts w:hint="default" w:ascii="Times New Roman" w:hAnsi="Times New Roman" w:cs="Times New Roman"/>
                      <w:color w:val="auto"/>
                      <w:kern w:val="0"/>
                      <w:szCs w:val="21"/>
                      <w:highlight w:val="none"/>
                      <w:u w:val="single" w:color="auto"/>
                    </w:rPr>
                  </w:pPr>
                </w:p>
              </w:tc>
              <w:tc>
                <w:tcPr>
                  <w:tcW w:w="520" w:type="pct"/>
                  <w:tcBorders>
                    <w:tl2br w:val="nil"/>
                    <w:tr2bl w:val="nil"/>
                  </w:tcBorders>
                  <w:noWrap w:val="0"/>
                  <w:vAlign w:val="center"/>
                </w:tcPr>
                <w:p w14:paraId="055FDE0B">
                  <w:pPr>
                    <w:jc w:val="center"/>
                    <w:rPr>
                      <w:rFonts w:hint="eastAsia" w:ascii="Times New Roman" w:hAnsi="Times New Roman" w:cs="Times New Roman"/>
                      <w:color w:val="auto"/>
                      <w:kern w:val="0"/>
                      <w:szCs w:val="21"/>
                      <w:highlight w:val="none"/>
                      <w:u w:val="single" w:color="auto"/>
                      <w:lang w:val="en-US" w:eastAsia="zh-CN"/>
                    </w:rPr>
                  </w:pPr>
                  <w:r>
                    <w:rPr>
                      <w:rFonts w:hint="default" w:ascii="Times New Roman" w:hAnsi="Times New Roman" w:eastAsia="宋体" w:cs="Times New Roman"/>
                      <w:color w:val="auto"/>
                      <w:highlight w:val="none"/>
                      <w:u w:val="single" w:color="auto"/>
                      <w:shd w:val="clear" w:color="auto" w:fill="auto"/>
                      <w:lang w:val="zh-TW" w:eastAsia="zh-TW"/>
                    </w:rPr>
                    <w:t>数显压力机</w:t>
                  </w:r>
                </w:p>
              </w:tc>
              <w:tc>
                <w:tcPr>
                  <w:tcW w:w="476" w:type="pct"/>
                  <w:tcBorders>
                    <w:tl2br w:val="nil"/>
                    <w:tr2bl w:val="nil"/>
                  </w:tcBorders>
                  <w:noWrap w:val="0"/>
                  <w:vAlign w:val="center"/>
                </w:tcPr>
                <w:p w14:paraId="3B85B574">
                  <w:pPr>
                    <w:jc w:val="center"/>
                    <w:rPr>
                      <w:rFonts w:hint="default" w:ascii="Times New Roman" w:hAnsi="Times New Roman" w:cs="Times New Roman"/>
                      <w:color w:val="auto"/>
                      <w:kern w:val="2"/>
                      <w:sz w:val="21"/>
                      <w:szCs w:val="24"/>
                      <w:highlight w:val="none"/>
                      <w:u w:val="single" w:color="auto"/>
                      <w:vertAlign w:val="baseline"/>
                      <w:lang w:val="en-US" w:eastAsia="zh-CN" w:bidi="ar-SA"/>
                    </w:rPr>
                  </w:pPr>
                  <w:r>
                    <w:rPr>
                      <w:rFonts w:hint="eastAsia" w:cs="Times New Roman"/>
                      <w:color w:val="auto"/>
                      <w:kern w:val="2"/>
                      <w:sz w:val="21"/>
                      <w:szCs w:val="24"/>
                      <w:highlight w:val="none"/>
                      <w:u w:val="single" w:color="auto"/>
                      <w:vertAlign w:val="baseline"/>
                      <w:lang w:val="en-US" w:eastAsia="zh-CN" w:bidi="ar-SA"/>
                    </w:rPr>
                    <w:t>-22.73</w:t>
                  </w:r>
                </w:p>
              </w:tc>
              <w:tc>
                <w:tcPr>
                  <w:tcW w:w="425" w:type="pct"/>
                  <w:tcBorders>
                    <w:tl2br w:val="nil"/>
                    <w:tr2bl w:val="nil"/>
                  </w:tcBorders>
                  <w:noWrap w:val="0"/>
                  <w:vAlign w:val="center"/>
                </w:tcPr>
                <w:p w14:paraId="5D7D91BA">
                  <w:pPr>
                    <w:jc w:val="center"/>
                    <w:rPr>
                      <w:rFonts w:hint="default" w:ascii="Times New Roman" w:hAnsi="Times New Roman" w:eastAsia="宋体"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11.11</w:t>
                  </w:r>
                </w:p>
              </w:tc>
              <w:tc>
                <w:tcPr>
                  <w:tcW w:w="386" w:type="pct"/>
                  <w:tcBorders>
                    <w:tl2br w:val="nil"/>
                    <w:tr2bl w:val="nil"/>
                  </w:tcBorders>
                  <w:noWrap w:val="0"/>
                  <w:vAlign w:val="center"/>
                </w:tcPr>
                <w:p w14:paraId="7B7656C2">
                  <w:pPr>
                    <w:jc w:val="center"/>
                    <w:rPr>
                      <w:rFonts w:hint="default" w:ascii="Times New Roman" w:hAnsi="Times New Roman"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1</w:t>
                  </w:r>
                </w:p>
              </w:tc>
              <w:tc>
                <w:tcPr>
                  <w:tcW w:w="756" w:type="pct"/>
                  <w:tcBorders>
                    <w:tl2br w:val="nil"/>
                    <w:tr2bl w:val="nil"/>
                  </w:tcBorders>
                  <w:noWrap w:val="0"/>
                  <w:vAlign w:val="center"/>
                </w:tcPr>
                <w:p w14:paraId="23ABA42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bCs/>
                      <w:color w:val="auto"/>
                      <w:sz w:val="21"/>
                      <w:szCs w:val="21"/>
                      <w:highlight w:val="none"/>
                      <w:u w:val="single" w:color="auto"/>
                      <w:lang w:val="en-US" w:eastAsia="zh-CN"/>
                    </w:rPr>
                  </w:pPr>
                  <w:r>
                    <w:rPr>
                      <w:rFonts w:hint="default" w:ascii="Times New Roman" w:hAnsi="Times New Roman" w:cs="Times New Roman"/>
                      <w:color w:val="auto"/>
                      <w:sz w:val="21"/>
                      <w:szCs w:val="21"/>
                      <w:highlight w:val="none"/>
                      <w:u w:val="single" w:color="auto"/>
                    </w:rPr>
                    <w:t>8</w:t>
                  </w:r>
                  <w:r>
                    <w:rPr>
                      <w:rFonts w:hint="eastAsia" w:ascii="Times New Roman" w:hAnsi="Times New Roman" w:cs="Times New Roman"/>
                      <w:color w:val="auto"/>
                      <w:sz w:val="21"/>
                      <w:szCs w:val="21"/>
                      <w:highlight w:val="none"/>
                      <w:u w:val="single" w:color="auto"/>
                      <w:lang w:val="en-US" w:eastAsia="zh-CN"/>
                    </w:rPr>
                    <w:t>0</w:t>
                  </w:r>
                  <w:r>
                    <w:rPr>
                      <w:rFonts w:hint="default" w:ascii="Times New Roman" w:hAnsi="Times New Roman" w:cs="Times New Roman"/>
                      <w:color w:val="auto"/>
                      <w:sz w:val="21"/>
                      <w:szCs w:val="21"/>
                      <w:highlight w:val="none"/>
                      <w:u w:val="single" w:color="auto"/>
                    </w:rPr>
                    <w:t>-</w:t>
                  </w:r>
                  <w:r>
                    <w:rPr>
                      <w:rFonts w:hint="eastAsia" w:ascii="Times New Roman" w:hAnsi="Times New Roman" w:cs="Times New Roman"/>
                      <w:color w:val="auto"/>
                      <w:sz w:val="21"/>
                      <w:szCs w:val="21"/>
                      <w:highlight w:val="none"/>
                      <w:u w:val="single" w:color="auto"/>
                      <w:lang w:val="en-US" w:eastAsia="zh-CN"/>
                    </w:rPr>
                    <w:t>85</w:t>
                  </w:r>
                </w:p>
              </w:tc>
              <w:tc>
                <w:tcPr>
                  <w:tcW w:w="525" w:type="pct"/>
                  <w:vMerge w:val="continue"/>
                  <w:tcBorders>
                    <w:tl2br w:val="nil"/>
                    <w:tr2bl w:val="nil"/>
                  </w:tcBorders>
                  <w:noWrap w:val="0"/>
                  <w:vAlign w:val="center"/>
                </w:tcPr>
                <w:p w14:paraId="057A19D5">
                  <w:pPr>
                    <w:jc w:val="center"/>
                    <w:rPr>
                      <w:rFonts w:hint="default" w:ascii="Times New Roman" w:hAnsi="Times New Roman" w:eastAsia="宋体" w:cs="Times New Roman"/>
                      <w:color w:val="auto"/>
                      <w:highlight w:val="green"/>
                      <w:u w:val="single" w:color="auto"/>
                      <w:vertAlign w:val="baseline"/>
                      <w:lang w:val="en-US" w:eastAsia="zh-CN"/>
                    </w:rPr>
                  </w:pPr>
                </w:p>
              </w:tc>
              <w:tc>
                <w:tcPr>
                  <w:tcW w:w="645" w:type="pct"/>
                  <w:tcBorders>
                    <w:tl2br w:val="nil"/>
                    <w:tr2bl w:val="nil"/>
                  </w:tcBorders>
                  <w:noWrap w:val="0"/>
                  <w:vAlign w:val="center"/>
                </w:tcPr>
                <w:p w14:paraId="0EF55300">
                  <w:pPr>
                    <w:jc w:val="center"/>
                    <w:rPr>
                      <w:rFonts w:hint="default" w:ascii="Times New Roman" w:hAnsi="Times New Roman" w:eastAsia="宋体"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65</w:t>
                  </w:r>
                </w:p>
              </w:tc>
              <w:tc>
                <w:tcPr>
                  <w:tcW w:w="466" w:type="pct"/>
                  <w:vMerge w:val="continue"/>
                  <w:tcBorders>
                    <w:tl2br w:val="nil"/>
                    <w:tr2bl w:val="nil"/>
                  </w:tcBorders>
                  <w:noWrap w:val="0"/>
                  <w:vAlign w:val="center"/>
                </w:tcPr>
                <w:p w14:paraId="671C050F">
                  <w:pPr>
                    <w:jc w:val="center"/>
                    <w:rPr>
                      <w:rFonts w:hint="default" w:ascii="Times New Roman" w:hAnsi="Times New Roman" w:eastAsia="宋体" w:cs="Times New Roman"/>
                      <w:color w:val="auto"/>
                      <w:highlight w:val="green"/>
                      <w:u w:val="single" w:color="auto"/>
                      <w:vertAlign w:val="baseline"/>
                      <w:lang w:val="en-US" w:eastAsia="zh-CN"/>
                    </w:rPr>
                  </w:pPr>
                </w:p>
              </w:tc>
            </w:tr>
            <w:tr w14:paraId="3AC921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76" w:type="pct"/>
                  <w:tcBorders>
                    <w:tl2br w:val="nil"/>
                    <w:tr2bl w:val="nil"/>
                  </w:tcBorders>
                  <w:noWrap w:val="0"/>
                  <w:vAlign w:val="center"/>
                </w:tcPr>
                <w:p w14:paraId="4D61F42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color w:val="auto"/>
                      <w:highlight w:val="none"/>
                      <w:u w:val="single" w:color="auto"/>
                      <w:vertAlign w:val="baseline"/>
                      <w:lang w:val="en-US" w:eastAsia="zh-CN"/>
                    </w:rPr>
                  </w:pPr>
                  <w:r>
                    <w:rPr>
                      <w:rFonts w:hint="eastAsia" w:cs="Times New Roman"/>
                      <w:color w:val="auto"/>
                      <w:sz w:val="21"/>
                      <w:szCs w:val="21"/>
                      <w:highlight w:val="none"/>
                      <w:u w:val="single" w:color="auto"/>
                      <w:lang w:val="en-US" w:eastAsia="zh-CN"/>
                    </w:rPr>
                    <w:t>12</w:t>
                  </w:r>
                </w:p>
              </w:tc>
              <w:tc>
                <w:tcPr>
                  <w:tcW w:w="522" w:type="pct"/>
                  <w:vMerge w:val="continue"/>
                  <w:tcBorders>
                    <w:tl2br w:val="nil"/>
                    <w:tr2bl w:val="nil"/>
                  </w:tcBorders>
                  <w:noWrap w:val="0"/>
                  <w:vAlign w:val="center"/>
                </w:tcPr>
                <w:p w14:paraId="61BEA24D">
                  <w:pPr>
                    <w:jc w:val="center"/>
                    <w:rPr>
                      <w:rFonts w:hint="default" w:ascii="Times New Roman" w:hAnsi="Times New Roman" w:cs="Times New Roman"/>
                      <w:color w:val="auto"/>
                      <w:kern w:val="0"/>
                      <w:szCs w:val="21"/>
                      <w:highlight w:val="none"/>
                      <w:u w:val="single" w:color="auto"/>
                    </w:rPr>
                  </w:pPr>
                </w:p>
              </w:tc>
              <w:tc>
                <w:tcPr>
                  <w:tcW w:w="520" w:type="pct"/>
                  <w:tcBorders>
                    <w:tl2br w:val="nil"/>
                    <w:tr2bl w:val="nil"/>
                  </w:tcBorders>
                  <w:noWrap w:val="0"/>
                  <w:vAlign w:val="center"/>
                </w:tcPr>
                <w:p w14:paraId="2B188F17">
                  <w:pPr>
                    <w:snapToGrid w:val="0"/>
                    <w:jc w:val="center"/>
                    <w:rPr>
                      <w:rFonts w:hint="eastAsia" w:ascii="Times New Roman" w:hAnsi="Times New Roman" w:cs="Times New Roman"/>
                      <w:color w:val="auto"/>
                      <w:kern w:val="0"/>
                      <w:szCs w:val="21"/>
                      <w:highlight w:val="none"/>
                      <w:u w:val="single" w:color="auto"/>
                      <w:lang w:val="en-US" w:eastAsia="zh-CN"/>
                    </w:rPr>
                  </w:pPr>
                  <w:r>
                    <w:rPr>
                      <w:rFonts w:hint="default" w:ascii="Times New Roman" w:hAnsi="Times New Roman" w:eastAsia="宋体" w:cs="Times New Roman"/>
                      <w:color w:val="auto"/>
                      <w:highlight w:val="none"/>
                      <w:u w:val="single" w:color="auto"/>
                      <w:shd w:val="clear" w:color="auto" w:fill="auto"/>
                      <w:lang w:val="zh-TW" w:eastAsia="zh-TW"/>
                    </w:rPr>
                    <w:t>电动抗折机</w:t>
                  </w:r>
                </w:p>
              </w:tc>
              <w:tc>
                <w:tcPr>
                  <w:tcW w:w="476" w:type="pct"/>
                  <w:tcBorders>
                    <w:tl2br w:val="nil"/>
                    <w:tr2bl w:val="nil"/>
                  </w:tcBorders>
                  <w:noWrap w:val="0"/>
                  <w:vAlign w:val="center"/>
                </w:tcPr>
                <w:p w14:paraId="257094C2">
                  <w:pPr>
                    <w:jc w:val="center"/>
                    <w:rPr>
                      <w:rFonts w:hint="eastAsia" w:ascii="Times New Roman" w:hAnsi="Times New Roman" w:cs="Times New Roman"/>
                      <w:color w:val="auto"/>
                      <w:kern w:val="2"/>
                      <w:sz w:val="21"/>
                      <w:szCs w:val="24"/>
                      <w:highlight w:val="none"/>
                      <w:u w:val="single" w:color="auto"/>
                      <w:vertAlign w:val="baseline"/>
                      <w:lang w:val="en-US" w:eastAsia="zh-CN" w:bidi="ar-SA"/>
                    </w:rPr>
                  </w:pPr>
                  <w:r>
                    <w:rPr>
                      <w:rFonts w:hint="eastAsia" w:cs="Times New Roman"/>
                      <w:color w:val="auto"/>
                      <w:highlight w:val="none"/>
                      <w:u w:val="single" w:color="auto"/>
                      <w:vertAlign w:val="baseline"/>
                      <w:lang w:val="en-US" w:eastAsia="zh-CN"/>
                    </w:rPr>
                    <w:t>-5.72</w:t>
                  </w:r>
                </w:p>
              </w:tc>
              <w:tc>
                <w:tcPr>
                  <w:tcW w:w="425" w:type="pct"/>
                  <w:tcBorders>
                    <w:tl2br w:val="nil"/>
                    <w:tr2bl w:val="nil"/>
                  </w:tcBorders>
                  <w:noWrap w:val="0"/>
                  <w:vAlign w:val="center"/>
                </w:tcPr>
                <w:p w14:paraId="7EF974DE">
                  <w:pPr>
                    <w:jc w:val="center"/>
                    <w:rPr>
                      <w:rFonts w:hint="default" w:ascii="Times New Roman" w:hAnsi="Times New Roman" w:eastAsia="宋体"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-8.51</w:t>
                  </w:r>
                </w:p>
              </w:tc>
              <w:tc>
                <w:tcPr>
                  <w:tcW w:w="386" w:type="pct"/>
                  <w:tcBorders>
                    <w:tl2br w:val="nil"/>
                    <w:tr2bl w:val="nil"/>
                  </w:tcBorders>
                  <w:noWrap w:val="0"/>
                  <w:vAlign w:val="center"/>
                </w:tcPr>
                <w:p w14:paraId="06C3172D">
                  <w:pPr>
                    <w:jc w:val="center"/>
                    <w:rPr>
                      <w:rFonts w:hint="default" w:ascii="Times New Roman" w:hAnsi="Times New Roman"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1</w:t>
                  </w:r>
                </w:p>
              </w:tc>
              <w:tc>
                <w:tcPr>
                  <w:tcW w:w="756" w:type="pct"/>
                  <w:tcBorders>
                    <w:tl2br w:val="nil"/>
                    <w:tr2bl w:val="nil"/>
                  </w:tcBorders>
                  <w:noWrap w:val="0"/>
                  <w:vAlign w:val="center"/>
                </w:tcPr>
                <w:p w14:paraId="422E7F8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bCs/>
                      <w:color w:val="auto"/>
                      <w:sz w:val="21"/>
                      <w:szCs w:val="21"/>
                      <w:highlight w:val="none"/>
                      <w:u w:val="single" w:color="auto"/>
                      <w:lang w:val="en-US" w:eastAsia="zh-CN"/>
                    </w:rPr>
                  </w:pPr>
                  <w:r>
                    <w:rPr>
                      <w:rFonts w:hint="default" w:ascii="Times New Roman" w:hAnsi="Times New Roman" w:cs="Times New Roman"/>
                      <w:color w:val="auto"/>
                      <w:sz w:val="21"/>
                      <w:szCs w:val="21"/>
                      <w:highlight w:val="none"/>
                      <w:u w:val="single" w:color="auto"/>
                    </w:rPr>
                    <w:t>8</w:t>
                  </w:r>
                  <w:r>
                    <w:rPr>
                      <w:rFonts w:hint="eastAsia" w:ascii="Times New Roman" w:hAnsi="Times New Roman" w:cs="Times New Roman"/>
                      <w:color w:val="auto"/>
                      <w:sz w:val="21"/>
                      <w:szCs w:val="21"/>
                      <w:highlight w:val="none"/>
                      <w:u w:val="single" w:color="auto"/>
                      <w:lang w:val="en-US" w:eastAsia="zh-CN"/>
                    </w:rPr>
                    <w:t>0</w:t>
                  </w:r>
                  <w:r>
                    <w:rPr>
                      <w:rFonts w:hint="default" w:ascii="Times New Roman" w:hAnsi="Times New Roman" w:cs="Times New Roman"/>
                      <w:color w:val="auto"/>
                      <w:sz w:val="21"/>
                      <w:szCs w:val="21"/>
                      <w:highlight w:val="none"/>
                      <w:u w:val="single" w:color="auto"/>
                    </w:rPr>
                    <w:t>-</w:t>
                  </w:r>
                  <w:r>
                    <w:rPr>
                      <w:rFonts w:hint="eastAsia" w:ascii="Times New Roman" w:hAnsi="Times New Roman" w:cs="Times New Roman"/>
                      <w:color w:val="auto"/>
                      <w:sz w:val="21"/>
                      <w:szCs w:val="21"/>
                      <w:highlight w:val="none"/>
                      <w:u w:val="single" w:color="auto"/>
                      <w:lang w:val="en-US" w:eastAsia="zh-CN"/>
                    </w:rPr>
                    <w:t>85</w:t>
                  </w:r>
                </w:p>
              </w:tc>
              <w:tc>
                <w:tcPr>
                  <w:tcW w:w="525" w:type="pct"/>
                  <w:vMerge w:val="continue"/>
                  <w:tcBorders>
                    <w:tl2br w:val="nil"/>
                    <w:tr2bl w:val="nil"/>
                  </w:tcBorders>
                  <w:noWrap w:val="0"/>
                  <w:vAlign w:val="center"/>
                </w:tcPr>
                <w:p w14:paraId="3764DF7E">
                  <w:pPr>
                    <w:jc w:val="center"/>
                    <w:rPr>
                      <w:rFonts w:hint="default" w:ascii="Times New Roman" w:hAnsi="Times New Roman" w:eastAsia="宋体" w:cs="Times New Roman"/>
                      <w:color w:val="auto"/>
                      <w:highlight w:val="green"/>
                      <w:u w:val="single" w:color="auto"/>
                      <w:vertAlign w:val="baseline"/>
                      <w:lang w:val="en-US" w:eastAsia="zh-CN"/>
                    </w:rPr>
                  </w:pPr>
                </w:p>
              </w:tc>
              <w:tc>
                <w:tcPr>
                  <w:tcW w:w="645" w:type="pct"/>
                  <w:tcBorders>
                    <w:tl2br w:val="nil"/>
                    <w:tr2bl w:val="nil"/>
                  </w:tcBorders>
                  <w:noWrap w:val="0"/>
                  <w:vAlign w:val="center"/>
                </w:tcPr>
                <w:p w14:paraId="72FDC162">
                  <w:pPr>
                    <w:jc w:val="center"/>
                    <w:rPr>
                      <w:rFonts w:hint="default" w:ascii="Times New Roman" w:hAnsi="Times New Roman" w:eastAsia="宋体"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65</w:t>
                  </w:r>
                </w:p>
              </w:tc>
              <w:tc>
                <w:tcPr>
                  <w:tcW w:w="466" w:type="pct"/>
                  <w:vMerge w:val="continue"/>
                  <w:tcBorders>
                    <w:tl2br w:val="nil"/>
                    <w:tr2bl w:val="nil"/>
                  </w:tcBorders>
                  <w:noWrap w:val="0"/>
                  <w:vAlign w:val="center"/>
                </w:tcPr>
                <w:p w14:paraId="6998D9AD">
                  <w:pPr>
                    <w:jc w:val="center"/>
                    <w:rPr>
                      <w:rFonts w:hint="default" w:ascii="Times New Roman" w:hAnsi="Times New Roman" w:eastAsia="宋体" w:cs="Times New Roman"/>
                      <w:color w:val="auto"/>
                      <w:highlight w:val="green"/>
                      <w:u w:val="single" w:color="auto"/>
                      <w:vertAlign w:val="baseline"/>
                      <w:lang w:val="en-US" w:eastAsia="zh-CN"/>
                    </w:rPr>
                  </w:pPr>
                </w:p>
              </w:tc>
            </w:tr>
            <w:tr w14:paraId="0F9D1B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76" w:type="pct"/>
                  <w:tcBorders>
                    <w:tl2br w:val="nil"/>
                    <w:tr2bl w:val="nil"/>
                  </w:tcBorders>
                  <w:noWrap w:val="0"/>
                  <w:vAlign w:val="center"/>
                </w:tcPr>
                <w:p w14:paraId="4DDF012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cs="Times New Roman"/>
                      <w:color w:val="auto"/>
                      <w:sz w:val="21"/>
                      <w:szCs w:val="21"/>
                      <w:highlight w:val="none"/>
                      <w:u w:val="single" w:color="auto"/>
                      <w:lang w:val="en-US" w:eastAsia="zh-CN"/>
                    </w:rPr>
                  </w:pPr>
                  <w:r>
                    <w:rPr>
                      <w:rFonts w:hint="eastAsia" w:cs="Times New Roman"/>
                      <w:color w:val="auto"/>
                      <w:sz w:val="21"/>
                      <w:szCs w:val="21"/>
                      <w:highlight w:val="none"/>
                      <w:u w:val="single" w:color="auto"/>
                      <w:lang w:val="en-US" w:eastAsia="zh-CN"/>
                    </w:rPr>
                    <w:t>13</w:t>
                  </w:r>
                </w:p>
              </w:tc>
              <w:tc>
                <w:tcPr>
                  <w:tcW w:w="522" w:type="pct"/>
                  <w:vMerge w:val="continue"/>
                  <w:tcBorders>
                    <w:tl2br w:val="nil"/>
                    <w:tr2bl w:val="nil"/>
                  </w:tcBorders>
                  <w:noWrap w:val="0"/>
                  <w:vAlign w:val="center"/>
                </w:tcPr>
                <w:p w14:paraId="0867607D">
                  <w:pPr>
                    <w:jc w:val="center"/>
                    <w:rPr>
                      <w:rFonts w:hint="default" w:ascii="Times New Roman" w:hAnsi="Times New Roman" w:cs="Times New Roman"/>
                      <w:color w:val="auto"/>
                      <w:kern w:val="0"/>
                      <w:szCs w:val="21"/>
                      <w:highlight w:val="none"/>
                      <w:u w:val="single" w:color="auto"/>
                    </w:rPr>
                  </w:pPr>
                </w:p>
              </w:tc>
              <w:tc>
                <w:tcPr>
                  <w:tcW w:w="520" w:type="pct"/>
                  <w:tcBorders>
                    <w:tl2br w:val="nil"/>
                    <w:tr2bl w:val="nil"/>
                  </w:tcBorders>
                  <w:noWrap w:val="0"/>
                  <w:vAlign w:val="center"/>
                </w:tcPr>
                <w:p w14:paraId="52238634">
                  <w:pPr>
                    <w:snapToGrid w:val="0"/>
                    <w:jc w:val="center"/>
                    <w:rPr>
                      <w:rFonts w:hint="default" w:ascii="Times New Roman" w:hAnsi="Times New Roman" w:eastAsia="宋体" w:cs="Times New Roman"/>
                      <w:color w:val="auto"/>
                      <w:highlight w:val="none"/>
                      <w:u w:val="single" w:color="auto"/>
                      <w:shd w:val="clear" w:color="auto" w:fill="auto"/>
                      <w:lang w:val="zh-TW" w:eastAsia="zh-TW"/>
                    </w:rPr>
                  </w:pPr>
                  <w:r>
                    <w:rPr>
                      <w:rFonts w:hint="eastAsia"/>
                      <w:b w:val="0"/>
                      <w:i w:val="0"/>
                      <w:caps w:val="0"/>
                      <w:color w:val="auto"/>
                      <w:spacing w:val="0"/>
                      <w:w w:val="100"/>
                      <w:sz w:val="21"/>
                      <w:highlight w:val="none"/>
                      <w:u w:val="single" w:color="auto"/>
                      <w:lang w:eastAsia="zh-CN"/>
                    </w:rPr>
                    <w:t>水泥胶砂振实台</w:t>
                  </w:r>
                </w:p>
              </w:tc>
              <w:tc>
                <w:tcPr>
                  <w:tcW w:w="476" w:type="pct"/>
                  <w:tcBorders>
                    <w:tl2br w:val="nil"/>
                    <w:tr2bl w:val="nil"/>
                  </w:tcBorders>
                  <w:noWrap w:val="0"/>
                  <w:vAlign w:val="center"/>
                </w:tcPr>
                <w:p w14:paraId="578670C0">
                  <w:pPr>
                    <w:jc w:val="center"/>
                    <w:rPr>
                      <w:rFonts w:hint="default"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-4.18</w:t>
                  </w:r>
                </w:p>
              </w:tc>
              <w:tc>
                <w:tcPr>
                  <w:tcW w:w="425" w:type="pct"/>
                  <w:tcBorders>
                    <w:tl2br w:val="nil"/>
                    <w:tr2bl w:val="nil"/>
                  </w:tcBorders>
                  <w:noWrap w:val="0"/>
                  <w:vAlign w:val="center"/>
                </w:tcPr>
                <w:p w14:paraId="729C3DBF">
                  <w:pPr>
                    <w:jc w:val="center"/>
                    <w:rPr>
                      <w:rFonts w:hint="default"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5.96</w:t>
                  </w:r>
                </w:p>
              </w:tc>
              <w:tc>
                <w:tcPr>
                  <w:tcW w:w="386" w:type="pct"/>
                  <w:tcBorders>
                    <w:tl2br w:val="nil"/>
                    <w:tr2bl w:val="nil"/>
                  </w:tcBorders>
                  <w:noWrap w:val="0"/>
                  <w:vAlign w:val="center"/>
                </w:tcPr>
                <w:p w14:paraId="36D94128">
                  <w:pPr>
                    <w:jc w:val="center"/>
                    <w:rPr>
                      <w:rFonts w:hint="default"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1</w:t>
                  </w:r>
                </w:p>
              </w:tc>
              <w:tc>
                <w:tcPr>
                  <w:tcW w:w="756" w:type="pct"/>
                  <w:tcBorders>
                    <w:tl2br w:val="nil"/>
                    <w:tr2bl w:val="nil"/>
                  </w:tcBorders>
                  <w:noWrap w:val="0"/>
                  <w:vAlign w:val="center"/>
                </w:tcPr>
                <w:p w14:paraId="3E16515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color w:val="auto"/>
                      <w:sz w:val="21"/>
                      <w:szCs w:val="21"/>
                      <w:highlight w:val="none"/>
                      <w:u w:val="single" w:color="auto"/>
                      <w:lang w:val="en-US" w:eastAsia="zh-CN"/>
                    </w:rPr>
                  </w:pPr>
                  <w:r>
                    <w:rPr>
                      <w:rFonts w:hint="default" w:ascii="Times New Roman" w:hAnsi="Times New Roman" w:cs="Times New Roman"/>
                      <w:color w:val="auto"/>
                      <w:sz w:val="21"/>
                      <w:szCs w:val="21"/>
                      <w:highlight w:val="none"/>
                      <w:u w:val="single" w:color="auto"/>
                    </w:rPr>
                    <w:t>8</w:t>
                  </w:r>
                  <w:r>
                    <w:rPr>
                      <w:rFonts w:hint="eastAsia" w:ascii="Times New Roman" w:hAnsi="Times New Roman" w:cs="Times New Roman"/>
                      <w:color w:val="auto"/>
                      <w:sz w:val="21"/>
                      <w:szCs w:val="21"/>
                      <w:highlight w:val="none"/>
                      <w:u w:val="single" w:color="auto"/>
                      <w:lang w:val="en-US" w:eastAsia="zh-CN"/>
                    </w:rPr>
                    <w:t>0</w:t>
                  </w:r>
                  <w:r>
                    <w:rPr>
                      <w:rFonts w:hint="default" w:ascii="Times New Roman" w:hAnsi="Times New Roman" w:cs="Times New Roman"/>
                      <w:color w:val="auto"/>
                      <w:sz w:val="21"/>
                      <w:szCs w:val="21"/>
                      <w:highlight w:val="none"/>
                      <w:u w:val="single" w:color="auto"/>
                    </w:rPr>
                    <w:t>-</w:t>
                  </w:r>
                  <w:r>
                    <w:rPr>
                      <w:rFonts w:hint="eastAsia" w:ascii="Times New Roman" w:hAnsi="Times New Roman" w:cs="Times New Roman"/>
                      <w:color w:val="auto"/>
                      <w:sz w:val="21"/>
                      <w:szCs w:val="21"/>
                      <w:highlight w:val="none"/>
                      <w:u w:val="single" w:color="auto"/>
                      <w:lang w:val="en-US" w:eastAsia="zh-CN"/>
                    </w:rPr>
                    <w:t>85</w:t>
                  </w:r>
                </w:p>
              </w:tc>
              <w:tc>
                <w:tcPr>
                  <w:tcW w:w="525" w:type="pct"/>
                  <w:vMerge w:val="continue"/>
                  <w:tcBorders>
                    <w:tl2br w:val="nil"/>
                    <w:tr2bl w:val="nil"/>
                  </w:tcBorders>
                  <w:noWrap w:val="0"/>
                  <w:vAlign w:val="center"/>
                </w:tcPr>
                <w:p w14:paraId="6CE737E0">
                  <w:pPr>
                    <w:jc w:val="center"/>
                    <w:rPr>
                      <w:rFonts w:hint="default" w:ascii="Times New Roman" w:hAnsi="Times New Roman" w:eastAsia="宋体" w:cs="Times New Roman"/>
                      <w:color w:val="auto"/>
                      <w:highlight w:val="green"/>
                      <w:u w:val="single" w:color="auto"/>
                      <w:vertAlign w:val="baseline"/>
                      <w:lang w:val="en-US" w:eastAsia="zh-CN"/>
                    </w:rPr>
                  </w:pPr>
                </w:p>
              </w:tc>
              <w:tc>
                <w:tcPr>
                  <w:tcW w:w="645" w:type="pct"/>
                  <w:tcBorders>
                    <w:tl2br w:val="nil"/>
                    <w:tr2bl w:val="nil"/>
                  </w:tcBorders>
                  <w:noWrap w:val="0"/>
                  <w:vAlign w:val="center"/>
                </w:tcPr>
                <w:p w14:paraId="67DA4EA1">
                  <w:pPr>
                    <w:jc w:val="center"/>
                    <w:rPr>
                      <w:rFonts w:hint="default"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65</w:t>
                  </w:r>
                </w:p>
              </w:tc>
              <w:tc>
                <w:tcPr>
                  <w:tcW w:w="466" w:type="pct"/>
                  <w:vMerge w:val="continue"/>
                  <w:tcBorders>
                    <w:tl2br w:val="nil"/>
                    <w:tr2bl w:val="nil"/>
                  </w:tcBorders>
                  <w:noWrap w:val="0"/>
                  <w:vAlign w:val="center"/>
                </w:tcPr>
                <w:p w14:paraId="3221D398">
                  <w:pPr>
                    <w:jc w:val="center"/>
                    <w:rPr>
                      <w:rFonts w:hint="default" w:ascii="Times New Roman" w:hAnsi="Times New Roman" w:eastAsia="宋体" w:cs="Times New Roman"/>
                      <w:color w:val="auto"/>
                      <w:highlight w:val="green"/>
                      <w:u w:val="single" w:color="auto"/>
                      <w:vertAlign w:val="baseline"/>
                      <w:lang w:val="en-US" w:eastAsia="zh-CN"/>
                    </w:rPr>
                  </w:pPr>
                </w:p>
              </w:tc>
            </w:tr>
            <w:tr w14:paraId="619159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76" w:type="pct"/>
                  <w:tcBorders>
                    <w:tl2br w:val="nil"/>
                    <w:tr2bl w:val="nil"/>
                  </w:tcBorders>
                  <w:noWrap w:val="0"/>
                  <w:vAlign w:val="center"/>
                </w:tcPr>
                <w:p w14:paraId="2EF615E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cs="Times New Roman"/>
                      <w:color w:val="auto"/>
                      <w:sz w:val="21"/>
                      <w:szCs w:val="21"/>
                      <w:highlight w:val="none"/>
                      <w:u w:val="single" w:color="auto"/>
                      <w:lang w:val="en-US" w:eastAsia="zh-CN"/>
                    </w:rPr>
                  </w:pPr>
                  <w:r>
                    <w:rPr>
                      <w:rFonts w:hint="eastAsia" w:cs="Times New Roman"/>
                      <w:color w:val="auto"/>
                      <w:sz w:val="21"/>
                      <w:szCs w:val="21"/>
                      <w:highlight w:val="none"/>
                      <w:u w:val="single" w:color="auto"/>
                      <w:lang w:val="en-US" w:eastAsia="zh-CN"/>
                    </w:rPr>
                    <w:t>14</w:t>
                  </w:r>
                </w:p>
              </w:tc>
              <w:tc>
                <w:tcPr>
                  <w:tcW w:w="522" w:type="pct"/>
                  <w:vMerge w:val="continue"/>
                  <w:tcBorders>
                    <w:tl2br w:val="nil"/>
                    <w:tr2bl w:val="nil"/>
                  </w:tcBorders>
                  <w:noWrap w:val="0"/>
                  <w:vAlign w:val="center"/>
                </w:tcPr>
                <w:p w14:paraId="34396997">
                  <w:pPr>
                    <w:jc w:val="center"/>
                    <w:rPr>
                      <w:rFonts w:hint="default" w:ascii="Times New Roman" w:hAnsi="Times New Roman" w:cs="Times New Roman"/>
                      <w:color w:val="auto"/>
                      <w:kern w:val="0"/>
                      <w:szCs w:val="21"/>
                      <w:highlight w:val="none"/>
                      <w:u w:val="single" w:color="auto"/>
                    </w:rPr>
                  </w:pPr>
                </w:p>
              </w:tc>
              <w:tc>
                <w:tcPr>
                  <w:tcW w:w="520" w:type="pct"/>
                  <w:tcBorders>
                    <w:tl2br w:val="nil"/>
                    <w:tr2bl w:val="nil"/>
                  </w:tcBorders>
                  <w:noWrap w:val="0"/>
                  <w:vAlign w:val="center"/>
                </w:tcPr>
                <w:p w14:paraId="2A6A43E7">
                  <w:pPr>
                    <w:snapToGrid w:val="0"/>
                    <w:jc w:val="center"/>
                    <w:rPr>
                      <w:rFonts w:hint="default" w:ascii="Times New Roman" w:hAnsi="Times New Roman" w:eastAsia="宋体" w:cs="Times New Roman"/>
                      <w:color w:val="auto"/>
                      <w:highlight w:val="none"/>
                      <w:u w:val="single" w:color="auto"/>
                      <w:shd w:val="clear" w:color="auto" w:fill="auto"/>
                      <w:lang w:val="zh-TW" w:eastAsia="zh-TW"/>
                    </w:rPr>
                  </w:pPr>
                  <w:r>
                    <w:rPr>
                      <w:rFonts w:hint="default" w:ascii="Times New Roman" w:hAnsi="Times New Roman" w:eastAsia="宋体" w:cs="Times New Roman"/>
                      <w:color w:val="auto"/>
                      <w:highlight w:val="none"/>
                      <w:u w:val="single" w:color="auto"/>
                      <w:shd w:val="clear" w:color="auto" w:fill="auto"/>
                      <w:lang w:val="zh-TW" w:eastAsia="zh-TW"/>
                    </w:rPr>
                    <w:t>电动抗折机</w:t>
                  </w:r>
                </w:p>
              </w:tc>
              <w:tc>
                <w:tcPr>
                  <w:tcW w:w="476" w:type="pct"/>
                  <w:tcBorders>
                    <w:tl2br w:val="nil"/>
                    <w:tr2bl w:val="nil"/>
                  </w:tcBorders>
                  <w:noWrap w:val="0"/>
                  <w:vAlign w:val="center"/>
                </w:tcPr>
                <w:p w14:paraId="403A18F2">
                  <w:pPr>
                    <w:jc w:val="center"/>
                    <w:rPr>
                      <w:rFonts w:hint="default"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-4.85</w:t>
                  </w:r>
                </w:p>
              </w:tc>
              <w:tc>
                <w:tcPr>
                  <w:tcW w:w="425" w:type="pct"/>
                  <w:tcBorders>
                    <w:tl2br w:val="nil"/>
                    <w:tr2bl w:val="nil"/>
                  </w:tcBorders>
                  <w:noWrap w:val="0"/>
                  <w:vAlign w:val="center"/>
                </w:tcPr>
                <w:p w14:paraId="16435A21">
                  <w:pPr>
                    <w:jc w:val="center"/>
                    <w:rPr>
                      <w:rFonts w:hint="default"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6.83</w:t>
                  </w:r>
                </w:p>
              </w:tc>
              <w:tc>
                <w:tcPr>
                  <w:tcW w:w="386" w:type="pct"/>
                  <w:tcBorders>
                    <w:tl2br w:val="nil"/>
                    <w:tr2bl w:val="nil"/>
                  </w:tcBorders>
                  <w:noWrap w:val="0"/>
                  <w:vAlign w:val="center"/>
                </w:tcPr>
                <w:p w14:paraId="02A87FEA">
                  <w:pPr>
                    <w:jc w:val="center"/>
                    <w:rPr>
                      <w:rFonts w:hint="default"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1</w:t>
                  </w:r>
                </w:p>
              </w:tc>
              <w:tc>
                <w:tcPr>
                  <w:tcW w:w="756" w:type="pct"/>
                  <w:tcBorders>
                    <w:tl2br w:val="nil"/>
                    <w:tr2bl w:val="nil"/>
                  </w:tcBorders>
                  <w:noWrap w:val="0"/>
                  <w:vAlign w:val="center"/>
                </w:tcPr>
                <w:p w14:paraId="596FCCD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color w:val="auto"/>
                      <w:sz w:val="21"/>
                      <w:szCs w:val="21"/>
                      <w:highlight w:val="none"/>
                      <w:u w:val="single" w:color="auto"/>
                      <w:lang w:val="en-US" w:eastAsia="zh-CN"/>
                    </w:rPr>
                  </w:pPr>
                  <w:r>
                    <w:rPr>
                      <w:rFonts w:hint="default" w:ascii="Times New Roman" w:hAnsi="Times New Roman" w:cs="Times New Roman"/>
                      <w:color w:val="auto"/>
                      <w:sz w:val="21"/>
                      <w:szCs w:val="21"/>
                      <w:highlight w:val="none"/>
                      <w:u w:val="single" w:color="auto"/>
                    </w:rPr>
                    <w:t>8</w:t>
                  </w:r>
                  <w:r>
                    <w:rPr>
                      <w:rFonts w:hint="eastAsia" w:ascii="Times New Roman" w:hAnsi="Times New Roman" w:cs="Times New Roman"/>
                      <w:color w:val="auto"/>
                      <w:sz w:val="21"/>
                      <w:szCs w:val="21"/>
                      <w:highlight w:val="none"/>
                      <w:u w:val="single" w:color="auto"/>
                      <w:lang w:val="en-US" w:eastAsia="zh-CN"/>
                    </w:rPr>
                    <w:t>0</w:t>
                  </w:r>
                  <w:r>
                    <w:rPr>
                      <w:rFonts w:hint="default" w:ascii="Times New Roman" w:hAnsi="Times New Roman" w:cs="Times New Roman"/>
                      <w:color w:val="auto"/>
                      <w:sz w:val="21"/>
                      <w:szCs w:val="21"/>
                      <w:highlight w:val="none"/>
                      <w:u w:val="single" w:color="auto"/>
                    </w:rPr>
                    <w:t>-</w:t>
                  </w:r>
                  <w:r>
                    <w:rPr>
                      <w:rFonts w:hint="eastAsia" w:ascii="Times New Roman" w:hAnsi="Times New Roman" w:cs="Times New Roman"/>
                      <w:color w:val="auto"/>
                      <w:sz w:val="21"/>
                      <w:szCs w:val="21"/>
                      <w:highlight w:val="none"/>
                      <w:u w:val="single" w:color="auto"/>
                      <w:lang w:val="en-US" w:eastAsia="zh-CN"/>
                    </w:rPr>
                    <w:t>85</w:t>
                  </w:r>
                </w:p>
              </w:tc>
              <w:tc>
                <w:tcPr>
                  <w:tcW w:w="525" w:type="pct"/>
                  <w:vMerge w:val="continue"/>
                  <w:tcBorders>
                    <w:tl2br w:val="nil"/>
                    <w:tr2bl w:val="nil"/>
                  </w:tcBorders>
                  <w:noWrap w:val="0"/>
                  <w:vAlign w:val="center"/>
                </w:tcPr>
                <w:p w14:paraId="63FDFCD3">
                  <w:pPr>
                    <w:jc w:val="center"/>
                    <w:rPr>
                      <w:rFonts w:hint="default" w:ascii="Times New Roman" w:hAnsi="Times New Roman" w:eastAsia="宋体" w:cs="Times New Roman"/>
                      <w:color w:val="auto"/>
                      <w:highlight w:val="green"/>
                      <w:u w:val="single" w:color="auto"/>
                      <w:vertAlign w:val="baseline"/>
                      <w:lang w:val="en-US" w:eastAsia="zh-CN"/>
                    </w:rPr>
                  </w:pPr>
                </w:p>
              </w:tc>
              <w:tc>
                <w:tcPr>
                  <w:tcW w:w="645" w:type="pct"/>
                  <w:tcBorders>
                    <w:tl2br w:val="nil"/>
                    <w:tr2bl w:val="nil"/>
                  </w:tcBorders>
                  <w:noWrap w:val="0"/>
                  <w:vAlign w:val="center"/>
                </w:tcPr>
                <w:p w14:paraId="7C65AF4E">
                  <w:pPr>
                    <w:jc w:val="center"/>
                    <w:rPr>
                      <w:rFonts w:hint="default" w:cs="Times New Roman"/>
                      <w:color w:val="auto"/>
                      <w:highlight w:val="none"/>
                      <w:u w:val="single" w:color="auto"/>
                      <w:vertAlign w:val="baseline"/>
                      <w:lang w:val="en-US" w:eastAsia="zh-CN"/>
                    </w:rPr>
                  </w:pPr>
                  <w:r>
                    <w:rPr>
                      <w:rFonts w:hint="eastAsia" w:cs="Times New Roman"/>
                      <w:color w:val="auto"/>
                      <w:highlight w:val="none"/>
                      <w:u w:val="single" w:color="auto"/>
                      <w:vertAlign w:val="baseline"/>
                      <w:lang w:val="en-US" w:eastAsia="zh-CN"/>
                    </w:rPr>
                    <w:t>65</w:t>
                  </w:r>
                </w:p>
              </w:tc>
              <w:tc>
                <w:tcPr>
                  <w:tcW w:w="466" w:type="pct"/>
                  <w:vMerge w:val="continue"/>
                  <w:tcBorders>
                    <w:tl2br w:val="nil"/>
                    <w:tr2bl w:val="nil"/>
                  </w:tcBorders>
                  <w:noWrap w:val="0"/>
                  <w:vAlign w:val="center"/>
                </w:tcPr>
                <w:p w14:paraId="27F18883">
                  <w:pPr>
                    <w:jc w:val="center"/>
                    <w:rPr>
                      <w:rFonts w:hint="default" w:ascii="Times New Roman" w:hAnsi="Times New Roman" w:eastAsia="宋体" w:cs="Times New Roman"/>
                      <w:color w:val="auto"/>
                      <w:highlight w:val="green"/>
                      <w:u w:val="single" w:color="auto"/>
                      <w:vertAlign w:val="baseline"/>
                      <w:lang w:val="en-US" w:eastAsia="zh-CN"/>
                    </w:rPr>
                  </w:pPr>
                </w:p>
              </w:tc>
            </w:tr>
          </w:tbl>
          <w:p w14:paraId="4D0044B2">
            <w:pPr>
              <w:pStyle w:val="55"/>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highlight w:val="none"/>
                <w:u w:val="none" w:color="auto"/>
              </w:rPr>
            </w:pPr>
          </w:p>
          <w:p w14:paraId="696B687E">
            <w:pPr>
              <w:adjustRightInd w:val="0"/>
              <w:snapToGrid w:val="0"/>
              <w:spacing w:line="360" w:lineRule="auto"/>
              <w:ind w:firstLine="482" w:firstLineChars="200"/>
              <w:rPr>
                <w:b/>
                <w:bCs/>
                <w:sz w:val="24"/>
                <w:szCs w:val="24"/>
                <w:highlight w:val="none"/>
              </w:rPr>
            </w:pPr>
            <w:r>
              <w:rPr>
                <w:rFonts w:hint="eastAsia"/>
                <w:b/>
                <w:bCs/>
                <w:sz w:val="24"/>
                <w:szCs w:val="24"/>
                <w:highlight w:val="none"/>
                <w:lang w:val="en-US" w:eastAsia="zh-CN"/>
              </w:rPr>
              <w:t>3.2</w:t>
            </w:r>
            <w:r>
              <w:rPr>
                <w:rFonts w:hint="default" w:ascii="Times New Roman" w:hAnsi="Times New Roman" w:cs="Times New Roman"/>
                <w:b/>
                <w:bCs/>
                <w:color w:val="auto"/>
                <w:sz w:val="24"/>
                <w:highlight w:val="none"/>
                <w:u w:val="none" w:color="auto"/>
                <w:lang w:val="en-US" w:eastAsia="zh-CN"/>
              </w:rPr>
              <w:t>主要噪声控制措施</w:t>
            </w:r>
          </w:p>
          <w:p w14:paraId="7B681B93">
            <w:pPr>
              <w:adjustRightInd w:val="0"/>
              <w:snapToGrid w:val="0"/>
              <w:spacing w:line="360" w:lineRule="auto"/>
              <w:ind w:firstLine="480" w:firstLineChars="200"/>
              <w:rPr>
                <w:color w:val="auto"/>
                <w:sz w:val="24"/>
                <w:szCs w:val="24"/>
                <w:highlight w:val="none"/>
              </w:rPr>
            </w:pPr>
            <w:bookmarkStart w:id="12" w:name="_Hlk132272084"/>
            <w:r>
              <w:rPr>
                <w:color w:val="auto"/>
                <w:sz w:val="24"/>
                <w:szCs w:val="24"/>
                <w:highlight w:val="none"/>
              </w:rPr>
              <w:t>厂区</w:t>
            </w:r>
            <w:r>
              <w:rPr>
                <w:rFonts w:hint="eastAsia"/>
                <w:color w:val="auto"/>
                <w:sz w:val="24"/>
                <w:szCs w:val="24"/>
                <w:highlight w:val="none"/>
                <w:lang w:val="en-US" w:eastAsia="zh-CN"/>
              </w:rPr>
              <w:t>拟</w:t>
            </w:r>
            <w:r>
              <w:rPr>
                <w:color w:val="auto"/>
                <w:sz w:val="24"/>
                <w:szCs w:val="24"/>
                <w:highlight w:val="none"/>
              </w:rPr>
              <w:t>采取如下噪声污染防治措施：</w:t>
            </w:r>
          </w:p>
          <w:p w14:paraId="15EF5650">
            <w:pPr>
              <w:adjustRightInd w:val="0"/>
              <w:snapToGrid w:val="0"/>
              <w:spacing w:line="360" w:lineRule="auto"/>
              <w:ind w:firstLine="480" w:firstLineChars="20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color w:val="auto"/>
                <w:sz w:val="24"/>
                <w:szCs w:val="24"/>
                <w:highlight w:val="none"/>
              </w:rPr>
              <w:t>选用低噪声设备</w:t>
            </w:r>
            <w:r>
              <w:rPr>
                <w:rFonts w:hint="eastAsia"/>
                <w:color w:val="auto"/>
                <w:sz w:val="24"/>
                <w:szCs w:val="24"/>
                <w:highlight w:val="none"/>
              </w:rPr>
              <w:t>：</w:t>
            </w:r>
            <w:r>
              <w:rPr>
                <w:color w:val="auto"/>
                <w:sz w:val="24"/>
                <w:szCs w:val="24"/>
                <w:highlight w:val="none"/>
              </w:rPr>
              <w:t>在满足项目生产工艺的前提下，尽可能选择</w:t>
            </w:r>
            <w:r>
              <w:rPr>
                <w:rFonts w:hint="eastAsia"/>
                <w:color w:val="auto"/>
                <w:sz w:val="24"/>
                <w:szCs w:val="24"/>
                <w:highlight w:val="none"/>
              </w:rPr>
              <w:t>了</w:t>
            </w:r>
            <w:r>
              <w:rPr>
                <w:color w:val="auto"/>
                <w:sz w:val="24"/>
                <w:szCs w:val="24"/>
                <w:highlight w:val="none"/>
              </w:rPr>
              <w:t>先进、噪声低的生产设备，从源头降低噪声；</w:t>
            </w:r>
          </w:p>
          <w:p w14:paraId="097100F4">
            <w:pPr>
              <w:adjustRightInd w:val="0"/>
              <w:snapToGrid w:val="0"/>
              <w:spacing w:line="360" w:lineRule="auto"/>
              <w:ind w:firstLine="480" w:firstLineChars="20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lang w:val="en-US" w:eastAsia="zh-CN"/>
              </w:rPr>
              <w:t>消声、减振</w:t>
            </w:r>
            <w:r>
              <w:rPr>
                <w:rFonts w:hint="eastAsia"/>
                <w:color w:val="auto"/>
                <w:sz w:val="24"/>
                <w:szCs w:val="24"/>
                <w:highlight w:val="none"/>
              </w:rPr>
              <w:t>：</w:t>
            </w:r>
            <w:r>
              <w:rPr>
                <w:rFonts w:hint="eastAsia"/>
                <w:color w:val="auto"/>
                <w:sz w:val="24"/>
                <w:szCs w:val="24"/>
                <w:highlight w:val="none"/>
                <w:lang w:val="en-US" w:eastAsia="zh-CN"/>
              </w:rPr>
              <w:t>对产噪较大的生产设备安装消声装置、减振垫等</w:t>
            </w:r>
            <w:r>
              <w:rPr>
                <w:rFonts w:hint="eastAsia"/>
                <w:color w:val="auto"/>
                <w:sz w:val="24"/>
                <w:szCs w:val="24"/>
                <w:highlight w:val="none"/>
              </w:rPr>
              <w:t>，</w:t>
            </w:r>
            <w:r>
              <w:rPr>
                <w:rFonts w:hint="eastAsia"/>
                <w:color w:val="auto"/>
                <w:sz w:val="24"/>
                <w:szCs w:val="24"/>
                <w:highlight w:val="none"/>
                <w:lang w:eastAsia="zh-CN"/>
              </w:rPr>
              <w:t>实验设备位于室内，采取建筑隔声措施，</w:t>
            </w:r>
            <w:r>
              <w:rPr>
                <w:color w:val="auto"/>
                <w:sz w:val="24"/>
                <w:szCs w:val="24"/>
                <w:highlight w:val="none"/>
              </w:rPr>
              <w:t>进一步降低噪声</w:t>
            </w:r>
            <w:r>
              <w:rPr>
                <w:rFonts w:hint="eastAsia"/>
                <w:color w:val="auto"/>
                <w:sz w:val="24"/>
                <w:szCs w:val="24"/>
                <w:highlight w:val="none"/>
                <w:lang w:val="en-US" w:eastAsia="zh-CN"/>
              </w:rPr>
              <w:t>源强</w:t>
            </w:r>
            <w:r>
              <w:rPr>
                <w:color w:val="auto"/>
                <w:sz w:val="24"/>
                <w:szCs w:val="24"/>
                <w:highlight w:val="none"/>
              </w:rPr>
              <w:t>；</w:t>
            </w:r>
          </w:p>
          <w:p w14:paraId="6D6C8DB3">
            <w:pPr>
              <w:adjustRightInd w:val="0"/>
              <w:snapToGrid w:val="0"/>
              <w:spacing w:line="360" w:lineRule="auto"/>
              <w:ind w:firstLine="480" w:firstLineChars="20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color w:val="auto"/>
                <w:sz w:val="24"/>
                <w:szCs w:val="24"/>
                <w:highlight w:val="none"/>
              </w:rPr>
              <w:t>加强设备维护</w:t>
            </w:r>
            <w:r>
              <w:rPr>
                <w:rFonts w:hint="eastAsia"/>
                <w:color w:val="auto"/>
                <w:sz w:val="24"/>
                <w:szCs w:val="24"/>
                <w:highlight w:val="none"/>
              </w:rPr>
              <w:t>：</w:t>
            </w:r>
            <w:r>
              <w:rPr>
                <w:color w:val="auto"/>
                <w:sz w:val="24"/>
                <w:szCs w:val="24"/>
                <w:highlight w:val="none"/>
              </w:rPr>
              <w:t>加强设备的维护，确保设备处于良好的运转状态，杜绝因设备不正常运转时产生的高噪声现象；</w:t>
            </w:r>
          </w:p>
          <w:p w14:paraId="11A662A9">
            <w:pPr>
              <w:adjustRightInd w:val="0"/>
              <w:snapToGrid w:val="0"/>
              <w:spacing w:line="360" w:lineRule="auto"/>
              <w:ind w:firstLine="480" w:firstLineChars="20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lang w:val="en-US" w:eastAsia="zh-CN"/>
              </w:rPr>
              <w:t>车辆</w:t>
            </w:r>
            <w:r>
              <w:rPr>
                <w:color w:val="auto"/>
                <w:sz w:val="24"/>
                <w:szCs w:val="24"/>
                <w:highlight w:val="none"/>
              </w:rPr>
              <w:t>进出口通道设置禁鸣标志，禁止进出车辆鸣笛，防止汽车运行产生的噪声对周围敏感区产生影响。通过加强车辆管理措施，汽车噪声可以达标。</w:t>
            </w:r>
          </w:p>
          <w:bookmarkEnd w:id="12"/>
          <w:p w14:paraId="7D24CF67">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i w:val="0"/>
                <w:iCs w:val="0"/>
                <w:color w:val="auto"/>
                <w:sz w:val="24"/>
                <w:highlight w:val="none"/>
                <w:u w:val="none" w:color="auto"/>
                <w:shd w:val="clear" w:color="auto" w:fill="auto"/>
                <w:lang w:val="en-US" w:eastAsia="zh-CN"/>
              </w:rPr>
            </w:pPr>
            <w:r>
              <w:rPr>
                <w:rFonts w:hint="default" w:ascii="Times New Roman" w:hAnsi="Times New Roman" w:cs="Times New Roman"/>
                <w:b/>
                <w:bCs/>
                <w:i w:val="0"/>
                <w:iCs w:val="0"/>
                <w:color w:val="auto"/>
                <w:sz w:val="24"/>
                <w:highlight w:val="none"/>
                <w:u w:val="none" w:color="auto"/>
                <w:shd w:val="clear" w:color="auto" w:fill="auto"/>
                <w:lang w:val="en-US" w:eastAsia="zh-CN"/>
              </w:rPr>
              <w:t>3.3厂界达标情况分析</w:t>
            </w:r>
          </w:p>
          <w:p w14:paraId="01FD1525">
            <w:pPr>
              <w:adjustRightInd w:val="0"/>
              <w:snapToGrid w:val="0"/>
              <w:spacing w:line="360" w:lineRule="auto"/>
              <w:ind w:firstLine="480" w:firstLineChars="200"/>
              <w:rPr>
                <w:rFonts w:hint="eastAsia" w:ascii="Times New Roman" w:hAnsi="Times New Roman" w:eastAsia="宋体" w:cs="宋体"/>
                <w:b w:val="0"/>
                <w:bCs w:val="0"/>
                <w:snapToGrid w:val="0"/>
                <w:color w:val="auto"/>
                <w:kern w:val="2"/>
                <w:sz w:val="24"/>
                <w:szCs w:val="24"/>
                <w:highlight w:val="none"/>
                <w:u w:val="none" w:color="auto"/>
                <w:lang w:val="en-US" w:eastAsia="zh-CN" w:bidi="ar-SA"/>
              </w:rPr>
            </w:pPr>
            <w:r>
              <w:rPr>
                <w:rFonts w:hint="default" w:ascii="Times New Roman" w:hAnsi="Times New Roman" w:eastAsia="宋体" w:cs="Times New Roman"/>
                <w:i w:val="0"/>
                <w:iCs w:val="0"/>
                <w:color w:val="auto"/>
                <w:sz w:val="24"/>
                <w:highlight w:val="none"/>
                <w:u w:val="none" w:color="auto"/>
                <w:shd w:val="clear" w:color="auto" w:fill="auto"/>
                <w:lang w:val="en-US" w:eastAsia="zh-CN"/>
              </w:rPr>
              <w:t>（1）</w:t>
            </w:r>
            <w:r>
              <w:rPr>
                <w:rFonts w:hint="eastAsia" w:ascii="Times New Roman" w:hAnsi="Times New Roman" w:eastAsia="宋体" w:cs="宋体"/>
                <w:b w:val="0"/>
                <w:bCs w:val="0"/>
                <w:snapToGrid w:val="0"/>
                <w:color w:val="auto"/>
                <w:kern w:val="2"/>
                <w:sz w:val="24"/>
                <w:szCs w:val="24"/>
                <w:highlight w:val="none"/>
                <w:u w:val="none" w:color="auto"/>
                <w:lang w:val="en-US" w:eastAsia="zh-CN" w:bidi="ar-SA"/>
              </w:rPr>
              <w:t>预测模式</w:t>
            </w:r>
          </w:p>
          <w:p w14:paraId="2FBB4E3F">
            <w:pPr>
              <w:adjustRightInd w:val="0"/>
              <w:snapToGrid w:val="0"/>
              <w:spacing w:line="360" w:lineRule="auto"/>
              <w:ind w:firstLine="480" w:firstLineChars="200"/>
              <w:rPr>
                <w:rFonts w:hint="default" w:ascii="Times New Roman" w:hAnsi="Times New Roman" w:cs="Times New Roman"/>
                <w:color w:val="auto"/>
                <w:sz w:val="24"/>
                <w:szCs w:val="24"/>
                <w:highlight w:val="none"/>
                <w:u w:val="none" w:color="auto"/>
                <w:lang w:val="en-US" w:eastAsia="zh-CN"/>
              </w:rPr>
            </w:pPr>
            <w:r>
              <w:rPr>
                <w:rFonts w:hint="default" w:ascii="Times New Roman" w:hAnsi="Times New Roman" w:cs="Times New Roman"/>
                <w:color w:val="auto"/>
                <w:sz w:val="24"/>
                <w:szCs w:val="24"/>
                <w:highlight w:val="none"/>
                <w:u w:val="none" w:color="auto"/>
                <w:lang w:val="en-US" w:eastAsia="zh-CN"/>
              </w:rPr>
              <w:t>根据项目建设内容及《环境影响评价技术导则 声环境》（HJ2.4-2021）的要求，项目环评釆用石家庄环安科技有限公司研发的环安噪声环境影响评价系统。该系统计算工业噪声时采用的模型为《环境影响评价技术导则 声环境》（HJ2.4-2021）附录B（规范性附录）中“B.1工业噪声预测计算模型”。预测项目运营期厂界噪声</w:t>
            </w:r>
            <w:r>
              <w:rPr>
                <w:rFonts w:hint="eastAsia" w:cs="Times New Roman"/>
                <w:color w:val="auto"/>
                <w:sz w:val="24"/>
                <w:szCs w:val="24"/>
                <w:highlight w:val="none"/>
                <w:u w:val="none" w:color="auto"/>
                <w:lang w:val="en-US" w:eastAsia="zh-CN"/>
              </w:rPr>
              <w:t>预测值及环境保护目标预测值</w:t>
            </w:r>
            <w:r>
              <w:rPr>
                <w:rFonts w:hint="default" w:ascii="Times New Roman" w:hAnsi="Times New Roman" w:cs="Times New Roman"/>
                <w:color w:val="auto"/>
                <w:sz w:val="24"/>
                <w:szCs w:val="24"/>
                <w:highlight w:val="none"/>
                <w:u w:val="none" w:color="auto"/>
                <w:lang w:val="en-US" w:eastAsia="zh-CN"/>
              </w:rPr>
              <w:t>，评价其超标和达标情况。</w:t>
            </w:r>
          </w:p>
          <w:p w14:paraId="55FCB093">
            <w:pPr>
              <w:keepNext w:val="0"/>
              <w:keepLines w:val="0"/>
              <w:pageBreakBefore w:val="0"/>
              <w:widowControl/>
              <w:kinsoku/>
              <w:wordWrap/>
              <w:overflowPunct/>
              <w:topLinePunct/>
              <w:autoSpaceDE/>
              <w:autoSpaceDN/>
              <w:bidi w:val="0"/>
              <w:adjustRightInd/>
              <w:snapToGrid/>
              <w:spacing w:line="360" w:lineRule="auto"/>
              <w:ind w:left="0" w:leftChars="0" w:right="0" w:firstLine="480" w:firstLineChars="200"/>
              <w:jc w:val="left"/>
              <w:textAlignment w:val="baseline"/>
              <w:outlineLvl w:val="9"/>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rPr>
            </w:pPr>
            <w:r>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rPr>
              <w:t>①室内源等效室外源计算公式</w:t>
            </w:r>
          </w:p>
          <w:p w14:paraId="7799892F">
            <w:pPr>
              <w:keepNext w:val="0"/>
              <w:keepLines w:val="0"/>
              <w:pageBreakBefore w:val="0"/>
              <w:widowControl/>
              <w:kinsoku/>
              <w:wordWrap/>
              <w:overflowPunct/>
              <w:topLinePunct/>
              <w:autoSpaceDE/>
              <w:autoSpaceDN/>
              <w:bidi w:val="0"/>
              <w:adjustRightInd/>
              <w:snapToGrid/>
              <w:spacing w:line="360" w:lineRule="auto"/>
              <w:ind w:left="0" w:leftChars="0" w:right="0" w:firstLine="480" w:firstLineChars="200"/>
              <w:jc w:val="left"/>
              <w:textAlignment w:val="baseline"/>
              <w:outlineLvl w:val="9"/>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rPr>
            </w:pPr>
            <w:r>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rPr>
              <w:t>本次按照声源所在室内声场为近似扩散声场计算：</w:t>
            </w:r>
          </w:p>
          <w:p w14:paraId="6E5CD268">
            <w:pPr>
              <w:keepNext w:val="0"/>
              <w:keepLines w:val="0"/>
              <w:pageBreakBefore w:val="0"/>
              <w:widowControl/>
              <w:kinsoku/>
              <w:wordWrap/>
              <w:overflowPunct/>
              <w:topLinePunct/>
              <w:autoSpaceDE/>
              <w:autoSpaceDN/>
              <w:bidi w:val="0"/>
              <w:adjustRightInd/>
              <w:snapToGrid/>
              <w:spacing w:line="360" w:lineRule="auto"/>
              <w:ind w:left="0" w:leftChars="0" w:right="0"/>
              <w:jc w:val="center"/>
              <w:textAlignment w:val="baseline"/>
              <w:outlineLvl w:val="9"/>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rPr>
            </w:pP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lang w:eastAsia="zh-CN"/>
              </w:rPr>
              <w:object>
                <v:shape id="_x0000_i1027" o:spt="75" type="#_x0000_t75" style="height:19pt;width:96pt;" o:ole="t" filled="f" o:preferrelative="t" stroked="f" coordsize="21600,21600">
                  <v:path/>
                  <v:fill on="f" focussize="0,0"/>
                  <v:stroke on="f"/>
                  <v:imagedata r:id="rId17" o:title=""/>
                  <o:lock v:ext="edit" aspectratio="t"/>
                  <w10:wrap type="none"/>
                  <w10:anchorlock/>
                </v:shape>
                <o:OLEObject Type="Embed" ProgID="Equation.KSEE3" ShapeID="_x0000_i1027" DrawAspect="Content" ObjectID="_1468075727" r:id="rId16">
                  <o:LockedField>false</o:LockedField>
                </o:OLEObject>
              </w:object>
            </w:r>
          </w:p>
          <w:p w14:paraId="011C0F84">
            <w:pPr>
              <w:keepNext w:val="0"/>
              <w:keepLines w:val="0"/>
              <w:pageBreakBefore w:val="0"/>
              <w:widowControl w:val="0"/>
              <w:kinsoku/>
              <w:wordWrap/>
              <w:overflowPunct/>
              <w:topLinePunct/>
              <w:autoSpaceDE/>
              <w:autoSpaceDN/>
              <w:bidi w:val="0"/>
              <w:adjustRightInd/>
              <w:snapToGrid/>
              <w:spacing w:line="360" w:lineRule="auto"/>
              <w:ind w:left="0" w:leftChars="0" w:right="0" w:firstLine="480" w:firstLineChars="200"/>
              <w:jc w:val="both"/>
              <w:textAlignment w:val="auto"/>
              <w:outlineLvl w:val="9"/>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pP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t>式中：L</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vertAlign w:val="subscript"/>
              </w:rPr>
              <w:t>P</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vertAlign w:val="subscript"/>
                <w:lang w:val="en-US" w:eastAsia="zh-CN"/>
              </w:rPr>
              <w:t>1</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t>—靠近</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lang w:eastAsia="zh-CN"/>
              </w:rPr>
              <w:t>开口处（或窗户）室内某倍频带的声压级或</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lang w:val="en-US" w:eastAsia="zh-CN"/>
              </w:rPr>
              <w:t>A声级，dB</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t>；</w:t>
            </w:r>
          </w:p>
          <w:p w14:paraId="4CB37798">
            <w:pPr>
              <w:keepNext w:val="0"/>
              <w:keepLines w:val="0"/>
              <w:pageBreakBefore w:val="0"/>
              <w:widowControl w:val="0"/>
              <w:kinsoku/>
              <w:wordWrap/>
              <w:overflowPunct/>
              <w:topLinePunct/>
              <w:autoSpaceDE/>
              <w:autoSpaceDN/>
              <w:bidi w:val="0"/>
              <w:adjustRightInd/>
              <w:snapToGrid/>
              <w:spacing w:line="360" w:lineRule="auto"/>
              <w:ind w:left="0" w:leftChars="0" w:right="0" w:firstLine="1200" w:firstLineChars="500"/>
              <w:jc w:val="both"/>
              <w:textAlignment w:val="auto"/>
              <w:outlineLvl w:val="9"/>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pP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t>L</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vertAlign w:val="subscript"/>
              </w:rPr>
              <w:t>P2</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t>—靠近</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lang w:eastAsia="zh-CN"/>
              </w:rPr>
              <w:t>开口处（或窗户）室外某倍频带的声压级或</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lang w:val="en-US" w:eastAsia="zh-CN"/>
              </w:rPr>
              <w:t>A声级，dB</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t>；</w:t>
            </w:r>
          </w:p>
          <w:p w14:paraId="2027F6F0">
            <w:pPr>
              <w:keepNext w:val="0"/>
              <w:keepLines w:val="0"/>
              <w:pageBreakBefore w:val="0"/>
              <w:widowControl w:val="0"/>
              <w:kinsoku/>
              <w:wordWrap/>
              <w:overflowPunct/>
              <w:topLinePunct/>
              <w:autoSpaceDE/>
              <w:autoSpaceDN/>
              <w:bidi w:val="0"/>
              <w:adjustRightInd/>
              <w:snapToGrid/>
              <w:spacing w:line="360" w:lineRule="auto"/>
              <w:ind w:left="0" w:leftChars="0" w:right="0" w:firstLine="1200" w:firstLineChars="500"/>
              <w:jc w:val="both"/>
              <w:textAlignment w:val="auto"/>
              <w:outlineLvl w:val="9"/>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pP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t>TL—</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lang w:eastAsia="zh-CN"/>
              </w:rPr>
              <w:t>隔墙（或窗户）倍频带或</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lang w:val="en-US" w:eastAsia="zh-CN"/>
              </w:rPr>
              <w:t>A声级的</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t>隔声量，dB。</w:t>
            </w:r>
          </w:p>
          <w:p w14:paraId="0A223D86">
            <w:pPr>
              <w:keepNext w:val="0"/>
              <w:keepLines w:val="0"/>
              <w:pageBreakBefore w:val="0"/>
              <w:widowControl/>
              <w:kinsoku/>
              <w:wordWrap/>
              <w:overflowPunct/>
              <w:topLinePunct/>
              <w:autoSpaceDE/>
              <w:autoSpaceDN/>
              <w:bidi w:val="0"/>
              <w:adjustRightInd/>
              <w:snapToGrid/>
              <w:spacing w:line="360" w:lineRule="auto"/>
              <w:ind w:left="0" w:leftChars="0" w:right="0" w:firstLine="480" w:firstLineChars="200"/>
              <w:jc w:val="left"/>
              <w:textAlignment w:val="baseline"/>
              <w:outlineLvl w:val="9"/>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rPr>
            </w:pPr>
            <w:r>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rPr>
              <w:t>②室外声源计算公式</w:t>
            </w:r>
          </w:p>
          <w:p w14:paraId="6A82D73D">
            <w:pPr>
              <w:keepNext w:val="0"/>
              <w:keepLines w:val="0"/>
              <w:pageBreakBefore w:val="0"/>
              <w:widowControl/>
              <w:kinsoku/>
              <w:wordWrap/>
              <w:overflowPunct/>
              <w:topLinePunct/>
              <w:autoSpaceDE/>
              <w:autoSpaceDN/>
              <w:bidi w:val="0"/>
              <w:adjustRightInd/>
              <w:snapToGrid/>
              <w:spacing w:line="360" w:lineRule="auto"/>
              <w:ind w:left="0" w:leftChars="0" w:right="0" w:firstLine="480" w:firstLineChars="200"/>
              <w:jc w:val="left"/>
              <w:textAlignment w:val="baseline"/>
              <w:outlineLvl w:val="9"/>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rPr>
            </w:pPr>
            <w:r>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rPr>
              <w:t>在只考虑几何发散衰减计算公式：</w:t>
            </w:r>
          </w:p>
          <w:p w14:paraId="01CB60A1">
            <w:pPr>
              <w:pStyle w:val="34"/>
              <w:keepNext w:val="0"/>
              <w:keepLines w:val="0"/>
              <w:pageBreakBefore w:val="0"/>
              <w:kinsoku/>
              <w:wordWrap/>
              <w:overflowPunct/>
              <w:topLinePunct/>
              <w:autoSpaceDE/>
              <w:autoSpaceDN/>
              <w:bidi w:val="0"/>
              <w:adjustRightInd/>
              <w:snapToGrid/>
              <w:spacing w:line="360" w:lineRule="auto"/>
              <w:ind w:left="0" w:leftChars="0" w:right="0" w:firstLine="0" w:firstLineChars="0"/>
              <w:jc w:val="center"/>
              <w:outlineLvl w:val="9"/>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rPr>
            </w:pPr>
            <w:r>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lang w:eastAsia="zh-CN"/>
              </w:rPr>
              <w:object>
                <v:shape id="_x0000_i1028" o:spt="75" type="#_x0000_t75" style="height:19pt;width:129pt;" o:ole="t" filled="f" o:preferrelative="t" stroked="f" coordsize="21600,21600">
                  <v:path/>
                  <v:fill on="f" focussize="0,0"/>
                  <v:stroke on="f"/>
                  <v:imagedata r:id="rId19" o:title=""/>
                  <o:lock v:ext="edit" aspectratio="t"/>
                  <w10:wrap type="none"/>
                  <w10:anchorlock/>
                </v:shape>
                <o:OLEObject Type="Embed" ProgID="Equation.KSEE3" ShapeID="_x0000_i1028" DrawAspect="Content" ObjectID="_1468075728" r:id="rId18">
                  <o:LockedField>false</o:LockedField>
                </o:OLEObject>
              </w:object>
            </w:r>
          </w:p>
          <w:p w14:paraId="74935E03">
            <w:pPr>
              <w:keepNext w:val="0"/>
              <w:keepLines w:val="0"/>
              <w:pageBreakBefore w:val="0"/>
              <w:widowControl/>
              <w:kinsoku/>
              <w:wordWrap/>
              <w:overflowPunct/>
              <w:topLinePunct/>
              <w:autoSpaceDE/>
              <w:autoSpaceDN/>
              <w:bidi w:val="0"/>
              <w:adjustRightInd/>
              <w:snapToGrid/>
              <w:spacing w:line="360" w:lineRule="auto"/>
              <w:ind w:left="0" w:leftChars="0" w:right="0" w:firstLine="480" w:firstLineChars="200"/>
              <w:jc w:val="left"/>
              <w:textAlignment w:val="baseline"/>
              <w:outlineLvl w:val="9"/>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rPr>
            </w:pPr>
            <w:r>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rPr>
              <w:t>式中：L</w:t>
            </w:r>
            <w:r>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vertAlign w:val="subscript"/>
              </w:rPr>
              <w:t>p</w:t>
            </w:r>
            <w:r>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rPr>
              <w:t>(r)——预测点处声压级，dB；</w:t>
            </w:r>
          </w:p>
          <w:p w14:paraId="427B8220">
            <w:pPr>
              <w:keepNext w:val="0"/>
              <w:keepLines w:val="0"/>
              <w:pageBreakBefore w:val="0"/>
              <w:widowControl/>
              <w:kinsoku/>
              <w:wordWrap/>
              <w:overflowPunct/>
              <w:topLinePunct/>
              <w:autoSpaceDE/>
              <w:autoSpaceDN/>
              <w:bidi w:val="0"/>
              <w:adjustRightInd/>
              <w:snapToGrid/>
              <w:spacing w:line="360" w:lineRule="auto"/>
              <w:ind w:left="0" w:leftChars="0" w:right="0" w:firstLine="1200" w:firstLineChars="500"/>
              <w:jc w:val="left"/>
              <w:textAlignment w:val="baseline"/>
              <w:outlineLvl w:val="9"/>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rPr>
            </w:pPr>
            <w:r>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rPr>
              <w:t>L</w:t>
            </w:r>
            <w:r>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vertAlign w:val="subscript"/>
              </w:rPr>
              <w:t>p</w:t>
            </w:r>
            <w:r>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rPr>
              <w:t>(r</w:t>
            </w:r>
            <w:r>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vertAlign w:val="subscript"/>
              </w:rPr>
              <w:t>0</w:t>
            </w:r>
            <w:r>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rPr>
              <w:t>)——参考位置r</w:t>
            </w:r>
            <w:r>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vertAlign w:val="subscript"/>
              </w:rPr>
              <w:t>0</w:t>
            </w:r>
            <w:r>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rPr>
              <w:t>处的声压级，dB；</w:t>
            </w:r>
          </w:p>
          <w:p w14:paraId="31C149DA">
            <w:pPr>
              <w:keepNext w:val="0"/>
              <w:keepLines w:val="0"/>
              <w:pageBreakBefore w:val="0"/>
              <w:widowControl/>
              <w:kinsoku/>
              <w:wordWrap/>
              <w:overflowPunct/>
              <w:topLinePunct/>
              <w:autoSpaceDE/>
              <w:autoSpaceDN/>
              <w:bidi w:val="0"/>
              <w:adjustRightInd/>
              <w:snapToGrid/>
              <w:spacing w:line="360" w:lineRule="auto"/>
              <w:ind w:left="0" w:leftChars="0" w:right="0" w:firstLine="1200" w:firstLineChars="500"/>
              <w:jc w:val="left"/>
              <w:textAlignment w:val="baseline"/>
              <w:outlineLvl w:val="9"/>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rPr>
            </w:pPr>
            <w:r>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rPr>
              <w:t>r——预测点距声源的距离；</w:t>
            </w:r>
          </w:p>
          <w:p w14:paraId="109D7EFB">
            <w:pPr>
              <w:keepNext w:val="0"/>
              <w:keepLines w:val="0"/>
              <w:pageBreakBefore w:val="0"/>
              <w:widowControl/>
              <w:kinsoku/>
              <w:wordWrap/>
              <w:overflowPunct/>
              <w:topLinePunct/>
              <w:autoSpaceDE/>
              <w:autoSpaceDN/>
              <w:bidi w:val="0"/>
              <w:adjustRightInd/>
              <w:snapToGrid/>
              <w:spacing w:line="360" w:lineRule="auto"/>
              <w:ind w:left="0" w:leftChars="0" w:right="0" w:firstLine="1200" w:firstLineChars="500"/>
              <w:jc w:val="left"/>
              <w:textAlignment w:val="baseline"/>
              <w:outlineLvl w:val="9"/>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rPr>
            </w:pPr>
            <w:r>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vertAlign w:val="baseline"/>
              </w:rPr>
              <w:t>r</w:t>
            </w:r>
            <w:r>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vertAlign w:val="subscript"/>
              </w:rPr>
              <w:t>0</w:t>
            </w:r>
            <w:r>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rPr>
              <w:t>——参考位置距声源的距离。</w:t>
            </w:r>
          </w:p>
          <w:p w14:paraId="1B0E0900">
            <w:pPr>
              <w:keepNext w:val="0"/>
              <w:keepLines w:val="0"/>
              <w:pageBreakBefore w:val="0"/>
              <w:widowControl/>
              <w:kinsoku/>
              <w:wordWrap/>
              <w:overflowPunct/>
              <w:topLinePunct/>
              <w:autoSpaceDE/>
              <w:autoSpaceDN/>
              <w:bidi w:val="0"/>
              <w:adjustRightInd/>
              <w:snapToGrid/>
              <w:spacing w:line="360" w:lineRule="auto"/>
              <w:ind w:left="0" w:leftChars="0" w:right="0" w:firstLine="480" w:firstLineChars="200"/>
              <w:jc w:val="left"/>
              <w:textAlignment w:val="baseline"/>
              <w:outlineLvl w:val="9"/>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lang w:val="en-US" w:eastAsia="zh-CN"/>
              </w:rPr>
            </w:pPr>
            <w:r>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lang w:val="en-US" w:eastAsia="zh-CN"/>
              </w:rPr>
              <w:t>③噪声贡献值</w:t>
            </w:r>
          </w:p>
          <w:p w14:paraId="738E4628">
            <w:pPr>
              <w:keepNext w:val="0"/>
              <w:keepLines w:val="0"/>
              <w:pageBreakBefore w:val="0"/>
              <w:widowControl w:val="0"/>
              <w:kinsoku/>
              <w:wordWrap/>
              <w:overflowPunct/>
              <w:topLinePunct/>
              <w:autoSpaceDE/>
              <w:autoSpaceDN/>
              <w:bidi w:val="0"/>
              <w:adjustRightInd/>
              <w:snapToGrid/>
              <w:spacing w:line="360" w:lineRule="auto"/>
              <w:ind w:left="0" w:leftChars="0" w:right="0" w:firstLine="480" w:firstLineChars="200"/>
              <w:jc w:val="both"/>
              <w:textAlignment w:val="auto"/>
              <w:outlineLvl w:val="9"/>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lang w:eastAsia="zh-CN"/>
              </w:rPr>
            </w:pP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t>室外多声源在</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lang w:eastAsia="zh-CN"/>
              </w:rPr>
              <w:t>预测点产生的贡献值</w:t>
            </w:r>
            <w:r>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rPr>
              <w:t>计算公式</w:t>
            </w:r>
            <w:r>
              <w:rPr>
                <w:rFonts w:hint="default" w:ascii="Times New Roman" w:hAnsi="Times New Roman" w:eastAsia="宋体" w:cs="Times New Roman"/>
                <w:smallCaps w:val="0"/>
                <w:snapToGrid w:val="0"/>
                <w:color w:val="auto"/>
                <w:spacing w:val="0"/>
                <w:w w:val="100"/>
                <w:kern w:val="0"/>
                <w:position w:val="0"/>
                <w:sz w:val="24"/>
                <w:szCs w:val="24"/>
                <w:highlight w:val="none"/>
                <w:u w:val="single" w:color="auto"/>
                <w:lang w:eastAsia="zh-CN"/>
              </w:rPr>
              <w:t>：</w:t>
            </w:r>
          </w:p>
          <w:p w14:paraId="121A0D6C">
            <w:pPr>
              <w:keepNext w:val="0"/>
              <w:keepLines w:val="0"/>
              <w:pageBreakBefore w:val="0"/>
              <w:widowControl w:val="0"/>
              <w:kinsoku/>
              <w:wordWrap/>
              <w:overflowPunct/>
              <w:topLinePunct/>
              <w:autoSpaceDE/>
              <w:autoSpaceDN/>
              <w:bidi w:val="0"/>
              <w:adjustRightInd/>
              <w:snapToGrid/>
              <w:spacing w:line="360" w:lineRule="auto"/>
              <w:ind w:left="0" w:leftChars="0" w:right="0"/>
              <w:jc w:val="center"/>
              <w:textAlignment w:val="auto"/>
              <w:outlineLvl w:val="9"/>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lang w:eastAsia="zh-CN"/>
              </w:rPr>
            </w:pP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object>
                <v:shape id="_x0000_i1029" o:spt="75" type="#_x0000_t75" style="height:40pt;width:204.95pt;" o:ole="t" filled="f" o:preferrelative="t" stroked="f" coordsize="21600,21600">
                  <v:path/>
                  <v:fill on="f" focussize="0,0"/>
                  <v:stroke on="f"/>
                  <v:imagedata r:id="rId21" o:title=""/>
                  <o:lock v:ext="edit" aspectratio="t"/>
                  <w10:wrap type="none"/>
                  <w10:anchorlock/>
                </v:shape>
                <o:OLEObject Type="Embed" ProgID="Equation.KSEE3" ShapeID="_x0000_i1029" DrawAspect="Content" ObjectID="_1468075729" r:id="rId20">
                  <o:LockedField>false</o:LockedField>
                </o:OLEObject>
              </w:object>
            </w:r>
          </w:p>
          <w:p w14:paraId="6714DA5A">
            <w:pPr>
              <w:keepNext w:val="0"/>
              <w:keepLines w:val="0"/>
              <w:pageBreakBefore w:val="0"/>
              <w:widowControl w:val="0"/>
              <w:kinsoku/>
              <w:wordWrap/>
              <w:overflowPunct/>
              <w:topLinePunct/>
              <w:autoSpaceDE/>
              <w:autoSpaceDN/>
              <w:bidi w:val="0"/>
              <w:adjustRightInd/>
              <w:snapToGrid/>
              <w:spacing w:line="360" w:lineRule="auto"/>
              <w:ind w:left="0" w:leftChars="0" w:right="0" w:firstLine="480" w:firstLineChars="200"/>
              <w:jc w:val="both"/>
              <w:textAlignment w:val="auto"/>
              <w:outlineLvl w:val="9"/>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pP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t>式中：L</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vertAlign w:val="subscript"/>
              </w:rPr>
              <w:t>eqg</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t>—在预测点的等效声级贡献值，dB(A)；</w:t>
            </w:r>
          </w:p>
          <w:p w14:paraId="16D785C8">
            <w:pPr>
              <w:keepNext w:val="0"/>
              <w:keepLines w:val="0"/>
              <w:pageBreakBefore w:val="0"/>
              <w:widowControl w:val="0"/>
              <w:kinsoku/>
              <w:wordWrap/>
              <w:overflowPunct/>
              <w:topLinePunct/>
              <w:autoSpaceDE/>
              <w:autoSpaceDN/>
              <w:bidi w:val="0"/>
              <w:adjustRightInd/>
              <w:snapToGrid/>
              <w:spacing w:line="360" w:lineRule="auto"/>
              <w:ind w:left="0" w:leftChars="0" w:right="0" w:firstLine="1200" w:firstLineChars="500"/>
              <w:jc w:val="both"/>
              <w:textAlignment w:val="auto"/>
              <w:outlineLvl w:val="9"/>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pP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t>L</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vertAlign w:val="subscript"/>
              </w:rPr>
              <w:t>Ai</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t>—i声源在预测点产生的A声级，dB(A)；</w:t>
            </w:r>
          </w:p>
          <w:p w14:paraId="48B85F79">
            <w:pPr>
              <w:keepNext w:val="0"/>
              <w:keepLines w:val="0"/>
              <w:pageBreakBefore w:val="0"/>
              <w:widowControl w:val="0"/>
              <w:kinsoku/>
              <w:wordWrap/>
              <w:overflowPunct/>
              <w:topLinePunct/>
              <w:autoSpaceDE/>
              <w:autoSpaceDN/>
              <w:bidi w:val="0"/>
              <w:adjustRightInd/>
              <w:snapToGrid/>
              <w:spacing w:line="360" w:lineRule="auto"/>
              <w:ind w:left="0" w:leftChars="0" w:right="0" w:firstLine="1200" w:firstLineChars="500"/>
              <w:jc w:val="both"/>
              <w:textAlignment w:val="auto"/>
              <w:outlineLvl w:val="9"/>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pP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t>L</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vertAlign w:val="subscript"/>
              </w:rPr>
              <w:t>Aj</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t>—j声源在预测点产生的A声级，dB(A)；</w:t>
            </w:r>
          </w:p>
          <w:p w14:paraId="6BB00CDB">
            <w:pPr>
              <w:keepNext w:val="0"/>
              <w:keepLines w:val="0"/>
              <w:pageBreakBefore w:val="0"/>
              <w:widowControl w:val="0"/>
              <w:kinsoku/>
              <w:wordWrap/>
              <w:overflowPunct/>
              <w:topLinePunct/>
              <w:autoSpaceDE/>
              <w:autoSpaceDN/>
              <w:bidi w:val="0"/>
              <w:adjustRightInd/>
              <w:snapToGrid/>
              <w:spacing w:line="360" w:lineRule="auto"/>
              <w:ind w:left="0" w:leftChars="0" w:right="0" w:firstLine="1200" w:firstLineChars="500"/>
              <w:jc w:val="both"/>
              <w:textAlignment w:val="auto"/>
              <w:outlineLvl w:val="9"/>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pP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t>T—用于计算等效声级的时间，s；</w:t>
            </w:r>
          </w:p>
          <w:p w14:paraId="7B819BC9">
            <w:pPr>
              <w:keepNext w:val="0"/>
              <w:keepLines w:val="0"/>
              <w:pageBreakBefore w:val="0"/>
              <w:widowControl w:val="0"/>
              <w:kinsoku/>
              <w:wordWrap/>
              <w:overflowPunct/>
              <w:topLinePunct/>
              <w:autoSpaceDE/>
              <w:autoSpaceDN/>
              <w:bidi w:val="0"/>
              <w:adjustRightInd/>
              <w:snapToGrid/>
              <w:spacing w:line="360" w:lineRule="auto"/>
              <w:ind w:left="0" w:leftChars="0" w:right="0" w:firstLine="1200" w:firstLineChars="500"/>
              <w:jc w:val="both"/>
              <w:textAlignment w:val="auto"/>
              <w:outlineLvl w:val="9"/>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pP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t>t</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vertAlign w:val="subscript"/>
              </w:rPr>
              <w:t>i</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t>—在T时间段内i声源工作时间，s；</w:t>
            </w:r>
          </w:p>
          <w:p w14:paraId="1DCEE364">
            <w:pPr>
              <w:keepNext w:val="0"/>
              <w:keepLines w:val="0"/>
              <w:pageBreakBefore w:val="0"/>
              <w:widowControl w:val="0"/>
              <w:kinsoku/>
              <w:wordWrap/>
              <w:overflowPunct/>
              <w:topLinePunct/>
              <w:autoSpaceDE/>
              <w:autoSpaceDN/>
              <w:bidi w:val="0"/>
              <w:adjustRightInd/>
              <w:snapToGrid/>
              <w:spacing w:line="360" w:lineRule="auto"/>
              <w:ind w:left="0" w:leftChars="0" w:right="0" w:firstLine="1200" w:firstLineChars="500"/>
              <w:jc w:val="both"/>
              <w:textAlignment w:val="auto"/>
              <w:outlineLvl w:val="9"/>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pP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t>t</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vertAlign w:val="subscript"/>
              </w:rPr>
              <w:t>j</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t>—在T时间段内j声源工作时间，s；</w:t>
            </w:r>
          </w:p>
          <w:p w14:paraId="517554D0">
            <w:pPr>
              <w:keepNext w:val="0"/>
              <w:keepLines w:val="0"/>
              <w:pageBreakBefore w:val="0"/>
              <w:widowControl w:val="0"/>
              <w:kinsoku/>
              <w:wordWrap/>
              <w:overflowPunct/>
              <w:topLinePunct/>
              <w:autoSpaceDE/>
              <w:autoSpaceDN/>
              <w:bidi w:val="0"/>
              <w:adjustRightInd/>
              <w:snapToGrid/>
              <w:spacing w:line="360" w:lineRule="auto"/>
              <w:ind w:left="0" w:leftChars="0" w:right="0" w:firstLine="1200" w:firstLineChars="500"/>
              <w:jc w:val="both"/>
              <w:textAlignment w:val="auto"/>
              <w:outlineLvl w:val="9"/>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pP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t>N—室外声源个数；</w:t>
            </w:r>
          </w:p>
          <w:p w14:paraId="36FD606A">
            <w:pPr>
              <w:keepNext w:val="0"/>
              <w:keepLines w:val="0"/>
              <w:pageBreakBefore w:val="0"/>
              <w:widowControl w:val="0"/>
              <w:kinsoku/>
              <w:wordWrap/>
              <w:overflowPunct/>
              <w:topLinePunct/>
              <w:autoSpaceDE/>
              <w:autoSpaceDN/>
              <w:bidi w:val="0"/>
              <w:adjustRightInd/>
              <w:snapToGrid/>
              <w:spacing w:line="360" w:lineRule="auto"/>
              <w:ind w:left="0" w:leftChars="0" w:right="0" w:firstLine="1200" w:firstLineChars="500"/>
              <w:jc w:val="both"/>
              <w:textAlignment w:val="auto"/>
              <w:outlineLvl w:val="9"/>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pP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rPr>
              <w:t>M—等效室外声源个数。</w:t>
            </w:r>
          </w:p>
          <w:p w14:paraId="0334DE7C">
            <w:pPr>
              <w:keepNext w:val="0"/>
              <w:keepLines w:val="0"/>
              <w:pageBreakBefore w:val="0"/>
              <w:widowControl w:val="0"/>
              <w:kinsoku/>
              <w:wordWrap/>
              <w:overflowPunct/>
              <w:topLinePunct/>
              <w:autoSpaceDE/>
              <w:autoSpaceDN/>
              <w:bidi w:val="0"/>
              <w:adjustRightInd/>
              <w:snapToGrid/>
              <w:spacing w:line="360" w:lineRule="auto"/>
              <w:ind w:left="0" w:leftChars="0" w:right="0" w:firstLine="480" w:firstLineChars="200"/>
              <w:jc w:val="both"/>
              <w:textAlignment w:val="auto"/>
              <w:outlineLvl w:val="9"/>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lang w:eastAsia="zh-CN"/>
              </w:rPr>
            </w:pP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lang w:val="en-US" w:eastAsia="zh-CN"/>
              </w:rPr>
              <w:t>④</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lang w:eastAsia="zh-CN"/>
              </w:rPr>
              <w:t>噪声预测值</w:t>
            </w:r>
          </w:p>
          <w:p w14:paraId="48ADDBB3">
            <w:pPr>
              <w:keepNext w:val="0"/>
              <w:keepLines w:val="0"/>
              <w:pageBreakBefore w:val="0"/>
              <w:widowControl w:val="0"/>
              <w:kinsoku/>
              <w:wordWrap/>
              <w:overflowPunct/>
              <w:topLinePunct/>
              <w:autoSpaceDE/>
              <w:autoSpaceDN/>
              <w:bidi w:val="0"/>
              <w:adjustRightInd/>
              <w:snapToGrid/>
              <w:spacing w:line="360" w:lineRule="auto"/>
              <w:ind w:left="0" w:leftChars="0" w:right="0"/>
              <w:jc w:val="center"/>
              <w:textAlignment w:val="auto"/>
              <w:outlineLvl w:val="9"/>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lang w:eastAsia="zh-CN"/>
              </w:rPr>
            </w:pP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lang w:eastAsia="zh-CN"/>
              </w:rPr>
              <w:object>
                <v:shape id="_x0000_i1030" o:spt="75" type="#_x0000_t75" style="height:19pt;width:135pt;" o:ole="t" filled="f" o:preferrelative="t" stroked="f" coordsize="21600,21600">
                  <v:path/>
                  <v:fill on="f" focussize="0,0"/>
                  <v:stroke on="f"/>
                  <v:imagedata r:id="rId23" o:title=""/>
                  <o:lock v:ext="edit" aspectratio="t"/>
                  <w10:wrap type="none"/>
                  <w10:anchorlock/>
                </v:shape>
                <o:OLEObject Type="Embed" ProgID="Equation.KSEE3" ShapeID="_x0000_i1030" DrawAspect="Content" ObjectID="_1468075730" r:id="rId22">
                  <o:LockedField>false</o:LockedField>
                </o:OLEObject>
              </w:object>
            </w:r>
          </w:p>
          <w:p w14:paraId="6D20EB9B">
            <w:pPr>
              <w:keepNext w:val="0"/>
              <w:keepLines w:val="0"/>
              <w:pageBreakBefore w:val="0"/>
              <w:widowControl w:val="0"/>
              <w:kinsoku/>
              <w:wordWrap/>
              <w:overflowPunct/>
              <w:topLinePunct/>
              <w:autoSpaceDE/>
              <w:autoSpaceDN/>
              <w:bidi w:val="0"/>
              <w:adjustRightInd/>
              <w:snapToGrid/>
              <w:spacing w:line="360" w:lineRule="auto"/>
              <w:ind w:left="0" w:leftChars="0" w:right="0" w:firstLine="480" w:firstLineChars="200"/>
              <w:jc w:val="both"/>
              <w:textAlignment w:val="auto"/>
              <w:outlineLvl w:val="9"/>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lang w:val="en-US" w:eastAsia="zh-CN"/>
              </w:rPr>
            </w:pP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lang w:eastAsia="zh-CN"/>
              </w:rPr>
              <w:t>式中：</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lang w:val="en-US" w:eastAsia="zh-CN"/>
              </w:rPr>
              <w:t>L</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vertAlign w:val="subscript"/>
                <w:lang w:val="en-US" w:eastAsia="zh-CN"/>
              </w:rPr>
              <w:t>eq</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lang w:val="en-US" w:eastAsia="zh-CN"/>
              </w:rPr>
              <w:t>—预测点的噪声预测值，dB；</w:t>
            </w:r>
          </w:p>
          <w:p w14:paraId="0084A390">
            <w:pPr>
              <w:keepNext w:val="0"/>
              <w:keepLines w:val="0"/>
              <w:pageBreakBefore w:val="0"/>
              <w:widowControl w:val="0"/>
              <w:kinsoku/>
              <w:wordWrap/>
              <w:overflowPunct/>
              <w:topLinePunct/>
              <w:autoSpaceDE/>
              <w:autoSpaceDN/>
              <w:bidi w:val="0"/>
              <w:adjustRightInd/>
              <w:snapToGrid/>
              <w:spacing w:line="360" w:lineRule="auto"/>
              <w:ind w:left="0" w:leftChars="0" w:right="0" w:firstLine="1200" w:firstLineChars="500"/>
              <w:jc w:val="both"/>
              <w:textAlignment w:val="auto"/>
              <w:outlineLvl w:val="9"/>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lang w:val="en-US" w:eastAsia="zh-CN"/>
              </w:rPr>
            </w:pP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lang w:val="en-US" w:eastAsia="zh-CN"/>
              </w:rPr>
              <w:t>L</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vertAlign w:val="subscript"/>
                <w:lang w:val="en-US" w:eastAsia="zh-CN"/>
              </w:rPr>
              <w:t>eqg</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lang w:val="en-US" w:eastAsia="zh-CN"/>
              </w:rPr>
              <w:t>—建设项目声源在预测点产生的噪声贡献值，dB；</w:t>
            </w:r>
          </w:p>
          <w:p w14:paraId="1FD8526E">
            <w:pPr>
              <w:keepNext w:val="0"/>
              <w:keepLines w:val="0"/>
              <w:pageBreakBefore w:val="0"/>
              <w:widowControl w:val="0"/>
              <w:kinsoku/>
              <w:wordWrap/>
              <w:overflowPunct/>
              <w:topLinePunct/>
              <w:autoSpaceDE/>
              <w:autoSpaceDN/>
              <w:bidi w:val="0"/>
              <w:adjustRightInd/>
              <w:snapToGrid/>
              <w:spacing w:line="360" w:lineRule="auto"/>
              <w:ind w:left="0" w:leftChars="0" w:right="0" w:firstLine="1200" w:firstLineChars="500"/>
              <w:jc w:val="both"/>
              <w:textAlignment w:val="auto"/>
              <w:outlineLvl w:val="9"/>
              <w:rPr>
                <w:rFonts w:hint="eastAsia" w:ascii="Times New Roman" w:hAnsi="Times New Roman" w:cs="Times New Roman"/>
                <w:color w:val="auto"/>
                <w:sz w:val="24"/>
                <w:szCs w:val="24"/>
                <w:highlight w:val="none"/>
                <w:u w:val="single" w:color="auto"/>
                <w:lang w:val="en-US" w:eastAsia="zh-CN"/>
              </w:rPr>
            </w:pP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lang w:val="en-US" w:eastAsia="zh-CN"/>
              </w:rPr>
              <w:t>L</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vertAlign w:val="subscript"/>
                <w:lang w:val="en-US" w:eastAsia="zh-CN"/>
              </w:rPr>
              <w:t>eqb</w:t>
            </w:r>
            <w:r>
              <w:rPr>
                <w:rFonts w:hint="default" w:ascii="Times New Roman" w:hAnsi="Times New Roman" w:eastAsia="宋体" w:cs="Times New Roman"/>
                <w:b w:val="0"/>
                <w:bCs w:val="0"/>
                <w:i w:val="0"/>
                <w:iCs w:val="0"/>
                <w:smallCaps w:val="0"/>
                <w:color w:val="auto"/>
                <w:spacing w:val="0"/>
                <w:w w:val="100"/>
                <w:kern w:val="0"/>
                <w:position w:val="0"/>
                <w:sz w:val="24"/>
                <w:szCs w:val="24"/>
                <w:highlight w:val="none"/>
                <w:u w:val="single" w:color="auto"/>
                <w:lang w:val="en-US" w:eastAsia="zh-CN"/>
              </w:rPr>
              <w:t>—预测点的背景噪声值，dB</w:t>
            </w:r>
            <w:r>
              <w:rPr>
                <w:rFonts w:hint="default" w:ascii="Times New Roman" w:hAnsi="Times New Roman" w:eastAsia="宋体" w:cs="Times New Roman"/>
                <w:smallCaps w:val="0"/>
                <w:color w:val="auto"/>
                <w:spacing w:val="0"/>
                <w:w w:val="100"/>
                <w:kern w:val="0"/>
                <w:position w:val="0"/>
                <w:sz w:val="24"/>
                <w:szCs w:val="24"/>
                <w:highlight w:val="none"/>
                <w:u w:val="single" w:color="auto"/>
                <w:lang w:val="en-US" w:eastAsia="zh-CN"/>
              </w:rPr>
              <w:t>。</w:t>
            </w:r>
          </w:p>
          <w:p w14:paraId="7BC7A6C1">
            <w:pPr>
              <w:adjustRightInd w:val="0"/>
              <w:snapToGrid w:val="0"/>
              <w:spacing w:line="360" w:lineRule="auto"/>
              <w:ind w:firstLine="480" w:firstLineChars="200"/>
              <w:rPr>
                <w:rFonts w:hint="default" w:ascii="Times New Roman" w:hAnsi="Times New Roman" w:cs="Times New Roman"/>
                <w:color w:val="auto"/>
                <w:sz w:val="24"/>
                <w:szCs w:val="24"/>
                <w:highlight w:val="none"/>
                <w:u w:val="none" w:color="auto"/>
                <w:lang w:val="en-US" w:eastAsia="zh-CN"/>
              </w:rPr>
            </w:pPr>
            <w:r>
              <w:rPr>
                <w:rFonts w:hint="eastAsia" w:ascii="Times New Roman" w:hAnsi="Times New Roman" w:cs="Times New Roman"/>
                <w:color w:val="auto"/>
                <w:sz w:val="24"/>
                <w:szCs w:val="24"/>
                <w:highlight w:val="none"/>
                <w:u w:val="none" w:color="auto"/>
                <w:lang w:val="en-US" w:eastAsia="zh-CN"/>
              </w:rPr>
              <w:t>（2）预测结果及评价</w:t>
            </w:r>
          </w:p>
          <w:p w14:paraId="0586FFC0">
            <w:pPr>
              <w:adjustRightInd w:val="0"/>
              <w:snapToGrid w:val="0"/>
              <w:spacing w:line="360" w:lineRule="auto"/>
              <w:ind w:firstLine="480" w:firstLineChars="200"/>
              <w:rPr>
                <w:rFonts w:hint="default" w:ascii="Times New Roman" w:hAnsi="Times New Roman" w:cs="Times New Roman"/>
                <w:color w:val="auto"/>
                <w:sz w:val="24"/>
                <w:szCs w:val="24"/>
                <w:highlight w:val="none"/>
                <w:u w:val="none" w:color="auto"/>
                <w:lang w:val="en-US" w:eastAsia="zh-CN"/>
              </w:rPr>
            </w:pPr>
            <w:r>
              <w:rPr>
                <w:rFonts w:hint="default" w:ascii="Times New Roman" w:hAnsi="Times New Roman" w:cs="Times New Roman"/>
                <w:color w:val="auto"/>
                <w:sz w:val="24"/>
                <w:szCs w:val="24"/>
                <w:highlight w:val="none"/>
                <w:u w:val="none" w:color="auto"/>
                <w:lang w:val="en-US" w:eastAsia="zh-CN"/>
              </w:rPr>
              <w:t>根据上述预测模式</w:t>
            </w:r>
            <w:r>
              <w:rPr>
                <w:rFonts w:hint="eastAsia" w:ascii="Times New Roman" w:hAnsi="Times New Roman" w:cs="Times New Roman"/>
                <w:color w:val="auto"/>
                <w:sz w:val="24"/>
                <w:szCs w:val="24"/>
                <w:highlight w:val="none"/>
                <w:u w:val="none" w:color="auto"/>
                <w:lang w:val="en-US" w:eastAsia="zh-CN"/>
              </w:rPr>
              <w:t>，</w:t>
            </w:r>
            <w:r>
              <w:rPr>
                <w:rFonts w:hint="default" w:ascii="Times New Roman" w:hAnsi="Times New Roman" w:cs="Times New Roman"/>
                <w:color w:val="auto"/>
                <w:sz w:val="24"/>
                <w:szCs w:val="24"/>
                <w:highlight w:val="none"/>
                <w:u w:val="none" w:color="auto"/>
                <w:lang w:val="en-US" w:eastAsia="zh-CN"/>
              </w:rPr>
              <w:t>项目对各厂界的噪声贡献值详见下表</w:t>
            </w:r>
            <w:r>
              <w:rPr>
                <w:rFonts w:hint="eastAsia" w:ascii="Times New Roman" w:hAnsi="Times New Roman" w:cs="Times New Roman"/>
                <w:color w:val="auto"/>
                <w:sz w:val="24"/>
                <w:szCs w:val="24"/>
                <w:highlight w:val="none"/>
                <w:u w:val="none" w:color="auto"/>
                <w:lang w:val="en-US" w:eastAsia="zh-CN"/>
              </w:rPr>
              <w:t>和图</w:t>
            </w:r>
            <w:r>
              <w:rPr>
                <w:rFonts w:hint="default" w:ascii="Times New Roman" w:hAnsi="Times New Roman" w:cs="Times New Roman"/>
                <w:color w:val="auto"/>
                <w:sz w:val="24"/>
                <w:szCs w:val="24"/>
                <w:highlight w:val="none"/>
                <w:u w:val="none" w:color="auto"/>
                <w:lang w:val="en-US" w:eastAsia="zh-CN"/>
              </w:rPr>
              <w:t>。</w:t>
            </w:r>
          </w:p>
          <w:p w14:paraId="07F26BC8">
            <w:pPr>
              <w:spacing w:line="240" w:lineRule="auto"/>
              <w:jc w:val="center"/>
              <w:rPr>
                <w:rFonts w:hint="eastAsia" w:ascii="Times New Roman" w:hAnsi="Times New Roman" w:eastAsia="宋体" w:cs="宋体"/>
                <w:b/>
                <w:bCs/>
                <w:color w:val="auto"/>
                <w:sz w:val="24"/>
                <w:highlight w:val="none"/>
                <w:u w:val="none" w:color="auto"/>
                <w:lang w:val="zh-CN" w:eastAsia="zh-CN"/>
              </w:rPr>
            </w:pPr>
            <w:r>
              <w:drawing>
                <wp:inline distT="0" distB="0" distL="114300" distR="114300">
                  <wp:extent cx="3884930" cy="3862070"/>
                  <wp:effectExtent l="0" t="0" r="1270" b="508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24"/>
                          <a:stretch>
                            <a:fillRect/>
                          </a:stretch>
                        </pic:blipFill>
                        <pic:spPr>
                          <a:xfrm>
                            <a:off x="0" y="0"/>
                            <a:ext cx="3884930" cy="3862070"/>
                          </a:xfrm>
                          <a:prstGeom prst="rect">
                            <a:avLst/>
                          </a:prstGeom>
                          <a:noFill/>
                          <a:ln>
                            <a:noFill/>
                          </a:ln>
                        </pic:spPr>
                      </pic:pic>
                    </a:graphicData>
                  </a:graphic>
                </wp:inline>
              </w:drawing>
            </w:r>
          </w:p>
          <w:p w14:paraId="2014E566">
            <w:pPr>
              <w:adjustRightInd w:val="0"/>
              <w:snapToGrid w:val="0"/>
              <w:spacing w:line="360" w:lineRule="auto"/>
              <w:jc w:val="center"/>
              <w:rPr>
                <w:rFonts w:hint="eastAsia" w:ascii="Times New Roman" w:hAnsi="Times New Roman" w:eastAsia="宋体" w:cs="宋体"/>
                <w:b w:val="0"/>
                <w:bCs w:val="0"/>
                <w:snapToGrid w:val="0"/>
                <w:color w:val="auto"/>
                <w:kern w:val="2"/>
                <w:sz w:val="24"/>
                <w:szCs w:val="24"/>
                <w:highlight w:val="none"/>
                <w:u w:val="none" w:color="auto"/>
                <w:lang w:val="zh-CN" w:eastAsia="zh-CN" w:bidi="ar-SA"/>
              </w:rPr>
            </w:pPr>
            <w:r>
              <w:rPr>
                <w:rFonts w:hint="eastAsia" w:cs="Times New Roman"/>
                <w:b/>
                <w:bCs w:val="0"/>
                <w:iCs/>
                <w:color w:val="auto"/>
                <w:sz w:val="24"/>
                <w:highlight w:val="none"/>
                <w:u w:val="none" w:color="auto"/>
                <w:lang w:val="en-US" w:eastAsia="zh-CN"/>
              </w:rPr>
              <w:t>图4-1  噪声等值线图</w:t>
            </w:r>
          </w:p>
          <w:p w14:paraId="2C2B0313">
            <w:pPr>
              <w:pStyle w:val="10"/>
              <w:rPr>
                <w:rFonts w:hint="default" w:ascii="Times New Roman" w:hAnsi="Times New Roman" w:cs="Times New Roman"/>
                <w:color w:val="auto"/>
                <w:sz w:val="24"/>
                <w:highlight w:val="none"/>
                <w:u w:val="single" w:color="auto"/>
              </w:rPr>
            </w:pPr>
            <w:r>
              <w:rPr>
                <w:rFonts w:hint="default" w:ascii="Times New Roman" w:hAnsi="Times New Roman" w:eastAsia="宋体" w:cs="Times New Roman"/>
                <w:color w:val="auto"/>
                <w:sz w:val="24"/>
                <w:highlight w:val="none"/>
                <w:u w:val="single" w:color="auto"/>
              </w:rPr>
              <w:t>厂界</w:t>
            </w:r>
            <w:r>
              <w:rPr>
                <w:rFonts w:hint="default" w:ascii="Times New Roman" w:hAnsi="Times New Roman" w:cs="Times New Roman"/>
                <w:color w:val="auto"/>
                <w:sz w:val="24"/>
                <w:highlight w:val="none"/>
                <w:u w:val="single" w:color="auto"/>
              </w:rPr>
              <w:t>噪声预测结果详见下表。</w:t>
            </w:r>
          </w:p>
          <w:p w14:paraId="0990D08A">
            <w:pPr>
              <w:adjustRightInd w:val="0"/>
              <w:snapToGrid w:val="0"/>
              <w:jc w:val="center"/>
              <w:rPr>
                <w:rFonts w:hint="default" w:ascii="Times New Roman" w:hAnsi="Times New Roman" w:cs="Times New Roman"/>
                <w:b/>
                <w:bCs/>
                <w:color w:val="auto"/>
                <w:sz w:val="24"/>
                <w:highlight w:val="none"/>
                <w:u w:val="single" w:color="auto"/>
              </w:rPr>
            </w:pPr>
            <w:r>
              <w:rPr>
                <w:rFonts w:hint="default" w:ascii="Times New Roman" w:hAnsi="Times New Roman" w:cs="Times New Roman"/>
                <w:b/>
                <w:bCs/>
                <w:color w:val="auto"/>
                <w:sz w:val="24"/>
                <w:highlight w:val="none"/>
                <w:u w:val="single" w:color="auto"/>
                <w:lang w:val="en-US" w:eastAsia="zh-CN"/>
              </w:rPr>
              <w:t>4-</w:t>
            </w:r>
            <w:r>
              <w:rPr>
                <w:rFonts w:hint="eastAsia" w:cs="Times New Roman"/>
                <w:b/>
                <w:bCs/>
                <w:color w:val="auto"/>
                <w:sz w:val="24"/>
                <w:highlight w:val="none"/>
                <w:u w:val="single" w:color="auto"/>
                <w:lang w:val="en-US" w:eastAsia="zh-CN"/>
              </w:rPr>
              <w:t>10</w:t>
            </w:r>
            <w:r>
              <w:rPr>
                <w:rFonts w:hint="default" w:ascii="Times New Roman" w:hAnsi="Times New Roman" w:cs="Times New Roman"/>
                <w:b/>
                <w:bCs/>
                <w:color w:val="auto"/>
                <w:sz w:val="24"/>
                <w:highlight w:val="none"/>
                <w:u w:val="single" w:color="auto"/>
              </w:rPr>
              <w:t xml:space="preserve">  </w:t>
            </w:r>
            <w:r>
              <w:rPr>
                <w:rFonts w:hint="default" w:ascii="Times New Roman" w:hAnsi="Times New Roman" w:cs="Times New Roman"/>
                <w:b/>
                <w:bCs/>
                <w:color w:val="auto"/>
                <w:sz w:val="24"/>
                <w:szCs w:val="24"/>
                <w:highlight w:val="none"/>
                <w:u w:val="single" w:color="auto"/>
                <w:lang w:val="en-US" w:eastAsia="zh-CN"/>
              </w:rPr>
              <w:t>厂界噪声预测结果与达标分析表</w:t>
            </w:r>
            <w:r>
              <w:rPr>
                <w:rFonts w:hint="default" w:ascii="Times New Roman" w:hAnsi="Times New Roman" w:cs="Times New Roman"/>
                <w:b/>
                <w:bCs/>
                <w:color w:val="auto"/>
                <w:sz w:val="24"/>
                <w:highlight w:val="none"/>
                <w:u w:val="single" w:color="auto"/>
              </w:rPr>
              <w:t xml:space="preserve"> 单位：dB（A）</w:t>
            </w:r>
          </w:p>
          <w:tbl>
            <w:tblPr>
              <w:tblStyle w:val="25"/>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386"/>
              <w:gridCol w:w="1296"/>
              <w:gridCol w:w="1726"/>
              <w:gridCol w:w="1477"/>
              <w:gridCol w:w="1581"/>
              <w:gridCol w:w="1000"/>
            </w:tblGrid>
            <w:tr w14:paraId="2DF4AF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818" w:type="pct"/>
                  <w:noWrap w:val="0"/>
                  <w:tcMar>
                    <w:top w:w="15" w:type="dxa"/>
                    <w:left w:w="15" w:type="dxa"/>
                    <w:right w:w="15" w:type="dxa"/>
                  </w:tcMar>
                  <w:vAlign w:val="center"/>
                </w:tcPr>
                <w:p w14:paraId="6E0E59FF">
                  <w:pPr>
                    <w:widowControl/>
                    <w:jc w:val="center"/>
                    <w:textAlignment w:val="center"/>
                    <w:rPr>
                      <w:rFonts w:hint="eastAsia" w:ascii="Times New Roman" w:hAnsi="Times New Roman" w:eastAsia="宋体" w:cs="Times New Roman"/>
                      <w:color w:val="auto"/>
                      <w:szCs w:val="21"/>
                      <w:highlight w:val="none"/>
                      <w:u w:val="single" w:color="auto"/>
                      <w:lang w:eastAsia="zh-CN"/>
                    </w:rPr>
                  </w:pPr>
                  <w:r>
                    <w:rPr>
                      <w:rFonts w:hint="eastAsia" w:ascii="Times New Roman" w:hAnsi="Times New Roman" w:cs="Times New Roman"/>
                      <w:color w:val="auto"/>
                      <w:kern w:val="0"/>
                      <w:szCs w:val="21"/>
                      <w:highlight w:val="none"/>
                      <w:u w:val="single" w:color="auto"/>
                      <w:lang w:eastAsia="zh-CN" w:bidi="ar"/>
                    </w:rPr>
                    <w:t>预测点</w:t>
                  </w:r>
                </w:p>
              </w:tc>
              <w:tc>
                <w:tcPr>
                  <w:tcW w:w="765" w:type="pct"/>
                  <w:noWrap w:val="0"/>
                  <w:tcMar>
                    <w:top w:w="15" w:type="dxa"/>
                    <w:left w:w="15" w:type="dxa"/>
                    <w:right w:w="15" w:type="dxa"/>
                  </w:tcMar>
                  <w:vAlign w:val="center"/>
                </w:tcPr>
                <w:p w14:paraId="6D9080DC">
                  <w:pPr>
                    <w:widowControl/>
                    <w:jc w:val="center"/>
                    <w:textAlignment w:val="center"/>
                    <w:rPr>
                      <w:rFonts w:hint="default" w:ascii="Times New Roman" w:hAnsi="Times New Roman" w:cs="Times New Roman"/>
                      <w:color w:val="auto"/>
                      <w:szCs w:val="21"/>
                      <w:highlight w:val="none"/>
                      <w:u w:val="single" w:color="auto"/>
                    </w:rPr>
                  </w:pPr>
                  <w:r>
                    <w:rPr>
                      <w:rFonts w:hint="default" w:ascii="Times New Roman" w:hAnsi="Times New Roman" w:cs="Times New Roman"/>
                      <w:color w:val="auto"/>
                      <w:kern w:val="0"/>
                      <w:szCs w:val="21"/>
                      <w:highlight w:val="none"/>
                      <w:u w:val="single" w:color="auto"/>
                      <w:lang w:bidi="ar"/>
                    </w:rPr>
                    <w:t>时段</w:t>
                  </w:r>
                </w:p>
              </w:tc>
              <w:tc>
                <w:tcPr>
                  <w:tcW w:w="1019" w:type="pct"/>
                  <w:noWrap w:val="0"/>
                  <w:tcMar>
                    <w:top w:w="15" w:type="dxa"/>
                    <w:left w:w="15" w:type="dxa"/>
                    <w:right w:w="15" w:type="dxa"/>
                  </w:tcMar>
                  <w:vAlign w:val="center"/>
                </w:tcPr>
                <w:p w14:paraId="3474BB53">
                  <w:pPr>
                    <w:widowControl/>
                    <w:jc w:val="center"/>
                    <w:textAlignment w:val="center"/>
                    <w:rPr>
                      <w:rFonts w:hint="default" w:ascii="Times New Roman" w:hAnsi="Times New Roman" w:cs="Times New Roman"/>
                      <w:color w:val="auto"/>
                      <w:szCs w:val="21"/>
                      <w:highlight w:val="none"/>
                      <w:u w:val="single" w:color="auto"/>
                    </w:rPr>
                  </w:pPr>
                  <w:r>
                    <w:rPr>
                      <w:rFonts w:hint="default" w:ascii="Times New Roman" w:hAnsi="Times New Roman" w:cs="Times New Roman"/>
                      <w:color w:val="auto"/>
                      <w:kern w:val="0"/>
                      <w:szCs w:val="21"/>
                      <w:highlight w:val="none"/>
                      <w:u w:val="single" w:color="auto"/>
                      <w:lang w:bidi="ar"/>
                    </w:rPr>
                    <w:t>贡献值</w:t>
                  </w:r>
                </w:p>
              </w:tc>
              <w:tc>
                <w:tcPr>
                  <w:tcW w:w="872" w:type="pct"/>
                  <w:noWrap w:val="0"/>
                  <w:tcMar>
                    <w:top w:w="15" w:type="dxa"/>
                    <w:left w:w="15" w:type="dxa"/>
                    <w:right w:w="15" w:type="dxa"/>
                  </w:tcMar>
                  <w:vAlign w:val="center"/>
                </w:tcPr>
                <w:p w14:paraId="69499E73">
                  <w:pPr>
                    <w:widowControl/>
                    <w:jc w:val="center"/>
                    <w:textAlignment w:val="center"/>
                    <w:rPr>
                      <w:rFonts w:hint="eastAsia" w:ascii="Times New Roman" w:hAnsi="Times New Roman" w:cs="Times New Roman"/>
                      <w:color w:val="auto"/>
                      <w:kern w:val="0"/>
                      <w:szCs w:val="21"/>
                      <w:highlight w:val="none"/>
                      <w:u w:val="single" w:color="auto"/>
                      <w:lang w:eastAsia="zh-CN" w:bidi="ar"/>
                    </w:rPr>
                  </w:pPr>
                  <w:r>
                    <w:rPr>
                      <w:rFonts w:hint="eastAsia" w:ascii="Times New Roman" w:hAnsi="Times New Roman" w:cs="Times New Roman"/>
                      <w:color w:val="auto"/>
                      <w:kern w:val="0"/>
                      <w:szCs w:val="21"/>
                      <w:highlight w:val="none"/>
                      <w:u w:val="single" w:color="auto"/>
                      <w:lang w:eastAsia="zh-CN" w:bidi="ar"/>
                    </w:rPr>
                    <w:t>最大贡献值</w:t>
                  </w:r>
                </w:p>
              </w:tc>
              <w:tc>
                <w:tcPr>
                  <w:tcW w:w="933" w:type="pct"/>
                  <w:noWrap w:val="0"/>
                  <w:tcMar>
                    <w:top w:w="15" w:type="dxa"/>
                    <w:left w:w="15" w:type="dxa"/>
                    <w:right w:w="15" w:type="dxa"/>
                  </w:tcMar>
                  <w:vAlign w:val="center"/>
                </w:tcPr>
                <w:p w14:paraId="0E350E1C">
                  <w:pPr>
                    <w:widowControl/>
                    <w:jc w:val="center"/>
                    <w:textAlignment w:val="center"/>
                    <w:rPr>
                      <w:rFonts w:hint="eastAsia" w:ascii="Times New Roman" w:hAnsi="Times New Roman" w:eastAsia="宋体" w:cs="Times New Roman"/>
                      <w:color w:val="auto"/>
                      <w:kern w:val="0"/>
                      <w:szCs w:val="21"/>
                      <w:highlight w:val="none"/>
                      <w:u w:val="single" w:color="auto"/>
                      <w:lang w:eastAsia="zh-CN" w:bidi="ar"/>
                    </w:rPr>
                  </w:pPr>
                  <w:r>
                    <w:rPr>
                      <w:rFonts w:hint="default" w:ascii="Times New Roman" w:hAnsi="Times New Roman" w:cs="Times New Roman"/>
                      <w:color w:val="auto"/>
                      <w:kern w:val="0"/>
                      <w:szCs w:val="21"/>
                      <w:highlight w:val="none"/>
                      <w:u w:val="single" w:color="auto"/>
                      <w:lang w:bidi="ar"/>
                    </w:rPr>
                    <w:t>标准值</w:t>
                  </w:r>
                  <w:r>
                    <w:rPr>
                      <w:rFonts w:hint="eastAsia" w:ascii="Times New Roman" w:hAnsi="Times New Roman" w:cs="Times New Roman"/>
                      <w:color w:val="auto"/>
                      <w:kern w:val="0"/>
                      <w:szCs w:val="21"/>
                      <w:highlight w:val="none"/>
                      <w:u w:val="single" w:color="auto"/>
                      <w:lang w:eastAsia="zh-CN" w:bidi="ar"/>
                    </w:rPr>
                    <w:t>（昼间）</w:t>
                  </w:r>
                </w:p>
              </w:tc>
              <w:tc>
                <w:tcPr>
                  <w:tcW w:w="590" w:type="pct"/>
                  <w:noWrap w:val="0"/>
                  <w:tcMar>
                    <w:top w:w="15" w:type="dxa"/>
                    <w:left w:w="15" w:type="dxa"/>
                    <w:right w:w="15" w:type="dxa"/>
                  </w:tcMar>
                  <w:vAlign w:val="center"/>
                </w:tcPr>
                <w:p w14:paraId="78C0434C">
                  <w:pPr>
                    <w:widowControl/>
                    <w:jc w:val="center"/>
                    <w:textAlignment w:val="center"/>
                    <w:rPr>
                      <w:rFonts w:hint="default" w:ascii="Times New Roman" w:hAnsi="Times New Roman" w:cs="Times New Roman"/>
                      <w:color w:val="auto"/>
                      <w:szCs w:val="21"/>
                      <w:highlight w:val="none"/>
                      <w:u w:val="single" w:color="auto"/>
                    </w:rPr>
                  </w:pPr>
                  <w:r>
                    <w:rPr>
                      <w:rFonts w:hint="default" w:ascii="Times New Roman" w:hAnsi="Times New Roman" w:cs="Times New Roman"/>
                      <w:color w:val="auto"/>
                      <w:kern w:val="0"/>
                      <w:szCs w:val="21"/>
                      <w:highlight w:val="none"/>
                      <w:u w:val="single" w:color="auto"/>
                      <w:lang w:bidi="ar"/>
                    </w:rPr>
                    <w:t>结论</w:t>
                  </w:r>
                </w:p>
              </w:tc>
            </w:tr>
            <w:tr w14:paraId="06381D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3" w:hRule="atLeast"/>
                <w:jc w:val="center"/>
              </w:trPr>
              <w:tc>
                <w:tcPr>
                  <w:tcW w:w="818" w:type="pct"/>
                  <w:noWrap w:val="0"/>
                  <w:tcMar>
                    <w:top w:w="15" w:type="dxa"/>
                    <w:left w:w="15" w:type="dxa"/>
                    <w:right w:w="15" w:type="dxa"/>
                  </w:tcMar>
                  <w:vAlign w:val="center"/>
                </w:tcPr>
                <w:p w14:paraId="72F57BC5">
                  <w:pPr>
                    <w:widowControl/>
                    <w:jc w:val="center"/>
                    <w:textAlignment w:val="center"/>
                    <w:rPr>
                      <w:rFonts w:hint="default" w:ascii="Times New Roman" w:hAnsi="Times New Roman" w:cs="Times New Roman"/>
                      <w:color w:val="auto"/>
                      <w:szCs w:val="21"/>
                      <w:highlight w:val="none"/>
                      <w:u w:val="single" w:color="auto"/>
                    </w:rPr>
                  </w:pPr>
                  <w:r>
                    <w:rPr>
                      <w:rFonts w:hint="default" w:ascii="Times New Roman" w:hAnsi="Times New Roman" w:cs="Times New Roman"/>
                      <w:color w:val="auto"/>
                      <w:szCs w:val="21"/>
                      <w:highlight w:val="none"/>
                      <w:u w:val="single" w:color="auto"/>
                    </w:rPr>
                    <w:t>东</w:t>
                  </w:r>
                  <w:r>
                    <w:rPr>
                      <w:rFonts w:hint="eastAsia" w:cs="Times New Roman"/>
                      <w:color w:val="auto"/>
                      <w:szCs w:val="21"/>
                      <w:highlight w:val="none"/>
                      <w:u w:val="single" w:color="auto"/>
                      <w:lang w:eastAsia="zh-CN"/>
                    </w:rPr>
                    <w:t>北</w:t>
                  </w:r>
                  <w:r>
                    <w:rPr>
                      <w:rFonts w:hint="eastAsia" w:ascii="Times New Roman" w:hAnsi="Times New Roman" w:cs="Times New Roman"/>
                      <w:color w:val="auto"/>
                      <w:szCs w:val="21"/>
                      <w:highlight w:val="none"/>
                      <w:u w:val="single" w:color="auto"/>
                      <w:lang w:eastAsia="zh-CN"/>
                    </w:rPr>
                    <w:t>侧</w:t>
                  </w:r>
                  <w:r>
                    <w:rPr>
                      <w:rFonts w:hint="default" w:ascii="Times New Roman" w:hAnsi="Times New Roman" w:cs="Times New Roman"/>
                      <w:color w:val="auto"/>
                      <w:kern w:val="0"/>
                      <w:szCs w:val="21"/>
                      <w:highlight w:val="none"/>
                      <w:u w:val="single" w:color="auto"/>
                      <w:lang w:bidi="ar"/>
                    </w:rPr>
                    <w:t>厂界</w:t>
                  </w:r>
                </w:p>
              </w:tc>
              <w:tc>
                <w:tcPr>
                  <w:tcW w:w="765" w:type="pct"/>
                  <w:noWrap w:val="0"/>
                  <w:tcMar>
                    <w:top w:w="15" w:type="dxa"/>
                    <w:left w:w="15" w:type="dxa"/>
                    <w:right w:w="15" w:type="dxa"/>
                  </w:tcMar>
                  <w:vAlign w:val="center"/>
                </w:tcPr>
                <w:p w14:paraId="05510A46">
                  <w:pPr>
                    <w:widowControl/>
                    <w:jc w:val="center"/>
                    <w:textAlignment w:val="center"/>
                    <w:rPr>
                      <w:rFonts w:hint="default" w:ascii="Times New Roman" w:hAnsi="Times New Roman" w:eastAsia="宋体" w:cs="Times New Roman"/>
                      <w:color w:val="auto"/>
                      <w:szCs w:val="21"/>
                      <w:highlight w:val="none"/>
                      <w:u w:val="single" w:color="auto"/>
                      <w:lang w:val="en-US" w:eastAsia="zh-CN"/>
                    </w:rPr>
                  </w:pPr>
                  <w:r>
                    <w:rPr>
                      <w:rFonts w:hint="eastAsia" w:ascii="Times New Roman" w:hAnsi="Times New Roman" w:cs="Times New Roman"/>
                      <w:color w:val="auto"/>
                      <w:szCs w:val="21"/>
                      <w:highlight w:val="none"/>
                      <w:u w:val="single" w:color="auto"/>
                      <w:lang w:eastAsia="zh-CN"/>
                    </w:rPr>
                    <w:t>昼间</w:t>
                  </w:r>
                </w:p>
              </w:tc>
              <w:tc>
                <w:tcPr>
                  <w:tcW w:w="1726" w:type="dxa"/>
                  <w:noWrap w:val="0"/>
                  <w:tcMar>
                    <w:top w:w="15" w:type="dxa"/>
                    <w:left w:w="15" w:type="dxa"/>
                    <w:right w:w="15" w:type="dxa"/>
                  </w:tcMar>
                  <w:vAlign w:val="center"/>
                </w:tcPr>
                <w:p w14:paraId="3D3F5A78">
                  <w:pPr>
                    <w:widowControl/>
                    <w:jc w:val="center"/>
                    <w:textAlignment w:val="center"/>
                    <w:rPr>
                      <w:rFonts w:hint="default" w:ascii="Times New Roman" w:hAnsi="Times New Roman" w:eastAsia="宋体" w:cs="Times New Roman"/>
                      <w:color w:val="auto"/>
                      <w:szCs w:val="21"/>
                      <w:highlight w:val="none"/>
                      <w:u w:val="single" w:color="auto"/>
                      <w:lang w:val="en-US" w:eastAsia="zh-CN"/>
                    </w:rPr>
                  </w:pPr>
                  <w:r>
                    <w:rPr>
                      <w:rFonts w:hint="eastAsia" w:cs="Times New Roman"/>
                      <w:color w:val="auto"/>
                      <w:szCs w:val="21"/>
                      <w:highlight w:val="none"/>
                      <w:u w:val="single" w:color="auto"/>
                      <w:lang w:val="en-US" w:eastAsia="zh-CN"/>
                    </w:rPr>
                    <w:t>48.94-52.8</w:t>
                  </w:r>
                </w:p>
              </w:tc>
              <w:tc>
                <w:tcPr>
                  <w:tcW w:w="872" w:type="pct"/>
                  <w:noWrap w:val="0"/>
                  <w:tcMar>
                    <w:top w:w="15" w:type="dxa"/>
                    <w:left w:w="15" w:type="dxa"/>
                    <w:right w:w="15" w:type="dxa"/>
                  </w:tcMar>
                  <w:vAlign w:val="center"/>
                </w:tcPr>
                <w:p w14:paraId="45C40CEE">
                  <w:pPr>
                    <w:widowControl/>
                    <w:jc w:val="center"/>
                    <w:textAlignment w:val="center"/>
                    <w:rPr>
                      <w:rFonts w:hint="default" w:ascii="Times New Roman" w:hAnsi="Times New Roman" w:eastAsia="宋体" w:cs="Times New Roman"/>
                      <w:color w:val="auto"/>
                      <w:szCs w:val="21"/>
                      <w:highlight w:val="none"/>
                      <w:u w:val="single" w:color="auto"/>
                      <w:lang w:val="en-US" w:eastAsia="zh-CN"/>
                    </w:rPr>
                  </w:pPr>
                  <w:r>
                    <w:rPr>
                      <w:rFonts w:hint="eastAsia" w:cs="Times New Roman"/>
                      <w:color w:val="auto"/>
                      <w:szCs w:val="21"/>
                      <w:highlight w:val="none"/>
                      <w:u w:val="single" w:color="auto"/>
                      <w:lang w:val="en-US" w:eastAsia="zh-CN"/>
                    </w:rPr>
                    <w:t>52.8</w:t>
                  </w:r>
                </w:p>
              </w:tc>
              <w:tc>
                <w:tcPr>
                  <w:tcW w:w="933" w:type="pct"/>
                  <w:noWrap w:val="0"/>
                  <w:tcMar>
                    <w:top w:w="15" w:type="dxa"/>
                    <w:left w:w="15" w:type="dxa"/>
                    <w:right w:w="15" w:type="dxa"/>
                  </w:tcMar>
                  <w:vAlign w:val="center"/>
                </w:tcPr>
                <w:p w14:paraId="2CB501D3">
                  <w:pPr>
                    <w:widowControl/>
                    <w:jc w:val="center"/>
                    <w:textAlignment w:val="center"/>
                    <w:rPr>
                      <w:rFonts w:hint="default" w:ascii="Times New Roman" w:hAnsi="Times New Roman" w:eastAsia="宋体" w:cs="Times New Roman"/>
                      <w:color w:val="auto"/>
                      <w:szCs w:val="21"/>
                      <w:highlight w:val="none"/>
                      <w:u w:val="single" w:color="auto"/>
                      <w:lang w:val="en-US" w:eastAsia="zh-CN"/>
                    </w:rPr>
                  </w:pPr>
                  <w:r>
                    <w:rPr>
                      <w:rFonts w:hint="eastAsia" w:cs="Times New Roman"/>
                      <w:color w:val="auto"/>
                      <w:szCs w:val="21"/>
                      <w:highlight w:val="none"/>
                      <w:u w:val="single" w:color="auto"/>
                      <w:lang w:val="en-US" w:eastAsia="zh-CN"/>
                    </w:rPr>
                    <w:t>60</w:t>
                  </w:r>
                </w:p>
              </w:tc>
              <w:tc>
                <w:tcPr>
                  <w:tcW w:w="590" w:type="pct"/>
                  <w:noWrap w:val="0"/>
                  <w:tcMar>
                    <w:top w:w="15" w:type="dxa"/>
                    <w:left w:w="15" w:type="dxa"/>
                    <w:right w:w="15" w:type="dxa"/>
                  </w:tcMar>
                  <w:vAlign w:val="center"/>
                </w:tcPr>
                <w:p w14:paraId="48034526">
                  <w:pPr>
                    <w:widowControl/>
                    <w:jc w:val="center"/>
                    <w:textAlignment w:val="center"/>
                    <w:rPr>
                      <w:rFonts w:hint="eastAsia" w:ascii="Times New Roman" w:hAnsi="Times New Roman" w:eastAsia="宋体" w:cs="Times New Roman"/>
                      <w:color w:val="auto"/>
                      <w:szCs w:val="21"/>
                      <w:highlight w:val="none"/>
                      <w:u w:val="single" w:color="auto"/>
                      <w:lang w:eastAsia="zh-CN"/>
                    </w:rPr>
                  </w:pPr>
                  <w:r>
                    <w:rPr>
                      <w:rFonts w:hint="eastAsia" w:ascii="Times New Roman" w:hAnsi="Times New Roman" w:cs="Times New Roman"/>
                      <w:color w:val="auto"/>
                      <w:szCs w:val="21"/>
                      <w:highlight w:val="none"/>
                      <w:u w:val="single" w:color="auto"/>
                      <w:lang w:eastAsia="zh-CN"/>
                    </w:rPr>
                    <w:t>达标</w:t>
                  </w:r>
                </w:p>
              </w:tc>
            </w:tr>
            <w:tr w14:paraId="7AD652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3" w:hRule="atLeast"/>
                <w:jc w:val="center"/>
              </w:trPr>
              <w:tc>
                <w:tcPr>
                  <w:tcW w:w="818" w:type="pct"/>
                  <w:noWrap w:val="0"/>
                  <w:tcMar>
                    <w:top w:w="15" w:type="dxa"/>
                    <w:left w:w="15" w:type="dxa"/>
                    <w:right w:w="15" w:type="dxa"/>
                  </w:tcMar>
                  <w:vAlign w:val="center"/>
                </w:tcPr>
                <w:p w14:paraId="4B0444D9">
                  <w:pPr>
                    <w:widowControl/>
                    <w:jc w:val="center"/>
                    <w:textAlignment w:val="center"/>
                    <w:rPr>
                      <w:rFonts w:hint="default" w:ascii="Times New Roman" w:hAnsi="Times New Roman" w:cs="Times New Roman"/>
                      <w:color w:val="auto"/>
                      <w:szCs w:val="21"/>
                      <w:highlight w:val="none"/>
                      <w:u w:val="single" w:color="auto"/>
                    </w:rPr>
                  </w:pPr>
                  <w:r>
                    <w:rPr>
                      <w:rFonts w:hint="eastAsia" w:cs="Times New Roman"/>
                      <w:color w:val="auto"/>
                      <w:szCs w:val="21"/>
                      <w:highlight w:val="none"/>
                      <w:u w:val="single" w:color="auto"/>
                      <w:lang w:eastAsia="zh-CN"/>
                    </w:rPr>
                    <w:t>西</w:t>
                  </w:r>
                  <w:r>
                    <w:rPr>
                      <w:rFonts w:hint="default" w:ascii="Times New Roman" w:hAnsi="Times New Roman" w:cs="Times New Roman"/>
                      <w:color w:val="auto"/>
                      <w:szCs w:val="21"/>
                      <w:highlight w:val="none"/>
                      <w:u w:val="single" w:color="auto"/>
                    </w:rPr>
                    <w:t>南</w:t>
                  </w:r>
                  <w:r>
                    <w:rPr>
                      <w:rFonts w:hint="eastAsia" w:ascii="Times New Roman" w:hAnsi="Times New Roman" w:cs="Times New Roman"/>
                      <w:color w:val="auto"/>
                      <w:szCs w:val="21"/>
                      <w:highlight w:val="none"/>
                      <w:u w:val="single" w:color="auto"/>
                      <w:lang w:eastAsia="zh-CN"/>
                    </w:rPr>
                    <w:t>侧</w:t>
                  </w:r>
                  <w:r>
                    <w:rPr>
                      <w:rFonts w:hint="default" w:ascii="Times New Roman" w:hAnsi="Times New Roman" w:cs="Times New Roman"/>
                      <w:color w:val="auto"/>
                      <w:kern w:val="0"/>
                      <w:szCs w:val="21"/>
                      <w:highlight w:val="none"/>
                      <w:u w:val="single" w:color="auto"/>
                      <w:lang w:bidi="ar"/>
                    </w:rPr>
                    <w:t>厂界</w:t>
                  </w:r>
                </w:p>
              </w:tc>
              <w:tc>
                <w:tcPr>
                  <w:tcW w:w="765" w:type="pct"/>
                  <w:noWrap w:val="0"/>
                  <w:tcMar>
                    <w:top w:w="15" w:type="dxa"/>
                    <w:left w:w="15" w:type="dxa"/>
                    <w:right w:w="15" w:type="dxa"/>
                  </w:tcMar>
                  <w:vAlign w:val="center"/>
                </w:tcPr>
                <w:p w14:paraId="4CB41949">
                  <w:pPr>
                    <w:widowControl/>
                    <w:jc w:val="center"/>
                    <w:textAlignment w:val="center"/>
                    <w:rPr>
                      <w:rFonts w:hint="default" w:ascii="Times New Roman" w:hAnsi="Times New Roman" w:cs="Times New Roman"/>
                      <w:color w:val="auto"/>
                      <w:szCs w:val="21"/>
                      <w:highlight w:val="none"/>
                      <w:u w:val="single" w:color="auto"/>
                    </w:rPr>
                  </w:pPr>
                  <w:r>
                    <w:rPr>
                      <w:rFonts w:hint="eastAsia" w:ascii="Times New Roman" w:hAnsi="Times New Roman" w:cs="Times New Roman"/>
                      <w:color w:val="auto"/>
                      <w:szCs w:val="21"/>
                      <w:highlight w:val="none"/>
                      <w:u w:val="single" w:color="auto"/>
                      <w:lang w:eastAsia="zh-CN"/>
                    </w:rPr>
                    <w:t>昼间</w:t>
                  </w:r>
                </w:p>
              </w:tc>
              <w:tc>
                <w:tcPr>
                  <w:tcW w:w="1726" w:type="dxa"/>
                  <w:noWrap w:val="0"/>
                  <w:tcMar>
                    <w:top w:w="15" w:type="dxa"/>
                    <w:left w:w="15" w:type="dxa"/>
                    <w:right w:w="15" w:type="dxa"/>
                  </w:tcMar>
                  <w:vAlign w:val="center"/>
                </w:tcPr>
                <w:p w14:paraId="0B9FCAAD">
                  <w:pPr>
                    <w:widowControl/>
                    <w:jc w:val="center"/>
                    <w:textAlignment w:val="center"/>
                    <w:rPr>
                      <w:rFonts w:hint="default" w:ascii="Times New Roman" w:hAnsi="Times New Roman" w:eastAsia="宋体" w:cs="Times New Roman"/>
                      <w:color w:val="auto"/>
                      <w:highlight w:val="none"/>
                      <w:u w:val="single" w:color="auto"/>
                      <w:lang w:val="en-US" w:eastAsia="zh-CN"/>
                    </w:rPr>
                  </w:pPr>
                  <w:r>
                    <w:rPr>
                      <w:rFonts w:hint="eastAsia" w:cs="Times New Roman"/>
                      <w:color w:val="auto"/>
                      <w:highlight w:val="none"/>
                      <w:u w:val="single" w:color="auto"/>
                      <w:lang w:val="en-US" w:eastAsia="zh-CN"/>
                    </w:rPr>
                    <w:t>43.4-44.8</w:t>
                  </w:r>
                </w:p>
              </w:tc>
              <w:tc>
                <w:tcPr>
                  <w:tcW w:w="872" w:type="pct"/>
                  <w:noWrap w:val="0"/>
                  <w:tcMar>
                    <w:top w:w="15" w:type="dxa"/>
                    <w:left w:w="15" w:type="dxa"/>
                    <w:right w:w="15" w:type="dxa"/>
                  </w:tcMar>
                  <w:vAlign w:val="center"/>
                </w:tcPr>
                <w:p w14:paraId="78E0DB29">
                  <w:pPr>
                    <w:widowControl/>
                    <w:jc w:val="center"/>
                    <w:textAlignment w:val="center"/>
                    <w:rPr>
                      <w:rFonts w:hint="default" w:ascii="Times New Roman" w:hAnsi="Times New Roman" w:eastAsia="宋体" w:cs="Times New Roman"/>
                      <w:color w:val="auto"/>
                      <w:highlight w:val="none"/>
                      <w:u w:val="single" w:color="auto"/>
                      <w:lang w:val="en-US" w:eastAsia="zh-CN"/>
                    </w:rPr>
                  </w:pPr>
                  <w:r>
                    <w:rPr>
                      <w:rFonts w:hint="eastAsia" w:cs="Times New Roman"/>
                      <w:color w:val="auto"/>
                      <w:highlight w:val="none"/>
                      <w:u w:val="single" w:color="auto"/>
                      <w:lang w:val="en-US" w:eastAsia="zh-CN"/>
                    </w:rPr>
                    <w:t>44.8</w:t>
                  </w:r>
                </w:p>
              </w:tc>
              <w:tc>
                <w:tcPr>
                  <w:tcW w:w="933" w:type="pct"/>
                  <w:noWrap w:val="0"/>
                  <w:tcMar>
                    <w:top w:w="15" w:type="dxa"/>
                    <w:left w:w="15" w:type="dxa"/>
                    <w:right w:w="15" w:type="dxa"/>
                  </w:tcMar>
                  <w:vAlign w:val="center"/>
                </w:tcPr>
                <w:p w14:paraId="4378E0DC">
                  <w:pPr>
                    <w:widowControl/>
                    <w:jc w:val="center"/>
                    <w:textAlignment w:val="center"/>
                    <w:rPr>
                      <w:rFonts w:hint="default" w:ascii="Times New Roman" w:hAnsi="Times New Roman" w:eastAsia="宋体" w:cs="Times New Roman"/>
                      <w:color w:val="auto"/>
                      <w:szCs w:val="21"/>
                      <w:highlight w:val="none"/>
                      <w:u w:val="single" w:color="auto"/>
                      <w:lang w:val="en-US" w:eastAsia="zh-CN"/>
                    </w:rPr>
                  </w:pPr>
                  <w:r>
                    <w:rPr>
                      <w:rFonts w:hint="eastAsia" w:cs="Times New Roman"/>
                      <w:color w:val="auto"/>
                      <w:szCs w:val="21"/>
                      <w:highlight w:val="none"/>
                      <w:u w:val="single" w:color="auto"/>
                      <w:lang w:val="en-US" w:eastAsia="zh-CN"/>
                    </w:rPr>
                    <w:t>60</w:t>
                  </w:r>
                </w:p>
              </w:tc>
              <w:tc>
                <w:tcPr>
                  <w:tcW w:w="590" w:type="pct"/>
                  <w:noWrap w:val="0"/>
                  <w:tcMar>
                    <w:top w:w="15" w:type="dxa"/>
                    <w:left w:w="15" w:type="dxa"/>
                    <w:right w:w="15" w:type="dxa"/>
                  </w:tcMar>
                  <w:vAlign w:val="center"/>
                </w:tcPr>
                <w:p w14:paraId="719B8986">
                  <w:pPr>
                    <w:widowControl/>
                    <w:jc w:val="center"/>
                    <w:textAlignment w:val="center"/>
                    <w:rPr>
                      <w:rFonts w:hint="eastAsia" w:ascii="Times New Roman" w:hAnsi="Times New Roman" w:eastAsia="宋体" w:cs="Times New Roman"/>
                      <w:color w:val="auto"/>
                      <w:szCs w:val="21"/>
                      <w:highlight w:val="none"/>
                      <w:u w:val="single" w:color="auto"/>
                      <w:lang w:eastAsia="zh-CN"/>
                    </w:rPr>
                  </w:pPr>
                  <w:r>
                    <w:rPr>
                      <w:rFonts w:hint="eastAsia" w:ascii="Times New Roman" w:hAnsi="Times New Roman" w:cs="Times New Roman"/>
                      <w:color w:val="auto"/>
                      <w:szCs w:val="21"/>
                      <w:highlight w:val="none"/>
                      <w:u w:val="single" w:color="auto"/>
                      <w:lang w:eastAsia="zh-CN"/>
                    </w:rPr>
                    <w:t>达标</w:t>
                  </w:r>
                </w:p>
              </w:tc>
            </w:tr>
            <w:tr w14:paraId="6F0706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3" w:hRule="atLeast"/>
                <w:jc w:val="center"/>
              </w:trPr>
              <w:tc>
                <w:tcPr>
                  <w:tcW w:w="818" w:type="pct"/>
                  <w:noWrap w:val="0"/>
                  <w:tcMar>
                    <w:top w:w="15" w:type="dxa"/>
                    <w:left w:w="15" w:type="dxa"/>
                    <w:right w:w="15" w:type="dxa"/>
                  </w:tcMar>
                  <w:vAlign w:val="center"/>
                </w:tcPr>
                <w:p w14:paraId="4E461ABF">
                  <w:pPr>
                    <w:widowControl/>
                    <w:jc w:val="center"/>
                    <w:textAlignment w:val="center"/>
                    <w:rPr>
                      <w:rFonts w:hint="default" w:ascii="Times New Roman" w:hAnsi="Times New Roman" w:cs="Times New Roman"/>
                      <w:color w:val="auto"/>
                      <w:szCs w:val="21"/>
                      <w:highlight w:val="none"/>
                      <w:u w:val="single" w:color="auto"/>
                    </w:rPr>
                  </w:pPr>
                  <w:r>
                    <w:rPr>
                      <w:rFonts w:hint="eastAsia" w:cs="Times New Roman"/>
                      <w:color w:val="auto"/>
                      <w:szCs w:val="21"/>
                      <w:highlight w:val="none"/>
                      <w:u w:val="single" w:color="auto"/>
                      <w:lang w:eastAsia="zh-CN"/>
                    </w:rPr>
                    <w:t>东南</w:t>
                  </w:r>
                  <w:r>
                    <w:rPr>
                      <w:rFonts w:hint="eastAsia" w:ascii="Times New Roman" w:hAnsi="Times New Roman" w:cs="Times New Roman"/>
                      <w:color w:val="auto"/>
                      <w:szCs w:val="21"/>
                      <w:highlight w:val="none"/>
                      <w:u w:val="single" w:color="auto"/>
                      <w:lang w:eastAsia="zh-CN"/>
                    </w:rPr>
                    <w:t>侧</w:t>
                  </w:r>
                  <w:r>
                    <w:rPr>
                      <w:rFonts w:hint="default" w:ascii="Times New Roman" w:hAnsi="Times New Roman" w:cs="Times New Roman"/>
                      <w:color w:val="auto"/>
                      <w:kern w:val="0"/>
                      <w:szCs w:val="21"/>
                      <w:highlight w:val="none"/>
                      <w:u w:val="single" w:color="auto"/>
                      <w:lang w:bidi="ar"/>
                    </w:rPr>
                    <w:t>厂界</w:t>
                  </w:r>
                </w:p>
              </w:tc>
              <w:tc>
                <w:tcPr>
                  <w:tcW w:w="765" w:type="pct"/>
                  <w:noWrap w:val="0"/>
                  <w:tcMar>
                    <w:top w:w="15" w:type="dxa"/>
                    <w:left w:w="15" w:type="dxa"/>
                    <w:right w:w="15" w:type="dxa"/>
                  </w:tcMar>
                  <w:vAlign w:val="center"/>
                </w:tcPr>
                <w:p w14:paraId="6AA248A2">
                  <w:pPr>
                    <w:widowControl/>
                    <w:jc w:val="center"/>
                    <w:textAlignment w:val="center"/>
                    <w:rPr>
                      <w:rFonts w:hint="default" w:ascii="Times New Roman" w:hAnsi="Times New Roman" w:cs="Times New Roman"/>
                      <w:color w:val="auto"/>
                      <w:szCs w:val="21"/>
                      <w:highlight w:val="none"/>
                      <w:u w:val="single" w:color="auto"/>
                    </w:rPr>
                  </w:pPr>
                  <w:r>
                    <w:rPr>
                      <w:rFonts w:hint="eastAsia" w:ascii="Times New Roman" w:hAnsi="Times New Roman" w:cs="Times New Roman"/>
                      <w:color w:val="auto"/>
                      <w:szCs w:val="21"/>
                      <w:highlight w:val="none"/>
                      <w:u w:val="single" w:color="auto"/>
                      <w:lang w:eastAsia="zh-CN"/>
                    </w:rPr>
                    <w:t>昼间</w:t>
                  </w:r>
                </w:p>
              </w:tc>
              <w:tc>
                <w:tcPr>
                  <w:tcW w:w="1726" w:type="dxa"/>
                  <w:noWrap w:val="0"/>
                  <w:tcMar>
                    <w:top w:w="15" w:type="dxa"/>
                    <w:left w:w="15" w:type="dxa"/>
                    <w:right w:w="15" w:type="dxa"/>
                  </w:tcMar>
                  <w:vAlign w:val="center"/>
                </w:tcPr>
                <w:p w14:paraId="022746E0">
                  <w:pPr>
                    <w:widowControl/>
                    <w:jc w:val="center"/>
                    <w:textAlignment w:val="center"/>
                    <w:rPr>
                      <w:rFonts w:hint="default" w:ascii="Times New Roman" w:hAnsi="Times New Roman" w:eastAsia="宋体" w:cs="Times New Roman"/>
                      <w:color w:val="auto"/>
                      <w:highlight w:val="none"/>
                      <w:u w:val="single" w:color="auto"/>
                      <w:lang w:val="en-US" w:eastAsia="zh-CN"/>
                    </w:rPr>
                  </w:pPr>
                  <w:r>
                    <w:rPr>
                      <w:rFonts w:hint="eastAsia" w:cs="Times New Roman"/>
                      <w:color w:val="auto"/>
                      <w:highlight w:val="none"/>
                      <w:u w:val="single" w:color="auto"/>
                      <w:lang w:val="en-US" w:eastAsia="zh-CN"/>
                    </w:rPr>
                    <w:t>43.44-51.91</w:t>
                  </w:r>
                </w:p>
              </w:tc>
              <w:tc>
                <w:tcPr>
                  <w:tcW w:w="872" w:type="pct"/>
                  <w:noWrap w:val="0"/>
                  <w:tcMar>
                    <w:top w:w="15" w:type="dxa"/>
                    <w:left w:w="15" w:type="dxa"/>
                    <w:right w:w="15" w:type="dxa"/>
                  </w:tcMar>
                  <w:vAlign w:val="center"/>
                </w:tcPr>
                <w:p w14:paraId="5C185571">
                  <w:pPr>
                    <w:widowControl/>
                    <w:jc w:val="center"/>
                    <w:textAlignment w:val="center"/>
                    <w:rPr>
                      <w:rFonts w:hint="default" w:ascii="Times New Roman" w:hAnsi="Times New Roman" w:eastAsia="宋体" w:cs="Times New Roman"/>
                      <w:color w:val="auto"/>
                      <w:highlight w:val="none"/>
                      <w:u w:val="single" w:color="auto"/>
                      <w:lang w:val="en-US" w:eastAsia="zh-CN"/>
                    </w:rPr>
                  </w:pPr>
                  <w:r>
                    <w:rPr>
                      <w:rFonts w:hint="eastAsia" w:cs="Times New Roman"/>
                      <w:color w:val="auto"/>
                      <w:highlight w:val="none"/>
                      <w:u w:val="single" w:color="auto"/>
                      <w:lang w:val="en-US" w:eastAsia="zh-CN"/>
                    </w:rPr>
                    <w:t>51.91</w:t>
                  </w:r>
                </w:p>
              </w:tc>
              <w:tc>
                <w:tcPr>
                  <w:tcW w:w="933" w:type="pct"/>
                  <w:noWrap w:val="0"/>
                  <w:tcMar>
                    <w:top w:w="15" w:type="dxa"/>
                    <w:left w:w="15" w:type="dxa"/>
                    <w:right w:w="15" w:type="dxa"/>
                  </w:tcMar>
                  <w:vAlign w:val="center"/>
                </w:tcPr>
                <w:p w14:paraId="689E4935">
                  <w:pPr>
                    <w:widowControl/>
                    <w:jc w:val="center"/>
                    <w:textAlignment w:val="center"/>
                    <w:rPr>
                      <w:rFonts w:hint="default" w:ascii="Times New Roman" w:hAnsi="Times New Roman" w:eastAsia="宋体" w:cs="Times New Roman"/>
                      <w:color w:val="auto"/>
                      <w:szCs w:val="21"/>
                      <w:highlight w:val="none"/>
                      <w:u w:val="single" w:color="auto"/>
                      <w:lang w:val="en-US" w:eastAsia="zh-CN"/>
                    </w:rPr>
                  </w:pPr>
                  <w:r>
                    <w:rPr>
                      <w:rFonts w:hint="eastAsia" w:cs="Times New Roman"/>
                      <w:color w:val="auto"/>
                      <w:szCs w:val="21"/>
                      <w:highlight w:val="none"/>
                      <w:u w:val="single" w:color="auto"/>
                      <w:lang w:val="en-US" w:eastAsia="zh-CN"/>
                    </w:rPr>
                    <w:t>60</w:t>
                  </w:r>
                </w:p>
              </w:tc>
              <w:tc>
                <w:tcPr>
                  <w:tcW w:w="590" w:type="pct"/>
                  <w:noWrap w:val="0"/>
                  <w:tcMar>
                    <w:top w:w="15" w:type="dxa"/>
                    <w:left w:w="15" w:type="dxa"/>
                    <w:right w:w="15" w:type="dxa"/>
                  </w:tcMar>
                  <w:vAlign w:val="center"/>
                </w:tcPr>
                <w:p w14:paraId="77CC51CC">
                  <w:pPr>
                    <w:widowControl/>
                    <w:jc w:val="center"/>
                    <w:textAlignment w:val="center"/>
                    <w:rPr>
                      <w:rFonts w:hint="eastAsia" w:ascii="Times New Roman" w:hAnsi="Times New Roman" w:eastAsia="宋体" w:cs="Times New Roman"/>
                      <w:color w:val="auto"/>
                      <w:szCs w:val="21"/>
                      <w:highlight w:val="none"/>
                      <w:u w:val="single" w:color="auto"/>
                      <w:lang w:eastAsia="zh-CN"/>
                    </w:rPr>
                  </w:pPr>
                  <w:r>
                    <w:rPr>
                      <w:rFonts w:hint="eastAsia" w:ascii="Times New Roman" w:hAnsi="Times New Roman" w:cs="Times New Roman"/>
                      <w:color w:val="auto"/>
                      <w:szCs w:val="21"/>
                      <w:highlight w:val="none"/>
                      <w:u w:val="single" w:color="auto"/>
                      <w:lang w:eastAsia="zh-CN"/>
                    </w:rPr>
                    <w:t>达标</w:t>
                  </w:r>
                </w:p>
              </w:tc>
            </w:tr>
            <w:tr w14:paraId="5BEEB0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818" w:type="pct"/>
                  <w:noWrap w:val="0"/>
                  <w:tcMar>
                    <w:top w:w="15" w:type="dxa"/>
                    <w:left w:w="15" w:type="dxa"/>
                    <w:right w:w="15" w:type="dxa"/>
                  </w:tcMar>
                  <w:vAlign w:val="center"/>
                </w:tcPr>
                <w:p w14:paraId="039920E6">
                  <w:pPr>
                    <w:widowControl/>
                    <w:jc w:val="center"/>
                    <w:textAlignment w:val="center"/>
                    <w:rPr>
                      <w:rFonts w:hint="default" w:ascii="Times New Roman" w:hAnsi="Times New Roman" w:cs="Times New Roman"/>
                      <w:color w:val="auto"/>
                      <w:szCs w:val="21"/>
                      <w:highlight w:val="none"/>
                      <w:u w:val="single" w:color="auto"/>
                    </w:rPr>
                  </w:pPr>
                  <w:r>
                    <w:rPr>
                      <w:rFonts w:hint="eastAsia" w:cs="Times New Roman"/>
                      <w:color w:val="auto"/>
                      <w:szCs w:val="21"/>
                      <w:highlight w:val="none"/>
                      <w:u w:val="single" w:color="auto"/>
                      <w:lang w:eastAsia="zh-CN"/>
                    </w:rPr>
                    <w:t>西</w:t>
                  </w:r>
                  <w:r>
                    <w:rPr>
                      <w:rFonts w:hint="default" w:ascii="Times New Roman" w:hAnsi="Times New Roman" w:cs="Times New Roman"/>
                      <w:color w:val="auto"/>
                      <w:szCs w:val="21"/>
                      <w:highlight w:val="none"/>
                      <w:u w:val="single" w:color="auto"/>
                    </w:rPr>
                    <w:t>北</w:t>
                  </w:r>
                  <w:r>
                    <w:rPr>
                      <w:rFonts w:hint="eastAsia" w:ascii="Times New Roman" w:hAnsi="Times New Roman" w:cs="Times New Roman"/>
                      <w:color w:val="auto"/>
                      <w:szCs w:val="21"/>
                      <w:highlight w:val="none"/>
                      <w:u w:val="single" w:color="auto"/>
                      <w:lang w:eastAsia="zh-CN"/>
                    </w:rPr>
                    <w:t>侧</w:t>
                  </w:r>
                  <w:r>
                    <w:rPr>
                      <w:rFonts w:hint="default" w:ascii="Times New Roman" w:hAnsi="Times New Roman" w:cs="Times New Roman"/>
                      <w:color w:val="auto"/>
                      <w:kern w:val="0"/>
                      <w:szCs w:val="21"/>
                      <w:highlight w:val="none"/>
                      <w:u w:val="single" w:color="auto"/>
                      <w:lang w:bidi="ar"/>
                    </w:rPr>
                    <w:t>厂界</w:t>
                  </w:r>
                </w:p>
              </w:tc>
              <w:tc>
                <w:tcPr>
                  <w:tcW w:w="765" w:type="pct"/>
                  <w:noWrap w:val="0"/>
                  <w:tcMar>
                    <w:top w:w="15" w:type="dxa"/>
                    <w:left w:w="15" w:type="dxa"/>
                    <w:right w:w="15" w:type="dxa"/>
                  </w:tcMar>
                  <w:vAlign w:val="center"/>
                </w:tcPr>
                <w:p w14:paraId="07EDDED8">
                  <w:pPr>
                    <w:widowControl/>
                    <w:jc w:val="center"/>
                    <w:textAlignment w:val="center"/>
                    <w:rPr>
                      <w:rFonts w:hint="default" w:ascii="Times New Roman" w:hAnsi="Times New Roman" w:cs="Times New Roman"/>
                      <w:color w:val="auto"/>
                      <w:szCs w:val="21"/>
                      <w:highlight w:val="none"/>
                      <w:u w:val="single" w:color="auto"/>
                    </w:rPr>
                  </w:pPr>
                  <w:r>
                    <w:rPr>
                      <w:rFonts w:hint="eastAsia" w:ascii="Times New Roman" w:hAnsi="Times New Roman" w:cs="Times New Roman"/>
                      <w:color w:val="auto"/>
                      <w:szCs w:val="21"/>
                      <w:highlight w:val="none"/>
                      <w:u w:val="single" w:color="auto"/>
                      <w:lang w:eastAsia="zh-CN"/>
                    </w:rPr>
                    <w:t>昼间</w:t>
                  </w:r>
                </w:p>
              </w:tc>
              <w:tc>
                <w:tcPr>
                  <w:tcW w:w="1726" w:type="dxa"/>
                  <w:noWrap w:val="0"/>
                  <w:tcMar>
                    <w:top w:w="15" w:type="dxa"/>
                    <w:left w:w="15" w:type="dxa"/>
                    <w:right w:w="15" w:type="dxa"/>
                  </w:tcMar>
                  <w:vAlign w:val="center"/>
                </w:tcPr>
                <w:p w14:paraId="4DB4DC79">
                  <w:pPr>
                    <w:widowControl/>
                    <w:jc w:val="center"/>
                    <w:textAlignment w:val="center"/>
                    <w:rPr>
                      <w:rFonts w:hint="default" w:ascii="Times New Roman" w:hAnsi="Times New Roman" w:eastAsia="宋体" w:cs="Times New Roman"/>
                      <w:color w:val="auto"/>
                      <w:highlight w:val="none"/>
                      <w:u w:val="single" w:color="auto"/>
                      <w:lang w:val="en-US" w:eastAsia="zh-CN"/>
                    </w:rPr>
                  </w:pPr>
                  <w:r>
                    <w:rPr>
                      <w:rFonts w:hint="eastAsia" w:cs="Times New Roman"/>
                      <w:color w:val="auto"/>
                      <w:highlight w:val="none"/>
                      <w:u w:val="single" w:color="auto"/>
                      <w:lang w:val="en-US" w:eastAsia="zh-CN"/>
                    </w:rPr>
                    <w:t>43.82-52.17</w:t>
                  </w:r>
                </w:p>
              </w:tc>
              <w:tc>
                <w:tcPr>
                  <w:tcW w:w="872" w:type="pct"/>
                  <w:noWrap w:val="0"/>
                  <w:tcMar>
                    <w:top w:w="15" w:type="dxa"/>
                    <w:left w:w="15" w:type="dxa"/>
                    <w:right w:w="15" w:type="dxa"/>
                  </w:tcMar>
                  <w:vAlign w:val="center"/>
                </w:tcPr>
                <w:p w14:paraId="0E947259">
                  <w:pPr>
                    <w:widowControl/>
                    <w:jc w:val="center"/>
                    <w:textAlignment w:val="center"/>
                    <w:rPr>
                      <w:rFonts w:hint="default" w:ascii="Times New Roman" w:hAnsi="Times New Roman" w:eastAsia="宋体" w:cs="Times New Roman"/>
                      <w:color w:val="auto"/>
                      <w:highlight w:val="none"/>
                      <w:u w:val="single" w:color="auto"/>
                      <w:lang w:val="en-US" w:eastAsia="zh-CN"/>
                    </w:rPr>
                  </w:pPr>
                  <w:r>
                    <w:rPr>
                      <w:rFonts w:hint="eastAsia" w:cs="Times New Roman"/>
                      <w:color w:val="auto"/>
                      <w:highlight w:val="none"/>
                      <w:u w:val="single" w:color="auto"/>
                      <w:lang w:val="en-US" w:eastAsia="zh-CN"/>
                    </w:rPr>
                    <w:t>52.17</w:t>
                  </w:r>
                </w:p>
              </w:tc>
              <w:tc>
                <w:tcPr>
                  <w:tcW w:w="933" w:type="pct"/>
                  <w:noWrap w:val="0"/>
                  <w:tcMar>
                    <w:top w:w="15" w:type="dxa"/>
                    <w:left w:w="15" w:type="dxa"/>
                    <w:right w:w="15" w:type="dxa"/>
                  </w:tcMar>
                  <w:vAlign w:val="center"/>
                </w:tcPr>
                <w:p w14:paraId="2759BCA9">
                  <w:pPr>
                    <w:widowControl/>
                    <w:jc w:val="center"/>
                    <w:textAlignment w:val="center"/>
                    <w:rPr>
                      <w:rFonts w:hint="default" w:ascii="Times New Roman" w:hAnsi="Times New Roman" w:eastAsia="宋体" w:cs="Times New Roman"/>
                      <w:color w:val="auto"/>
                      <w:szCs w:val="21"/>
                      <w:highlight w:val="none"/>
                      <w:u w:val="single" w:color="auto"/>
                      <w:lang w:val="en-US" w:eastAsia="zh-CN"/>
                    </w:rPr>
                  </w:pPr>
                  <w:r>
                    <w:rPr>
                      <w:rFonts w:hint="eastAsia" w:cs="Times New Roman"/>
                      <w:color w:val="auto"/>
                      <w:szCs w:val="21"/>
                      <w:highlight w:val="none"/>
                      <w:u w:val="single" w:color="auto"/>
                      <w:lang w:val="en-US" w:eastAsia="zh-CN"/>
                    </w:rPr>
                    <w:t>60</w:t>
                  </w:r>
                </w:p>
              </w:tc>
              <w:tc>
                <w:tcPr>
                  <w:tcW w:w="590" w:type="pct"/>
                  <w:noWrap w:val="0"/>
                  <w:tcMar>
                    <w:top w:w="15" w:type="dxa"/>
                    <w:left w:w="15" w:type="dxa"/>
                    <w:right w:w="15" w:type="dxa"/>
                  </w:tcMar>
                  <w:vAlign w:val="center"/>
                </w:tcPr>
                <w:p w14:paraId="1900C313">
                  <w:pPr>
                    <w:widowControl/>
                    <w:jc w:val="center"/>
                    <w:textAlignment w:val="center"/>
                    <w:rPr>
                      <w:rFonts w:hint="eastAsia" w:ascii="Times New Roman" w:hAnsi="Times New Roman" w:eastAsia="宋体" w:cs="Times New Roman"/>
                      <w:color w:val="auto"/>
                      <w:szCs w:val="21"/>
                      <w:highlight w:val="none"/>
                      <w:u w:val="single" w:color="auto"/>
                      <w:lang w:eastAsia="zh-CN"/>
                    </w:rPr>
                  </w:pPr>
                  <w:r>
                    <w:rPr>
                      <w:rFonts w:hint="eastAsia" w:ascii="Times New Roman" w:hAnsi="Times New Roman" w:cs="Times New Roman"/>
                      <w:color w:val="auto"/>
                      <w:szCs w:val="21"/>
                      <w:highlight w:val="none"/>
                      <w:u w:val="single" w:color="auto"/>
                      <w:lang w:eastAsia="zh-CN"/>
                    </w:rPr>
                    <w:t>达标</w:t>
                  </w:r>
                </w:p>
              </w:tc>
            </w:tr>
          </w:tbl>
          <w:p w14:paraId="65A995A1">
            <w:pPr>
              <w:spacing w:line="360" w:lineRule="auto"/>
              <w:jc w:val="center"/>
              <w:rPr>
                <w:rFonts w:hint="eastAsia" w:ascii="Times New Roman" w:hAnsi="Times New Roman" w:eastAsia="宋体" w:cs="宋体"/>
                <w:b w:val="0"/>
                <w:bCs w:val="0"/>
                <w:color w:val="auto"/>
                <w:sz w:val="21"/>
                <w:szCs w:val="21"/>
                <w:highlight w:val="none"/>
                <w:u w:val="single" w:color="auto"/>
                <w:lang w:val="en-US" w:eastAsia="zh-CN"/>
              </w:rPr>
            </w:pPr>
          </w:p>
          <w:p w14:paraId="5BE10AE9">
            <w:pPr>
              <w:adjustRightInd w:val="0"/>
              <w:snapToGrid w:val="0"/>
              <w:spacing w:line="360" w:lineRule="auto"/>
              <w:ind w:firstLine="480" w:firstLineChars="200"/>
              <w:rPr>
                <w:rFonts w:hint="eastAsia"/>
                <w:color w:val="auto"/>
                <w:sz w:val="24"/>
                <w:szCs w:val="24"/>
                <w:highlight w:val="none"/>
                <w:u w:val="single" w:color="auto"/>
                <w:lang w:val="en-US" w:eastAsia="zh-CN"/>
              </w:rPr>
            </w:pPr>
            <w:r>
              <w:rPr>
                <w:rFonts w:hint="default" w:ascii="Times New Roman" w:hAnsi="Times New Roman" w:cs="Times New Roman"/>
                <w:color w:val="auto"/>
                <w:sz w:val="24"/>
                <w:highlight w:val="none"/>
                <w:u w:val="single" w:color="auto"/>
              </w:rPr>
              <w:t>根据预测</w:t>
            </w:r>
            <w:r>
              <w:rPr>
                <w:rFonts w:hint="eastAsia" w:cs="Times New Roman"/>
                <w:color w:val="auto"/>
                <w:sz w:val="24"/>
                <w:highlight w:val="none"/>
                <w:u w:val="single" w:color="auto"/>
                <w:lang w:val="en-US" w:eastAsia="zh-CN"/>
              </w:rPr>
              <w:t>结果</w:t>
            </w:r>
            <w:r>
              <w:rPr>
                <w:rFonts w:hint="default" w:ascii="Times New Roman" w:hAnsi="Times New Roman" w:cs="Times New Roman"/>
                <w:color w:val="auto"/>
                <w:sz w:val="24"/>
                <w:highlight w:val="none"/>
                <w:u w:val="single" w:color="auto"/>
              </w:rPr>
              <w:t>可知，运行期厂界四周昼间噪声贡献值满足《工业企业厂界环境噪声排放标准》（GB12348-2008）中</w:t>
            </w:r>
            <w:r>
              <w:rPr>
                <w:rFonts w:hint="eastAsia" w:cs="Times New Roman"/>
                <w:color w:val="auto"/>
                <w:sz w:val="24"/>
                <w:highlight w:val="none"/>
                <w:u w:val="single" w:color="auto"/>
                <w:lang w:val="en-US" w:eastAsia="zh-CN"/>
              </w:rPr>
              <w:t>2</w:t>
            </w:r>
            <w:r>
              <w:rPr>
                <w:rFonts w:hint="default" w:ascii="Times New Roman" w:hAnsi="Times New Roman" w:cs="Times New Roman"/>
                <w:color w:val="auto"/>
                <w:sz w:val="24"/>
                <w:highlight w:val="none"/>
                <w:u w:val="single" w:color="auto"/>
              </w:rPr>
              <w:t>类标准限值。</w:t>
            </w:r>
          </w:p>
          <w:p w14:paraId="569183A4">
            <w:pPr>
              <w:adjustRightInd w:val="0"/>
              <w:snapToGrid w:val="0"/>
              <w:spacing w:line="360" w:lineRule="auto"/>
              <w:ind w:firstLine="482" w:firstLineChars="200"/>
              <w:rPr>
                <w:rFonts w:hint="eastAsia"/>
                <w:b/>
                <w:bCs/>
                <w:color w:val="auto"/>
                <w:sz w:val="24"/>
                <w:szCs w:val="24"/>
                <w:highlight w:val="none"/>
              </w:rPr>
            </w:pPr>
            <w:r>
              <w:rPr>
                <w:rFonts w:hint="eastAsia"/>
                <w:b/>
                <w:bCs/>
                <w:color w:val="auto"/>
                <w:sz w:val="24"/>
                <w:szCs w:val="24"/>
                <w:highlight w:val="none"/>
                <w:lang w:val="en-US" w:eastAsia="zh-CN"/>
              </w:rPr>
              <w:t>3.4</w:t>
            </w:r>
            <w:r>
              <w:rPr>
                <w:rFonts w:hint="eastAsia"/>
                <w:b/>
                <w:bCs/>
                <w:color w:val="auto"/>
                <w:sz w:val="24"/>
                <w:szCs w:val="24"/>
                <w:highlight w:val="none"/>
              </w:rPr>
              <w:t>监测计划</w:t>
            </w:r>
          </w:p>
          <w:p w14:paraId="30E792DF">
            <w:pPr>
              <w:adjustRightInd w:val="0"/>
              <w:snapToGrid w:val="0"/>
              <w:spacing w:line="360" w:lineRule="auto"/>
              <w:ind w:firstLine="480" w:firstLineChars="200"/>
              <w:rPr>
                <w:rFonts w:hint="eastAsia"/>
                <w:color w:val="auto"/>
                <w:sz w:val="24"/>
                <w:szCs w:val="24"/>
                <w:highlight w:val="none"/>
                <w:lang w:val="zh-CN"/>
              </w:rPr>
            </w:pPr>
            <w:r>
              <w:rPr>
                <w:rFonts w:hint="eastAsia"/>
                <w:color w:val="auto"/>
                <w:sz w:val="24"/>
                <w:szCs w:val="24"/>
                <w:highlight w:val="none"/>
              </w:rPr>
              <w:t>参照</w:t>
            </w:r>
            <w:r>
              <w:rPr>
                <w:rFonts w:hint="eastAsia"/>
                <w:color w:val="auto"/>
                <w:sz w:val="24"/>
                <w:highlight w:val="none"/>
                <w:u w:val="none"/>
              </w:rPr>
              <w:t>《排污许可证申请与核发技术规范 工业噪声》（HJ1301-2023）</w:t>
            </w:r>
            <w:r>
              <w:rPr>
                <w:rFonts w:hint="eastAsia"/>
                <w:color w:val="auto"/>
                <w:sz w:val="24"/>
                <w:szCs w:val="24"/>
                <w:highlight w:val="none"/>
              </w:rPr>
              <w:t>中的相关内容进行监测，监测计划</w:t>
            </w:r>
            <w:r>
              <w:rPr>
                <w:rFonts w:hint="eastAsia"/>
                <w:color w:val="auto"/>
                <w:sz w:val="24"/>
                <w:szCs w:val="24"/>
                <w:highlight w:val="none"/>
                <w:lang w:val="zh-CN"/>
              </w:rPr>
              <w:t>详见</w:t>
            </w:r>
            <w:r>
              <w:rPr>
                <w:rFonts w:hint="eastAsia"/>
                <w:color w:val="auto"/>
                <w:sz w:val="24"/>
                <w:szCs w:val="24"/>
                <w:highlight w:val="none"/>
              </w:rPr>
              <w:t>下</w:t>
            </w:r>
            <w:r>
              <w:rPr>
                <w:rFonts w:hint="eastAsia"/>
                <w:color w:val="auto"/>
                <w:sz w:val="24"/>
                <w:szCs w:val="24"/>
                <w:highlight w:val="none"/>
                <w:lang w:val="zh-CN"/>
              </w:rPr>
              <w:t>表。</w:t>
            </w:r>
          </w:p>
          <w:p w14:paraId="65F470FC">
            <w:pP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hint="eastAsia"/>
                <w:b/>
                <w:color w:val="auto"/>
                <w:highlight w:val="none"/>
                <w:u w:val="none"/>
                <w:lang w:val="zh-CN"/>
              </w:rPr>
            </w:pPr>
            <w:r>
              <w:rPr>
                <w:rFonts w:hint="eastAsia"/>
                <w:b/>
                <w:color w:val="auto"/>
                <w:sz w:val="24"/>
                <w:szCs w:val="24"/>
                <w:highlight w:val="none"/>
                <w:u w:val="none"/>
                <w:lang w:val="zh-CN"/>
              </w:rPr>
              <w:t>表</w:t>
            </w:r>
            <w:r>
              <w:rPr>
                <w:rFonts w:hint="eastAsia"/>
                <w:b/>
                <w:color w:val="auto"/>
                <w:sz w:val="24"/>
                <w:szCs w:val="24"/>
                <w:highlight w:val="none"/>
                <w:u w:val="none"/>
                <w:lang w:val="en-US" w:eastAsia="zh-CN"/>
              </w:rPr>
              <w:t>4-11</w:t>
            </w:r>
            <w:r>
              <w:rPr>
                <w:rFonts w:hint="eastAsia"/>
                <w:b/>
                <w:color w:val="auto"/>
                <w:sz w:val="24"/>
                <w:szCs w:val="24"/>
                <w:highlight w:val="none"/>
                <w:u w:val="none"/>
                <w:lang w:val="zh-CN"/>
              </w:rPr>
              <w:t xml:space="preserve"> </w:t>
            </w:r>
            <w:r>
              <w:rPr>
                <w:rFonts w:hint="eastAsia"/>
                <w:b/>
                <w:color w:val="auto"/>
                <w:sz w:val="24"/>
                <w:szCs w:val="24"/>
                <w:highlight w:val="none"/>
                <w:u w:val="none"/>
              </w:rPr>
              <w:t xml:space="preserve"> 噪声</w:t>
            </w:r>
            <w:r>
              <w:rPr>
                <w:rFonts w:hint="eastAsia"/>
                <w:b/>
                <w:color w:val="auto"/>
                <w:sz w:val="24"/>
                <w:szCs w:val="24"/>
                <w:highlight w:val="none"/>
                <w:u w:val="none"/>
                <w:lang w:val="zh-CN"/>
              </w:rPr>
              <w:t>监测计划</w:t>
            </w:r>
          </w:p>
          <w:tbl>
            <w:tblPr>
              <w:tblStyle w:val="25"/>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40"/>
              <w:gridCol w:w="1335"/>
              <w:gridCol w:w="2063"/>
              <w:gridCol w:w="3328"/>
            </w:tblGrid>
            <w:tr w14:paraId="2323DA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027" w:type="pct"/>
                  <w:noWrap w:val="0"/>
                  <w:vAlign w:val="center"/>
                </w:tcPr>
                <w:p w14:paraId="57520A5A">
                  <w:pPr>
                    <w:pStyle w:val="49"/>
                    <w:numPr>
                      <w:ilvl w:val="0"/>
                      <w:numId w:val="0"/>
                    </w:numPr>
                    <w:spacing w:beforeLines="0" w:afterLines="0" w:line="240" w:lineRule="auto"/>
                    <w:ind w:leftChars="0"/>
                    <w:jc w:val="center"/>
                    <w:rPr>
                      <w:rFonts w:hint="default" w:ascii="Times New Roman" w:hAnsi="Times New Roman" w:eastAsia="宋体" w:cs="Times New Roman"/>
                      <w:b w:val="0"/>
                      <w:bCs w:val="0"/>
                      <w:color w:val="auto"/>
                      <w:sz w:val="21"/>
                      <w:szCs w:val="21"/>
                      <w:highlight w:val="none"/>
                      <w:u w:val="none"/>
                      <w:lang w:val="en-US" w:eastAsia="zh-CN"/>
                    </w:rPr>
                  </w:pPr>
                  <w:r>
                    <w:rPr>
                      <w:rFonts w:hint="default" w:ascii="Times New Roman" w:hAnsi="Times New Roman" w:eastAsia="宋体" w:cs="Times New Roman"/>
                      <w:b w:val="0"/>
                      <w:bCs w:val="0"/>
                      <w:color w:val="auto"/>
                      <w:sz w:val="21"/>
                      <w:szCs w:val="21"/>
                      <w:highlight w:val="none"/>
                      <w:u w:val="none"/>
                      <w:lang w:val="zh-CN" w:eastAsia="zh-CN"/>
                    </w:rPr>
                    <w:t>监测点位</w:t>
                  </w:r>
                </w:p>
              </w:tc>
              <w:tc>
                <w:tcPr>
                  <w:tcW w:w="788" w:type="pct"/>
                  <w:noWrap w:val="0"/>
                  <w:vAlign w:val="center"/>
                </w:tcPr>
                <w:p w14:paraId="2E4A293E">
                  <w:pPr>
                    <w:pStyle w:val="49"/>
                    <w:numPr>
                      <w:ilvl w:val="0"/>
                      <w:numId w:val="0"/>
                    </w:numPr>
                    <w:spacing w:beforeLines="0" w:afterLines="0" w:line="240" w:lineRule="auto"/>
                    <w:ind w:leftChars="0"/>
                    <w:jc w:val="center"/>
                    <w:rPr>
                      <w:rFonts w:hint="default" w:ascii="Times New Roman" w:hAnsi="Times New Roman" w:eastAsia="宋体" w:cs="Times New Roman"/>
                      <w:b w:val="0"/>
                      <w:bCs w:val="0"/>
                      <w:color w:val="auto"/>
                      <w:sz w:val="21"/>
                      <w:szCs w:val="21"/>
                      <w:highlight w:val="none"/>
                      <w:u w:val="none"/>
                      <w:lang w:val="zh-CN" w:eastAsia="zh-CN"/>
                    </w:rPr>
                  </w:pPr>
                  <w:r>
                    <w:rPr>
                      <w:rFonts w:hint="default" w:ascii="Times New Roman" w:hAnsi="Times New Roman" w:eastAsia="宋体" w:cs="Times New Roman"/>
                      <w:b w:val="0"/>
                      <w:bCs w:val="0"/>
                      <w:color w:val="auto"/>
                      <w:sz w:val="21"/>
                      <w:szCs w:val="21"/>
                      <w:highlight w:val="none"/>
                      <w:u w:val="none"/>
                      <w:lang w:val="zh-CN" w:eastAsia="zh-CN"/>
                    </w:rPr>
                    <w:t>监测</w:t>
                  </w:r>
                  <w:r>
                    <w:rPr>
                      <w:rFonts w:hint="default" w:ascii="Times New Roman" w:hAnsi="Times New Roman" w:eastAsia="宋体" w:cs="Times New Roman"/>
                      <w:b w:val="0"/>
                      <w:bCs w:val="0"/>
                      <w:color w:val="auto"/>
                      <w:sz w:val="21"/>
                      <w:szCs w:val="21"/>
                      <w:highlight w:val="none"/>
                      <w:u w:val="none"/>
                      <w:lang w:val="en-US" w:eastAsia="zh-CN"/>
                    </w:rPr>
                    <w:t>指标</w:t>
                  </w:r>
                </w:p>
              </w:tc>
              <w:tc>
                <w:tcPr>
                  <w:tcW w:w="1218" w:type="pct"/>
                  <w:noWrap w:val="0"/>
                  <w:vAlign w:val="center"/>
                </w:tcPr>
                <w:p w14:paraId="6DADF804">
                  <w:pPr>
                    <w:pStyle w:val="49"/>
                    <w:numPr>
                      <w:ilvl w:val="0"/>
                      <w:numId w:val="0"/>
                    </w:numPr>
                    <w:spacing w:beforeLines="0" w:afterLines="0" w:line="240" w:lineRule="auto"/>
                    <w:ind w:leftChars="0"/>
                    <w:jc w:val="center"/>
                    <w:rPr>
                      <w:rFonts w:hint="default" w:ascii="Times New Roman" w:hAnsi="Times New Roman" w:eastAsia="宋体" w:cs="Times New Roman"/>
                      <w:b w:val="0"/>
                      <w:bCs w:val="0"/>
                      <w:color w:val="auto"/>
                      <w:sz w:val="21"/>
                      <w:szCs w:val="21"/>
                      <w:highlight w:val="none"/>
                      <w:u w:val="none"/>
                      <w:lang w:val="en-US" w:eastAsia="zh-CN"/>
                    </w:rPr>
                  </w:pPr>
                  <w:r>
                    <w:rPr>
                      <w:rFonts w:hint="default" w:ascii="Times New Roman" w:hAnsi="Times New Roman" w:eastAsia="宋体" w:cs="Times New Roman"/>
                      <w:b w:val="0"/>
                      <w:bCs w:val="0"/>
                      <w:color w:val="auto"/>
                      <w:sz w:val="21"/>
                      <w:szCs w:val="21"/>
                      <w:highlight w:val="none"/>
                      <w:u w:val="none"/>
                      <w:lang w:val="en-US" w:eastAsia="zh-CN"/>
                    </w:rPr>
                    <w:t>监测频次</w:t>
                  </w:r>
                </w:p>
              </w:tc>
              <w:tc>
                <w:tcPr>
                  <w:tcW w:w="1965" w:type="pct"/>
                  <w:noWrap w:val="0"/>
                  <w:vAlign w:val="center"/>
                </w:tcPr>
                <w:p w14:paraId="296C7DBD">
                  <w:pPr>
                    <w:pStyle w:val="49"/>
                    <w:numPr>
                      <w:ilvl w:val="0"/>
                      <w:numId w:val="0"/>
                    </w:numPr>
                    <w:spacing w:beforeLines="0" w:afterLines="0" w:line="240" w:lineRule="auto"/>
                    <w:ind w:leftChars="0"/>
                    <w:jc w:val="center"/>
                    <w:rPr>
                      <w:rFonts w:hint="default" w:ascii="Times New Roman" w:hAnsi="Times New Roman" w:eastAsia="宋体" w:cs="Times New Roman"/>
                      <w:b w:val="0"/>
                      <w:bCs w:val="0"/>
                      <w:color w:val="auto"/>
                      <w:sz w:val="21"/>
                      <w:szCs w:val="21"/>
                      <w:highlight w:val="none"/>
                      <w:u w:val="none"/>
                      <w:lang w:val="en-US" w:eastAsia="zh-CN"/>
                    </w:rPr>
                  </w:pPr>
                  <w:r>
                    <w:rPr>
                      <w:rFonts w:hint="default" w:ascii="Times New Roman" w:hAnsi="Times New Roman" w:eastAsia="宋体" w:cs="Times New Roman"/>
                      <w:b w:val="0"/>
                      <w:bCs w:val="0"/>
                      <w:color w:val="auto"/>
                      <w:sz w:val="21"/>
                      <w:szCs w:val="21"/>
                      <w:highlight w:val="none"/>
                      <w:u w:val="none"/>
                      <w:lang w:val="en-US" w:eastAsia="zh-CN"/>
                    </w:rPr>
                    <w:t>执行排放标准</w:t>
                  </w:r>
                </w:p>
              </w:tc>
            </w:tr>
            <w:tr w14:paraId="60450F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027" w:type="pct"/>
                  <w:noWrap w:val="0"/>
                  <w:vAlign w:val="center"/>
                </w:tcPr>
                <w:p w14:paraId="712F94B0">
                  <w:pPr>
                    <w:pStyle w:val="49"/>
                    <w:numPr>
                      <w:ilvl w:val="0"/>
                      <w:numId w:val="0"/>
                    </w:numPr>
                    <w:spacing w:beforeLines="0" w:afterLines="0" w:line="240" w:lineRule="auto"/>
                    <w:ind w:leftChars="0"/>
                    <w:jc w:val="center"/>
                    <w:rPr>
                      <w:rFonts w:hint="default" w:ascii="Times New Roman" w:hAnsi="Times New Roman" w:eastAsia="宋体" w:cs="Times New Roman"/>
                      <w:b w:val="0"/>
                      <w:bCs w:val="0"/>
                      <w:color w:val="auto"/>
                      <w:sz w:val="21"/>
                      <w:szCs w:val="21"/>
                      <w:highlight w:val="none"/>
                      <w:u w:val="none"/>
                      <w:lang w:val="en-US" w:eastAsia="zh-CN"/>
                    </w:rPr>
                  </w:pPr>
                  <w:r>
                    <w:rPr>
                      <w:rFonts w:hint="default" w:ascii="Times New Roman" w:hAnsi="Times New Roman" w:eastAsia="宋体" w:cs="Times New Roman"/>
                      <w:b w:val="0"/>
                      <w:bCs w:val="0"/>
                      <w:color w:val="auto"/>
                      <w:sz w:val="21"/>
                      <w:szCs w:val="21"/>
                      <w:highlight w:val="none"/>
                      <w:u w:val="none"/>
                      <w:lang w:val="en-US" w:eastAsia="zh-CN"/>
                    </w:rPr>
                    <w:t>厂</w:t>
                  </w:r>
                  <w:r>
                    <w:rPr>
                      <w:rFonts w:hint="eastAsia" w:ascii="Times New Roman" w:eastAsia="宋体" w:cs="Times New Roman"/>
                      <w:b w:val="0"/>
                      <w:bCs w:val="0"/>
                      <w:color w:val="auto"/>
                      <w:sz w:val="21"/>
                      <w:szCs w:val="21"/>
                      <w:highlight w:val="none"/>
                      <w:u w:val="none"/>
                      <w:lang w:val="en-US" w:eastAsia="zh-CN"/>
                    </w:rPr>
                    <w:t>界</w:t>
                  </w:r>
                  <w:r>
                    <w:rPr>
                      <w:rFonts w:hint="default" w:ascii="Times New Roman" w:hAnsi="Times New Roman" w:eastAsia="宋体" w:cs="Times New Roman"/>
                      <w:b w:val="0"/>
                      <w:bCs w:val="0"/>
                      <w:color w:val="auto"/>
                      <w:sz w:val="21"/>
                      <w:szCs w:val="21"/>
                      <w:highlight w:val="none"/>
                      <w:u w:val="none"/>
                      <w:lang w:val="en-US" w:eastAsia="zh-CN"/>
                    </w:rPr>
                    <w:t>四周</w:t>
                  </w:r>
                </w:p>
              </w:tc>
              <w:tc>
                <w:tcPr>
                  <w:tcW w:w="788" w:type="pct"/>
                  <w:noWrap w:val="0"/>
                  <w:vAlign w:val="center"/>
                </w:tcPr>
                <w:p w14:paraId="66E1915A">
                  <w:pPr>
                    <w:pStyle w:val="49"/>
                    <w:numPr>
                      <w:ilvl w:val="0"/>
                      <w:numId w:val="0"/>
                    </w:numPr>
                    <w:spacing w:beforeLines="0" w:afterLines="0" w:line="240" w:lineRule="auto"/>
                    <w:ind w:leftChars="0"/>
                    <w:jc w:val="center"/>
                    <w:rPr>
                      <w:rFonts w:hint="default" w:ascii="Times New Roman" w:hAnsi="Times New Roman" w:eastAsia="宋体" w:cs="Times New Roman"/>
                      <w:b w:val="0"/>
                      <w:bCs w:val="0"/>
                      <w:color w:val="auto"/>
                      <w:sz w:val="21"/>
                      <w:szCs w:val="21"/>
                      <w:highlight w:val="none"/>
                      <w:u w:val="none"/>
                      <w:lang w:val="en-US" w:eastAsia="zh-CN"/>
                    </w:rPr>
                  </w:pPr>
                  <w:r>
                    <w:rPr>
                      <w:rFonts w:hint="default" w:ascii="Times New Roman" w:hAnsi="Times New Roman" w:eastAsia="宋体" w:cs="Times New Roman"/>
                      <w:b w:val="0"/>
                      <w:bCs w:val="0"/>
                      <w:color w:val="auto"/>
                      <w:sz w:val="21"/>
                      <w:szCs w:val="21"/>
                      <w:highlight w:val="none"/>
                      <w:u w:val="none"/>
                      <w:lang w:val="zh-CN" w:eastAsia="zh-CN"/>
                    </w:rPr>
                    <w:t>等效连续A声级</w:t>
                  </w:r>
                </w:p>
              </w:tc>
              <w:tc>
                <w:tcPr>
                  <w:tcW w:w="1218" w:type="pct"/>
                  <w:noWrap w:val="0"/>
                  <w:vAlign w:val="center"/>
                </w:tcPr>
                <w:p w14:paraId="26C1D059">
                  <w:pPr>
                    <w:pStyle w:val="49"/>
                    <w:numPr>
                      <w:ilvl w:val="0"/>
                      <w:numId w:val="0"/>
                    </w:numPr>
                    <w:spacing w:beforeLines="0" w:afterLines="0" w:line="240" w:lineRule="auto"/>
                    <w:ind w:leftChars="0"/>
                    <w:jc w:val="center"/>
                    <w:rPr>
                      <w:rFonts w:hint="default" w:ascii="Times New Roman" w:hAnsi="Times New Roman" w:eastAsia="宋体" w:cs="Times New Roman"/>
                      <w:b w:val="0"/>
                      <w:bCs w:val="0"/>
                      <w:color w:val="auto"/>
                      <w:sz w:val="21"/>
                      <w:szCs w:val="21"/>
                      <w:highlight w:val="none"/>
                      <w:u w:val="none"/>
                      <w:lang w:val="zh-CN" w:eastAsia="zh-CN"/>
                    </w:rPr>
                  </w:pPr>
                  <w:r>
                    <w:rPr>
                      <w:rFonts w:hint="default" w:ascii="Times New Roman" w:hAnsi="Times New Roman" w:eastAsia="宋体" w:cs="Times New Roman"/>
                      <w:b w:val="0"/>
                      <w:bCs w:val="0"/>
                      <w:color w:val="auto"/>
                      <w:sz w:val="21"/>
                      <w:szCs w:val="21"/>
                      <w:highlight w:val="none"/>
                      <w:u w:val="none"/>
                      <w:lang w:val="en-US" w:eastAsia="zh-CN"/>
                    </w:rPr>
                    <w:t>每季度一次，昼间监测1次</w:t>
                  </w:r>
                  <w:r>
                    <w:rPr>
                      <w:rFonts w:hint="default" w:ascii="Times New Roman" w:hAnsi="Times New Roman" w:eastAsia="宋体" w:cs="Times New Roman"/>
                      <w:b w:val="0"/>
                      <w:bCs w:val="0"/>
                      <w:color w:val="auto"/>
                      <w:sz w:val="21"/>
                      <w:szCs w:val="21"/>
                      <w:highlight w:val="none"/>
                      <w:u w:val="none"/>
                      <w:lang w:val="zh-CN" w:eastAsia="zh-CN"/>
                    </w:rPr>
                    <w:t>。</w:t>
                  </w:r>
                </w:p>
              </w:tc>
              <w:tc>
                <w:tcPr>
                  <w:tcW w:w="1965" w:type="pct"/>
                  <w:noWrap w:val="0"/>
                  <w:vAlign w:val="center"/>
                </w:tcPr>
                <w:p w14:paraId="25B1F494">
                  <w:pPr>
                    <w:pStyle w:val="49"/>
                    <w:numPr>
                      <w:ilvl w:val="0"/>
                      <w:numId w:val="0"/>
                    </w:numPr>
                    <w:spacing w:beforeLines="0" w:afterLines="0" w:line="240" w:lineRule="auto"/>
                    <w:ind w:leftChars="0"/>
                    <w:jc w:val="center"/>
                    <w:rPr>
                      <w:rFonts w:hint="default" w:ascii="Times New Roman" w:hAnsi="Times New Roman" w:eastAsia="宋体" w:cs="Times New Roman"/>
                      <w:b w:val="0"/>
                      <w:bCs w:val="0"/>
                      <w:color w:val="auto"/>
                      <w:sz w:val="21"/>
                      <w:szCs w:val="21"/>
                      <w:highlight w:val="none"/>
                      <w:u w:val="none"/>
                      <w:lang w:val="zh-CN" w:eastAsia="zh-CN"/>
                    </w:rPr>
                  </w:pPr>
                  <w:r>
                    <w:rPr>
                      <w:rFonts w:hint="default" w:ascii="Times New Roman" w:hAnsi="Times New Roman" w:eastAsia="宋体" w:cs="Times New Roman"/>
                      <w:b w:val="0"/>
                      <w:bCs w:val="0"/>
                      <w:color w:val="auto"/>
                      <w:sz w:val="21"/>
                      <w:szCs w:val="21"/>
                      <w:highlight w:val="none"/>
                      <w:u w:val="single"/>
                      <w:lang w:val="zh-CN" w:eastAsia="zh-CN"/>
                    </w:rPr>
                    <w:t>《工业企业厂界环境噪声排放标准》（GB12348-2008）中</w:t>
                  </w:r>
                  <w:r>
                    <w:rPr>
                      <w:rFonts w:hint="eastAsia" w:ascii="Times New Roman" w:eastAsia="宋体" w:cs="Times New Roman"/>
                      <w:color w:val="auto"/>
                      <w:sz w:val="21"/>
                      <w:szCs w:val="21"/>
                      <w:highlight w:val="none"/>
                      <w:u w:val="single"/>
                      <w:lang w:val="en-US" w:eastAsia="zh-CN"/>
                    </w:rPr>
                    <w:t>2</w:t>
                  </w:r>
                  <w:r>
                    <w:rPr>
                      <w:rFonts w:hint="default" w:ascii="Times New Roman" w:hAnsi="Times New Roman" w:eastAsia="宋体" w:cs="Times New Roman"/>
                      <w:color w:val="auto"/>
                      <w:sz w:val="21"/>
                      <w:szCs w:val="21"/>
                      <w:highlight w:val="none"/>
                      <w:u w:val="single"/>
                      <w:lang w:eastAsia="zh-CN"/>
                    </w:rPr>
                    <w:t>类</w:t>
                  </w:r>
                  <w:r>
                    <w:rPr>
                      <w:rFonts w:hint="default" w:ascii="Times New Roman" w:hAnsi="Times New Roman" w:eastAsia="宋体" w:cs="Times New Roman"/>
                      <w:b w:val="0"/>
                      <w:bCs w:val="0"/>
                      <w:color w:val="auto"/>
                      <w:sz w:val="21"/>
                      <w:szCs w:val="21"/>
                      <w:highlight w:val="none"/>
                      <w:u w:val="single"/>
                      <w:lang w:val="zh-CN" w:eastAsia="zh-CN"/>
                    </w:rPr>
                    <w:t>标准</w:t>
                  </w:r>
                </w:p>
              </w:tc>
            </w:tr>
          </w:tbl>
          <w:p w14:paraId="425B9E83">
            <w:pPr>
              <w:adjustRightInd w:val="0"/>
              <w:snapToGrid w:val="0"/>
              <w:spacing w:line="360" w:lineRule="auto"/>
              <w:ind w:firstLine="482" w:firstLineChars="200"/>
              <w:rPr>
                <w:b/>
                <w:bCs/>
                <w:color w:val="auto"/>
                <w:sz w:val="24"/>
                <w:szCs w:val="24"/>
                <w:highlight w:val="none"/>
              </w:rPr>
            </w:pPr>
          </w:p>
          <w:p w14:paraId="2E9EF436">
            <w:pPr>
              <w:adjustRightInd w:val="0"/>
              <w:snapToGrid w:val="0"/>
              <w:spacing w:line="360" w:lineRule="auto"/>
              <w:ind w:firstLine="482" w:firstLineChars="200"/>
              <w:rPr>
                <w:b/>
                <w:bCs/>
                <w:color w:val="auto"/>
                <w:sz w:val="24"/>
                <w:szCs w:val="24"/>
                <w:highlight w:val="none"/>
              </w:rPr>
            </w:pPr>
            <w:r>
              <w:rPr>
                <w:b/>
                <w:bCs/>
                <w:color w:val="auto"/>
                <w:sz w:val="24"/>
                <w:szCs w:val="24"/>
                <w:highlight w:val="none"/>
              </w:rPr>
              <w:t>4、固体废物</w:t>
            </w:r>
          </w:p>
          <w:p w14:paraId="1B88A089">
            <w:pPr>
              <w:pStyle w:val="2"/>
              <w:adjustRightInd w:val="0"/>
              <w:spacing w:line="360" w:lineRule="auto"/>
              <w:ind w:left="0" w:firstLine="482" w:firstLineChars="200"/>
              <w:rPr>
                <w:rFonts w:hint="eastAsia" w:eastAsia="宋体"/>
                <w:b/>
                <w:bCs/>
                <w:i w:val="0"/>
                <w:iCs w:val="0"/>
                <w:color w:val="auto"/>
                <w:sz w:val="24"/>
                <w:szCs w:val="24"/>
                <w:highlight w:val="none"/>
                <w:u w:val="none" w:color="auto"/>
                <w:lang w:eastAsia="zh-CN"/>
              </w:rPr>
            </w:pPr>
            <w:r>
              <w:rPr>
                <w:rFonts w:hint="eastAsia"/>
                <w:b/>
                <w:bCs/>
                <w:i w:val="0"/>
                <w:iCs w:val="0"/>
                <w:color w:val="auto"/>
                <w:sz w:val="24"/>
                <w:szCs w:val="24"/>
                <w:highlight w:val="none"/>
                <w:u w:val="none" w:color="auto"/>
                <w:lang w:val="en-US" w:eastAsia="zh-CN"/>
              </w:rPr>
              <w:t>4.1</w:t>
            </w:r>
            <w:r>
              <w:rPr>
                <w:rFonts w:hint="eastAsia"/>
                <w:b/>
                <w:bCs/>
                <w:i w:val="0"/>
                <w:iCs w:val="0"/>
                <w:color w:val="auto"/>
                <w:sz w:val="24"/>
                <w:szCs w:val="24"/>
                <w:highlight w:val="none"/>
                <w:u w:val="none" w:color="auto"/>
                <w:lang w:eastAsia="zh-CN"/>
              </w:rPr>
              <w:t>固体废物产生情况</w:t>
            </w:r>
          </w:p>
          <w:p w14:paraId="3B119427">
            <w:pPr>
              <w:pStyle w:val="2"/>
              <w:adjustRightInd w:val="0"/>
              <w:spacing w:line="360" w:lineRule="auto"/>
              <w:ind w:left="0" w:firstLine="480" w:firstLineChars="200"/>
              <w:jc w:val="both"/>
              <w:rPr>
                <w:rFonts w:hint="eastAsia" w:eastAsia="宋体"/>
                <w:i w:val="0"/>
                <w:iCs w:val="0"/>
                <w:color w:val="auto"/>
                <w:sz w:val="24"/>
                <w:szCs w:val="24"/>
                <w:highlight w:val="none"/>
                <w:u w:val="single" w:color="auto"/>
                <w:lang w:eastAsia="zh-CN"/>
              </w:rPr>
            </w:pPr>
            <w:r>
              <w:rPr>
                <w:i w:val="0"/>
                <w:iCs w:val="0"/>
                <w:color w:val="auto"/>
                <w:sz w:val="24"/>
                <w:szCs w:val="24"/>
                <w:highlight w:val="none"/>
                <w:u w:val="single" w:color="auto"/>
              </w:rPr>
              <w:t>本项目产生的固体废物主要是</w:t>
            </w:r>
            <w:r>
              <w:rPr>
                <w:rFonts w:hint="eastAsia"/>
                <w:i w:val="0"/>
                <w:iCs w:val="0"/>
                <w:color w:val="auto"/>
                <w:sz w:val="24"/>
                <w:szCs w:val="24"/>
                <w:highlight w:val="none"/>
                <w:u w:val="single" w:color="auto"/>
                <w:lang w:val="en-US" w:eastAsia="zh-CN"/>
              </w:rPr>
              <w:t>生活垃圾、</w:t>
            </w:r>
            <w:r>
              <w:rPr>
                <w:rFonts w:hint="eastAsia"/>
                <w:i w:val="0"/>
                <w:iCs w:val="0"/>
                <w:color w:val="auto"/>
                <w:sz w:val="24"/>
                <w:szCs w:val="24"/>
                <w:highlight w:val="none"/>
                <w:u w:val="single" w:color="auto"/>
              </w:rPr>
              <w:t>除尘器</w:t>
            </w:r>
            <w:r>
              <w:rPr>
                <w:rFonts w:hint="eastAsia"/>
                <w:i w:val="0"/>
                <w:iCs w:val="0"/>
                <w:color w:val="auto"/>
                <w:sz w:val="24"/>
                <w:szCs w:val="24"/>
                <w:highlight w:val="none"/>
                <w:u w:val="single" w:color="auto"/>
                <w:lang w:eastAsia="zh-CN"/>
              </w:rPr>
              <w:t>收集</w:t>
            </w:r>
            <w:r>
              <w:rPr>
                <w:rFonts w:hint="eastAsia"/>
                <w:i w:val="0"/>
                <w:iCs w:val="0"/>
                <w:color w:val="auto"/>
                <w:sz w:val="24"/>
                <w:szCs w:val="24"/>
                <w:highlight w:val="none"/>
                <w:u w:val="single" w:color="auto"/>
              </w:rPr>
              <w:t>粉尘</w:t>
            </w:r>
            <w:r>
              <w:rPr>
                <w:rFonts w:hint="eastAsia"/>
                <w:i w:val="0"/>
                <w:iCs w:val="0"/>
                <w:color w:val="auto"/>
                <w:sz w:val="24"/>
                <w:szCs w:val="24"/>
                <w:highlight w:val="none"/>
                <w:u w:val="single" w:color="auto"/>
                <w:lang w:eastAsia="zh-CN"/>
              </w:rPr>
              <w:t>、废布袋、沉淀池沉淀物、初期雨水收集池内沉淀污泥、化验室废试样及拆除产生的混凝土类建筑垃圾、金属类拆除废物、残留生产物料类废物</w:t>
            </w:r>
            <w:r>
              <w:rPr>
                <w:i w:val="0"/>
                <w:iCs w:val="0"/>
                <w:color w:val="auto"/>
                <w:sz w:val="24"/>
                <w:szCs w:val="24"/>
                <w:highlight w:val="none"/>
                <w:u w:val="single" w:color="auto"/>
              </w:rPr>
              <w:t>。</w:t>
            </w:r>
            <w:r>
              <w:rPr>
                <w:rFonts w:hint="eastAsia"/>
                <w:i w:val="0"/>
                <w:iCs w:val="0"/>
                <w:color w:val="auto"/>
                <w:sz w:val="24"/>
                <w:szCs w:val="24"/>
                <w:highlight w:val="none"/>
                <w:u w:val="single" w:color="auto"/>
                <w:lang w:eastAsia="zh-CN"/>
              </w:rPr>
              <w:t>机械设备及车辆维修、保养委外进行，</w:t>
            </w:r>
            <w:r>
              <w:rPr>
                <w:rFonts w:hint="eastAsia" w:ascii="宋体" w:hAnsi="宋体" w:cs="宋体"/>
                <w:bCs/>
                <w:color w:val="auto"/>
                <w:sz w:val="24"/>
                <w:highlight w:val="none"/>
                <w:u w:val="single" w:color="auto"/>
              </w:rPr>
              <w:t>产生的废机油</w:t>
            </w:r>
            <w:r>
              <w:rPr>
                <w:rFonts w:hint="eastAsia" w:ascii="宋体" w:hAnsi="宋体" w:cs="宋体"/>
                <w:bCs/>
                <w:color w:val="auto"/>
                <w:sz w:val="24"/>
                <w:highlight w:val="none"/>
                <w:u w:val="single" w:color="auto"/>
                <w:lang w:eastAsia="zh-CN"/>
              </w:rPr>
              <w:t>、含油抹布</w:t>
            </w:r>
            <w:r>
              <w:rPr>
                <w:rFonts w:hint="eastAsia" w:ascii="宋体" w:hAnsi="宋体" w:cs="宋体"/>
                <w:bCs/>
                <w:color w:val="auto"/>
                <w:sz w:val="24"/>
                <w:highlight w:val="none"/>
                <w:u w:val="single" w:color="auto"/>
              </w:rPr>
              <w:t>由维修公司收集，</w:t>
            </w:r>
            <w:r>
              <w:rPr>
                <w:rFonts w:hint="eastAsia" w:ascii="宋体" w:hAnsi="宋体" w:cs="宋体"/>
                <w:bCs/>
                <w:color w:val="auto"/>
                <w:sz w:val="24"/>
                <w:highlight w:val="none"/>
                <w:u w:val="single" w:color="auto"/>
                <w:lang w:val="en-US" w:eastAsia="zh-CN"/>
              </w:rPr>
              <w:t>厂区内不存放废机油、含油抹布等危险废物</w:t>
            </w:r>
            <w:r>
              <w:rPr>
                <w:rFonts w:hint="eastAsia"/>
                <w:i w:val="0"/>
                <w:iCs w:val="0"/>
                <w:color w:val="auto"/>
                <w:sz w:val="24"/>
                <w:szCs w:val="24"/>
                <w:highlight w:val="none"/>
                <w:u w:val="single" w:color="auto"/>
                <w:lang w:eastAsia="zh-CN"/>
              </w:rPr>
              <w:t>，不设置危废暂存间。</w:t>
            </w:r>
          </w:p>
          <w:p w14:paraId="655ABB5F">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Times New Roman"/>
                <w:i w:val="0"/>
                <w:iCs w:val="0"/>
                <w:smallCaps/>
                <w:color w:val="auto"/>
                <w:kern w:val="2"/>
                <w:sz w:val="24"/>
                <w:szCs w:val="24"/>
                <w:highlight w:val="none"/>
                <w:u w:val="none" w:color="auto"/>
                <w:lang w:val="en-US" w:eastAsia="zh-CN" w:bidi="ar-SA"/>
              </w:rPr>
            </w:pPr>
            <w:r>
              <w:rPr>
                <w:rFonts w:hint="default" w:ascii="Times New Roman" w:hAnsi="Times New Roman" w:eastAsia="宋体" w:cs="Times New Roman"/>
                <w:color w:val="auto"/>
                <w:sz w:val="24"/>
                <w:szCs w:val="24"/>
                <w:highlight w:val="none"/>
                <w:u w:val="none" w:color="auto"/>
              </w:rPr>
              <w:t>①</w:t>
            </w:r>
            <w:r>
              <w:rPr>
                <w:rFonts w:ascii="Times New Roman" w:hAnsi="Times New Roman" w:eastAsia="宋体" w:cs="Times New Roman"/>
                <w:i w:val="0"/>
                <w:iCs w:val="0"/>
                <w:smallCaps/>
                <w:color w:val="auto"/>
                <w:kern w:val="2"/>
                <w:sz w:val="24"/>
                <w:szCs w:val="24"/>
                <w:highlight w:val="none"/>
                <w:u w:val="none" w:color="auto"/>
                <w:lang w:val="en-US" w:eastAsia="zh-CN" w:bidi="ar-SA"/>
              </w:rPr>
              <w:t>生活垃圾</w:t>
            </w:r>
          </w:p>
          <w:p w14:paraId="323785CE">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i w:val="0"/>
                <w:iCs w:val="0"/>
                <w:smallCaps/>
                <w:color w:val="auto"/>
                <w:kern w:val="2"/>
                <w:sz w:val="24"/>
                <w:szCs w:val="24"/>
                <w:highlight w:val="none"/>
                <w:u w:val="none" w:color="auto"/>
                <w:lang w:val="en-US" w:eastAsia="zh-CN" w:bidi="ar-SA"/>
              </w:rPr>
            </w:pPr>
            <w:r>
              <w:rPr>
                <w:rFonts w:ascii="Times New Roman" w:hAnsi="Times New Roman" w:eastAsia="宋体" w:cs="Times New Roman"/>
                <w:i w:val="0"/>
                <w:iCs w:val="0"/>
                <w:smallCaps/>
                <w:color w:val="auto"/>
                <w:kern w:val="2"/>
                <w:sz w:val="24"/>
                <w:szCs w:val="24"/>
                <w:highlight w:val="none"/>
                <w:u w:val="none" w:color="auto"/>
                <w:lang w:val="en-US" w:eastAsia="zh-CN" w:bidi="ar-SA"/>
              </w:rPr>
              <w:t>项目劳动定员</w:t>
            </w:r>
            <w:r>
              <w:rPr>
                <w:rFonts w:hint="eastAsia" w:cs="Times New Roman"/>
                <w:i w:val="0"/>
                <w:iCs w:val="0"/>
                <w:smallCaps/>
                <w:color w:val="auto"/>
                <w:kern w:val="2"/>
                <w:sz w:val="24"/>
                <w:szCs w:val="24"/>
                <w:highlight w:val="none"/>
                <w:u w:val="none" w:color="auto"/>
                <w:lang w:val="en-US" w:eastAsia="zh-CN" w:bidi="ar-SA"/>
              </w:rPr>
              <w:t>30</w:t>
            </w:r>
            <w:r>
              <w:rPr>
                <w:rFonts w:ascii="Times New Roman" w:hAnsi="Times New Roman" w:eastAsia="宋体" w:cs="Times New Roman"/>
                <w:i w:val="0"/>
                <w:iCs w:val="0"/>
                <w:smallCaps/>
                <w:color w:val="auto"/>
                <w:kern w:val="2"/>
                <w:sz w:val="24"/>
                <w:szCs w:val="24"/>
                <w:highlight w:val="none"/>
                <w:u w:val="none" w:color="auto"/>
                <w:lang w:val="en-US" w:eastAsia="zh-CN" w:bidi="ar-SA"/>
              </w:rPr>
              <w:t>人，项目的员工生活垃圾产生量人均</w:t>
            </w:r>
            <w:r>
              <w:rPr>
                <w:rFonts w:hint="eastAsia"/>
                <w:color w:val="auto"/>
                <w:sz w:val="24"/>
                <w:szCs w:val="24"/>
                <w:highlight w:val="none"/>
                <w:u w:val="none" w:color="auto"/>
              </w:rPr>
              <w:t>0.5kg/d</w:t>
            </w:r>
            <w:r>
              <w:rPr>
                <w:rFonts w:ascii="Times New Roman" w:hAnsi="Times New Roman" w:eastAsia="宋体" w:cs="Times New Roman"/>
                <w:i w:val="0"/>
                <w:iCs w:val="0"/>
                <w:smallCaps/>
                <w:color w:val="auto"/>
                <w:kern w:val="2"/>
                <w:sz w:val="24"/>
                <w:szCs w:val="24"/>
                <w:highlight w:val="none"/>
                <w:u w:val="none" w:color="auto"/>
                <w:lang w:val="en-US" w:eastAsia="zh-CN" w:bidi="ar-SA"/>
              </w:rPr>
              <w:t>计，</w:t>
            </w:r>
            <w:r>
              <w:rPr>
                <w:rFonts w:hint="eastAsia" w:ascii="Times New Roman" w:hAnsi="Times New Roman" w:eastAsia="宋体" w:cs="Times New Roman"/>
                <w:i w:val="0"/>
                <w:iCs w:val="0"/>
                <w:smallCaps/>
                <w:color w:val="auto"/>
                <w:kern w:val="2"/>
                <w:sz w:val="24"/>
                <w:szCs w:val="24"/>
                <w:highlight w:val="none"/>
                <w:u w:val="none" w:color="auto"/>
                <w:lang w:val="en-US" w:eastAsia="zh-CN" w:bidi="ar-SA"/>
              </w:rPr>
              <w:t>生产天数</w:t>
            </w:r>
            <w:r>
              <w:rPr>
                <w:rFonts w:hint="eastAsia" w:cs="Times New Roman"/>
                <w:i w:val="0"/>
                <w:iCs w:val="0"/>
                <w:smallCaps/>
                <w:color w:val="auto"/>
                <w:kern w:val="2"/>
                <w:sz w:val="24"/>
                <w:szCs w:val="24"/>
                <w:highlight w:val="none"/>
                <w:u w:val="none" w:color="auto"/>
                <w:lang w:val="en-US" w:eastAsia="zh-CN" w:bidi="ar-SA"/>
              </w:rPr>
              <w:t>240</w:t>
            </w:r>
            <w:r>
              <w:rPr>
                <w:rFonts w:hint="eastAsia" w:ascii="Times New Roman" w:hAnsi="Times New Roman" w:eastAsia="宋体" w:cs="Times New Roman"/>
                <w:i w:val="0"/>
                <w:iCs w:val="0"/>
                <w:smallCaps/>
                <w:color w:val="auto"/>
                <w:kern w:val="2"/>
                <w:sz w:val="24"/>
                <w:szCs w:val="24"/>
                <w:highlight w:val="none"/>
                <w:u w:val="none" w:color="auto"/>
                <w:lang w:val="en-US" w:eastAsia="zh-CN" w:bidi="ar-SA"/>
              </w:rPr>
              <w:t>天，生活垃圾产生量约</w:t>
            </w:r>
            <w:r>
              <w:rPr>
                <w:rFonts w:hint="eastAsia" w:cs="Times New Roman"/>
                <w:i w:val="0"/>
                <w:iCs w:val="0"/>
                <w:smallCaps/>
                <w:color w:val="auto"/>
                <w:kern w:val="2"/>
                <w:sz w:val="24"/>
                <w:szCs w:val="24"/>
                <w:highlight w:val="none"/>
                <w:u w:val="none" w:color="auto"/>
                <w:lang w:val="en-US" w:eastAsia="zh-CN" w:bidi="ar-SA"/>
              </w:rPr>
              <w:t>3.6</w:t>
            </w:r>
            <w:r>
              <w:rPr>
                <w:rFonts w:hint="eastAsia" w:ascii="Times New Roman" w:hAnsi="Times New Roman" w:cs="Times New Roman"/>
                <w:i w:val="0"/>
                <w:iCs w:val="0"/>
                <w:color w:val="auto"/>
                <w:sz w:val="24"/>
                <w:szCs w:val="24"/>
                <w:highlight w:val="none"/>
                <w:u w:val="none" w:color="auto"/>
                <w:lang w:val="en-US" w:eastAsia="zh-CN"/>
              </w:rPr>
              <w:t>t</w:t>
            </w:r>
            <w:r>
              <w:rPr>
                <w:rFonts w:hint="default" w:ascii="Times New Roman" w:hAnsi="Times New Roman" w:cs="Times New Roman"/>
                <w:i w:val="0"/>
                <w:iCs w:val="0"/>
                <w:color w:val="auto"/>
                <w:sz w:val="24"/>
                <w:szCs w:val="24"/>
                <w:highlight w:val="none"/>
                <w:u w:val="none" w:color="auto"/>
                <w:lang w:val="en-US" w:eastAsia="zh-CN"/>
              </w:rPr>
              <w:t>/a</w:t>
            </w:r>
            <w:r>
              <w:rPr>
                <w:rFonts w:hint="eastAsia" w:ascii="Times New Roman" w:hAnsi="Times New Roman" w:eastAsia="宋体" w:cs="Times New Roman"/>
                <w:i w:val="0"/>
                <w:iCs w:val="0"/>
                <w:smallCaps/>
                <w:color w:val="auto"/>
                <w:kern w:val="2"/>
                <w:sz w:val="24"/>
                <w:szCs w:val="24"/>
                <w:highlight w:val="none"/>
                <w:u w:val="none" w:color="auto"/>
                <w:lang w:val="en-US" w:eastAsia="zh-CN" w:bidi="ar-SA"/>
              </w:rPr>
              <w:t>，</w:t>
            </w:r>
            <w:r>
              <w:rPr>
                <w:rFonts w:hint="eastAsia" w:cs="Times New Roman"/>
                <w:i w:val="0"/>
                <w:iCs w:val="0"/>
                <w:smallCaps/>
                <w:color w:val="auto"/>
                <w:kern w:val="2"/>
                <w:sz w:val="24"/>
                <w:szCs w:val="24"/>
                <w:highlight w:val="none"/>
                <w:u w:val="none" w:color="auto"/>
                <w:lang w:val="en-US" w:eastAsia="zh-CN" w:bidi="ar-SA"/>
              </w:rPr>
              <w:t>收集后交</w:t>
            </w:r>
            <w:r>
              <w:rPr>
                <w:rFonts w:hint="eastAsia" w:ascii="Times New Roman" w:hAnsi="Times New Roman" w:eastAsia="宋体" w:cs="Times New Roman"/>
                <w:i w:val="0"/>
                <w:iCs w:val="0"/>
                <w:smallCaps/>
                <w:color w:val="auto"/>
                <w:kern w:val="2"/>
                <w:sz w:val="24"/>
                <w:szCs w:val="24"/>
                <w:highlight w:val="none"/>
                <w:u w:val="none" w:color="auto"/>
                <w:lang w:val="en-US" w:eastAsia="zh-CN" w:bidi="ar-SA"/>
              </w:rPr>
              <w:t>由环卫部门统一处理。</w:t>
            </w:r>
          </w:p>
          <w:p w14:paraId="2A3D7A1E">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i w:val="0"/>
                <w:iCs w:val="0"/>
                <w:color w:val="auto"/>
                <w:sz w:val="24"/>
                <w:szCs w:val="24"/>
                <w:highlight w:val="none"/>
                <w:u w:val="none" w:color="auto"/>
                <w:lang w:val="en-US" w:eastAsia="zh-CN"/>
              </w:rPr>
            </w:pPr>
            <w:r>
              <w:rPr>
                <w:rFonts w:hint="default" w:ascii="Times New Roman" w:hAnsi="Times New Roman" w:eastAsia="宋体" w:cs="Times New Roman"/>
                <w:color w:val="auto"/>
                <w:sz w:val="24"/>
                <w:szCs w:val="24"/>
                <w:highlight w:val="none"/>
                <w:u w:val="none" w:color="auto"/>
              </w:rPr>
              <w:t>②</w:t>
            </w:r>
            <w:r>
              <w:rPr>
                <w:rFonts w:hint="eastAsia" w:ascii="Times New Roman" w:hAnsi="Times New Roman" w:eastAsia="宋体" w:cs="Times New Roman"/>
                <w:i w:val="0"/>
                <w:iCs w:val="0"/>
                <w:color w:val="auto"/>
                <w:sz w:val="24"/>
                <w:szCs w:val="24"/>
                <w:highlight w:val="none"/>
                <w:u w:val="none" w:color="auto"/>
                <w:lang w:val="en-US" w:eastAsia="zh-CN"/>
              </w:rPr>
              <w:t>除尘器</w:t>
            </w:r>
            <w:r>
              <w:rPr>
                <w:rFonts w:hint="eastAsia" w:cs="Times New Roman"/>
                <w:i w:val="0"/>
                <w:iCs w:val="0"/>
                <w:color w:val="auto"/>
                <w:sz w:val="24"/>
                <w:szCs w:val="24"/>
                <w:highlight w:val="none"/>
                <w:u w:val="none" w:color="auto"/>
                <w:lang w:val="en-US" w:eastAsia="zh-CN"/>
              </w:rPr>
              <w:t>收集</w:t>
            </w:r>
            <w:r>
              <w:rPr>
                <w:rFonts w:hint="eastAsia" w:ascii="Times New Roman" w:hAnsi="Times New Roman" w:eastAsia="宋体" w:cs="Times New Roman"/>
                <w:i w:val="0"/>
                <w:iCs w:val="0"/>
                <w:color w:val="auto"/>
                <w:sz w:val="24"/>
                <w:szCs w:val="24"/>
                <w:highlight w:val="none"/>
                <w:u w:val="none" w:color="auto"/>
                <w:lang w:val="en-US" w:eastAsia="zh-CN"/>
              </w:rPr>
              <w:t>粉尘</w:t>
            </w:r>
          </w:p>
          <w:p w14:paraId="74E96F32">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i w:val="0"/>
                <w:iCs w:val="0"/>
                <w:color w:val="auto"/>
                <w:sz w:val="24"/>
                <w:szCs w:val="24"/>
                <w:highlight w:val="none"/>
                <w:u w:val="none" w:color="auto"/>
                <w:lang w:val="en-US" w:eastAsia="zh-CN"/>
              </w:rPr>
            </w:pPr>
            <w:r>
              <w:rPr>
                <w:rFonts w:hint="eastAsia" w:cs="Times New Roman"/>
                <w:i w:val="0"/>
                <w:iCs w:val="0"/>
                <w:color w:val="auto"/>
                <w:sz w:val="24"/>
                <w:szCs w:val="24"/>
                <w:highlight w:val="none"/>
                <w:u w:val="none" w:color="auto"/>
                <w:lang w:val="en-US" w:eastAsia="zh-CN"/>
              </w:rPr>
              <w:t>筒仓</w:t>
            </w:r>
            <w:r>
              <w:rPr>
                <w:rFonts w:hint="eastAsia" w:ascii="Times New Roman" w:hAnsi="Times New Roman" w:eastAsia="宋体" w:cs="Times New Roman"/>
                <w:i w:val="0"/>
                <w:iCs w:val="0"/>
                <w:color w:val="auto"/>
                <w:sz w:val="24"/>
                <w:szCs w:val="24"/>
                <w:highlight w:val="none"/>
                <w:u w:val="none" w:color="auto"/>
                <w:lang w:val="en-US" w:eastAsia="zh-CN"/>
              </w:rPr>
              <w:t>除尘器和搅拌机除尘器收集的粉尘的量约为</w:t>
            </w:r>
            <w:r>
              <w:rPr>
                <w:rFonts w:hint="eastAsia" w:cs="Times New Roman"/>
                <w:i w:val="0"/>
                <w:iCs w:val="0"/>
                <w:color w:val="auto"/>
                <w:sz w:val="24"/>
                <w:szCs w:val="24"/>
                <w:highlight w:val="none"/>
                <w:u w:val="none" w:color="auto"/>
                <w:lang w:val="en-US" w:eastAsia="zh-CN"/>
              </w:rPr>
              <w:t>89.73</w:t>
            </w:r>
            <w:r>
              <w:rPr>
                <w:rFonts w:hint="default" w:ascii="Times New Roman" w:hAnsi="Times New Roman" w:eastAsia="宋体" w:cs="Times New Roman"/>
                <w:i w:val="0"/>
                <w:iCs w:val="0"/>
                <w:color w:val="auto"/>
                <w:sz w:val="24"/>
                <w:szCs w:val="24"/>
                <w:highlight w:val="none"/>
                <w:u w:val="none" w:color="auto"/>
                <w:lang w:val="en-US" w:eastAsia="zh-CN"/>
              </w:rPr>
              <w:t>t/a</w:t>
            </w:r>
            <w:r>
              <w:rPr>
                <w:rFonts w:hint="eastAsia" w:ascii="Times New Roman" w:hAnsi="Times New Roman" w:eastAsia="宋体" w:cs="Times New Roman"/>
                <w:i w:val="0"/>
                <w:iCs w:val="0"/>
                <w:color w:val="auto"/>
                <w:sz w:val="24"/>
                <w:szCs w:val="24"/>
                <w:highlight w:val="none"/>
                <w:u w:val="none" w:color="auto"/>
                <w:lang w:val="en-US" w:eastAsia="zh-CN"/>
              </w:rPr>
              <w:t>，</w:t>
            </w:r>
            <w:r>
              <w:rPr>
                <w:rFonts w:hint="eastAsia" w:cs="Times New Roman"/>
                <w:i w:val="0"/>
                <w:iCs w:val="0"/>
                <w:color w:val="auto"/>
                <w:sz w:val="24"/>
                <w:szCs w:val="24"/>
                <w:highlight w:val="none"/>
                <w:u w:val="none" w:color="auto"/>
                <w:lang w:val="en-US" w:eastAsia="zh-CN"/>
              </w:rPr>
              <w:t>其</w:t>
            </w:r>
            <w:r>
              <w:rPr>
                <w:rFonts w:hint="eastAsia" w:ascii="Times New Roman" w:hAnsi="Times New Roman" w:eastAsia="宋体" w:cs="Times New Roman"/>
                <w:i w:val="0"/>
                <w:iCs w:val="0"/>
                <w:color w:val="auto"/>
                <w:sz w:val="24"/>
                <w:szCs w:val="24"/>
                <w:highlight w:val="none"/>
                <w:u w:val="none" w:color="auto"/>
                <w:lang w:val="en-US" w:eastAsia="zh-CN"/>
              </w:rPr>
              <w:t>成分与项目原材料成分一致，可作为粉状及块状材料回用于生产。</w:t>
            </w:r>
          </w:p>
          <w:p w14:paraId="4B97607F">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i w:val="0"/>
                <w:iCs w:val="0"/>
                <w:sz w:val="24"/>
                <w:szCs w:val="24"/>
                <w:highlight w:val="none"/>
                <w:u w:val="none" w:color="auto"/>
                <w:lang w:val="en-US" w:eastAsia="zh-CN"/>
              </w:rPr>
            </w:pPr>
            <w:r>
              <w:rPr>
                <w:rFonts w:hint="eastAsia" w:ascii="Times New Roman" w:hAnsi="Times New Roman" w:eastAsia="宋体" w:cs="Times New Roman"/>
                <w:i w:val="0"/>
                <w:iCs w:val="0"/>
                <w:sz w:val="24"/>
                <w:szCs w:val="24"/>
                <w:highlight w:val="none"/>
                <w:u w:val="none" w:color="auto"/>
                <w:lang w:val="en-US" w:eastAsia="zh-CN"/>
              </w:rPr>
              <w:t>③</w:t>
            </w:r>
            <w:r>
              <w:rPr>
                <w:rFonts w:hint="eastAsia" w:cs="Times New Roman"/>
                <w:i w:val="0"/>
                <w:iCs w:val="0"/>
                <w:sz w:val="24"/>
                <w:szCs w:val="24"/>
                <w:highlight w:val="none"/>
                <w:u w:val="none" w:color="auto"/>
                <w:lang w:val="en-US" w:eastAsia="zh-CN"/>
              </w:rPr>
              <w:t>废布袋</w:t>
            </w:r>
          </w:p>
          <w:p w14:paraId="02D5D00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u w:val="none" w:color="auto"/>
              </w:rPr>
            </w:pPr>
            <w:r>
              <w:rPr>
                <w:rFonts w:hint="eastAsia" w:ascii="宋体" w:hAnsi="宋体" w:eastAsia="宋体" w:cs="宋体"/>
                <w:color w:val="auto"/>
                <w:kern w:val="0"/>
                <w:sz w:val="24"/>
                <w:szCs w:val="24"/>
                <w:highlight w:val="none"/>
                <w:u w:val="none" w:color="auto"/>
                <w:lang w:val="en-US" w:eastAsia="zh-CN" w:bidi="ar"/>
              </w:rPr>
              <w:t>本项目脉冲袋式除尘器的布袋逐步磨损后需要定期更换，每一年更换一次，产生量约为</w:t>
            </w:r>
            <w:r>
              <w:rPr>
                <w:rFonts w:hint="default" w:ascii="Times New Roman" w:hAnsi="Times New Roman" w:eastAsia="宋体" w:cs="Times New Roman"/>
                <w:color w:val="auto"/>
                <w:kern w:val="0"/>
                <w:sz w:val="24"/>
                <w:szCs w:val="24"/>
                <w:highlight w:val="none"/>
                <w:u w:val="none" w:color="auto"/>
                <w:lang w:val="en-US" w:eastAsia="zh-CN" w:bidi="ar"/>
              </w:rPr>
              <w:t>0.0</w:t>
            </w:r>
            <w:r>
              <w:rPr>
                <w:rFonts w:hint="eastAsia" w:cs="Times New Roman"/>
                <w:color w:val="auto"/>
                <w:kern w:val="0"/>
                <w:sz w:val="24"/>
                <w:szCs w:val="24"/>
                <w:highlight w:val="none"/>
                <w:u w:val="none" w:color="auto"/>
                <w:lang w:val="en-US" w:eastAsia="zh-CN" w:bidi="ar"/>
              </w:rPr>
              <w:t>3</w:t>
            </w:r>
            <w:r>
              <w:rPr>
                <w:rFonts w:hint="default" w:ascii="Times New Roman" w:hAnsi="Times New Roman" w:eastAsia="宋体" w:cs="Times New Roman"/>
                <w:color w:val="auto"/>
                <w:kern w:val="0"/>
                <w:sz w:val="24"/>
                <w:szCs w:val="24"/>
                <w:highlight w:val="none"/>
                <w:u w:val="none" w:color="auto"/>
                <w:lang w:val="en-US" w:eastAsia="zh-CN" w:bidi="ar"/>
              </w:rPr>
              <w:t>t/a</w:t>
            </w:r>
            <w:r>
              <w:rPr>
                <w:rFonts w:hint="eastAsia" w:ascii="宋体" w:hAnsi="宋体" w:eastAsia="宋体" w:cs="宋体"/>
                <w:color w:val="auto"/>
                <w:kern w:val="0"/>
                <w:sz w:val="24"/>
                <w:szCs w:val="24"/>
                <w:highlight w:val="none"/>
                <w:u w:val="none" w:color="auto"/>
                <w:lang w:val="en-US" w:eastAsia="zh-CN" w:bidi="ar"/>
              </w:rPr>
              <w:t>，收集后</w:t>
            </w:r>
            <w:r>
              <w:rPr>
                <w:rFonts w:hint="eastAsia" w:ascii="宋体" w:hAnsi="宋体" w:cs="宋体"/>
                <w:color w:val="auto"/>
                <w:kern w:val="0"/>
                <w:sz w:val="24"/>
                <w:szCs w:val="24"/>
                <w:highlight w:val="none"/>
                <w:u w:val="none" w:color="auto"/>
                <w:lang w:val="en-US" w:eastAsia="zh-CN" w:bidi="ar"/>
              </w:rPr>
              <w:t>由</w:t>
            </w:r>
            <w:r>
              <w:rPr>
                <w:rFonts w:ascii="宋体" w:hAnsi="宋体" w:eastAsia="宋体" w:cs="宋体"/>
                <w:color w:val="auto"/>
                <w:sz w:val="24"/>
                <w:szCs w:val="24"/>
              </w:rPr>
              <w:t>专业物资回收单位回收再生</w:t>
            </w:r>
            <w:r>
              <w:rPr>
                <w:rFonts w:hint="eastAsia" w:ascii="宋体" w:hAnsi="宋体" w:eastAsia="宋体" w:cs="宋体"/>
                <w:color w:val="auto"/>
                <w:sz w:val="24"/>
                <w:szCs w:val="24"/>
                <w:lang w:eastAsia="zh-CN"/>
              </w:rPr>
              <w:t>处置</w:t>
            </w:r>
            <w:r>
              <w:rPr>
                <w:rFonts w:hint="eastAsia" w:ascii="宋体" w:hAnsi="宋体" w:eastAsia="宋体" w:cs="宋体"/>
                <w:color w:val="auto"/>
                <w:kern w:val="0"/>
                <w:sz w:val="24"/>
                <w:szCs w:val="24"/>
                <w:highlight w:val="none"/>
                <w:u w:val="none" w:color="auto"/>
                <w:lang w:val="en-US" w:eastAsia="zh-CN" w:bidi="ar"/>
              </w:rPr>
              <w:t>。</w:t>
            </w:r>
          </w:p>
          <w:p w14:paraId="7B5A5950">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i w:val="0"/>
                <w:iCs w:val="0"/>
                <w:smallCaps/>
                <w:color w:val="auto"/>
                <w:kern w:val="2"/>
                <w:sz w:val="24"/>
                <w:szCs w:val="24"/>
                <w:highlight w:val="none"/>
                <w:u w:val="none" w:color="auto"/>
                <w:lang w:val="en-US" w:eastAsia="zh-CN" w:bidi="ar-SA"/>
              </w:rPr>
            </w:pPr>
            <w:r>
              <w:rPr>
                <w:rFonts w:hint="eastAsia" w:cs="Times New Roman"/>
                <w:i w:val="0"/>
                <w:iCs w:val="0"/>
                <w:color w:val="auto"/>
                <w:kern w:val="2"/>
                <w:sz w:val="24"/>
                <w:szCs w:val="24"/>
                <w:highlight w:val="none"/>
                <w:u w:val="none" w:color="auto"/>
                <w:lang w:val="en-US" w:eastAsia="zh-CN" w:bidi="ar-SA"/>
              </w:rPr>
              <w:t>④沉淀池沉淀物</w:t>
            </w:r>
          </w:p>
          <w:p w14:paraId="1E2B0E7E">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i w:val="0"/>
                <w:iCs w:val="0"/>
                <w:color w:val="auto"/>
                <w:sz w:val="24"/>
                <w:szCs w:val="24"/>
                <w:highlight w:val="none"/>
                <w:u w:val="none" w:color="auto"/>
                <w:lang w:val="en-US" w:eastAsia="zh-CN"/>
              </w:rPr>
            </w:pPr>
            <w:r>
              <w:rPr>
                <w:rFonts w:hint="eastAsia"/>
                <w:i w:val="0"/>
                <w:iCs w:val="0"/>
                <w:color w:val="auto"/>
                <w:sz w:val="24"/>
                <w:szCs w:val="24"/>
                <w:highlight w:val="none"/>
                <w:u w:val="none" w:color="auto"/>
              </w:rPr>
              <w:t>项目厂区设置</w:t>
            </w:r>
            <w:r>
              <w:rPr>
                <w:rFonts w:hint="eastAsia"/>
                <w:i w:val="0"/>
                <w:iCs w:val="0"/>
                <w:color w:val="auto"/>
                <w:sz w:val="24"/>
                <w:szCs w:val="24"/>
                <w:highlight w:val="none"/>
                <w:u w:val="none" w:color="auto"/>
                <w:lang w:val="en-US" w:eastAsia="zh-CN"/>
              </w:rPr>
              <w:t>1座三级沉淀池。</w:t>
            </w:r>
            <w:r>
              <w:rPr>
                <w:rFonts w:hint="eastAsia"/>
                <w:i w:val="0"/>
                <w:iCs w:val="0"/>
                <w:color w:val="auto"/>
                <w:sz w:val="24"/>
                <w:szCs w:val="24"/>
                <w:highlight w:val="none"/>
                <w:u w:val="none" w:color="auto"/>
                <w:lang w:eastAsia="zh-CN"/>
              </w:rPr>
              <w:t>沉淀池沉淀物</w:t>
            </w:r>
            <w:r>
              <w:rPr>
                <w:rFonts w:hint="eastAsia"/>
                <w:i w:val="0"/>
                <w:iCs w:val="0"/>
                <w:color w:val="auto"/>
                <w:sz w:val="24"/>
                <w:szCs w:val="24"/>
                <w:highlight w:val="none"/>
                <w:u w:val="none" w:color="auto"/>
                <w:lang w:val="en-US" w:eastAsia="zh-CN"/>
              </w:rPr>
              <w:t>的主要成分为原料砂石料、水泥等</w:t>
            </w:r>
            <w:r>
              <w:rPr>
                <w:rFonts w:hint="eastAsia"/>
                <w:i w:val="0"/>
                <w:iCs w:val="0"/>
                <w:color w:val="auto"/>
                <w:sz w:val="24"/>
                <w:szCs w:val="24"/>
                <w:highlight w:val="none"/>
                <w:u w:val="none" w:color="auto"/>
              </w:rPr>
              <w:t>，</w:t>
            </w:r>
            <w:r>
              <w:rPr>
                <w:rFonts w:hint="default" w:ascii="Times New Roman" w:hAnsi="Times New Roman" w:cs="Times New Roman"/>
                <w:i w:val="0"/>
                <w:iCs w:val="0"/>
                <w:color w:val="auto"/>
                <w:sz w:val="24"/>
                <w:szCs w:val="24"/>
                <w:highlight w:val="none"/>
                <w:u w:val="none" w:color="auto"/>
                <w:lang w:val="en-US" w:eastAsia="zh-CN"/>
              </w:rPr>
              <w:t>为一般</w:t>
            </w:r>
            <w:r>
              <w:rPr>
                <w:rFonts w:hint="default" w:ascii="Times New Roman" w:hAnsi="Times New Roman" w:eastAsia="宋体" w:cs="Times New Roman"/>
                <w:i w:val="0"/>
                <w:iCs w:val="0"/>
                <w:smallCaps/>
                <w:color w:val="auto"/>
                <w:kern w:val="2"/>
                <w:sz w:val="24"/>
                <w:szCs w:val="24"/>
                <w:highlight w:val="none"/>
                <w:u w:val="none" w:color="auto"/>
                <w:lang w:val="en-US" w:eastAsia="zh-CN" w:bidi="ar-SA"/>
              </w:rPr>
              <w:t>固体废物，</w:t>
            </w:r>
            <w:r>
              <w:rPr>
                <w:rFonts w:hint="eastAsia" w:cs="Times New Roman"/>
                <w:i w:val="0"/>
                <w:iCs w:val="0"/>
                <w:smallCaps/>
                <w:color w:val="auto"/>
                <w:kern w:val="2"/>
                <w:sz w:val="24"/>
                <w:szCs w:val="24"/>
                <w:highlight w:val="none"/>
                <w:u w:val="none" w:color="auto"/>
                <w:lang w:val="en-US" w:eastAsia="zh-CN" w:bidi="ar-SA"/>
              </w:rPr>
              <w:t>沉淀池沉淀物含水率约为90%，</w:t>
            </w:r>
            <w:r>
              <w:rPr>
                <w:rFonts w:hint="eastAsia" w:cs="Times New Roman"/>
                <w:i w:val="0"/>
                <w:iCs w:val="0"/>
                <w:color w:val="auto"/>
                <w:sz w:val="24"/>
                <w:szCs w:val="24"/>
                <w:highlight w:val="none"/>
                <w:u w:val="none" w:color="auto"/>
                <w:lang w:val="en-US" w:eastAsia="zh-CN"/>
              </w:rPr>
              <w:t>定期清掏，</w:t>
            </w:r>
            <w:r>
              <w:rPr>
                <w:rFonts w:hint="eastAsia" w:cs="Times New Roman"/>
                <w:i w:val="0"/>
                <w:iCs w:val="0"/>
                <w:smallCaps/>
                <w:color w:val="auto"/>
                <w:kern w:val="2"/>
                <w:sz w:val="24"/>
                <w:szCs w:val="24"/>
                <w:highlight w:val="none"/>
                <w:u w:val="none" w:color="auto"/>
                <w:lang w:val="en-US" w:eastAsia="zh-CN" w:bidi="ar-SA"/>
              </w:rPr>
              <w:t>捞出沥干后外售制砖厂、透水砖加工厂作为原料。</w:t>
            </w:r>
            <w:r>
              <w:rPr>
                <w:rFonts w:hint="eastAsia" w:cs="Times New Roman"/>
                <w:i w:val="0"/>
                <w:iCs w:val="0"/>
                <w:color w:val="auto"/>
                <w:sz w:val="24"/>
                <w:szCs w:val="24"/>
                <w:highlight w:val="none"/>
                <w:u w:val="none" w:color="auto"/>
                <w:lang w:val="en-US" w:eastAsia="zh-CN"/>
              </w:rPr>
              <w:t>沥干后的沉淀物</w:t>
            </w:r>
            <w:r>
              <w:rPr>
                <w:rFonts w:hint="eastAsia" w:ascii="Times New Roman" w:hAnsi="Times New Roman" w:eastAsia="宋体" w:cs="Times New Roman"/>
                <w:i w:val="0"/>
                <w:iCs w:val="0"/>
                <w:color w:val="auto"/>
                <w:sz w:val="24"/>
                <w:szCs w:val="24"/>
                <w:highlight w:val="none"/>
                <w:u w:val="none" w:color="auto"/>
                <w:lang w:val="en-US" w:eastAsia="zh-CN"/>
              </w:rPr>
              <w:t>产生量约为</w:t>
            </w:r>
            <w:r>
              <w:rPr>
                <w:rFonts w:hint="eastAsia" w:cs="Times New Roman"/>
                <w:i w:val="0"/>
                <w:iCs w:val="0"/>
                <w:color w:val="auto"/>
                <w:sz w:val="24"/>
                <w:szCs w:val="24"/>
                <w:highlight w:val="none"/>
                <w:u w:val="none" w:color="auto"/>
                <w:lang w:val="en-US" w:eastAsia="zh-CN"/>
              </w:rPr>
              <w:t>10</w:t>
            </w:r>
            <w:r>
              <w:rPr>
                <w:rFonts w:hint="eastAsia" w:ascii="Times New Roman" w:hAnsi="Times New Roman" w:eastAsia="宋体" w:cs="Times New Roman"/>
                <w:i w:val="0"/>
                <w:iCs w:val="0"/>
                <w:color w:val="auto"/>
                <w:sz w:val="24"/>
                <w:szCs w:val="24"/>
                <w:highlight w:val="none"/>
                <w:u w:val="none" w:color="auto"/>
                <w:lang w:val="en-US" w:eastAsia="zh-CN"/>
              </w:rPr>
              <w:t>t</w:t>
            </w:r>
            <w:r>
              <w:rPr>
                <w:rFonts w:hint="default" w:ascii="Times New Roman" w:hAnsi="Times New Roman" w:eastAsia="宋体" w:cs="Times New Roman"/>
                <w:i w:val="0"/>
                <w:iCs w:val="0"/>
                <w:color w:val="auto"/>
                <w:sz w:val="24"/>
                <w:szCs w:val="24"/>
                <w:highlight w:val="none"/>
                <w:u w:val="none" w:color="auto"/>
                <w:lang w:val="en-US" w:eastAsia="zh-CN"/>
              </w:rPr>
              <w:t>/a</w:t>
            </w:r>
            <w:r>
              <w:rPr>
                <w:rFonts w:hint="eastAsia" w:cs="Times New Roman"/>
                <w:i w:val="0"/>
                <w:iCs w:val="0"/>
                <w:color w:val="auto"/>
                <w:sz w:val="24"/>
                <w:szCs w:val="24"/>
                <w:highlight w:val="none"/>
                <w:u w:val="none" w:color="auto"/>
                <w:lang w:val="en-US" w:eastAsia="zh-CN"/>
              </w:rPr>
              <w:t>，全部</w:t>
            </w:r>
            <w:r>
              <w:rPr>
                <w:rFonts w:hint="eastAsia" w:cs="Times New Roman"/>
                <w:i w:val="0"/>
                <w:iCs w:val="0"/>
                <w:smallCaps/>
                <w:color w:val="auto"/>
                <w:kern w:val="2"/>
                <w:sz w:val="24"/>
                <w:szCs w:val="24"/>
                <w:highlight w:val="none"/>
                <w:u w:val="none" w:color="auto"/>
                <w:lang w:val="en-US" w:eastAsia="zh-CN" w:bidi="ar-SA"/>
              </w:rPr>
              <w:t>外售制砖厂、透水砖加工厂作为原料</w:t>
            </w:r>
            <w:r>
              <w:rPr>
                <w:rFonts w:hint="eastAsia" w:ascii="Times New Roman" w:hAnsi="Times New Roman" w:eastAsia="宋体" w:cs="Times New Roman"/>
                <w:i w:val="0"/>
                <w:iCs w:val="0"/>
                <w:color w:val="auto"/>
                <w:sz w:val="24"/>
                <w:szCs w:val="24"/>
                <w:highlight w:val="none"/>
                <w:u w:val="none" w:color="auto"/>
                <w:lang w:val="en-US" w:eastAsia="zh-CN"/>
              </w:rPr>
              <w:t>。</w:t>
            </w:r>
          </w:p>
          <w:p w14:paraId="00F2EAF5">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u w:val="none" w:color="auto"/>
              </w:rPr>
            </w:pPr>
            <w:r>
              <w:rPr>
                <w:rFonts w:hint="default" w:ascii="Times New Roman" w:hAnsi="Times New Roman" w:eastAsia="宋体" w:cs="Times New Roman"/>
                <w:color w:val="auto"/>
                <w:sz w:val="24"/>
                <w:szCs w:val="24"/>
                <w:highlight w:val="none"/>
                <w:u w:val="none" w:color="auto"/>
              </w:rPr>
              <w:t>⑤</w:t>
            </w:r>
            <w:r>
              <w:rPr>
                <w:rFonts w:hint="eastAsia"/>
                <w:i w:val="0"/>
                <w:iCs w:val="0"/>
                <w:color w:val="auto"/>
                <w:sz w:val="24"/>
                <w:szCs w:val="24"/>
                <w:highlight w:val="none"/>
                <w:u w:val="none" w:color="auto"/>
                <w:lang w:eastAsia="zh-CN"/>
              </w:rPr>
              <w:t>初期雨水收集池内沉淀污泥</w:t>
            </w:r>
          </w:p>
          <w:p w14:paraId="1BBF0E1B">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u w:val="none" w:color="auto"/>
              </w:rPr>
            </w:pPr>
            <w:r>
              <w:rPr>
                <w:rFonts w:hint="eastAsia"/>
                <w:i w:val="0"/>
                <w:iCs w:val="0"/>
                <w:color w:val="auto"/>
                <w:sz w:val="24"/>
                <w:szCs w:val="24"/>
                <w:highlight w:val="none"/>
                <w:u w:val="none" w:color="auto"/>
              </w:rPr>
              <w:t>项目厂区设置</w:t>
            </w:r>
            <w:r>
              <w:rPr>
                <w:rFonts w:hint="eastAsia"/>
                <w:i w:val="0"/>
                <w:iCs w:val="0"/>
                <w:color w:val="auto"/>
                <w:sz w:val="24"/>
                <w:szCs w:val="24"/>
                <w:highlight w:val="none"/>
                <w:u w:val="none" w:color="auto"/>
                <w:lang w:val="en-US" w:eastAsia="zh-CN"/>
              </w:rPr>
              <w:t>1座</w:t>
            </w:r>
            <w:r>
              <w:rPr>
                <w:rFonts w:hint="eastAsia"/>
                <w:i w:val="0"/>
                <w:iCs w:val="0"/>
                <w:color w:val="auto"/>
                <w:sz w:val="24"/>
                <w:szCs w:val="24"/>
                <w:highlight w:val="none"/>
                <w:u w:val="none" w:color="auto"/>
                <w:lang w:eastAsia="zh-CN"/>
              </w:rPr>
              <w:t>初期雨水收集池，沉淀池沉淀物的主要成分为原料砂石料、水泥等，为一般固体废物，</w:t>
            </w:r>
            <w:r>
              <w:rPr>
                <w:rFonts w:hint="eastAsia" w:cs="Times New Roman"/>
                <w:i w:val="0"/>
                <w:iCs w:val="0"/>
                <w:smallCaps/>
                <w:color w:val="auto"/>
                <w:kern w:val="2"/>
                <w:sz w:val="24"/>
                <w:szCs w:val="24"/>
                <w:highlight w:val="none"/>
                <w:u w:val="none" w:color="auto"/>
                <w:lang w:val="en-US" w:eastAsia="zh-CN" w:bidi="ar-SA"/>
              </w:rPr>
              <w:t>捞出沥干后</w:t>
            </w:r>
            <w:r>
              <w:rPr>
                <w:rFonts w:hint="eastAsia"/>
                <w:i w:val="0"/>
                <w:iCs w:val="0"/>
                <w:color w:val="auto"/>
                <w:sz w:val="24"/>
                <w:szCs w:val="24"/>
                <w:highlight w:val="none"/>
                <w:u w:val="none" w:color="auto"/>
                <w:lang w:eastAsia="zh-CN"/>
              </w:rPr>
              <w:t>收集池内沉淀污泥</w:t>
            </w:r>
            <w:r>
              <w:rPr>
                <w:rFonts w:hint="eastAsia" w:ascii="Times New Roman" w:hAnsi="Times New Roman" w:eastAsia="宋体" w:cs="Times New Roman"/>
                <w:i w:val="0"/>
                <w:iCs w:val="0"/>
                <w:color w:val="auto"/>
                <w:sz w:val="24"/>
                <w:szCs w:val="24"/>
                <w:highlight w:val="none"/>
                <w:u w:val="none" w:color="auto"/>
                <w:lang w:val="en-US" w:eastAsia="zh-CN"/>
              </w:rPr>
              <w:t>产生量约为</w:t>
            </w:r>
            <w:r>
              <w:rPr>
                <w:rFonts w:hint="eastAsia" w:cs="Times New Roman"/>
                <w:i w:val="0"/>
                <w:iCs w:val="0"/>
                <w:color w:val="auto"/>
                <w:sz w:val="24"/>
                <w:szCs w:val="24"/>
                <w:highlight w:val="none"/>
                <w:u w:val="none" w:color="auto"/>
                <w:lang w:val="en-US" w:eastAsia="zh-CN"/>
              </w:rPr>
              <w:t>1</w:t>
            </w:r>
            <w:r>
              <w:rPr>
                <w:rFonts w:hint="eastAsia" w:ascii="Times New Roman" w:hAnsi="Times New Roman" w:eastAsia="宋体" w:cs="Times New Roman"/>
                <w:i w:val="0"/>
                <w:iCs w:val="0"/>
                <w:color w:val="auto"/>
                <w:sz w:val="24"/>
                <w:szCs w:val="24"/>
                <w:highlight w:val="none"/>
                <w:u w:val="none" w:color="auto"/>
                <w:lang w:val="en-US" w:eastAsia="zh-CN"/>
              </w:rPr>
              <w:t>t</w:t>
            </w:r>
            <w:r>
              <w:rPr>
                <w:rFonts w:hint="default" w:ascii="Times New Roman" w:hAnsi="Times New Roman" w:eastAsia="宋体" w:cs="Times New Roman"/>
                <w:i w:val="0"/>
                <w:iCs w:val="0"/>
                <w:color w:val="auto"/>
                <w:sz w:val="24"/>
                <w:szCs w:val="24"/>
                <w:highlight w:val="none"/>
                <w:u w:val="none" w:color="auto"/>
                <w:lang w:val="en-US" w:eastAsia="zh-CN"/>
              </w:rPr>
              <w:t>/a</w:t>
            </w:r>
            <w:r>
              <w:rPr>
                <w:rFonts w:hint="eastAsia" w:cs="Times New Roman"/>
                <w:i w:val="0"/>
                <w:iCs w:val="0"/>
                <w:color w:val="auto"/>
                <w:sz w:val="24"/>
                <w:szCs w:val="24"/>
                <w:highlight w:val="none"/>
                <w:u w:val="none" w:color="auto"/>
                <w:lang w:val="en-US" w:eastAsia="zh-CN"/>
              </w:rPr>
              <w:t>，全部</w:t>
            </w:r>
            <w:r>
              <w:rPr>
                <w:rFonts w:hint="eastAsia" w:cs="Times New Roman"/>
                <w:i w:val="0"/>
                <w:iCs w:val="0"/>
                <w:smallCaps/>
                <w:color w:val="auto"/>
                <w:kern w:val="2"/>
                <w:sz w:val="24"/>
                <w:szCs w:val="24"/>
                <w:highlight w:val="none"/>
                <w:u w:val="none" w:color="auto"/>
                <w:lang w:val="en-US" w:eastAsia="zh-CN" w:bidi="ar-SA"/>
              </w:rPr>
              <w:t>外售制砖厂、透水砖加工厂作为原料</w:t>
            </w:r>
            <w:r>
              <w:rPr>
                <w:rFonts w:hint="eastAsia" w:ascii="Times New Roman" w:hAnsi="Times New Roman" w:eastAsia="宋体" w:cs="Times New Roman"/>
                <w:i w:val="0"/>
                <w:iCs w:val="0"/>
                <w:color w:val="auto"/>
                <w:sz w:val="24"/>
                <w:szCs w:val="24"/>
                <w:highlight w:val="none"/>
                <w:u w:val="none" w:color="auto"/>
                <w:lang w:val="en-US" w:eastAsia="zh-CN"/>
              </w:rPr>
              <w:t>。</w:t>
            </w:r>
          </w:p>
          <w:p w14:paraId="4CAF5540">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i w:val="0"/>
                <w:iCs w:val="0"/>
                <w:color w:val="auto"/>
                <w:kern w:val="2"/>
                <w:sz w:val="24"/>
                <w:szCs w:val="24"/>
                <w:highlight w:val="none"/>
                <w:u w:val="none" w:color="auto"/>
                <w:lang w:val="en-US" w:eastAsia="zh-CN" w:bidi="ar-SA"/>
              </w:rPr>
            </w:pPr>
            <w:r>
              <w:rPr>
                <w:rFonts w:hint="eastAsia" w:cs="Times New Roman"/>
                <w:color w:val="auto"/>
                <w:sz w:val="24"/>
                <w:szCs w:val="24"/>
                <w:highlight w:val="none"/>
                <w:u w:val="none" w:color="auto"/>
                <w:lang w:eastAsia="zh-CN"/>
              </w:rPr>
              <w:t>⑥</w:t>
            </w:r>
            <w:r>
              <w:rPr>
                <w:rFonts w:hint="eastAsia" w:cs="Times New Roman"/>
                <w:i w:val="0"/>
                <w:iCs w:val="0"/>
                <w:color w:val="auto"/>
                <w:kern w:val="2"/>
                <w:sz w:val="24"/>
                <w:szCs w:val="24"/>
                <w:highlight w:val="none"/>
                <w:u w:val="none" w:color="auto"/>
                <w:lang w:val="en-US" w:eastAsia="zh-CN" w:bidi="ar-SA"/>
              </w:rPr>
              <w:t>化验室废试样</w:t>
            </w:r>
          </w:p>
          <w:p w14:paraId="559F8573">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cs="宋体"/>
                <w:i w:val="0"/>
                <w:iCs w:val="0"/>
                <w:color w:val="auto"/>
                <w:sz w:val="24"/>
                <w:szCs w:val="24"/>
                <w:highlight w:val="none"/>
                <w:u w:val="none" w:color="auto"/>
                <w:lang w:val="en-US" w:eastAsia="zh-CN"/>
              </w:rPr>
            </w:pPr>
            <w:r>
              <w:rPr>
                <w:rFonts w:hint="eastAsia" w:cs="Times New Roman"/>
                <w:i w:val="0"/>
                <w:iCs w:val="0"/>
                <w:color w:val="auto"/>
                <w:kern w:val="2"/>
                <w:sz w:val="24"/>
                <w:szCs w:val="24"/>
                <w:highlight w:val="none"/>
                <w:u w:val="none" w:color="auto"/>
                <w:lang w:val="en-US" w:eastAsia="zh-CN" w:bidi="ar-SA"/>
              </w:rPr>
              <w:t>本项目化验室过程中会产生废试样</w:t>
            </w:r>
            <w:r>
              <w:rPr>
                <w:rFonts w:hint="eastAsia" w:cs="Times New Roman"/>
                <w:i w:val="0"/>
                <w:iCs w:val="0"/>
                <w:color w:val="auto"/>
                <w:kern w:val="2"/>
                <w:sz w:val="24"/>
                <w:szCs w:val="24"/>
                <w:highlight w:val="none"/>
                <w:u w:val="single" w:color="auto"/>
                <w:lang w:val="en-US" w:eastAsia="zh-CN" w:bidi="ar-SA"/>
              </w:rPr>
              <w:t>，产生量约为3.399t/a，</w:t>
            </w:r>
            <w:r>
              <w:rPr>
                <w:rFonts w:hint="eastAsia" w:cs="Times New Roman"/>
                <w:i w:val="0"/>
                <w:iCs w:val="0"/>
                <w:color w:val="auto"/>
                <w:kern w:val="2"/>
                <w:sz w:val="24"/>
                <w:szCs w:val="24"/>
                <w:highlight w:val="none"/>
                <w:u w:val="none" w:color="auto"/>
                <w:lang w:val="en-US" w:eastAsia="zh-CN" w:bidi="ar-SA"/>
              </w:rPr>
              <w:t>收集后</w:t>
            </w:r>
            <w:r>
              <w:rPr>
                <w:rFonts w:ascii="宋体" w:hAnsi="宋体" w:eastAsia="宋体" w:cs="宋体"/>
                <w:color w:val="auto"/>
                <w:sz w:val="24"/>
                <w:szCs w:val="24"/>
              </w:rPr>
              <w:t>外运至再生骨料加工厂加工再生砂石</w:t>
            </w:r>
            <w:r>
              <w:rPr>
                <w:rFonts w:hint="eastAsia" w:cs="Times New Roman"/>
                <w:i w:val="0"/>
                <w:iCs w:val="0"/>
                <w:color w:val="auto"/>
                <w:kern w:val="2"/>
                <w:sz w:val="24"/>
                <w:szCs w:val="24"/>
                <w:highlight w:val="none"/>
                <w:u w:val="none" w:color="auto"/>
                <w:lang w:val="en-US" w:eastAsia="zh-CN" w:bidi="ar-SA"/>
              </w:rPr>
              <w:t>。</w:t>
            </w:r>
          </w:p>
          <w:p w14:paraId="01DC9158">
            <w:pPr>
              <w:adjustRightInd w:val="0"/>
              <w:spacing w:line="360" w:lineRule="auto"/>
              <w:ind w:firstLine="480" w:firstLineChars="200"/>
              <w:rPr>
                <w:rFonts w:hint="eastAsia"/>
                <w:color w:val="auto"/>
                <w:sz w:val="24"/>
                <w:szCs w:val="24"/>
                <w:highlight w:val="none"/>
                <w:u w:val="single"/>
                <w:lang w:eastAsia="zh-CN"/>
              </w:rPr>
            </w:pPr>
            <w:r>
              <w:rPr>
                <w:rFonts w:hint="eastAsia"/>
                <w:color w:val="auto"/>
                <w:sz w:val="24"/>
                <w:szCs w:val="24"/>
                <w:highlight w:val="none"/>
                <w:u w:val="single"/>
                <w:lang w:eastAsia="zh-CN"/>
              </w:rPr>
              <w:t>⑦混凝土类建筑垃圾</w:t>
            </w:r>
          </w:p>
          <w:p w14:paraId="779FFBE3">
            <w:pPr>
              <w:adjustRightInd w:val="0"/>
              <w:spacing w:line="360" w:lineRule="auto"/>
              <w:ind w:firstLine="480" w:firstLineChars="200"/>
              <w:rPr>
                <w:rFonts w:hint="eastAsia"/>
                <w:color w:val="auto"/>
                <w:sz w:val="24"/>
                <w:szCs w:val="24"/>
                <w:highlight w:val="none"/>
                <w:u w:val="single"/>
                <w:lang w:eastAsia="zh-CN"/>
              </w:rPr>
            </w:pPr>
            <w:r>
              <w:rPr>
                <w:rFonts w:hint="eastAsia"/>
                <w:color w:val="auto"/>
                <w:sz w:val="24"/>
                <w:szCs w:val="24"/>
                <w:highlight w:val="none"/>
                <w:u w:val="single"/>
                <w:lang w:eastAsia="zh-CN"/>
              </w:rPr>
              <w:t>主要来源于硬化地面、钢筋混凝土水池（沉淀池、初期雨水收集池）、搅拌站设备基础拆除，以混凝土碎块为核心组分。</w:t>
            </w:r>
          </w:p>
          <w:p w14:paraId="509F16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u w:val="single" w:color="auto"/>
              </w:rPr>
            </w:pPr>
            <w:r>
              <w:rPr>
                <w:rFonts w:hint="eastAsia" w:ascii="Times New Roman" w:hAnsi="Times New Roman" w:eastAsia="宋体" w:cs="Times New Roman"/>
                <w:color w:val="auto"/>
                <w:sz w:val="24"/>
                <w:szCs w:val="24"/>
                <w:highlight w:val="none"/>
                <w:u w:val="single" w:color="auto"/>
                <w:lang w:val="en-US" w:eastAsia="zh-CN"/>
              </w:rPr>
              <w:t>A</w:t>
            </w:r>
            <w:r>
              <w:rPr>
                <w:rFonts w:hint="eastAsia" w:ascii="Times New Roman" w:hAnsi="Times New Roman" w:eastAsia="宋体" w:cs="Times New Roman"/>
                <w:color w:val="auto"/>
                <w:sz w:val="24"/>
                <w:szCs w:val="24"/>
                <w:highlight w:val="none"/>
                <w:u w:val="single" w:color="auto"/>
                <w:lang w:eastAsia="zh-CN"/>
              </w:rPr>
              <w:t>、</w:t>
            </w:r>
            <w:r>
              <w:rPr>
                <w:rFonts w:hint="default" w:ascii="Times New Roman" w:hAnsi="Times New Roman" w:eastAsia="宋体" w:cs="Times New Roman"/>
                <w:color w:val="auto"/>
                <w:sz w:val="24"/>
                <w:szCs w:val="24"/>
                <w:highlight w:val="none"/>
                <w:u w:val="single" w:color="auto"/>
              </w:rPr>
              <w:t>厂区硬化地面：总面积约9859</w:t>
            </w:r>
            <w:r>
              <w:rPr>
                <w:rFonts w:hint="eastAsia" w:ascii="Times New Roman" w:hAnsi="Times New Roman" w:eastAsia="宋体" w:cs="Times New Roman"/>
                <w:color w:val="auto"/>
                <w:sz w:val="24"/>
                <w:szCs w:val="24"/>
                <w:highlight w:val="none"/>
                <w:u w:val="single" w:color="auto"/>
                <w:lang w:val="en-US" w:eastAsia="zh-CN"/>
              </w:rPr>
              <w:t>m</w:t>
            </w:r>
            <w:r>
              <w:rPr>
                <w:rFonts w:hint="eastAsia" w:ascii="Times New Roman" w:hAnsi="Times New Roman" w:eastAsia="宋体" w:cs="Times New Roman"/>
                <w:color w:val="auto"/>
                <w:sz w:val="24"/>
                <w:szCs w:val="24"/>
                <w:highlight w:val="none"/>
                <w:u w:val="single" w:color="auto"/>
                <w:vertAlign w:val="superscript"/>
                <w:lang w:val="en-US" w:eastAsia="zh-CN"/>
              </w:rPr>
              <w:t>2</w:t>
            </w:r>
            <w:r>
              <w:rPr>
                <w:rFonts w:hint="default" w:ascii="Times New Roman" w:hAnsi="Times New Roman" w:eastAsia="宋体" w:cs="Times New Roman"/>
                <w:color w:val="auto"/>
                <w:sz w:val="24"/>
                <w:szCs w:val="24"/>
                <w:highlight w:val="none"/>
                <w:u w:val="single" w:color="auto"/>
              </w:rPr>
              <w:t>，按厂区常规混凝土地坪厚度0.15m核算，混凝土实体体积约1478.9m³，折算拆除产生量约3549.4t（混凝土容重按2.4t/m³计）；</w:t>
            </w:r>
          </w:p>
          <w:p w14:paraId="3B447B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u w:val="single" w:color="auto"/>
              </w:rPr>
            </w:pPr>
            <w:r>
              <w:rPr>
                <w:rFonts w:hint="eastAsia" w:ascii="Times New Roman" w:hAnsi="Times New Roman" w:eastAsia="宋体" w:cs="Times New Roman"/>
                <w:color w:val="auto"/>
                <w:sz w:val="24"/>
                <w:szCs w:val="24"/>
                <w:highlight w:val="none"/>
                <w:u w:val="single" w:color="auto"/>
                <w:lang w:val="en-US" w:eastAsia="zh-CN"/>
              </w:rPr>
              <w:t>B</w:t>
            </w:r>
            <w:r>
              <w:rPr>
                <w:rFonts w:hint="eastAsia" w:ascii="Times New Roman" w:hAnsi="Times New Roman" w:eastAsia="宋体" w:cs="Times New Roman"/>
                <w:color w:val="auto"/>
                <w:sz w:val="24"/>
                <w:szCs w:val="24"/>
                <w:highlight w:val="none"/>
                <w:u w:val="single" w:color="auto"/>
                <w:lang w:eastAsia="zh-CN"/>
              </w:rPr>
              <w:t>、</w:t>
            </w:r>
            <w:r>
              <w:rPr>
                <w:rFonts w:hint="default" w:ascii="Times New Roman" w:hAnsi="Times New Roman" w:eastAsia="宋体" w:cs="Times New Roman"/>
                <w:color w:val="auto"/>
                <w:sz w:val="24"/>
                <w:szCs w:val="24"/>
                <w:highlight w:val="none"/>
                <w:u w:val="single" w:color="auto"/>
              </w:rPr>
              <w:t>沉淀池：有效容积120m³，为钢筋混凝土结构，池体混凝土结构体积按有效容积的12%估算，折算拆除产生量约34.6t；</w:t>
            </w:r>
          </w:p>
          <w:p w14:paraId="698DE7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u w:val="single" w:color="auto"/>
              </w:rPr>
            </w:pPr>
            <w:r>
              <w:rPr>
                <w:rFonts w:hint="eastAsia" w:ascii="Times New Roman" w:hAnsi="Times New Roman" w:eastAsia="宋体" w:cs="Times New Roman"/>
                <w:color w:val="auto"/>
                <w:sz w:val="24"/>
                <w:szCs w:val="24"/>
                <w:highlight w:val="none"/>
                <w:u w:val="single" w:color="auto"/>
                <w:lang w:val="en-US" w:eastAsia="zh-CN"/>
              </w:rPr>
              <w:t>C</w:t>
            </w:r>
            <w:r>
              <w:rPr>
                <w:rFonts w:hint="eastAsia" w:ascii="Times New Roman" w:hAnsi="Times New Roman" w:eastAsia="宋体" w:cs="Times New Roman"/>
                <w:color w:val="auto"/>
                <w:sz w:val="24"/>
                <w:szCs w:val="24"/>
                <w:highlight w:val="none"/>
                <w:u w:val="single" w:color="auto"/>
                <w:lang w:eastAsia="zh-CN"/>
              </w:rPr>
              <w:t>、</w:t>
            </w:r>
            <w:r>
              <w:rPr>
                <w:rFonts w:hint="default" w:ascii="Times New Roman" w:hAnsi="Times New Roman" w:eastAsia="宋体" w:cs="Times New Roman"/>
                <w:color w:val="auto"/>
                <w:sz w:val="24"/>
                <w:szCs w:val="24"/>
                <w:highlight w:val="none"/>
                <w:u w:val="single" w:color="auto"/>
              </w:rPr>
              <w:t>初期雨水收集池：有效容积40m³，池体混凝土结构体积按有效容积的12%估算，折算拆除产生量约11.5t；</w:t>
            </w:r>
          </w:p>
          <w:p w14:paraId="418C39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u w:val="single" w:color="auto"/>
              </w:rPr>
            </w:pPr>
            <w:r>
              <w:rPr>
                <w:rFonts w:hint="eastAsia" w:ascii="Times New Roman" w:hAnsi="Times New Roman" w:eastAsia="宋体" w:cs="Times New Roman"/>
                <w:color w:val="auto"/>
                <w:sz w:val="24"/>
                <w:szCs w:val="24"/>
                <w:highlight w:val="none"/>
                <w:u w:val="single" w:color="auto"/>
                <w:lang w:val="en-US" w:eastAsia="zh-CN"/>
              </w:rPr>
              <w:t>D</w:t>
            </w:r>
            <w:r>
              <w:rPr>
                <w:rFonts w:hint="eastAsia" w:ascii="Times New Roman" w:hAnsi="Times New Roman" w:eastAsia="宋体" w:cs="Times New Roman"/>
                <w:color w:val="auto"/>
                <w:sz w:val="24"/>
                <w:szCs w:val="24"/>
                <w:highlight w:val="none"/>
                <w:u w:val="single" w:color="auto"/>
                <w:lang w:eastAsia="zh-CN"/>
              </w:rPr>
              <w:t>、</w:t>
            </w:r>
            <w:r>
              <w:rPr>
                <w:rFonts w:hint="default" w:ascii="Times New Roman" w:hAnsi="Times New Roman" w:eastAsia="宋体" w:cs="Times New Roman"/>
                <w:color w:val="auto"/>
                <w:sz w:val="24"/>
                <w:szCs w:val="24"/>
                <w:highlight w:val="none"/>
                <w:u w:val="single" w:color="auto"/>
              </w:rPr>
              <w:t>搅拌站作业区设备基础：作业区占地面积300m</w:t>
            </w:r>
            <w:r>
              <w:rPr>
                <w:rFonts w:hint="default" w:ascii="Times New Roman" w:hAnsi="Times New Roman" w:eastAsia="宋体" w:cs="Times New Roman"/>
                <w:color w:val="auto"/>
                <w:sz w:val="24"/>
                <w:szCs w:val="24"/>
                <w:highlight w:val="none"/>
                <w:u w:val="single" w:color="auto"/>
                <w:vertAlign w:val="superscript"/>
              </w:rPr>
              <w:t>2</w:t>
            </w:r>
            <w:r>
              <w:rPr>
                <w:rFonts w:hint="default" w:ascii="Times New Roman" w:hAnsi="Times New Roman" w:eastAsia="宋体" w:cs="Times New Roman"/>
                <w:color w:val="auto"/>
                <w:sz w:val="24"/>
                <w:szCs w:val="24"/>
                <w:highlight w:val="none"/>
                <w:u w:val="single" w:color="auto"/>
              </w:rPr>
              <w:t>，设备基础混凝土厚度按0.3m估算，折算拆除产生量约216.0t。</w:t>
            </w:r>
          </w:p>
          <w:p w14:paraId="41B4879A">
            <w:pPr>
              <w:adjustRightInd w:val="0"/>
              <w:spacing w:line="360" w:lineRule="auto"/>
              <w:ind w:firstLine="480" w:firstLineChars="200"/>
              <w:rPr>
                <w:rFonts w:hint="eastAsia"/>
                <w:color w:val="auto"/>
                <w:sz w:val="24"/>
                <w:szCs w:val="24"/>
                <w:highlight w:val="none"/>
                <w:u w:val="single"/>
                <w:lang w:eastAsia="zh-CN"/>
              </w:rPr>
            </w:pPr>
            <w:r>
              <w:rPr>
                <w:rFonts w:hint="default" w:ascii="Times New Roman" w:hAnsi="Times New Roman" w:eastAsia="宋体" w:cs="Times New Roman"/>
                <w:color w:val="auto"/>
                <w:sz w:val="24"/>
                <w:szCs w:val="24"/>
                <w:highlight w:val="none"/>
                <w:u w:val="single" w:color="auto"/>
              </w:rPr>
              <w:t>以上混凝土类建筑垃圾合计产生量约3811.5t。</w:t>
            </w:r>
          </w:p>
          <w:p w14:paraId="10FD0886">
            <w:pPr>
              <w:adjustRightInd w:val="0"/>
              <w:spacing w:line="360" w:lineRule="auto"/>
              <w:ind w:firstLine="480" w:firstLineChars="200"/>
              <w:rPr>
                <w:rFonts w:hint="eastAsia"/>
                <w:color w:val="auto"/>
                <w:sz w:val="24"/>
                <w:szCs w:val="24"/>
                <w:highlight w:val="none"/>
                <w:u w:val="single"/>
                <w:lang w:eastAsia="zh-CN"/>
              </w:rPr>
            </w:pPr>
            <w:r>
              <w:rPr>
                <w:rFonts w:hint="eastAsia"/>
                <w:color w:val="auto"/>
                <w:sz w:val="24"/>
                <w:szCs w:val="24"/>
                <w:highlight w:val="none"/>
                <w:u w:val="single"/>
                <w:lang w:eastAsia="zh-CN"/>
              </w:rPr>
              <w:t>集中分类堆放后，委托具备合法清运资质的单位，全部运送至当地合规建筑垃圾消纳场规范处置；优先交由建筑垃圾资源化利用单位加工为再生骨料，提升资源化利用水平。</w:t>
            </w:r>
          </w:p>
          <w:p w14:paraId="7AF75FBD">
            <w:pPr>
              <w:adjustRightInd w:val="0"/>
              <w:spacing w:line="360" w:lineRule="auto"/>
              <w:ind w:firstLine="480" w:firstLineChars="200"/>
              <w:rPr>
                <w:rFonts w:hint="eastAsia"/>
                <w:color w:val="auto"/>
                <w:sz w:val="24"/>
                <w:szCs w:val="24"/>
                <w:highlight w:val="none"/>
                <w:u w:val="single"/>
                <w:lang w:eastAsia="zh-CN"/>
              </w:rPr>
            </w:pPr>
            <w:r>
              <w:rPr>
                <w:rFonts w:hint="eastAsia"/>
                <w:color w:val="auto"/>
                <w:sz w:val="24"/>
                <w:szCs w:val="24"/>
                <w:highlight w:val="none"/>
                <w:u w:val="single"/>
                <w:lang w:eastAsia="zh-CN"/>
              </w:rPr>
              <w:t>⑧金属类拆除废物</w:t>
            </w:r>
          </w:p>
          <w:p w14:paraId="51F359FC">
            <w:pPr>
              <w:adjustRightInd w:val="0"/>
              <w:spacing w:line="360" w:lineRule="auto"/>
              <w:ind w:firstLine="480" w:firstLineChars="200"/>
              <w:rPr>
                <w:rFonts w:hint="eastAsia"/>
                <w:color w:val="auto"/>
                <w:sz w:val="24"/>
                <w:szCs w:val="24"/>
                <w:highlight w:val="none"/>
                <w:u w:val="single"/>
                <w:lang w:eastAsia="zh-CN"/>
              </w:rPr>
            </w:pPr>
            <w:r>
              <w:rPr>
                <w:rFonts w:hint="eastAsia"/>
                <w:color w:val="auto"/>
                <w:sz w:val="24"/>
                <w:szCs w:val="24"/>
                <w:highlight w:val="none"/>
                <w:u w:val="single"/>
                <w:lang w:eastAsia="zh-CN"/>
              </w:rPr>
              <w:t>主要来源于彩钢建（构）筑物、生产设备钢结构拆除及混凝土构件内废钢筋，以彩钢板、钢结构骨架、废钢筋、设备金属构件为核心组分。</w:t>
            </w:r>
          </w:p>
          <w:p w14:paraId="034E1F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u w:val="single" w:color="auto"/>
              </w:rPr>
            </w:pPr>
            <w:r>
              <w:rPr>
                <w:rFonts w:hint="eastAsia" w:ascii="Times New Roman" w:hAnsi="Times New Roman" w:eastAsia="宋体" w:cs="Times New Roman"/>
                <w:color w:val="auto"/>
                <w:sz w:val="24"/>
                <w:szCs w:val="24"/>
                <w:highlight w:val="none"/>
                <w:u w:val="single" w:color="auto"/>
                <w:lang w:val="en-US" w:eastAsia="zh-CN"/>
              </w:rPr>
              <w:t>A、</w:t>
            </w:r>
            <w:r>
              <w:rPr>
                <w:rFonts w:hint="default" w:ascii="Times New Roman" w:hAnsi="Times New Roman" w:eastAsia="宋体" w:cs="Times New Roman"/>
                <w:color w:val="auto"/>
                <w:sz w:val="24"/>
                <w:szCs w:val="24"/>
                <w:highlight w:val="none"/>
                <w:u w:val="single" w:color="auto"/>
              </w:rPr>
              <w:t>办公化验区（彩钢结构）：建筑面积360.2</w:t>
            </w:r>
            <w:r>
              <w:rPr>
                <w:rFonts w:hint="eastAsia" w:ascii="Times New Roman" w:hAnsi="Times New Roman" w:eastAsia="宋体" w:cs="Times New Roman"/>
                <w:color w:val="auto"/>
                <w:sz w:val="24"/>
                <w:szCs w:val="24"/>
                <w:highlight w:val="none"/>
                <w:u w:val="single" w:color="auto"/>
                <w:lang w:val="en-US" w:eastAsia="zh-CN"/>
              </w:rPr>
              <w:t>m</w:t>
            </w:r>
            <w:r>
              <w:rPr>
                <w:rFonts w:hint="eastAsia" w:ascii="Times New Roman" w:hAnsi="Times New Roman" w:eastAsia="宋体" w:cs="Times New Roman"/>
                <w:color w:val="auto"/>
                <w:sz w:val="24"/>
                <w:szCs w:val="24"/>
                <w:highlight w:val="none"/>
                <w:u w:val="single" w:color="auto"/>
                <w:vertAlign w:val="superscript"/>
                <w:lang w:val="en-US" w:eastAsia="zh-CN"/>
              </w:rPr>
              <w:t>2</w:t>
            </w:r>
            <w:r>
              <w:rPr>
                <w:rFonts w:hint="default" w:ascii="Times New Roman" w:hAnsi="Times New Roman" w:eastAsia="宋体" w:cs="Times New Roman"/>
                <w:color w:val="auto"/>
                <w:sz w:val="24"/>
                <w:szCs w:val="24"/>
                <w:highlight w:val="none"/>
                <w:u w:val="single" w:color="auto"/>
              </w:rPr>
              <w:t>，参照同类彩钢建筑拆除产污系数0.08t/</w:t>
            </w:r>
            <w:r>
              <w:rPr>
                <w:rFonts w:hint="eastAsia" w:ascii="Times New Roman" w:hAnsi="Times New Roman" w:eastAsia="宋体" w:cs="Times New Roman"/>
                <w:color w:val="auto"/>
                <w:sz w:val="24"/>
                <w:szCs w:val="24"/>
                <w:highlight w:val="none"/>
                <w:u w:val="single" w:color="auto"/>
                <w:lang w:val="en-US" w:eastAsia="zh-CN"/>
              </w:rPr>
              <w:t>m</w:t>
            </w:r>
            <w:r>
              <w:rPr>
                <w:rFonts w:hint="eastAsia" w:ascii="Times New Roman" w:hAnsi="Times New Roman" w:eastAsia="宋体" w:cs="Times New Roman"/>
                <w:color w:val="auto"/>
                <w:sz w:val="24"/>
                <w:szCs w:val="24"/>
                <w:highlight w:val="none"/>
                <w:u w:val="single" w:color="auto"/>
                <w:vertAlign w:val="superscript"/>
                <w:lang w:val="en-US" w:eastAsia="zh-CN"/>
              </w:rPr>
              <w:t>2</w:t>
            </w:r>
            <w:r>
              <w:rPr>
                <w:rFonts w:hint="default" w:ascii="Times New Roman" w:hAnsi="Times New Roman" w:eastAsia="宋体" w:cs="Times New Roman"/>
                <w:color w:val="auto"/>
                <w:sz w:val="24"/>
                <w:szCs w:val="24"/>
                <w:highlight w:val="none"/>
                <w:u w:val="single" w:color="auto"/>
              </w:rPr>
              <w:t>估算，产生量约28.8t；</w:t>
            </w:r>
          </w:p>
          <w:p w14:paraId="6186DA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u w:val="single" w:color="auto"/>
              </w:rPr>
            </w:pPr>
            <w:r>
              <w:rPr>
                <w:rFonts w:hint="eastAsia" w:ascii="Times New Roman" w:hAnsi="Times New Roman" w:eastAsia="宋体" w:cs="Times New Roman"/>
                <w:color w:val="auto"/>
                <w:sz w:val="24"/>
                <w:szCs w:val="24"/>
                <w:highlight w:val="none"/>
                <w:u w:val="single" w:color="auto"/>
                <w:lang w:val="en-US" w:eastAsia="zh-CN"/>
              </w:rPr>
              <w:t>B</w:t>
            </w:r>
            <w:r>
              <w:rPr>
                <w:rFonts w:hint="eastAsia" w:ascii="Times New Roman" w:hAnsi="Times New Roman" w:eastAsia="宋体" w:cs="Times New Roman"/>
                <w:color w:val="auto"/>
                <w:sz w:val="24"/>
                <w:szCs w:val="24"/>
                <w:highlight w:val="none"/>
                <w:u w:val="single" w:color="auto"/>
                <w:lang w:eastAsia="zh-CN"/>
              </w:rPr>
              <w:t>、</w:t>
            </w:r>
            <w:r>
              <w:rPr>
                <w:rFonts w:hint="default" w:ascii="Times New Roman" w:hAnsi="Times New Roman" w:eastAsia="宋体" w:cs="Times New Roman"/>
                <w:color w:val="auto"/>
                <w:sz w:val="24"/>
                <w:szCs w:val="24"/>
                <w:highlight w:val="none"/>
                <w:u w:val="single" w:color="auto"/>
              </w:rPr>
              <w:t>堆场半封闭彩钢棚：占地面积1500</w:t>
            </w:r>
            <w:r>
              <w:rPr>
                <w:rFonts w:hint="eastAsia" w:ascii="Times New Roman" w:hAnsi="Times New Roman" w:eastAsia="宋体" w:cs="Times New Roman"/>
                <w:color w:val="auto"/>
                <w:sz w:val="24"/>
                <w:szCs w:val="24"/>
                <w:highlight w:val="none"/>
                <w:u w:val="single" w:color="auto"/>
                <w:lang w:val="en-US" w:eastAsia="zh-CN"/>
              </w:rPr>
              <w:t>m</w:t>
            </w:r>
            <w:r>
              <w:rPr>
                <w:rFonts w:hint="eastAsia" w:ascii="Times New Roman" w:hAnsi="Times New Roman" w:eastAsia="宋体" w:cs="Times New Roman"/>
                <w:color w:val="auto"/>
                <w:sz w:val="24"/>
                <w:szCs w:val="24"/>
                <w:highlight w:val="none"/>
                <w:u w:val="single" w:color="auto"/>
                <w:vertAlign w:val="superscript"/>
                <w:lang w:val="en-US" w:eastAsia="zh-CN"/>
              </w:rPr>
              <w:t>2</w:t>
            </w:r>
            <w:r>
              <w:rPr>
                <w:rFonts w:hint="default" w:ascii="Times New Roman" w:hAnsi="Times New Roman" w:eastAsia="宋体" w:cs="Times New Roman"/>
                <w:color w:val="auto"/>
                <w:sz w:val="24"/>
                <w:szCs w:val="24"/>
                <w:highlight w:val="none"/>
                <w:u w:val="single" w:color="auto"/>
              </w:rPr>
              <w:t>，参照同类钢结构棚拆除产污系数0.10t/</w:t>
            </w:r>
            <w:r>
              <w:rPr>
                <w:rFonts w:hint="eastAsia" w:ascii="Times New Roman" w:hAnsi="Times New Roman" w:eastAsia="宋体" w:cs="Times New Roman"/>
                <w:color w:val="auto"/>
                <w:sz w:val="24"/>
                <w:szCs w:val="24"/>
                <w:highlight w:val="none"/>
                <w:u w:val="single" w:color="auto"/>
                <w:lang w:val="en-US" w:eastAsia="zh-CN"/>
              </w:rPr>
              <w:t>m</w:t>
            </w:r>
            <w:r>
              <w:rPr>
                <w:rFonts w:hint="eastAsia" w:ascii="Times New Roman" w:hAnsi="Times New Roman" w:eastAsia="宋体" w:cs="Times New Roman"/>
                <w:color w:val="auto"/>
                <w:sz w:val="24"/>
                <w:szCs w:val="24"/>
                <w:highlight w:val="none"/>
                <w:u w:val="single" w:color="auto"/>
                <w:vertAlign w:val="superscript"/>
                <w:lang w:val="en-US" w:eastAsia="zh-CN"/>
              </w:rPr>
              <w:t>2</w:t>
            </w:r>
            <w:r>
              <w:rPr>
                <w:rFonts w:hint="default" w:ascii="Times New Roman" w:hAnsi="Times New Roman" w:eastAsia="宋体" w:cs="Times New Roman"/>
                <w:color w:val="auto"/>
                <w:sz w:val="24"/>
                <w:szCs w:val="24"/>
                <w:highlight w:val="none"/>
                <w:u w:val="single" w:color="auto"/>
              </w:rPr>
              <w:t>估算，产生量约150.0t；</w:t>
            </w:r>
          </w:p>
          <w:p w14:paraId="11D07A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u w:val="single" w:color="auto"/>
              </w:rPr>
            </w:pPr>
            <w:r>
              <w:rPr>
                <w:rFonts w:hint="eastAsia" w:ascii="Times New Roman" w:hAnsi="Times New Roman" w:eastAsia="宋体" w:cs="Times New Roman"/>
                <w:color w:val="auto"/>
                <w:sz w:val="24"/>
                <w:szCs w:val="24"/>
                <w:highlight w:val="none"/>
                <w:u w:val="single" w:color="auto"/>
                <w:lang w:val="en-US" w:eastAsia="zh-CN"/>
              </w:rPr>
              <w:t>C</w:t>
            </w:r>
            <w:r>
              <w:rPr>
                <w:rFonts w:hint="eastAsia" w:ascii="Times New Roman" w:hAnsi="Times New Roman" w:eastAsia="宋体" w:cs="Times New Roman"/>
                <w:color w:val="auto"/>
                <w:sz w:val="24"/>
                <w:szCs w:val="24"/>
                <w:highlight w:val="none"/>
                <w:u w:val="single" w:color="auto"/>
                <w:lang w:eastAsia="zh-CN"/>
              </w:rPr>
              <w:t>、</w:t>
            </w:r>
            <w:r>
              <w:rPr>
                <w:rFonts w:hint="default" w:ascii="Times New Roman" w:hAnsi="Times New Roman" w:eastAsia="宋体" w:cs="Times New Roman"/>
                <w:color w:val="auto"/>
                <w:sz w:val="24"/>
                <w:szCs w:val="24"/>
                <w:highlight w:val="none"/>
                <w:u w:val="single" w:color="auto"/>
              </w:rPr>
              <w:t>搅拌站生产系统金属构件（含2台搅拌机、8座筒仓、输送系统钢结构）：拆除后废金属构件估算约80.0t；</w:t>
            </w:r>
          </w:p>
          <w:p w14:paraId="581C1637">
            <w:pPr>
              <w:adjustRightInd w:val="0"/>
              <w:spacing w:line="360" w:lineRule="auto"/>
              <w:ind w:firstLine="480" w:firstLineChars="200"/>
              <w:rPr>
                <w:rFonts w:hint="eastAsia"/>
                <w:color w:val="auto"/>
                <w:sz w:val="24"/>
                <w:szCs w:val="24"/>
                <w:highlight w:val="none"/>
                <w:u w:val="single"/>
                <w:lang w:eastAsia="zh-CN"/>
              </w:rPr>
            </w:pPr>
            <w:r>
              <w:rPr>
                <w:rFonts w:hint="eastAsia" w:ascii="Times New Roman" w:hAnsi="Times New Roman" w:eastAsia="宋体" w:cs="Times New Roman"/>
                <w:color w:val="auto"/>
                <w:sz w:val="24"/>
                <w:szCs w:val="24"/>
                <w:highlight w:val="none"/>
                <w:u w:val="single" w:color="auto"/>
                <w:lang w:val="en-US" w:eastAsia="zh-CN"/>
              </w:rPr>
              <w:t>D</w:t>
            </w:r>
            <w:r>
              <w:rPr>
                <w:rFonts w:hint="eastAsia" w:ascii="Times New Roman" w:hAnsi="Times New Roman" w:eastAsia="宋体" w:cs="Times New Roman"/>
                <w:color w:val="auto"/>
                <w:sz w:val="24"/>
                <w:szCs w:val="24"/>
                <w:highlight w:val="none"/>
                <w:u w:val="single" w:color="auto"/>
                <w:lang w:eastAsia="zh-CN"/>
              </w:rPr>
              <w:t>、</w:t>
            </w:r>
            <w:r>
              <w:rPr>
                <w:rFonts w:hint="default" w:ascii="Times New Roman" w:hAnsi="Times New Roman" w:eastAsia="宋体" w:cs="Times New Roman"/>
                <w:color w:val="auto"/>
                <w:sz w:val="24"/>
                <w:szCs w:val="24"/>
                <w:highlight w:val="none"/>
                <w:u w:val="single" w:color="auto"/>
              </w:rPr>
              <w:t>混凝土结构内废钢筋：按混凝土总体积折算钢筋占比，估算约9.5t。</w:t>
            </w:r>
          </w:p>
          <w:p w14:paraId="4BC95897">
            <w:pPr>
              <w:adjustRightInd w:val="0"/>
              <w:spacing w:line="360" w:lineRule="auto"/>
              <w:ind w:firstLine="480" w:firstLineChars="200"/>
              <w:rPr>
                <w:rFonts w:hint="eastAsia"/>
                <w:color w:val="auto"/>
                <w:sz w:val="24"/>
                <w:szCs w:val="24"/>
                <w:highlight w:val="none"/>
                <w:u w:val="single"/>
                <w:lang w:eastAsia="zh-CN"/>
              </w:rPr>
            </w:pPr>
            <w:r>
              <w:rPr>
                <w:rFonts w:hint="eastAsia"/>
                <w:color w:val="auto"/>
                <w:sz w:val="24"/>
                <w:szCs w:val="24"/>
                <w:highlight w:val="none"/>
                <w:u w:val="single"/>
                <w:lang w:eastAsia="zh-CN"/>
              </w:rPr>
              <w:t>以上金属类拆除废物合计产生量约268.3t，彩钢板、废钢筋、钢结构构件、报废设备金属件等可回收物料，统一收集后交由具备资质的再生资源回收单位进行回收资源化利用。</w:t>
            </w:r>
          </w:p>
          <w:p w14:paraId="0C268E97">
            <w:pPr>
              <w:adjustRightInd w:val="0"/>
              <w:spacing w:line="360" w:lineRule="auto"/>
              <w:ind w:firstLine="480" w:firstLineChars="200"/>
              <w:rPr>
                <w:rFonts w:hint="eastAsia"/>
                <w:color w:val="auto"/>
                <w:sz w:val="24"/>
                <w:szCs w:val="24"/>
                <w:highlight w:val="none"/>
                <w:u w:val="single"/>
                <w:lang w:eastAsia="zh-CN"/>
              </w:rPr>
            </w:pPr>
            <w:r>
              <w:rPr>
                <w:rFonts w:hint="eastAsia"/>
                <w:color w:val="auto"/>
                <w:sz w:val="24"/>
                <w:szCs w:val="24"/>
                <w:highlight w:val="none"/>
                <w:u w:val="single"/>
                <w:lang w:eastAsia="zh-CN"/>
              </w:rPr>
              <w:t>⑨残留生产物料类废物</w:t>
            </w:r>
          </w:p>
          <w:p w14:paraId="03E86567">
            <w:pPr>
              <w:adjustRightInd w:val="0"/>
              <w:spacing w:line="360" w:lineRule="auto"/>
              <w:ind w:firstLine="480" w:firstLineChars="200"/>
              <w:rPr>
                <w:rFonts w:hint="eastAsia"/>
                <w:color w:val="auto"/>
                <w:sz w:val="24"/>
                <w:szCs w:val="24"/>
                <w:highlight w:val="none"/>
                <w:u w:val="single"/>
                <w:lang w:eastAsia="zh-CN"/>
              </w:rPr>
            </w:pPr>
            <w:r>
              <w:rPr>
                <w:rFonts w:hint="eastAsia"/>
                <w:color w:val="auto"/>
                <w:sz w:val="24"/>
                <w:szCs w:val="24"/>
                <w:highlight w:val="none"/>
                <w:u w:val="single"/>
                <w:lang w:eastAsia="zh-CN"/>
              </w:rPr>
              <w:t>主要为设备筒仓、搅拌主机内清理出的水泥、粉煤灰结块及残留粉料，参照同类项目拆除清理量估算，产生量约15</w:t>
            </w:r>
            <w:r>
              <w:rPr>
                <w:rFonts w:hint="eastAsia"/>
                <w:color w:val="auto"/>
                <w:sz w:val="24"/>
                <w:szCs w:val="24"/>
                <w:highlight w:val="none"/>
                <w:u w:val="single"/>
                <w:lang w:val="en-US" w:eastAsia="zh-CN"/>
              </w:rPr>
              <w:t>t</w:t>
            </w:r>
            <w:r>
              <w:rPr>
                <w:rFonts w:hint="eastAsia"/>
                <w:color w:val="auto"/>
                <w:sz w:val="24"/>
                <w:szCs w:val="24"/>
                <w:highlight w:val="none"/>
                <w:u w:val="single"/>
                <w:lang w:eastAsia="zh-CN"/>
              </w:rPr>
              <w:t>。清理出的洁净粉料优先回用于生产工序；无法回用的结块物料按一般工业固体废物管理，委托具备相应处置能力的单位合规处置。</w:t>
            </w:r>
          </w:p>
          <w:p w14:paraId="5A412CF3">
            <w:pPr>
              <w:adjustRightInd w:val="0"/>
              <w:spacing w:line="360" w:lineRule="auto"/>
              <w:ind w:firstLine="480" w:firstLineChars="200"/>
              <w:rPr>
                <w:color w:val="auto"/>
                <w:sz w:val="24"/>
                <w:szCs w:val="24"/>
                <w:highlight w:val="none"/>
              </w:rPr>
            </w:pPr>
            <w:r>
              <w:rPr>
                <w:rFonts w:hint="eastAsia"/>
                <w:color w:val="auto"/>
                <w:sz w:val="24"/>
                <w:szCs w:val="24"/>
                <w:highlight w:val="none"/>
                <w:lang w:eastAsia="zh-CN"/>
              </w:rPr>
              <w:t>本项目</w:t>
            </w:r>
            <w:r>
              <w:rPr>
                <w:color w:val="auto"/>
                <w:sz w:val="24"/>
                <w:szCs w:val="24"/>
                <w:highlight w:val="none"/>
              </w:rPr>
              <w:t>固体废物产排情况见下表。</w:t>
            </w:r>
          </w:p>
          <w:p w14:paraId="69F74A41">
            <w:pPr>
              <w:keepNext w:val="0"/>
              <w:keepLines w:val="0"/>
              <w:pageBreakBefore w:val="0"/>
              <w:widowControl w:val="0"/>
              <w:kinsoku/>
              <w:wordWrap/>
              <w:overflowPunct/>
              <w:topLinePunct w:val="0"/>
              <w:autoSpaceDE/>
              <w:autoSpaceDN/>
              <w:bidi w:val="0"/>
              <w:adjustRightInd w:val="0"/>
              <w:snapToGrid/>
              <w:ind w:firstLine="0" w:firstLineChars="0"/>
              <w:jc w:val="center"/>
              <w:textAlignment w:val="auto"/>
              <w:rPr>
                <w:rFonts w:hint="default" w:ascii="Times New Roman" w:hAnsi="Times New Roman" w:cs="Times New Roman"/>
                <w:b/>
                <w:bCs/>
                <w:sz w:val="24"/>
                <w:szCs w:val="24"/>
                <w:highlight w:val="none"/>
                <w:u w:val="none"/>
              </w:rPr>
            </w:pPr>
            <w:r>
              <w:rPr>
                <w:rFonts w:hint="default" w:ascii="Times New Roman" w:hAnsi="Times New Roman" w:cs="Times New Roman"/>
                <w:b/>
                <w:bCs/>
                <w:sz w:val="24"/>
                <w:szCs w:val="24"/>
                <w:highlight w:val="none"/>
                <w:u w:val="none"/>
              </w:rPr>
              <w:t>表</w:t>
            </w:r>
            <w:r>
              <w:rPr>
                <w:rFonts w:hint="eastAsia" w:cs="Times New Roman"/>
                <w:b/>
                <w:bCs/>
                <w:sz w:val="24"/>
                <w:szCs w:val="24"/>
                <w:highlight w:val="none"/>
                <w:u w:val="none"/>
                <w:lang w:val="en-US" w:eastAsia="zh-CN"/>
              </w:rPr>
              <w:t>4-12</w:t>
            </w:r>
            <w:r>
              <w:rPr>
                <w:rFonts w:hint="default" w:ascii="Times New Roman" w:hAnsi="Times New Roman" w:cs="Times New Roman"/>
                <w:b/>
                <w:bCs/>
                <w:sz w:val="24"/>
                <w:szCs w:val="24"/>
                <w:highlight w:val="none"/>
                <w:u w:val="none"/>
              </w:rPr>
              <w:t xml:space="preserve">  固废产排情况一览表  单位：t/a</w:t>
            </w:r>
          </w:p>
          <w:tbl>
            <w:tblPr>
              <w:tblStyle w:val="25"/>
              <w:tblW w:w="4995"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00"/>
              <w:gridCol w:w="908"/>
              <w:gridCol w:w="1157"/>
              <w:gridCol w:w="874"/>
              <w:gridCol w:w="1570"/>
              <w:gridCol w:w="825"/>
              <w:gridCol w:w="753"/>
              <w:gridCol w:w="825"/>
              <w:gridCol w:w="1249"/>
            </w:tblGrid>
            <w:tr w14:paraId="2F9C70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05" w:type="pct"/>
                  <w:noWrap w:val="0"/>
                  <w:vAlign w:val="center"/>
                </w:tcPr>
                <w:p w14:paraId="5BC8A96A">
                  <w:pPr>
                    <w:pStyle w:val="71"/>
                    <w:adjustRightInd w:val="0"/>
                    <w:ind w:left="-63" w:leftChars="-30" w:right="-63" w:rightChars="-30"/>
                    <w:jc w:val="center"/>
                    <w:rPr>
                      <w:b w:val="0"/>
                      <w:bCs w:val="0"/>
                      <w:color w:val="auto"/>
                      <w:sz w:val="21"/>
                      <w:szCs w:val="21"/>
                      <w:highlight w:val="none"/>
                      <w:u w:val="single"/>
                    </w:rPr>
                  </w:pPr>
                  <w:r>
                    <w:rPr>
                      <w:b w:val="0"/>
                      <w:bCs w:val="0"/>
                      <w:color w:val="auto"/>
                      <w:sz w:val="21"/>
                      <w:szCs w:val="21"/>
                      <w:highlight w:val="none"/>
                      <w:u w:val="single"/>
                    </w:rPr>
                    <w:t>序号</w:t>
                  </w:r>
                </w:p>
              </w:tc>
              <w:tc>
                <w:tcPr>
                  <w:tcW w:w="572" w:type="pct"/>
                  <w:noWrap w:val="0"/>
                  <w:vAlign w:val="center"/>
                </w:tcPr>
                <w:p w14:paraId="398DEF21">
                  <w:pPr>
                    <w:pStyle w:val="71"/>
                    <w:adjustRightInd w:val="0"/>
                    <w:ind w:left="-63" w:leftChars="-30" w:right="-63" w:rightChars="-30"/>
                    <w:jc w:val="center"/>
                    <w:rPr>
                      <w:b w:val="0"/>
                      <w:bCs w:val="0"/>
                      <w:color w:val="auto"/>
                      <w:sz w:val="21"/>
                      <w:szCs w:val="21"/>
                      <w:highlight w:val="none"/>
                      <w:u w:val="single"/>
                    </w:rPr>
                  </w:pPr>
                  <w:r>
                    <w:rPr>
                      <w:b w:val="0"/>
                      <w:bCs w:val="0"/>
                      <w:color w:val="auto"/>
                      <w:sz w:val="21"/>
                      <w:szCs w:val="21"/>
                      <w:highlight w:val="none"/>
                      <w:u w:val="single"/>
                    </w:rPr>
                    <w:t>名称</w:t>
                  </w:r>
                </w:p>
              </w:tc>
              <w:tc>
                <w:tcPr>
                  <w:tcW w:w="715" w:type="pct"/>
                  <w:noWrap w:val="0"/>
                  <w:vAlign w:val="center"/>
                </w:tcPr>
                <w:p w14:paraId="668987CF">
                  <w:pPr>
                    <w:pStyle w:val="71"/>
                    <w:adjustRightInd w:val="0"/>
                    <w:ind w:left="-63" w:leftChars="-30" w:right="-63" w:rightChars="-30"/>
                    <w:jc w:val="center"/>
                    <w:rPr>
                      <w:b w:val="0"/>
                      <w:bCs w:val="0"/>
                      <w:color w:val="auto"/>
                      <w:sz w:val="21"/>
                      <w:szCs w:val="21"/>
                      <w:highlight w:val="none"/>
                      <w:u w:val="single"/>
                    </w:rPr>
                  </w:pPr>
                  <w:r>
                    <w:rPr>
                      <w:b w:val="0"/>
                      <w:bCs w:val="0"/>
                      <w:color w:val="auto"/>
                      <w:sz w:val="21"/>
                      <w:szCs w:val="21"/>
                      <w:highlight w:val="none"/>
                      <w:u w:val="single"/>
                    </w:rPr>
                    <w:t>产生工序</w:t>
                  </w:r>
                </w:p>
              </w:tc>
              <w:tc>
                <w:tcPr>
                  <w:tcW w:w="548" w:type="pct"/>
                  <w:noWrap w:val="0"/>
                  <w:vAlign w:val="center"/>
                </w:tcPr>
                <w:p w14:paraId="2D3BB575">
                  <w:pPr>
                    <w:pStyle w:val="71"/>
                    <w:adjustRightInd w:val="0"/>
                    <w:ind w:left="-63" w:leftChars="-30" w:right="-63" w:rightChars="-30"/>
                    <w:jc w:val="center"/>
                    <w:rPr>
                      <w:b w:val="0"/>
                      <w:bCs w:val="0"/>
                      <w:color w:val="auto"/>
                      <w:sz w:val="21"/>
                      <w:szCs w:val="21"/>
                      <w:highlight w:val="none"/>
                      <w:u w:val="single"/>
                    </w:rPr>
                  </w:pPr>
                  <w:r>
                    <w:rPr>
                      <w:rFonts w:hint="eastAsia"/>
                      <w:b w:val="0"/>
                      <w:bCs w:val="0"/>
                      <w:color w:val="auto"/>
                      <w:sz w:val="21"/>
                      <w:szCs w:val="21"/>
                      <w:highlight w:val="none"/>
                      <w:u w:val="single"/>
                    </w:rPr>
                    <w:t>分类</w:t>
                  </w:r>
                </w:p>
              </w:tc>
              <w:tc>
                <w:tcPr>
                  <w:tcW w:w="847" w:type="pct"/>
                  <w:noWrap w:val="0"/>
                  <w:vAlign w:val="center"/>
                </w:tcPr>
                <w:p w14:paraId="190DF6D8">
                  <w:pPr>
                    <w:pStyle w:val="71"/>
                    <w:adjustRightInd w:val="0"/>
                    <w:ind w:left="-63" w:leftChars="-30" w:right="-63" w:rightChars="-30"/>
                    <w:jc w:val="center"/>
                    <w:rPr>
                      <w:rFonts w:hint="default" w:eastAsia="宋体"/>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废物类别及代码</w:t>
                  </w:r>
                </w:p>
              </w:tc>
              <w:tc>
                <w:tcPr>
                  <w:tcW w:w="498" w:type="pct"/>
                  <w:noWrap w:val="0"/>
                  <w:vAlign w:val="center"/>
                </w:tcPr>
                <w:p w14:paraId="7AFBAB69">
                  <w:pPr>
                    <w:pStyle w:val="71"/>
                    <w:adjustRightInd w:val="0"/>
                    <w:ind w:left="-63" w:leftChars="-30" w:right="-63" w:rightChars="-30"/>
                    <w:jc w:val="center"/>
                    <w:rPr>
                      <w:b w:val="0"/>
                      <w:bCs w:val="0"/>
                      <w:color w:val="auto"/>
                      <w:sz w:val="21"/>
                      <w:szCs w:val="21"/>
                      <w:highlight w:val="none"/>
                      <w:u w:val="single"/>
                    </w:rPr>
                  </w:pPr>
                  <w:r>
                    <w:rPr>
                      <w:b w:val="0"/>
                      <w:bCs w:val="0"/>
                      <w:color w:val="auto"/>
                      <w:sz w:val="21"/>
                      <w:szCs w:val="21"/>
                      <w:highlight w:val="none"/>
                      <w:u w:val="single"/>
                    </w:rPr>
                    <w:t>产生量</w:t>
                  </w:r>
                </w:p>
              </w:tc>
              <w:tc>
                <w:tcPr>
                  <w:tcW w:w="498" w:type="pct"/>
                  <w:noWrap w:val="0"/>
                  <w:vAlign w:val="center"/>
                </w:tcPr>
                <w:p w14:paraId="3691E2B7">
                  <w:pPr>
                    <w:pStyle w:val="71"/>
                    <w:adjustRightInd w:val="0"/>
                    <w:ind w:left="-63" w:leftChars="-30" w:right="-63" w:rightChars="-30"/>
                    <w:jc w:val="center"/>
                    <w:rPr>
                      <w:rFonts w:hint="eastAsia" w:eastAsia="宋体"/>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利用量</w:t>
                  </w:r>
                </w:p>
              </w:tc>
              <w:tc>
                <w:tcPr>
                  <w:tcW w:w="345" w:type="pct"/>
                  <w:noWrap w:val="0"/>
                  <w:vAlign w:val="center"/>
                </w:tcPr>
                <w:p w14:paraId="6DE9B5BD">
                  <w:pPr>
                    <w:pStyle w:val="71"/>
                    <w:adjustRightInd w:val="0"/>
                    <w:ind w:left="-63" w:leftChars="-30" w:right="-63" w:rightChars="-30"/>
                    <w:jc w:val="center"/>
                    <w:rPr>
                      <w:rFonts w:hint="eastAsia" w:eastAsia="宋体"/>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处置量</w:t>
                  </w:r>
                </w:p>
              </w:tc>
              <w:tc>
                <w:tcPr>
                  <w:tcW w:w="769" w:type="pct"/>
                  <w:noWrap w:val="0"/>
                  <w:vAlign w:val="center"/>
                </w:tcPr>
                <w:p w14:paraId="63D471F2">
                  <w:pPr>
                    <w:pStyle w:val="71"/>
                    <w:adjustRightInd w:val="0"/>
                    <w:ind w:left="-63" w:leftChars="-30" w:right="-63" w:rightChars="-30"/>
                    <w:jc w:val="center"/>
                    <w:rPr>
                      <w:rFonts w:hint="eastAsia"/>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处理方式</w:t>
                  </w:r>
                </w:p>
              </w:tc>
            </w:tr>
            <w:tr w14:paraId="34B61E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05" w:type="pct"/>
                  <w:noWrap w:val="0"/>
                  <w:vAlign w:val="center"/>
                </w:tcPr>
                <w:p w14:paraId="1FF58C4A">
                  <w:pPr>
                    <w:pStyle w:val="71"/>
                    <w:adjustRightInd w:val="0"/>
                    <w:ind w:left="-63" w:leftChars="-30" w:right="-63" w:rightChars="-30"/>
                    <w:jc w:val="center"/>
                    <w:rPr>
                      <w:rFonts w:hint="eastAsia" w:eastAsia="宋体"/>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1</w:t>
                  </w:r>
                </w:p>
              </w:tc>
              <w:tc>
                <w:tcPr>
                  <w:tcW w:w="572" w:type="pct"/>
                  <w:shd w:val="clear" w:color="auto" w:fill="auto"/>
                  <w:noWrap w:val="0"/>
                  <w:vAlign w:val="center"/>
                </w:tcPr>
                <w:p w14:paraId="613221EE">
                  <w:pPr>
                    <w:pStyle w:val="71"/>
                    <w:adjustRightInd w:val="0"/>
                    <w:ind w:left="-63" w:leftChars="-30" w:right="-63" w:rightChars="-30"/>
                    <w:jc w:val="center"/>
                    <w:rPr>
                      <w:rFonts w:hint="eastAsia" w:ascii="Times New Roman" w:hAnsi="Times New Roman" w:eastAsia="宋体" w:cs="Times New Roman"/>
                      <w:b w:val="0"/>
                      <w:bCs w:val="0"/>
                      <w:color w:val="auto"/>
                      <w:kern w:val="2"/>
                      <w:sz w:val="21"/>
                      <w:szCs w:val="21"/>
                      <w:highlight w:val="none"/>
                      <w:u w:val="single"/>
                      <w:lang w:val="en-US" w:eastAsia="zh-CN" w:bidi="ar-SA"/>
                    </w:rPr>
                  </w:pPr>
                  <w:r>
                    <w:rPr>
                      <w:rFonts w:hint="eastAsia"/>
                      <w:b w:val="0"/>
                      <w:bCs w:val="0"/>
                      <w:color w:val="auto"/>
                      <w:sz w:val="21"/>
                      <w:szCs w:val="21"/>
                      <w:highlight w:val="none"/>
                      <w:u w:val="single"/>
                    </w:rPr>
                    <w:t>生活垃圾</w:t>
                  </w:r>
                </w:p>
              </w:tc>
              <w:tc>
                <w:tcPr>
                  <w:tcW w:w="715" w:type="pct"/>
                  <w:shd w:val="clear" w:color="auto" w:fill="auto"/>
                  <w:noWrap w:val="0"/>
                  <w:vAlign w:val="center"/>
                </w:tcPr>
                <w:p w14:paraId="251851E9">
                  <w:pPr>
                    <w:pStyle w:val="71"/>
                    <w:adjustRightInd w:val="0"/>
                    <w:ind w:left="-63" w:leftChars="-30" w:right="-63" w:rightChars="-30"/>
                    <w:jc w:val="center"/>
                    <w:rPr>
                      <w:rFonts w:hint="eastAsia" w:ascii="Times New Roman" w:hAnsi="Times New Roman" w:eastAsia="宋体" w:cs="Times New Roman"/>
                      <w:b w:val="0"/>
                      <w:bCs w:val="0"/>
                      <w:color w:val="auto"/>
                      <w:kern w:val="2"/>
                      <w:sz w:val="21"/>
                      <w:szCs w:val="21"/>
                      <w:highlight w:val="none"/>
                      <w:u w:val="single"/>
                      <w:lang w:val="en-US" w:eastAsia="zh-CN" w:bidi="ar-SA"/>
                    </w:rPr>
                  </w:pPr>
                  <w:r>
                    <w:rPr>
                      <w:rFonts w:hint="eastAsia"/>
                      <w:b w:val="0"/>
                      <w:bCs w:val="0"/>
                      <w:color w:val="auto"/>
                      <w:sz w:val="21"/>
                      <w:szCs w:val="21"/>
                      <w:highlight w:val="none"/>
                      <w:u w:val="single"/>
                    </w:rPr>
                    <w:t>厂区职工日常生活</w:t>
                  </w:r>
                </w:p>
              </w:tc>
              <w:tc>
                <w:tcPr>
                  <w:tcW w:w="548" w:type="pct"/>
                  <w:shd w:val="clear" w:color="auto" w:fill="auto"/>
                  <w:noWrap w:val="0"/>
                  <w:vAlign w:val="center"/>
                </w:tcPr>
                <w:p w14:paraId="44813FB9">
                  <w:pPr>
                    <w:pStyle w:val="71"/>
                    <w:adjustRightInd w:val="0"/>
                    <w:ind w:left="-63" w:leftChars="-30" w:right="-63" w:rightChars="-30"/>
                    <w:jc w:val="center"/>
                    <w:rPr>
                      <w:rFonts w:hint="eastAsia" w:ascii="Times New Roman" w:hAnsi="Times New Roman" w:eastAsia="宋体" w:cs="Times New Roman"/>
                      <w:b w:val="0"/>
                      <w:bCs w:val="0"/>
                      <w:color w:val="auto"/>
                      <w:kern w:val="2"/>
                      <w:sz w:val="21"/>
                      <w:szCs w:val="21"/>
                      <w:highlight w:val="none"/>
                      <w:u w:val="single"/>
                      <w:lang w:val="en-US" w:eastAsia="zh-CN" w:bidi="ar-SA"/>
                    </w:rPr>
                  </w:pPr>
                  <w:r>
                    <w:rPr>
                      <w:rFonts w:hint="eastAsia"/>
                      <w:b w:val="0"/>
                      <w:bCs w:val="0"/>
                      <w:color w:val="auto"/>
                      <w:sz w:val="21"/>
                      <w:szCs w:val="21"/>
                      <w:highlight w:val="none"/>
                      <w:u w:val="single"/>
                    </w:rPr>
                    <w:t>一般固废</w:t>
                  </w:r>
                </w:p>
              </w:tc>
              <w:tc>
                <w:tcPr>
                  <w:tcW w:w="847" w:type="pct"/>
                  <w:shd w:val="clear" w:color="auto" w:fill="auto"/>
                  <w:noWrap w:val="0"/>
                  <w:vAlign w:val="center"/>
                </w:tcPr>
                <w:p w14:paraId="6AAEA7AB">
                  <w:pPr>
                    <w:pStyle w:val="71"/>
                    <w:adjustRightInd w:val="0"/>
                    <w:ind w:left="-63" w:leftChars="-30" w:right="-63" w:rightChars="-30"/>
                    <w:jc w:val="center"/>
                    <w:rPr>
                      <w:rFonts w:hint="eastAsia" w:ascii="Times New Roman" w:hAnsi="Times New Roman" w:eastAsia="宋体" w:cs="Times New Roman"/>
                      <w:b w:val="0"/>
                      <w:bCs w:val="0"/>
                      <w:color w:val="auto"/>
                      <w:kern w:val="2"/>
                      <w:sz w:val="21"/>
                      <w:szCs w:val="21"/>
                      <w:highlight w:val="none"/>
                      <w:u w:val="single"/>
                      <w:lang w:val="en-US" w:eastAsia="zh-CN" w:bidi="ar-SA"/>
                    </w:rPr>
                  </w:pPr>
                  <w:r>
                    <w:rPr>
                      <w:rFonts w:hint="eastAsia" w:ascii="Times New Roman" w:hAnsi="Times New Roman" w:eastAsia="宋体" w:cs="Times New Roman"/>
                      <w:b w:val="0"/>
                      <w:bCs w:val="0"/>
                      <w:color w:val="auto"/>
                      <w:kern w:val="2"/>
                      <w:sz w:val="21"/>
                      <w:szCs w:val="21"/>
                      <w:highlight w:val="none"/>
                      <w:u w:val="single"/>
                      <w:lang w:val="en-US" w:eastAsia="zh-CN" w:bidi="ar-SA"/>
                    </w:rPr>
                    <w:t>900-099-S64</w:t>
                  </w:r>
                </w:p>
              </w:tc>
              <w:tc>
                <w:tcPr>
                  <w:tcW w:w="498" w:type="pct"/>
                  <w:shd w:val="clear" w:color="auto" w:fill="auto"/>
                  <w:noWrap w:val="0"/>
                  <w:vAlign w:val="center"/>
                </w:tcPr>
                <w:p w14:paraId="52CE841A">
                  <w:pPr>
                    <w:pStyle w:val="71"/>
                    <w:adjustRightInd w:val="0"/>
                    <w:ind w:left="-63" w:leftChars="-30" w:right="-63" w:rightChars="-30"/>
                    <w:jc w:val="center"/>
                    <w:rPr>
                      <w:rFonts w:hint="default" w:ascii="Times New Roman" w:hAnsi="Times New Roman" w:eastAsia="宋体" w:cs="Times New Roman"/>
                      <w:b w:val="0"/>
                      <w:bCs w:val="0"/>
                      <w:color w:val="auto"/>
                      <w:kern w:val="2"/>
                      <w:sz w:val="21"/>
                      <w:szCs w:val="21"/>
                      <w:highlight w:val="none"/>
                      <w:u w:val="single"/>
                      <w:lang w:val="en-US" w:eastAsia="zh-CN" w:bidi="ar-SA"/>
                    </w:rPr>
                  </w:pPr>
                  <w:r>
                    <w:rPr>
                      <w:rFonts w:hint="eastAsia"/>
                      <w:b w:val="0"/>
                      <w:bCs w:val="0"/>
                      <w:color w:val="auto"/>
                      <w:sz w:val="21"/>
                      <w:szCs w:val="21"/>
                      <w:highlight w:val="none"/>
                      <w:u w:val="single"/>
                      <w:lang w:val="en-US" w:eastAsia="zh-CN"/>
                    </w:rPr>
                    <w:t>3.6</w:t>
                  </w:r>
                </w:p>
              </w:tc>
              <w:tc>
                <w:tcPr>
                  <w:tcW w:w="498" w:type="pct"/>
                  <w:shd w:val="clear" w:color="auto" w:fill="auto"/>
                  <w:noWrap w:val="0"/>
                  <w:vAlign w:val="center"/>
                </w:tcPr>
                <w:p w14:paraId="1A175E9B">
                  <w:pPr>
                    <w:pStyle w:val="71"/>
                    <w:adjustRightInd w:val="0"/>
                    <w:ind w:left="-63" w:leftChars="-30" w:right="-63" w:rightChars="-30"/>
                    <w:jc w:val="center"/>
                    <w:rPr>
                      <w:rFonts w:hint="eastAsia" w:ascii="Times New Roman" w:hAnsi="Times New Roman" w:eastAsia="宋体" w:cs="Times New Roman"/>
                      <w:b w:val="0"/>
                      <w:bCs w:val="0"/>
                      <w:color w:val="auto"/>
                      <w:kern w:val="2"/>
                      <w:sz w:val="21"/>
                      <w:szCs w:val="21"/>
                      <w:highlight w:val="none"/>
                      <w:u w:val="single"/>
                      <w:lang w:val="en-US" w:eastAsia="zh-CN" w:bidi="ar-SA"/>
                    </w:rPr>
                  </w:pPr>
                  <w:r>
                    <w:rPr>
                      <w:rFonts w:hint="eastAsia"/>
                      <w:b w:val="0"/>
                      <w:bCs w:val="0"/>
                      <w:color w:val="auto"/>
                      <w:sz w:val="21"/>
                      <w:szCs w:val="21"/>
                      <w:highlight w:val="none"/>
                      <w:u w:val="single"/>
                      <w:lang w:val="en-US" w:eastAsia="zh-CN"/>
                    </w:rPr>
                    <w:t>/</w:t>
                  </w:r>
                </w:p>
              </w:tc>
              <w:tc>
                <w:tcPr>
                  <w:tcW w:w="345" w:type="pct"/>
                  <w:shd w:val="clear" w:color="auto" w:fill="auto"/>
                  <w:noWrap w:val="0"/>
                  <w:vAlign w:val="center"/>
                </w:tcPr>
                <w:p w14:paraId="03F3D085">
                  <w:pPr>
                    <w:pStyle w:val="71"/>
                    <w:adjustRightInd w:val="0"/>
                    <w:ind w:left="-63" w:leftChars="-30" w:right="-63" w:rightChars="-30"/>
                    <w:jc w:val="center"/>
                    <w:rPr>
                      <w:rFonts w:hint="default" w:ascii="Times New Roman" w:hAnsi="Times New Roman" w:eastAsia="宋体" w:cs="Times New Roman"/>
                      <w:b w:val="0"/>
                      <w:bCs w:val="0"/>
                      <w:color w:val="auto"/>
                      <w:kern w:val="2"/>
                      <w:sz w:val="21"/>
                      <w:szCs w:val="21"/>
                      <w:highlight w:val="none"/>
                      <w:u w:val="single"/>
                      <w:lang w:val="en-US" w:eastAsia="zh-CN" w:bidi="ar-SA"/>
                    </w:rPr>
                  </w:pPr>
                  <w:r>
                    <w:rPr>
                      <w:rFonts w:hint="eastAsia"/>
                      <w:b w:val="0"/>
                      <w:bCs w:val="0"/>
                      <w:color w:val="auto"/>
                      <w:sz w:val="21"/>
                      <w:szCs w:val="21"/>
                      <w:highlight w:val="none"/>
                      <w:u w:val="single"/>
                      <w:lang w:val="en-US" w:eastAsia="zh-CN"/>
                    </w:rPr>
                    <w:t>3.6</w:t>
                  </w:r>
                </w:p>
              </w:tc>
              <w:tc>
                <w:tcPr>
                  <w:tcW w:w="769" w:type="pct"/>
                  <w:shd w:val="clear" w:color="auto" w:fill="auto"/>
                  <w:noWrap w:val="0"/>
                  <w:vAlign w:val="center"/>
                </w:tcPr>
                <w:p w14:paraId="282CB57D">
                  <w:pPr>
                    <w:pStyle w:val="71"/>
                    <w:adjustRightInd w:val="0"/>
                    <w:ind w:left="-63" w:leftChars="-30" w:right="-63" w:rightChars="-30"/>
                    <w:jc w:val="center"/>
                    <w:rPr>
                      <w:rFonts w:hint="eastAsia" w:ascii="Times New Roman" w:hAnsi="Times New Roman" w:eastAsia="宋体" w:cs="Times New Roman"/>
                      <w:b w:val="0"/>
                      <w:bCs w:val="0"/>
                      <w:color w:val="auto"/>
                      <w:kern w:val="2"/>
                      <w:sz w:val="21"/>
                      <w:szCs w:val="21"/>
                      <w:highlight w:val="none"/>
                      <w:u w:val="single"/>
                      <w:lang w:val="en-US" w:eastAsia="zh-CN" w:bidi="ar-SA"/>
                    </w:rPr>
                  </w:pPr>
                  <w:r>
                    <w:rPr>
                      <w:rFonts w:hint="eastAsia"/>
                      <w:b w:val="0"/>
                      <w:bCs w:val="0"/>
                      <w:color w:val="auto"/>
                      <w:sz w:val="21"/>
                      <w:szCs w:val="21"/>
                      <w:highlight w:val="none"/>
                      <w:u w:val="single"/>
                      <w:lang w:val="en-US" w:eastAsia="zh-CN"/>
                    </w:rPr>
                    <w:t>收集后</w:t>
                  </w:r>
                  <w:r>
                    <w:rPr>
                      <w:rFonts w:hint="eastAsia"/>
                      <w:b w:val="0"/>
                      <w:bCs w:val="0"/>
                      <w:color w:val="auto"/>
                      <w:sz w:val="21"/>
                      <w:szCs w:val="21"/>
                      <w:highlight w:val="none"/>
                      <w:u w:val="single"/>
                    </w:rPr>
                    <w:t>交由环卫部门统一处</w:t>
                  </w:r>
                  <w:r>
                    <w:rPr>
                      <w:rFonts w:hint="eastAsia"/>
                      <w:b w:val="0"/>
                      <w:bCs w:val="0"/>
                      <w:color w:val="auto"/>
                      <w:sz w:val="21"/>
                      <w:szCs w:val="21"/>
                      <w:highlight w:val="none"/>
                      <w:u w:val="single"/>
                      <w:lang w:val="en-US" w:eastAsia="zh-CN"/>
                    </w:rPr>
                    <w:t>理</w:t>
                  </w:r>
                </w:p>
              </w:tc>
            </w:tr>
            <w:tr w14:paraId="12D082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05" w:type="pct"/>
                  <w:noWrap w:val="0"/>
                  <w:vAlign w:val="center"/>
                </w:tcPr>
                <w:p w14:paraId="36AFEED1">
                  <w:pPr>
                    <w:pStyle w:val="71"/>
                    <w:adjustRightInd w:val="0"/>
                    <w:ind w:left="-63" w:leftChars="-30" w:right="-63" w:rightChars="-30"/>
                    <w:jc w:val="center"/>
                    <w:rPr>
                      <w:rFonts w:hint="default"/>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2</w:t>
                  </w:r>
                </w:p>
              </w:tc>
              <w:tc>
                <w:tcPr>
                  <w:tcW w:w="572" w:type="pct"/>
                  <w:shd w:val="clear" w:color="auto" w:fill="auto"/>
                  <w:noWrap w:val="0"/>
                  <w:vAlign w:val="center"/>
                </w:tcPr>
                <w:p w14:paraId="6FF8A269">
                  <w:pPr>
                    <w:pStyle w:val="71"/>
                    <w:adjustRightInd w:val="0"/>
                    <w:ind w:left="-63" w:leftChars="-30" w:right="-63" w:rightChars="-30"/>
                    <w:jc w:val="center"/>
                    <w:rPr>
                      <w:rFonts w:hint="eastAsia" w:ascii="Times New Roman" w:hAnsi="Times New Roman" w:eastAsia="宋体" w:cs="Times New Roman"/>
                      <w:b w:val="0"/>
                      <w:bCs w:val="0"/>
                      <w:color w:val="auto"/>
                      <w:kern w:val="2"/>
                      <w:sz w:val="21"/>
                      <w:szCs w:val="21"/>
                      <w:highlight w:val="none"/>
                      <w:u w:val="single"/>
                      <w:lang w:val="en-US" w:eastAsia="zh-CN" w:bidi="ar-SA"/>
                    </w:rPr>
                  </w:pPr>
                  <w:r>
                    <w:rPr>
                      <w:rFonts w:hint="eastAsia"/>
                      <w:b w:val="0"/>
                      <w:bCs w:val="0"/>
                      <w:color w:val="auto"/>
                      <w:sz w:val="21"/>
                      <w:szCs w:val="21"/>
                      <w:highlight w:val="none"/>
                      <w:u w:val="single"/>
                      <w:lang w:eastAsia="zh-CN"/>
                    </w:rPr>
                    <w:t>除尘器收集粉尘</w:t>
                  </w:r>
                </w:p>
              </w:tc>
              <w:tc>
                <w:tcPr>
                  <w:tcW w:w="715" w:type="pct"/>
                  <w:shd w:val="clear" w:color="auto" w:fill="auto"/>
                  <w:noWrap w:val="0"/>
                  <w:vAlign w:val="center"/>
                </w:tcPr>
                <w:p w14:paraId="3B897D6E">
                  <w:pPr>
                    <w:pStyle w:val="71"/>
                    <w:adjustRightInd w:val="0"/>
                    <w:ind w:left="-63" w:leftChars="-30" w:right="-63" w:rightChars="-30"/>
                    <w:jc w:val="center"/>
                    <w:rPr>
                      <w:rFonts w:hint="eastAsia" w:ascii="Times New Roman" w:hAnsi="Times New Roman" w:eastAsia="宋体" w:cs="Times New Roman"/>
                      <w:b w:val="0"/>
                      <w:bCs w:val="0"/>
                      <w:color w:val="auto"/>
                      <w:kern w:val="2"/>
                      <w:sz w:val="21"/>
                      <w:szCs w:val="21"/>
                      <w:highlight w:val="none"/>
                      <w:u w:val="single"/>
                      <w:lang w:val="en-US" w:eastAsia="zh-CN" w:bidi="ar-SA"/>
                    </w:rPr>
                  </w:pPr>
                  <w:r>
                    <w:rPr>
                      <w:rFonts w:hint="eastAsia"/>
                      <w:b w:val="0"/>
                      <w:bCs w:val="0"/>
                      <w:color w:val="auto"/>
                      <w:sz w:val="21"/>
                      <w:szCs w:val="21"/>
                      <w:highlight w:val="none"/>
                      <w:u w:val="single"/>
                    </w:rPr>
                    <w:t>废气除尘</w:t>
                  </w:r>
                </w:p>
              </w:tc>
              <w:tc>
                <w:tcPr>
                  <w:tcW w:w="548" w:type="pct"/>
                  <w:shd w:val="clear" w:color="auto" w:fill="auto"/>
                  <w:noWrap w:val="0"/>
                  <w:vAlign w:val="center"/>
                </w:tcPr>
                <w:p w14:paraId="06614FB4">
                  <w:pPr>
                    <w:pStyle w:val="71"/>
                    <w:adjustRightInd w:val="0"/>
                    <w:ind w:left="-63" w:leftChars="-30" w:right="-63" w:rightChars="-30"/>
                    <w:jc w:val="center"/>
                    <w:rPr>
                      <w:rFonts w:hint="eastAsia" w:ascii="Times New Roman" w:hAnsi="Times New Roman" w:eastAsia="宋体" w:cs="Times New Roman"/>
                      <w:b w:val="0"/>
                      <w:bCs w:val="0"/>
                      <w:color w:val="auto"/>
                      <w:kern w:val="2"/>
                      <w:sz w:val="21"/>
                      <w:szCs w:val="21"/>
                      <w:highlight w:val="none"/>
                      <w:u w:val="single"/>
                      <w:lang w:val="en-US" w:eastAsia="zh-CN" w:bidi="ar-SA"/>
                    </w:rPr>
                  </w:pPr>
                  <w:r>
                    <w:rPr>
                      <w:rFonts w:hint="eastAsia"/>
                      <w:b w:val="0"/>
                      <w:bCs w:val="0"/>
                      <w:color w:val="auto"/>
                      <w:sz w:val="21"/>
                      <w:szCs w:val="21"/>
                      <w:highlight w:val="none"/>
                      <w:u w:val="single"/>
                    </w:rPr>
                    <w:t>一般固废</w:t>
                  </w:r>
                </w:p>
              </w:tc>
              <w:tc>
                <w:tcPr>
                  <w:tcW w:w="847" w:type="pct"/>
                  <w:shd w:val="clear" w:color="auto" w:fill="auto"/>
                  <w:noWrap w:val="0"/>
                  <w:vAlign w:val="center"/>
                </w:tcPr>
                <w:p w14:paraId="59CBD4C7">
                  <w:pPr>
                    <w:adjustRightInd w:val="0"/>
                    <w:ind w:left="-63" w:leftChars="-30" w:right="-63" w:rightChars="-30"/>
                    <w:jc w:val="center"/>
                    <w:rPr>
                      <w:rFonts w:ascii="Times New Roman" w:hAnsi="Times New Roman" w:eastAsia="宋体" w:cs="Times New Roman"/>
                      <w:b w:val="0"/>
                      <w:bCs w:val="0"/>
                      <w:color w:val="auto"/>
                      <w:kern w:val="2"/>
                      <w:sz w:val="21"/>
                      <w:szCs w:val="21"/>
                      <w:highlight w:val="none"/>
                      <w:u w:val="single"/>
                      <w:lang w:val="en-US" w:eastAsia="zh-CN" w:bidi="ar-SA"/>
                    </w:rPr>
                  </w:pPr>
                  <w:r>
                    <w:rPr>
                      <w:rFonts w:hint="eastAsia" w:ascii="Times New Roman" w:hAnsi="Times New Roman" w:eastAsia="宋体" w:cs="Times New Roman"/>
                      <w:b w:val="0"/>
                      <w:bCs w:val="0"/>
                      <w:color w:val="auto"/>
                      <w:kern w:val="2"/>
                      <w:sz w:val="21"/>
                      <w:szCs w:val="21"/>
                      <w:highlight w:val="none"/>
                      <w:u w:val="single"/>
                      <w:lang w:val="en-US" w:eastAsia="zh-CN" w:bidi="ar-SA"/>
                    </w:rPr>
                    <w:t>900-099-S59</w:t>
                  </w:r>
                </w:p>
              </w:tc>
              <w:tc>
                <w:tcPr>
                  <w:tcW w:w="498" w:type="pct"/>
                  <w:shd w:val="clear" w:color="auto" w:fill="auto"/>
                  <w:noWrap w:val="0"/>
                  <w:vAlign w:val="center"/>
                </w:tcPr>
                <w:p w14:paraId="26876832">
                  <w:pPr>
                    <w:pStyle w:val="71"/>
                    <w:adjustRightInd w:val="0"/>
                    <w:ind w:left="-63" w:leftChars="-30" w:right="-63" w:rightChars="-30"/>
                    <w:jc w:val="center"/>
                    <w:rPr>
                      <w:rFonts w:hint="default" w:ascii="Times New Roman" w:hAnsi="Times New Roman" w:eastAsia="宋体" w:cs="Times New Roman"/>
                      <w:b w:val="0"/>
                      <w:bCs w:val="0"/>
                      <w:color w:val="auto"/>
                      <w:kern w:val="2"/>
                      <w:sz w:val="21"/>
                      <w:szCs w:val="21"/>
                      <w:highlight w:val="none"/>
                      <w:u w:val="single"/>
                      <w:lang w:val="en-US" w:eastAsia="zh-CN" w:bidi="ar-SA"/>
                    </w:rPr>
                  </w:pPr>
                  <w:r>
                    <w:rPr>
                      <w:rFonts w:hint="eastAsia" w:cs="Times New Roman"/>
                      <w:b w:val="0"/>
                      <w:bCs w:val="0"/>
                      <w:color w:val="auto"/>
                      <w:kern w:val="2"/>
                      <w:sz w:val="21"/>
                      <w:szCs w:val="21"/>
                      <w:highlight w:val="none"/>
                      <w:u w:val="single"/>
                      <w:lang w:val="en-US" w:eastAsia="zh-CN" w:bidi="ar-SA"/>
                    </w:rPr>
                    <w:t>89.73</w:t>
                  </w:r>
                </w:p>
              </w:tc>
              <w:tc>
                <w:tcPr>
                  <w:tcW w:w="498" w:type="pct"/>
                  <w:shd w:val="clear" w:color="auto" w:fill="auto"/>
                  <w:noWrap w:val="0"/>
                  <w:vAlign w:val="center"/>
                </w:tcPr>
                <w:p w14:paraId="1C1ED49F">
                  <w:pPr>
                    <w:pStyle w:val="71"/>
                    <w:adjustRightInd w:val="0"/>
                    <w:ind w:left="-63" w:leftChars="-30" w:right="-63" w:rightChars="-30"/>
                    <w:jc w:val="center"/>
                    <w:rPr>
                      <w:rFonts w:hint="default" w:ascii="Times New Roman" w:hAnsi="Times New Roman" w:eastAsia="宋体" w:cs="Times New Roman"/>
                      <w:b w:val="0"/>
                      <w:bCs w:val="0"/>
                      <w:color w:val="auto"/>
                      <w:kern w:val="2"/>
                      <w:sz w:val="21"/>
                      <w:szCs w:val="21"/>
                      <w:highlight w:val="none"/>
                      <w:u w:val="single"/>
                      <w:lang w:val="en-US" w:eastAsia="zh-CN" w:bidi="ar-SA"/>
                    </w:rPr>
                  </w:pPr>
                  <w:r>
                    <w:rPr>
                      <w:rFonts w:hint="eastAsia" w:cs="Times New Roman"/>
                      <w:b w:val="0"/>
                      <w:bCs w:val="0"/>
                      <w:color w:val="auto"/>
                      <w:kern w:val="2"/>
                      <w:sz w:val="21"/>
                      <w:szCs w:val="21"/>
                      <w:highlight w:val="none"/>
                      <w:u w:val="single"/>
                      <w:lang w:val="en-US" w:eastAsia="zh-CN" w:bidi="ar-SA"/>
                    </w:rPr>
                    <w:t>89.73</w:t>
                  </w:r>
                </w:p>
              </w:tc>
              <w:tc>
                <w:tcPr>
                  <w:tcW w:w="345" w:type="pct"/>
                  <w:shd w:val="clear" w:color="auto" w:fill="auto"/>
                  <w:noWrap w:val="0"/>
                  <w:vAlign w:val="center"/>
                </w:tcPr>
                <w:p w14:paraId="0D8D5EE8">
                  <w:pPr>
                    <w:pStyle w:val="71"/>
                    <w:adjustRightInd w:val="0"/>
                    <w:ind w:left="-63" w:leftChars="-30" w:right="-63" w:rightChars="-30"/>
                    <w:jc w:val="center"/>
                    <w:rPr>
                      <w:rFonts w:hint="eastAsia" w:ascii="Times New Roman" w:hAnsi="Times New Roman" w:eastAsia="宋体" w:cs="Times New Roman"/>
                      <w:b w:val="0"/>
                      <w:bCs w:val="0"/>
                      <w:color w:val="auto"/>
                      <w:kern w:val="2"/>
                      <w:sz w:val="21"/>
                      <w:szCs w:val="21"/>
                      <w:highlight w:val="none"/>
                      <w:u w:val="single"/>
                      <w:lang w:val="en-US" w:eastAsia="zh-CN" w:bidi="ar-SA"/>
                    </w:rPr>
                  </w:pPr>
                  <w:r>
                    <w:rPr>
                      <w:rFonts w:hint="eastAsia"/>
                      <w:b w:val="0"/>
                      <w:bCs w:val="0"/>
                      <w:color w:val="auto"/>
                      <w:sz w:val="21"/>
                      <w:szCs w:val="21"/>
                      <w:highlight w:val="none"/>
                      <w:u w:val="single"/>
                      <w:lang w:val="en-US" w:eastAsia="zh-CN"/>
                    </w:rPr>
                    <w:t>/</w:t>
                  </w:r>
                </w:p>
              </w:tc>
              <w:tc>
                <w:tcPr>
                  <w:tcW w:w="769" w:type="pct"/>
                  <w:shd w:val="clear" w:color="auto" w:fill="auto"/>
                  <w:noWrap w:val="0"/>
                  <w:vAlign w:val="center"/>
                </w:tcPr>
                <w:p w14:paraId="79FA6501">
                  <w:pPr>
                    <w:pStyle w:val="71"/>
                    <w:adjustRightInd w:val="0"/>
                    <w:ind w:left="-63" w:leftChars="-30" w:right="-63" w:rightChars="-30"/>
                    <w:jc w:val="center"/>
                    <w:rPr>
                      <w:rFonts w:hint="eastAsia"/>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收集后回用于混凝土生产</w:t>
                  </w:r>
                </w:p>
              </w:tc>
            </w:tr>
            <w:tr w14:paraId="0D84AE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05" w:type="pct"/>
                  <w:noWrap w:val="0"/>
                  <w:vAlign w:val="center"/>
                </w:tcPr>
                <w:p w14:paraId="37AFDCCA">
                  <w:pPr>
                    <w:pStyle w:val="71"/>
                    <w:adjustRightInd w:val="0"/>
                    <w:ind w:left="-63" w:leftChars="-30" w:right="-63" w:rightChars="-30"/>
                    <w:jc w:val="center"/>
                    <w:rPr>
                      <w:rFonts w:hint="default"/>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3</w:t>
                  </w:r>
                </w:p>
              </w:tc>
              <w:tc>
                <w:tcPr>
                  <w:tcW w:w="572" w:type="pct"/>
                  <w:shd w:val="clear" w:color="auto" w:fill="auto"/>
                  <w:noWrap w:val="0"/>
                  <w:vAlign w:val="center"/>
                </w:tcPr>
                <w:p w14:paraId="7384A69D">
                  <w:pPr>
                    <w:pStyle w:val="71"/>
                    <w:adjustRightInd w:val="0"/>
                    <w:ind w:left="-63" w:leftChars="-30" w:right="-63" w:rightChars="-30"/>
                    <w:jc w:val="center"/>
                    <w:rPr>
                      <w:rFonts w:hint="eastAsia" w:eastAsia="宋体"/>
                      <w:b w:val="0"/>
                      <w:bCs w:val="0"/>
                      <w:color w:val="auto"/>
                      <w:sz w:val="21"/>
                      <w:szCs w:val="21"/>
                      <w:highlight w:val="none"/>
                      <w:u w:val="single"/>
                      <w:lang w:eastAsia="zh-CN"/>
                    </w:rPr>
                  </w:pPr>
                  <w:r>
                    <w:rPr>
                      <w:rFonts w:hint="eastAsia"/>
                      <w:b w:val="0"/>
                      <w:bCs w:val="0"/>
                      <w:color w:val="auto"/>
                      <w:sz w:val="21"/>
                      <w:szCs w:val="21"/>
                      <w:highlight w:val="none"/>
                      <w:u w:val="single"/>
                      <w:lang w:eastAsia="zh-CN"/>
                    </w:rPr>
                    <w:t>废布袋</w:t>
                  </w:r>
                </w:p>
              </w:tc>
              <w:tc>
                <w:tcPr>
                  <w:tcW w:w="715" w:type="pct"/>
                  <w:shd w:val="clear" w:color="auto" w:fill="auto"/>
                  <w:noWrap w:val="0"/>
                  <w:vAlign w:val="center"/>
                </w:tcPr>
                <w:p w14:paraId="63297A38">
                  <w:pPr>
                    <w:pStyle w:val="71"/>
                    <w:adjustRightInd w:val="0"/>
                    <w:ind w:left="-63" w:leftChars="-30" w:right="-63" w:rightChars="-30"/>
                    <w:jc w:val="center"/>
                    <w:rPr>
                      <w:rFonts w:hint="eastAsia" w:eastAsia="宋体"/>
                      <w:b w:val="0"/>
                      <w:bCs w:val="0"/>
                      <w:color w:val="auto"/>
                      <w:sz w:val="21"/>
                      <w:szCs w:val="21"/>
                      <w:highlight w:val="none"/>
                      <w:u w:val="single"/>
                      <w:lang w:eastAsia="zh-CN"/>
                    </w:rPr>
                  </w:pPr>
                  <w:r>
                    <w:rPr>
                      <w:rFonts w:hint="eastAsia"/>
                      <w:b w:val="0"/>
                      <w:bCs w:val="0"/>
                      <w:color w:val="auto"/>
                      <w:sz w:val="21"/>
                      <w:szCs w:val="21"/>
                      <w:highlight w:val="none"/>
                      <w:u w:val="single"/>
                      <w:lang w:eastAsia="zh-CN"/>
                    </w:rPr>
                    <w:t>除尘器</w:t>
                  </w:r>
                </w:p>
              </w:tc>
              <w:tc>
                <w:tcPr>
                  <w:tcW w:w="548" w:type="pct"/>
                  <w:shd w:val="clear" w:color="auto" w:fill="auto"/>
                  <w:noWrap w:val="0"/>
                  <w:vAlign w:val="center"/>
                </w:tcPr>
                <w:p w14:paraId="30B2007A">
                  <w:pPr>
                    <w:pStyle w:val="71"/>
                    <w:adjustRightInd w:val="0"/>
                    <w:ind w:left="-63" w:leftChars="-30" w:right="-63" w:rightChars="-30"/>
                    <w:jc w:val="center"/>
                    <w:rPr>
                      <w:rFonts w:hint="eastAsia" w:ascii="Times New Roman" w:hAnsi="Times New Roman" w:eastAsia="宋体" w:cs="Times New Roman"/>
                      <w:b w:val="0"/>
                      <w:bCs w:val="0"/>
                      <w:color w:val="auto"/>
                      <w:kern w:val="2"/>
                      <w:sz w:val="21"/>
                      <w:szCs w:val="21"/>
                      <w:highlight w:val="none"/>
                      <w:u w:val="single"/>
                      <w:lang w:val="en-US" w:eastAsia="zh-CN" w:bidi="ar-SA"/>
                    </w:rPr>
                  </w:pPr>
                  <w:r>
                    <w:rPr>
                      <w:rFonts w:hint="eastAsia"/>
                      <w:b w:val="0"/>
                      <w:bCs w:val="0"/>
                      <w:color w:val="auto"/>
                      <w:sz w:val="21"/>
                      <w:szCs w:val="21"/>
                      <w:highlight w:val="none"/>
                      <w:u w:val="single"/>
                    </w:rPr>
                    <w:t>一般固废</w:t>
                  </w:r>
                </w:p>
              </w:tc>
              <w:tc>
                <w:tcPr>
                  <w:tcW w:w="847" w:type="pct"/>
                  <w:shd w:val="clear" w:color="auto" w:fill="auto"/>
                  <w:noWrap w:val="0"/>
                  <w:vAlign w:val="center"/>
                </w:tcPr>
                <w:p w14:paraId="2AAD5DCF">
                  <w:pPr>
                    <w:adjustRightInd w:val="0"/>
                    <w:ind w:left="-63" w:leftChars="-30" w:right="-63" w:rightChars="-30"/>
                    <w:jc w:val="center"/>
                    <w:rPr>
                      <w:rFonts w:ascii="Times New Roman" w:hAnsi="Times New Roman" w:eastAsia="宋体" w:cs="Times New Roman"/>
                      <w:b w:val="0"/>
                      <w:bCs w:val="0"/>
                      <w:color w:val="auto"/>
                      <w:kern w:val="2"/>
                      <w:sz w:val="21"/>
                      <w:szCs w:val="21"/>
                      <w:highlight w:val="none"/>
                      <w:u w:val="single"/>
                      <w:lang w:val="en-US" w:eastAsia="zh-CN" w:bidi="ar-SA"/>
                    </w:rPr>
                  </w:pPr>
                  <w:r>
                    <w:rPr>
                      <w:rFonts w:hint="eastAsia" w:ascii="Times New Roman" w:hAnsi="Times New Roman" w:eastAsia="宋体" w:cs="Times New Roman"/>
                      <w:b w:val="0"/>
                      <w:bCs w:val="0"/>
                      <w:color w:val="auto"/>
                      <w:kern w:val="2"/>
                      <w:sz w:val="21"/>
                      <w:szCs w:val="21"/>
                      <w:highlight w:val="none"/>
                      <w:u w:val="single"/>
                      <w:lang w:val="en-US" w:eastAsia="zh-CN" w:bidi="ar-SA"/>
                    </w:rPr>
                    <w:t>900-009-S59</w:t>
                  </w:r>
                </w:p>
              </w:tc>
              <w:tc>
                <w:tcPr>
                  <w:tcW w:w="498" w:type="pct"/>
                  <w:shd w:val="clear" w:color="auto" w:fill="auto"/>
                  <w:noWrap w:val="0"/>
                  <w:vAlign w:val="center"/>
                </w:tcPr>
                <w:p w14:paraId="68901D2E">
                  <w:pPr>
                    <w:pStyle w:val="71"/>
                    <w:adjustRightInd w:val="0"/>
                    <w:ind w:left="-63" w:leftChars="-30" w:right="-63" w:rightChars="-30"/>
                    <w:jc w:val="center"/>
                    <w:rPr>
                      <w:rFonts w:hint="default"/>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0.03</w:t>
                  </w:r>
                </w:p>
              </w:tc>
              <w:tc>
                <w:tcPr>
                  <w:tcW w:w="498" w:type="pct"/>
                  <w:shd w:val="clear" w:color="auto" w:fill="auto"/>
                  <w:noWrap w:val="0"/>
                  <w:vAlign w:val="center"/>
                </w:tcPr>
                <w:p w14:paraId="2D84654D">
                  <w:pPr>
                    <w:pStyle w:val="71"/>
                    <w:adjustRightInd w:val="0"/>
                    <w:ind w:left="-63" w:leftChars="-30" w:right="-63" w:rightChars="-30"/>
                    <w:jc w:val="center"/>
                    <w:rPr>
                      <w:rFonts w:hint="default"/>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w:t>
                  </w:r>
                </w:p>
              </w:tc>
              <w:tc>
                <w:tcPr>
                  <w:tcW w:w="345" w:type="pct"/>
                  <w:shd w:val="clear" w:color="auto" w:fill="auto"/>
                  <w:noWrap w:val="0"/>
                  <w:vAlign w:val="center"/>
                </w:tcPr>
                <w:p w14:paraId="61276DE8">
                  <w:pPr>
                    <w:pStyle w:val="71"/>
                    <w:adjustRightInd w:val="0"/>
                    <w:ind w:left="-63" w:leftChars="-30" w:right="-63" w:rightChars="-30"/>
                    <w:jc w:val="center"/>
                    <w:rPr>
                      <w:rFonts w:hint="default"/>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0.03</w:t>
                  </w:r>
                </w:p>
              </w:tc>
              <w:tc>
                <w:tcPr>
                  <w:tcW w:w="769" w:type="pct"/>
                  <w:shd w:val="clear" w:color="auto" w:fill="auto"/>
                  <w:noWrap w:val="0"/>
                  <w:vAlign w:val="center"/>
                </w:tcPr>
                <w:p w14:paraId="1F66D6BB">
                  <w:pPr>
                    <w:pStyle w:val="71"/>
                    <w:adjustRightInd w:val="0"/>
                    <w:ind w:left="-63" w:leftChars="-30" w:right="-63" w:rightChars="-30"/>
                    <w:jc w:val="center"/>
                    <w:rPr>
                      <w:rFonts w:hint="eastAsia"/>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由专业物资回收单位回收再生处置</w:t>
                  </w:r>
                </w:p>
              </w:tc>
            </w:tr>
            <w:tr w14:paraId="6AD5FA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5" w:type="pct"/>
                  <w:noWrap w:val="0"/>
                  <w:vAlign w:val="center"/>
                </w:tcPr>
                <w:p w14:paraId="65626737">
                  <w:pPr>
                    <w:pStyle w:val="71"/>
                    <w:adjustRightInd w:val="0"/>
                    <w:ind w:left="-63" w:leftChars="-30" w:right="-63" w:rightChars="-30"/>
                    <w:jc w:val="center"/>
                    <w:rPr>
                      <w:rFonts w:hint="eastAsia" w:eastAsia="宋体"/>
                      <w:b w:val="0"/>
                      <w:bCs w:val="0"/>
                      <w:color w:val="auto"/>
                      <w:sz w:val="21"/>
                      <w:szCs w:val="21"/>
                      <w:highlight w:val="none"/>
                      <w:u w:val="single"/>
                      <w:lang w:eastAsia="zh-CN"/>
                    </w:rPr>
                  </w:pPr>
                  <w:r>
                    <w:rPr>
                      <w:rFonts w:hint="eastAsia"/>
                      <w:b w:val="0"/>
                      <w:bCs w:val="0"/>
                      <w:color w:val="auto"/>
                      <w:sz w:val="21"/>
                      <w:szCs w:val="21"/>
                      <w:highlight w:val="none"/>
                      <w:u w:val="single"/>
                      <w:lang w:val="en-US" w:eastAsia="zh-CN"/>
                    </w:rPr>
                    <w:t>4</w:t>
                  </w:r>
                </w:p>
              </w:tc>
              <w:tc>
                <w:tcPr>
                  <w:tcW w:w="572" w:type="pct"/>
                  <w:noWrap w:val="0"/>
                  <w:vAlign w:val="center"/>
                </w:tcPr>
                <w:p w14:paraId="03553ABB">
                  <w:pPr>
                    <w:pStyle w:val="71"/>
                    <w:adjustRightInd w:val="0"/>
                    <w:ind w:left="-63" w:leftChars="-30" w:right="-63" w:rightChars="-30"/>
                    <w:jc w:val="center"/>
                    <w:rPr>
                      <w:rFonts w:hint="eastAsia"/>
                      <w:b w:val="0"/>
                      <w:bCs w:val="0"/>
                      <w:color w:val="auto"/>
                      <w:sz w:val="21"/>
                      <w:szCs w:val="21"/>
                      <w:highlight w:val="none"/>
                      <w:u w:val="single"/>
                    </w:rPr>
                  </w:pPr>
                  <w:r>
                    <w:rPr>
                      <w:rFonts w:hint="eastAsia"/>
                      <w:b w:val="0"/>
                      <w:bCs w:val="0"/>
                      <w:color w:val="auto"/>
                      <w:sz w:val="21"/>
                      <w:szCs w:val="21"/>
                      <w:highlight w:val="none"/>
                      <w:u w:val="single"/>
                      <w:lang w:val="en-US" w:eastAsia="zh-CN"/>
                    </w:rPr>
                    <w:t>沉淀池沉淀物</w:t>
                  </w:r>
                </w:p>
              </w:tc>
              <w:tc>
                <w:tcPr>
                  <w:tcW w:w="715" w:type="pct"/>
                  <w:noWrap w:val="0"/>
                  <w:vAlign w:val="center"/>
                </w:tcPr>
                <w:p w14:paraId="2E1D6256">
                  <w:pPr>
                    <w:pStyle w:val="71"/>
                    <w:adjustRightInd w:val="0"/>
                    <w:ind w:left="-63" w:leftChars="-30" w:right="-63" w:rightChars="-30"/>
                    <w:jc w:val="center"/>
                    <w:rPr>
                      <w:rFonts w:hint="default" w:eastAsia="宋体"/>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沉淀池</w:t>
                  </w:r>
                </w:p>
              </w:tc>
              <w:tc>
                <w:tcPr>
                  <w:tcW w:w="548" w:type="pct"/>
                  <w:noWrap w:val="0"/>
                  <w:vAlign w:val="center"/>
                </w:tcPr>
                <w:p w14:paraId="45BCA411">
                  <w:pPr>
                    <w:pStyle w:val="71"/>
                    <w:adjustRightInd w:val="0"/>
                    <w:ind w:left="-63" w:leftChars="-30" w:right="-63" w:rightChars="-30"/>
                    <w:jc w:val="center"/>
                    <w:rPr>
                      <w:b w:val="0"/>
                      <w:bCs w:val="0"/>
                      <w:color w:val="auto"/>
                      <w:sz w:val="21"/>
                      <w:szCs w:val="21"/>
                      <w:highlight w:val="none"/>
                      <w:u w:val="single"/>
                    </w:rPr>
                  </w:pPr>
                  <w:r>
                    <w:rPr>
                      <w:rFonts w:hint="eastAsia"/>
                      <w:b w:val="0"/>
                      <w:bCs w:val="0"/>
                      <w:color w:val="auto"/>
                      <w:sz w:val="21"/>
                      <w:szCs w:val="21"/>
                      <w:highlight w:val="none"/>
                      <w:u w:val="single"/>
                    </w:rPr>
                    <w:t>一般固废</w:t>
                  </w:r>
                </w:p>
              </w:tc>
              <w:tc>
                <w:tcPr>
                  <w:tcW w:w="847" w:type="pct"/>
                  <w:noWrap w:val="0"/>
                  <w:vAlign w:val="center"/>
                </w:tcPr>
                <w:p w14:paraId="5D63875D">
                  <w:pPr>
                    <w:adjustRightInd w:val="0"/>
                    <w:ind w:left="-63" w:leftChars="-30" w:right="-63" w:rightChars="-30"/>
                    <w:jc w:val="center"/>
                    <w:rPr>
                      <w:b w:val="0"/>
                      <w:bCs w:val="0"/>
                      <w:color w:val="auto"/>
                      <w:sz w:val="21"/>
                      <w:szCs w:val="21"/>
                      <w:highlight w:val="none"/>
                      <w:u w:val="single"/>
                    </w:rPr>
                  </w:pPr>
                  <w:r>
                    <w:rPr>
                      <w:rFonts w:hint="eastAsia"/>
                      <w:b w:val="0"/>
                      <w:bCs w:val="0"/>
                      <w:color w:val="auto"/>
                      <w:sz w:val="21"/>
                      <w:szCs w:val="21"/>
                      <w:highlight w:val="none"/>
                      <w:u w:val="single"/>
                    </w:rPr>
                    <w:t>900-099-S07</w:t>
                  </w:r>
                </w:p>
              </w:tc>
              <w:tc>
                <w:tcPr>
                  <w:tcW w:w="498" w:type="pct"/>
                  <w:noWrap w:val="0"/>
                  <w:vAlign w:val="center"/>
                </w:tcPr>
                <w:p w14:paraId="6BED3145">
                  <w:pPr>
                    <w:pStyle w:val="71"/>
                    <w:adjustRightInd w:val="0"/>
                    <w:ind w:left="-63" w:leftChars="-30" w:right="-63" w:rightChars="-30"/>
                    <w:jc w:val="center"/>
                    <w:rPr>
                      <w:rFonts w:hint="default" w:eastAsia="宋体"/>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10</w:t>
                  </w:r>
                </w:p>
              </w:tc>
              <w:tc>
                <w:tcPr>
                  <w:tcW w:w="498" w:type="pct"/>
                  <w:noWrap w:val="0"/>
                  <w:vAlign w:val="center"/>
                </w:tcPr>
                <w:p w14:paraId="49323AD7">
                  <w:pPr>
                    <w:pStyle w:val="71"/>
                    <w:adjustRightInd w:val="0"/>
                    <w:ind w:left="-63" w:leftChars="-30" w:right="-63" w:rightChars="-30"/>
                    <w:jc w:val="center"/>
                    <w:rPr>
                      <w:rFonts w:hint="default" w:ascii="Times New Roman" w:hAnsi="Times New Roman" w:eastAsia="宋体" w:cs="Times New Roman"/>
                      <w:b w:val="0"/>
                      <w:bCs w:val="0"/>
                      <w:color w:val="auto"/>
                      <w:kern w:val="2"/>
                      <w:sz w:val="21"/>
                      <w:szCs w:val="21"/>
                      <w:highlight w:val="none"/>
                      <w:u w:val="single"/>
                      <w:lang w:val="en-US" w:eastAsia="zh-CN" w:bidi="ar-SA"/>
                    </w:rPr>
                  </w:pPr>
                  <w:r>
                    <w:rPr>
                      <w:rFonts w:hint="eastAsia" w:cs="Times New Roman"/>
                      <w:b w:val="0"/>
                      <w:bCs w:val="0"/>
                      <w:color w:val="auto"/>
                      <w:kern w:val="2"/>
                      <w:sz w:val="21"/>
                      <w:szCs w:val="21"/>
                      <w:highlight w:val="none"/>
                      <w:u w:val="single"/>
                      <w:lang w:val="en-US" w:eastAsia="zh-CN" w:bidi="ar-SA"/>
                    </w:rPr>
                    <w:t>/</w:t>
                  </w:r>
                </w:p>
              </w:tc>
              <w:tc>
                <w:tcPr>
                  <w:tcW w:w="345" w:type="pct"/>
                  <w:noWrap w:val="0"/>
                  <w:vAlign w:val="center"/>
                </w:tcPr>
                <w:p w14:paraId="09FC78CE">
                  <w:pPr>
                    <w:pStyle w:val="71"/>
                    <w:adjustRightInd w:val="0"/>
                    <w:ind w:left="-63" w:leftChars="-30" w:right="-63" w:rightChars="-30"/>
                    <w:jc w:val="center"/>
                    <w:rPr>
                      <w:rFonts w:hint="eastAsia" w:eastAsia="宋体"/>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10</w:t>
                  </w:r>
                </w:p>
              </w:tc>
              <w:tc>
                <w:tcPr>
                  <w:tcW w:w="769" w:type="pct"/>
                  <w:noWrap w:val="0"/>
                  <w:vAlign w:val="center"/>
                </w:tcPr>
                <w:p w14:paraId="562DB04B">
                  <w:pPr>
                    <w:pStyle w:val="71"/>
                    <w:adjustRightInd w:val="0"/>
                    <w:ind w:left="-63" w:leftChars="-30" w:right="-63" w:rightChars="-30"/>
                    <w:jc w:val="center"/>
                    <w:rPr>
                      <w:rFonts w:hint="default" w:eastAsia="宋体"/>
                      <w:b w:val="0"/>
                      <w:bCs w:val="0"/>
                      <w:color w:val="auto"/>
                      <w:sz w:val="21"/>
                      <w:szCs w:val="21"/>
                      <w:highlight w:val="none"/>
                      <w:u w:val="single"/>
                      <w:lang w:val="en-US" w:eastAsia="zh-CN"/>
                    </w:rPr>
                  </w:pPr>
                  <w:r>
                    <w:rPr>
                      <w:rFonts w:hint="default" w:eastAsia="宋体"/>
                      <w:b w:val="0"/>
                      <w:bCs w:val="0"/>
                      <w:color w:val="auto"/>
                      <w:sz w:val="21"/>
                      <w:szCs w:val="21"/>
                      <w:highlight w:val="none"/>
                      <w:u w:val="single"/>
                      <w:lang w:val="en-US" w:eastAsia="zh-CN"/>
                    </w:rPr>
                    <w:t>外售制砖厂、透水砖加工厂作为原料</w:t>
                  </w:r>
                </w:p>
              </w:tc>
            </w:tr>
            <w:tr w14:paraId="184ECC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5" w:type="pct"/>
                  <w:noWrap w:val="0"/>
                  <w:vAlign w:val="center"/>
                </w:tcPr>
                <w:p w14:paraId="191C885B">
                  <w:pPr>
                    <w:pStyle w:val="71"/>
                    <w:adjustRightInd w:val="0"/>
                    <w:ind w:left="-63" w:leftChars="-30" w:right="-63" w:rightChars="-30"/>
                    <w:jc w:val="center"/>
                    <w:rPr>
                      <w:rFonts w:hint="default"/>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5</w:t>
                  </w:r>
                </w:p>
              </w:tc>
              <w:tc>
                <w:tcPr>
                  <w:tcW w:w="572" w:type="pct"/>
                  <w:noWrap w:val="0"/>
                  <w:vAlign w:val="center"/>
                </w:tcPr>
                <w:p w14:paraId="16C415A3">
                  <w:pPr>
                    <w:pStyle w:val="71"/>
                    <w:adjustRightInd w:val="0"/>
                    <w:ind w:left="-63" w:leftChars="-30" w:right="-63" w:rightChars="-30"/>
                    <w:jc w:val="center"/>
                    <w:rPr>
                      <w:rFonts w:hint="eastAsia"/>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初期雨水收集池内沉淀污泥</w:t>
                  </w:r>
                </w:p>
              </w:tc>
              <w:tc>
                <w:tcPr>
                  <w:tcW w:w="715" w:type="pct"/>
                  <w:noWrap w:val="0"/>
                  <w:vAlign w:val="center"/>
                </w:tcPr>
                <w:p w14:paraId="764B126E">
                  <w:pPr>
                    <w:pStyle w:val="71"/>
                    <w:adjustRightInd w:val="0"/>
                    <w:ind w:left="-63" w:leftChars="-30" w:right="-63" w:rightChars="-30"/>
                    <w:jc w:val="center"/>
                    <w:rPr>
                      <w:rFonts w:hint="eastAsia"/>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初期雨水收集池</w:t>
                  </w:r>
                </w:p>
              </w:tc>
              <w:tc>
                <w:tcPr>
                  <w:tcW w:w="548" w:type="pct"/>
                  <w:noWrap w:val="0"/>
                  <w:vAlign w:val="center"/>
                </w:tcPr>
                <w:p w14:paraId="65669A54">
                  <w:pPr>
                    <w:pStyle w:val="71"/>
                    <w:adjustRightInd w:val="0"/>
                    <w:ind w:left="-63" w:leftChars="-30" w:right="-63" w:rightChars="-30"/>
                    <w:jc w:val="center"/>
                    <w:rPr>
                      <w:rFonts w:hint="eastAsia"/>
                      <w:b w:val="0"/>
                      <w:bCs w:val="0"/>
                      <w:color w:val="auto"/>
                      <w:sz w:val="21"/>
                      <w:szCs w:val="21"/>
                      <w:highlight w:val="none"/>
                      <w:u w:val="single"/>
                    </w:rPr>
                  </w:pPr>
                  <w:r>
                    <w:rPr>
                      <w:rFonts w:hint="eastAsia"/>
                      <w:b w:val="0"/>
                      <w:bCs w:val="0"/>
                      <w:color w:val="auto"/>
                      <w:sz w:val="21"/>
                      <w:szCs w:val="21"/>
                      <w:highlight w:val="none"/>
                      <w:u w:val="single"/>
                    </w:rPr>
                    <w:t>一般固废</w:t>
                  </w:r>
                </w:p>
              </w:tc>
              <w:tc>
                <w:tcPr>
                  <w:tcW w:w="847" w:type="pct"/>
                  <w:noWrap w:val="0"/>
                  <w:vAlign w:val="center"/>
                </w:tcPr>
                <w:p w14:paraId="1BA6706F">
                  <w:pPr>
                    <w:adjustRightInd w:val="0"/>
                    <w:ind w:left="-63" w:leftChars="-30" w:right="-63" w:rightChars="-30"/>
                    <w:jc w:val="center"/>
                    <w:rPr>
                      <w:rFonts w:hint="eastAsia"/>
                      <w:b w:val="0"/>
                      <w:bCs w:val="0"/>
                      <w:color w:val="auto"/>
                      <w:sz w:val="21"/>
                      <w:szCs w:val="21"/>
                      <w:highlight w:val="none"/>
                      <w:u w:val="single"/>
                    </w:rPr>
                  </w:pPr>
                  <w:r>
                    <w:rPr>
                      <w:rFonts w:hint="eastAsia"/>
                      <w:b w:val="0"/>
                      <w:bCs w:val="0"/>
                      <w:color w:val="auto"/>
                      <w:sz w:val="21"/>
                      <w:szCs w:val="21"/>
                      <w:highlight w:val="none"/>
                      <w:u w:val="single"/>
                    </w:rPr>
                    <w:t>900-099-S07</w:t>
                  </w:r>
                </w:p>
              </w:tc>
              <w:tc>
                <w:tcPr>
                  <w:tcW w:w="498" w:type="pct"/>
                  <w:noWrap w:val="0"/>
                  <w:vAlign w:val="center"/>
                </w:tcPr>
                <w:p w14:paraId="7E5F3C8D">
                  <w:pPr>
                    <w:pStyle w:val="71"/>
                    <w:adjustRightInd w:val="0"/>
                    <w:ind w:left="-63" w:leftChars="-30" w:right="-63" w:rightChars="-30"/>
                    <w:jc w:val="center"/>
                    <w:rPr>
                      <w:rFonts w:hint="default"/>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1</w:t>
                  </w:r>
                </w:p>
              </w:tc>
              <w:tc>
                <w:tcPr>
                  <w:tcW w:w="498" w:type="pct"/>
                  <w:noWrap w:val="0"/>
                  <w:vAlign w:val="center"/>
                </w:tcPr>
                <w:p w14:paraId="77C56DCE">
                  <w:pPr>
                    <w:pStyle w:val="71"/>
                    <w:adjustRightInd w:val="0"/>
                    <w:ind w:left="-63" w:leftChars="-30" w:right="-63" w:rightChars="-30"/>
                    <w:jc w:val="center"/>
                    <w:rPr>
                      <w:rFonts w:hint="default"/>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w:t>
                  </w:r>
                </w:p>
              </w:tc>
              <w:tc>
                <w:tcPr>
                  <w:tcW w:w="345" w:type="pct"/>
                  <w:noWrap w:val="0"/>
                  <w:vAlign w:val="center"/>
                </w:tcPr>
                <w:p w14:paraId="3097E12F">
                  <w:pPr>
                    <w:pStyle w:val="71"/>
                    <w:adjustRightInd w:val="0"/>
                    <w:ind w:left="-63" w:leftChars="-30" w:right="-63" w:rightChars="-30"/>
                    <w:jc w:val="center"/>
                    <w:rPr>
                      <w:rFonts w:hint="default"/>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1</w:t>
                  </w:r>
                </w:p>
              </w:tc>
              <w:tc>
                <w:tcPr>
                  <w:tcW w:w="769" w:type="pct"/>
                  <w:noWrap w:val="0"/>
                  <w:vAlign w:val="center"/>
                </w:tcPr>
                <w:p w14:paraId="1E5937BB">
                  <w:pPr>
                    <w:pStyle w:val="71"/>
                    <w:adjustRightInd w:val="0"/>
                    <w:ind w:left="-63" w:leftChars="-30" w:right="-63" w:rightChars="-30"/>
                    <w:jc w:val="center"/>
                    <w:rPr>
                      <w:rFonts w:hint="default" w:eastAsia="宋体"/>
                      <w:b w:val="0"/>
                      <w:bCs w:val="0"/>
                      <w:color w:val="auto"/>
                      <w:sz w:val="21"/>
                      <w:szCs w:val="21"/>
                      <w:highlight w:val="none"/>
                      <w:u w:val="single"/>
                      <w:lang w:val="en-US" w:eastAsia="zh-CN"/>
                    </w:rPr>
                  </w:pPr>
                  <w:r>
                    <w:rPr>
                      <w:rFonts w:hint="default" w:eastAsia="宋体"/>
                      <w:b w:val="0"/>
                      <w:bCs w:val="0"/>
                      <w:color w:val="auto"/>
                      <w:sz w:val="21"/>
                      <w:szCs w:val="21"/>
                      <w:highlight w:val="none"/>
                      <w:u w:val="single"/>
                      <w:lang w:val="en-US" w:eastAsia="zh-CN"/>
                    </w:rPr>
                    <w:t>外售制砖厂、透水砖加工厂作为原料</w:t>
                  </w:r>
                </w:p>
              </w:tc>
            </w:tr>
            <w:tr w14:paraId="1E7A3B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5" w:type="pct"/>
                  <w:noWrap w:val="0"/>
                  <w:vAlign w:val="center"/>
                </w:tcPr>
                <w:p w14:paraId="16A13D19">
                  <w:pPr>
                    <w:pStyle w:val="71"/>
                    <w:adjustRightInd w:val="0"/>
                    <w:ind w:left="-63" w:leftChars="-30" w:right="-63" w:rightChars="-30"/>
                    <w:jc w:val="center"/>
                    <w:rPr>
                      <w:rFonts w:hint="default"/>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6</w:t>
                  </w:r>
                </w:p>
              </w:tc>
              <w:tc>
                <w:tcPr>
                  <w:tcW w:w="572" w:type="pct"/>
                  <w:noWrap w:val="0"/>
                  <w:vAlign w:val="center"/>
                </w:tcPr>
                <w:p w14:paraId="7924973E">
                  <w:pPr>
                    <w:pStyle w:val="71"/>
                    <w:adjustRightInd w:val="0"/>
                    <w:ind w:left="-63" w:leftChars="-30" w:right="-63" w:rightChars="-30"/>
                    <w:jc w:val="center"/>
                    <w:rPr>
                      <w:rFonts w:hint="default" w:eastAsia="宋体"/>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化验室废试样</w:t>
                  </w:r>
                </w:p>
              </w:tc>
              <w:tc>
                <w:tcPr>
                  <w:tcW w:w="715" w:type="pct"/>
                  <w:noWrap w:val="0"/>
                  <w:vAlign w:val="center"/>
                </w:tcPr>
                <w:p w14:paraId="330F505A">
                  <w:pPr>
                    <w:pStyle w:val="71"/>
                    <w:adjustRightInd w:val="0"/>
                    <w:ind w:left="-63" w:leftChars="-30" w:right="-63" w:rightChars="-30"/>
                    <w:jc w:val="center"/>
                    <w:rPr>
                      <w:rFonts w:hint="eastAsia" w:eastAsia="宋体"/>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化验室</w:t>
                  </w:r>
                </w:p>
              </w:tc>
              <w:tc>
                <w:tcPr>
                  <w:tcW w:w="548" w:type="pct"/>
                  <w:noWrap w:val="0"/>
                  <w:vAlign w:val="center"/>
                </w:tcPr>
                <w:p w14:paraId="6EC9399A">
                  <w:pPr>
                    <w:pStyle w:val="71"/>
                    <w:adjustRightInd w:val="0"/>
                    <w:ind w:left="-63" w:leftChars="-30" w:right="-63" w:rightChars="-30"/>
                    <w:jc w:val="center"/>
                    <w:rPr>
                      <w:rFonts w:hint="eastAsia"/>
                      <w:b w:val="0"/>
                      <w:bCs w:val="0"/>
                      <w:color w:val="auto"/>
                      <w:sz w:val="21"/>
                      <w:szCs w:val="21"/>
                      <w:highlight w:val="none"/>
                      <w:u w:val="single"/>
                    </w:rPr>
                  </w:pPr>
                  <w:r>
                    <w:rPr>
                      <w:rFonts w:hint="eastAsia"/>
                      <w:b w:val="0"/>
                      <w:bCs w:val="0"/>
                      <w:color w:val="auto"/>
                      <w:sz w:val="21"/>
                      <w:szCs w:val="21"/>
                      <w:highlight w:val="none"/>
                      <w:u w:val="single"/>
                    </w:rPr>
                    <w:t>一般固废</w:t>
                  </w:r>
                </w:p>
              </w:tc>
              <w:tc>
                <w:tcPr>
                  <w:tcW w:w="847" w:type="pct"/>
                  <w:noWrap w:val="0"/>
                  <w:vAlign w:val="center"/>
                </w:tcPr>
                <w:p w14:paraId="3161DD61">
                  <w:pPr>
                    <w:keepNext w:val="0"/>
                    <w:keepLines w:val="0"/>
                    <w:widowControl/>
                    <w:suppressLineNumbers w:val="0"/>
                    <w:jc w:val="center"/>
                    <w:rPr>
                      <w:b w:val="0"/>
                      <w:bCs w:val="0"/>
                      <w:color w:val="auto"/>
                      <w:sz w:val="21"/>
                      <w:szCs w:val="21"/>
                      <w:highlight w:val="none"/>
                      <w:u w:val="single"/>
                    </w:rPr>
                  </w:pPr>
                  <w:r>
                    <w:rPr>
                      <w:rFonts w:hint="default" w:ascii="Times New Roman" w:hAnsi="Times New Roman" w:eastAsia="宋体" w:cs="Times New Roman"/>
                      <w:color w:val="auto"/>
                      <w:kern w:val="0"/>
                      <w:sz w:val="21"/>
                      <w:szCs w:val="21"/>
                      <w:highlight w:val="none"/>
                      <w:u w:val="single"/>
                      <w:lang w:val="en-US" w:eastAsia="zh-CN" w:bidi="ar"/>
                    </w:rPr>
                    <w:t>900-099-S59</w:t>
                  </w:r>
                </w:p>
              </w:tc>
              <w:tc>
                <w:tcPr>
                  <w:tcW w:w="498" w:type="pct"/>
                  <w:noWrap w:val="0"/>
                  <w:vAlign w:val="center"/>
                </w:tcPr>
                <w:p w14:paraId="1A620811">
                  <w:pPr>
                    <w:pStyle w:val="71"/>
                    <w:adjustRightInd w:val="0"/>
                    <w:ind w:left="-63" w:leftChars="-30" w:right="-63" w:rightChars="-30"/>
                    <w:jc w:val="center"/>
                    <w:rPr>
                      <w:rFonts w:hint="default"/>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3.399</w:t>
                  </w:r>
                </w:p>
              </w:tc>
              <w:tc>
                <w:tcPr>
                  <w:tcW w:w="498" w:type="pct"/>
                  <w:noWrap w:val="0"/>
                  <w:vAlign w:val="center"/>
                </w:tcPr>
                <w:p w14:paraId="4825E72D">
                  <w:pPr>
                    <w:pStyle w:val="71"/>
                    <w:adjustRightInd w:val="0"/>
                    <w:ind w:left="-63" w:leftChars="-30" w:right="-63" w:rightChars="-30"/>
                    <w:jc w:val="center"/>
                    <w:rPr>
                      <w:rFonts w:hint="default"/>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w:t>
                  </w:r>
                </w:p>
              </w:tc>
              <w:tc>
                <w:tcPr>
                  <w:tcW w:w="345" w:type="pct"/>
                  <w:noWrap w:val="0"/>
                  <w:vAlign w:val="center"/>
                </w:tcPr>
                <w:p w14:paraId="11F4A329">
                  <w:pPr>
                    <w:adjustRightInd w:val="0"/>
                    <w:ind w:left="-63" w:leftChars="-30" w:right="-63" w:rightChars="-30"/>
                    <w:jc w:val="center"/>
                    <w:rPr>
                      <w:rFonts w:hint="default"/>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3.399</w:t>
                  </w:r>
                </w:p>
              </w:tc>
              <w:tc>
                <w:tcPr>
                  <w:tcW w:w="769" w:type="pct"/>
                  <w:noWrap w:val="0"/>
                  <w:vAlign w:val="center"/>
                </w:tcPr>
                <w:p w14:paraId="6185B009">
                  <w:pPr>
                    <w:pStyle w:val="71"/>
                    <w:adjustRightInd w:val="0"/>
                    <w:ind w:left="-63" w:leftChars="-30" w:right="-63" w:rightChars="-30"/>
                    <w:jc w:val="center"/>
                    <w:rPr>
                      <w:rFonts w:hint="default" w:eastAsia="宋体"/>
                      <w:b w:val="0"/>
                      <w:bCs w:val="0"/>
                      <w:color w:val="auto"/>
                      <w:sz w:val="21"/>
                      <w:szCs w:val="21"/>
                      <w:highlight w:val="none"/>
                      <w:u w:val="single"/>
                      <w:lang w:val="en-US" w:eastAsia="zh-CN"/>
                    </w:rPr>
                  </w:pPr>
                  <w:r>
                    <w:rPr>
                      <w:rFonts w:hint="default" w:eastAsia="宋体"/>
                      <w:b w:val="0"/>
                      <w:bCs w:val="0"/>
                      <w:color w:val="auto"/>
                      <w:sz w:val="21"/>
                      <w:szCs w:val="21"/>
                      <w:highlight w:val="none"/>
                      <w:u w:val="single"/>
                      <w:lang w:val="en-US" w:eastAsia="zh-CN"/>
                    </w:rPr>
                    <w:t>外运至再生骨料加工厂加工再生砂石</w:t>
                  </w:r>
                </w:p>
              </w:tc>
            </w:tr>
            <w:tr w14:paraId="73F607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20" w:hRule="atLeast"/>
              </w:trPr>
              <w:tc>
                <w:tcPr>
                  <w:tcW w:w="205" w:type="pct"/>
                  <w:noWrap w:val="0"/>
                  <w:vAlign w:val="center"/>
                </w:tcPr>
                <w:p w14:paraId="0AB2D5B2">
                  <w:pPr>
                    <w:pStyle w:val="71"/>
                    <w:adjustRightInd w:val="0"/>
                    <w:ind w:left="-63" w:leftChars="-30" w:right="-63" w:rightChars="-30"/>
                    <w:jc w:val="center"/>
                    <w:rPr>
                      <w:rFonts w:hint="default"/>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7</w:t>
                  </w:r>
                </w:p>
              </w:tc>
              <w:tc>
                <w:tcPr>
                  <w:tcW w:w="572" w:type="pct"/>
                  <w:noWrap w:val="0"/>
                  <w:vAlign w:val="center"/>
                </w:tcPr>
                <w:p w14:paraId="1C24A607">
                  <w:pPr>
                    <w:pStyle w:val="71"/>
                    <w:adjustRightInd w:val="0"/>
                    <w:ind w:left="-63" w:leftChars="-30" w:right="-63" w:rightChars="-30"/>
                    <w:jc w:val="center"/>
                    <w:rPr>
                      <w:rFonts w:hint="eastAsia"/>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混凝土类建筑垃圾</w:t>
                  </w:r>
                </w:p>
              </w:tc>
              <w:tc>
                <w:tcPr>
                  <w:tcW w:w="715" w:type="pct"/>
                  <w:noWrap w:val="0"/>
                  <w:vAlign w:val="center"/>
                </w:tcPr>
                <w:p w14:paraId="673CDAC9">
                  <w:pPr>
                    <w:pStyle w:val="71"/>
                    <w:adjustRightInd w:val="0"/>
                    <w:ind w:left="-63" w:leftChars="-30" w:right="-63" w:rightChars="-30"/>
                    <w:jc w:val="center"/>
                    <w:rPr>
                      <w:rFonts w:hint="eastAsia"/>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硬化地面、钢筋混凝土水池（沉淀池、初期雨水收集池）、搅拌站设备基础拆除</w:t>
                  </w:r>
                </w:p>
              </w:tc>
              <w:tc>
                <w:tcPr>
                  <w:tcW w:w="928" w:type="dxa"/>
                  <w:noWrap w:val="0"/>
                  <w:vAlign w:val="center"/>
                </w:tcPr>
                <w:p w14:paraId="5DB73D30">
                  <w:pPr>
                    <w:pStyle w:val="71"/>
                    <w:adjustRightInd w:val="0"/>
                    <w:ind w:left="-63" w:leftChars="-30" w:right="-63" w:rightChars="-30"/>
                    <w:jc w:val="center"/>
                    <w:rPr>
                      <w:rFonts w:hint="eastAsia"/>
                      <w:b w:val="0"/>
                      <w:bCs w:val="0"/>
                      <w:color w:val="auto"/>
                      <w:sz w:val="21"/>
                      <w:szCs w:val="21"/>
                      <w:highlight w:val="none"/>
                      <w:u w:val="single"/>
                    </w:rPr>
                  </w:pPr>
                  <w:r>
                    <w:rPr>
                      <w:rFonts w:hint="eastAsia"/>
                      <w:b w:val="0"/>
                      <w:bCs w:val="0"/>
                      <w:color w:val="auto"/>
                      <w:sz w:val="21"/>
                      <w:szCs w:val="21"/>
                      <w:highlight w:val="none"/>
                      <w:u w:val="single"/>
                    </w:rPr>
                    <w:t>一般固废</w:t>
                  </w:r>
                </w:p>
              </w:tc>
              <w:tc>
                <w:tcPr>
                  <w:tcW w:w="847" w:type="pct"/>
                  <w:noWrap w:val="0"/>
                  <w:vAlign w:val="center"/>
                </w:tcPr>
                <w:p w14:paraId="7197C188">
                  <w:pPr>
                    <w:keepNext w:val="0"/>
                    <w:keepLines w:val="0"/>
                    <w:widowControl/>
                    <w:suppressLineNumbers w:val="0"/>
                    <w:jc w:val="center"/>
                    <w:rPr>
                      <w:rFonts w:hint="default" w:ascii="Times New Roman" w:hAnsi="Times New Roman" w:eastAsia="宋体" w:cs="Times New Roman"/>
                      <w:color w:val="auto"/>
                      <w:kern w:val="0"/>
                      <w:sz w:val="21"/>
                      <w:szCs w:val="21"/>
                      <w:highlight w:val="none"/>
                      <w:u w:val="single"/>
                      <w:lang w:val="en-US" w:eastAsia="zh-CN" w:bidi="ar"/>
                    </w:rPr>
                  </w:pPr>
                  <w:r>
                    <w:rPr>
                      <w:rFonts w:hint="default" w:ascii="Times New Roman" w:hAnsi="Times New Roman" w:eastAsia="宋体" w:cs="Times New Roman"/>
                      <w:color w:val="auto"/>
                      <w:kern w:val="0"/>
                      <w:sz w:val="21"/>
                      <w:szCs w:val="21"/>
                      <w:highlight w:val="none"/>
                      <w:u w:val="single"/>
                      <w:lang w:val="en-US" w:eastAsia="zh-CN" w:bidi="ar"/>
                    </w:rPr>
                    <w:t>502-099-S73</w:t>
                  </w:r>
                </w:p>
              </w:tc>
              <w:tc>
                <w:tcPr>
                  <w:tcW w:w="498" w:type="pct"/>
                  <w:noWrap w:val="0"/>
                  <w:vAlign w:val="center"/>
                </w:tcPr>
                <w:p w14:paraId="0C0D4C53">
                  <w:pPr>
                    <w:pStyle w:val="71"/>
                    <w:adjustRightInd w:val="0"/>
                    <w:ind w:left="-63" w:leftChars="-30" w:right="-63" w:rightChars="-30"/>
                    <w:jc w:val="center"/>
                    <w:rPr>
                      <w:rFonts w:hint="default"/>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3811.5</w:t>
                  </w:r>
                </w:p>
              </w:tc>
              <w:tc>
                <w:tcPr>
                  <w:tcW w:w="498" w:type="pct"/>
                  <w:noWrap w:val="0"/>
                  <w:vAlign w:val="center"/>
                </w:tcPr>
                <w:p w14:paraId="641A3051">
                  <w:pPr>
                    <w:pStyle w:val="71"/>
                    <w:adjustRightInd w:val="0"/>
                    <w:ind w:left="-63" w:leftChars="-30" w:right="-63" w:rightChars="-30"/>
                    <w:jc w:val="center"/>
                    <w:rPr>
                      <w:rFonts w:hint="default"/>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w:t>
                  </w:r>
                </w:p>
              </w:tc>
              <w:tc>
                <w:tcPr>
                  <w:tcW w:w="584" w:type="dxa"/>
                  <w:noWrap w:val="0"/>
                  <w:vAlign w:val="center"/>
                </w:tcPr>
                <w:p w14:paraId="21DCFBC0">
                  <w:pPr>
                    <w:pStyle w:val="71"/>
                    <w:adjustRightInd w:val="0"/>
                    <w:ind w:left="-63" w:leftChars="-30" w:right="-63" w:rightChars="-30"/>
                    <w:jc w:val="center"/>
                    <w:rPr>
                      <w:rFonts w:hint="eastAsia"/>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3811.5</w:t>
                  </w:r>
                </w:p>
              </w:tc>
              <w:tc>
                <w:tcPr>
                  <w:tcW w:w="769" w:type="pct"/>
                  <w:noWrap w:val="0"/>
                  <w:vAlign w:val="center"/>
                </w:tcPr>
                <w:p w14:paraId="13AE9620">
                  <w:pPr>
                    <w:pStyle w:val="71"/>
                    <w:adjustRightInd w:val="0"/>
                    <w:ind w:left="-63" w:leftChars="-30" w:right="-63" w:rightChars="-30"/>
                    <w:jc w:val="center"/>
                    <w:rPr>
                      <w:rFonts w:hint="default" w:eastAsia="宋体"/>
                      <w:b w:val="0"/>
                      <w:bCs w:val="0"/>
                      <w:color w:val="auto"/>
                      <w:sz w:val="21"/>
                      <w:szCs w:val="21"/>
                      <w:highlight w:val="none"/>
                      <w:u w:val="single"/>
                      <w:lang w:val="en-US" w:eastAsia="zh-CN"/>
                    </w:rPr>
                  </w:pPr>
                  <w:r>
                    <w:rPr>
                      <w:rFonts w:hint="default" w:eastAsia="宋体"/>
                      <w:b w:val="0"/>
                      <w:bCs w:val="0"/>
                      <w:color w:val="auto"/>
                      <w:sz w:val="21"/>
                      <w:szCs w:val="21"/>
                      <w:highlight w:val="none"/>
                      <w:u w:val="single"/>
                      <w:lang w:val="en-US" w:eastAsia="zh-CN"/>
                    </w:rPr>
                    <w:t>集中分类堆放后，委托具备合法清运资质的单位，全部运送至当地合规建筑垃圾消纳场规范处置</w:t>
                  </w:r>
                </w:p>
              </w:tc>
            </w:tr>
            <w:tr w14:paraId="7CC3AB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05" w:type="pct"/>
                  <w:noWrap w:val="0"/>
                  <w:vAlign w:val="center"/>
                </w:tcPr>
                <w:p w14:paraId="39AE79E9">
                  <w:pPr>
                    <w:pStyle w:val="71"/>
                    <w:adjustRightInd w:val="0"/>
                    <w:ind w:left="-63" w:leftChars="-30" w:right="-63" w:rightChars="-30"/>
                    <w:jc w:val="center"/>
                    <w:rPr>
                      <w:rFonts w:hint="default"/>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8</w:t>
                  </w:r>
                </w:p>
              </w:tc>
              <w:tc>
                <w:tcPr>
                  <w:tcW w:w="572" w:type="pct"/>
                  <w:noWrap w:val="0"/>
                  <w:vAlign w:val="center"/>
                </w:tcPr>
                <w:p w14:paraId="3A763D8F">
                  <w:pPr>
                    <w:pStyle w:val="71"/>
                    <w:adjustRightInd w:val="0"/>
                    <w:ind w:left="-63" w:leftChars="-30" w:right="-63" w:rightChars="-30"/>
                    <w:jc w:val="center"/>
                    <w:rPr>
                      <w:rFonts w:hint="eastAsia"/>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金属类拆除废物</w:t>
                  </w:r>
                </w:p>
              </w:tc>
              <w:tc>
                <w:tcPr>
                  <w:tcW w:w="715" w:type="pct"/>
                  <w:noWrap w:val="0"/>
                  <w:vAlign w:val="center"/>
                </w:tcPr>
                <w:p w14:paraId="500B69C1">
                  <w:pPr>
                    <w:pStyle w:val="71"/>
                    <w:adjustRightInd w:val="0"/>
                    <w:ind w:left="-63" w:leftChars="-30" w:right="-63" w:rightChars="-30"/>
                    <w:jc w:val="center"/>
                    <w:rPr>
                      <w:rFonts w:hint="eastAsia"/>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彩钢建（构）筑物、生产设备钢结构拆除</w:t>
                  </w:r>
                </w:p>
              </w:tc>
              <w:tc>
                <w:tcPr>
                  <w:tcW w:w="928" w:type="dxa"/>
                  <w:noWrap w:val="0"/>
                  <w:vAlign w:val="center"/>
                </w:tcPr>
                <w:p w14:paraId="121FE7FD">
                  <w:pPr>
                    <w:pStyle w:val="71"/>
                    <w:adjustRightInd w:val="0"/>
                    <w:ind w:left="-63" w:leftChars="-30" w:right="-63" w:rightChars="-30"/>
                    <w:jc w:val="center"/>
                    <w:rPr>
                      <w:rFonts w:hint="eastAsia"/>
                      <w:b w:val="0"/>
                      <w:bCs w:val="0"/>
                      <w:color w:val="auto"/>
                      <w:sz w:val="21"/>
                      <w:szCs w:val="21"/>
                      <w:highlight w:val="none"/>
                      <w:u w:val="single"/>
                    </w:rPr>
                  </w:pPr>
                  <w:r>
                    <w:rPr>
                      <w:rFonts w:hint="eastAsia"/>
                      <w:b w:val="0"/>
                      <w:bCs w:val="0"/>
                      <w:color w:val="auto"/>
                      <w:sz w:val="21"/>
                      <w:szCs w:val="21"/>
                      <w:highlight w:val="none"/>
                      <w:u w:val="single"/>
                    </w:rPr>
                    <w:t>一般固废</w:t>
                  </w:r>
                </w:p>
              </w:tc>
              <w:tc>
                <w:tcPr>
                  <w:tcW w:w="847" w:type="pct"/>
                  <w:noWrap w:val="0"/>
                  <w:vAlign w:val="center"/>
                </w:tcPr>
                <w:p w14:paraId="71237171">
                  <w:pPr>
                    <w:keepNext w:val="0"/>
                    <w:keepLines w:val="0"/>
                    <w:widowControl/>
                    <w:suppressLineNumbers w:val="0"/>
                    <w:jc w:val="center"/>
                    <w:rPr>
                      <w:rFonts w:hint="default" w:ascii="Times New Roman" w:hAnsi="Times New Roman" w:eastAsia="宋体" w:cs="Times New Roman"/>
                      <w:color w:val="auto"/>
                      <w:kern w:val="0"/>
                      <w:sz w:val="21"/>
                      <w:szCs w:val="21"/>
                      <w:highlight w:val="none"/>
                      <w:u w:val="single"/>
                      <w:lang w:val="en-US" w:eastAsia="zh-CN" w:bidi="ar"/>
                    </w:rPr>
                  </w:pPr>
                  <w:r>
                    <w:rPr>
                      <w:rFonts w:hint="default" w:ascii="Times New Roman" w:hAnsi="Times New Roman" w:eastAsia="宋体" w:cs="Times New Roman"/>
                      <w:color w:val="auto"/>
                      <w:kern w:val="0"/>
                      <w:sz w:val="21"/>
                      <w:szCs w:val="21"/>
                      <w:highlight w:val="none"/>
                      <w:u w:val="single"/>
                      <w:lang w:val="en-US" w:eastAsia="zh-CN" w:bidi="ar"/>
                    </w:rPr>
                    <w:t>建筑金属：502-001-S73</w:t>
                  </w:r>
                </w:p>
                <w:p w14:paraId="2BC451AB">
                  <w:pPr>
                    <w:keepNext w:val="0"/>
                    <w:keepLines w:val="0"/>
                    <w:widowControl/>
                    <w:suppressLineNumbers w:val="0"/>
                    <w:jc w:val="center"/>
                    <w:rPr>
                      <w:rFonts w:hint="default" w:ascii="Times New Roman" w:hAnsi="Times New Roman" w:eastAsia="宋体" w:cs="Times New Roman"/>
                      <w:color w:val="auto"/>
                      <w:kern w:val="0"/>
                      <w:sz w:val="21"/>
                      <w:szCs w:val="21"/>
                      <w:highlight w:val="none"/>
                      <w:u w:val="single"/>
                      <w:lang w:val="en-US" w:eastAsia="zh-CN" w:bidi="ar"/>
                    </w:rPr>
                  </w:pPr>
                  <w:r>
                    <w:rPr>
                      <w:rFonts w:hint="default" w:ascii="Times New Roman" w:hAnsi="Times New Roman" w:eastAsia="宋体" w:cs="Times New Roman"/>
                      <w:color w:val="auto"/>
                      <w:kern w:val="0"/>
                      <w:sz w:val="21"/>
                      <w:szCs w:val="21"/>
                      <w:highlight w:val="none"/>
                      <w:u w:val="single"/>
                      <w:lang w:val="en-US" w:eastAsia="zh-CN" w:bidi="ar"/>
                    </w:rPr>
                    <w:t>设备废钢：900-001-S17</w:t>
                  </w:r>
                </w:p>
              </w:tc>
              <w:tc>
                <w:tcPr>
                  <w:tcW w:w="498" w:type="pct"/>
                  <w:noWrap w:val="0"/>
                  <w:vAlign w:val="center"/>
                </w:tcPr>
                <w:p w14:paraId="381BD101">
                  <w:pPr>
                    <w:pStyle w:val="71"/>
                    <w:adjustRightInd w:val="0"/>
                    <w:ind w:left="-63" w:leftChars="-30" w:right="-63" w:rightChars="-30"/>
                    <w:jc w:val="center"/>
                    <w:rPr>
                      <w:rFonts w:hint="default"/>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268.3</w:t>
                  </w:r>
                </w:p>
              </w:tc>
              <w:tc>
                <w:tcPr>
                  <w:tcW w:w="498" w:type="pct"/>
                  <w:noWrap w:val="0"/>
                  <w:vAlign w:val="center"/>
                </w:tcPr>
                <w:p w14:paraId="68FF71C1">
                  <w:pPr>
                    <w:pStyle w:val="71"/>
                    <w:adjustRightInd w:val="0"/>
                    <w:ind w:left="-63" w:leftChars="-30" w:right="-63" w:rightChars="-30"/>
                    <w:jc w:val="center"/>
                    <w:rPr>
                      <w:rFonts w:hint="default"/>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w:t>
                  </w:r>
                </w:p>
              </w:tc>
              <w:tc>
                <w:tcPr>
                  <w:tcW w:w="584" w:type="dxa"/>
                  <w:noWrap w:val="0"/>
                  <w:vAlign w:val="center"/>
                </w:tcPr>
                <w:p w14:paraId="224F2538">
                  <w:pPr>
                    <w:pStyle w:val="71"/>
                    <w:adjustRightInd w:val="0"/>
                    <w:ind w:left="-63" w:leftChars="-30" w:right="-63" w:rightChars="-30"/>
                    <w:jc w:val="center"/>
                    <w:rPr>
                      <w:rFonts w:hint="eastAsia"/>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268.3</w:t>
                  </w:r>
                </w:p>
              </w:tc>
              <w:tc>
                <w:tcPr>
                  <w:tcW w:w="769" w:type="pct"/>
                  <w:noWrap w:val="0"/>
                  <w:vAlign w:val="center"/>
                </w:tcPr>
                <w:p w14:paraId="27C83473">
                  <w:pPr>
                    <w:pStyle w:val="71"/>
                    <w:adjustRightInd w:val="0"/>
                    <w:ind w:left="-63" w:leftChars="-30" w:right="-63" w:rightChars="-30"/>
                    <w:jc w:val="center"/>
                    <w:rPr>
                      <w:rFonts w:hint="default" w:eastAsia="宋体"/>
                      <w:b w:val="0"/>
                      <w:bCs w:val="0"/>
                      <w:color w:val="auto"/>
                      <w:sz w:val="21"/>
                      <w:szCs w:val="21"/>
                      <w:highlight w:val="none"/>
                      <w:u w:val="single"/>
                      <w:lang w:val="en-US" w:eastAsia="zh-CN"/>
                    </w:rPr>
                  </w:pPr>
                  <w:r>
                    <w:rPr>
                      <w:rFonts w:hint="default" w:eastAsia="宋体"/>
                      <w:b w:val="0"/>
                      <w:bCs w:val="0"/>
                      <w:color w:val="auto"/>
                      <w:sz w:val="21"/>
                      <w:szCs w:val="21"/>
                      <w:highlight w:val="none"/>
                      <w:u w:val="single"/>
                      <w:lang w:val="en-US" w:eastAsia="zh-CN"/>
                    </w:rPr>
                    <w:t>彩钢板、废钢筋、钢结构构件、报废设备金属件等可回收物料，统一收集后交由具备资质的再生资源回收单位进行回收资源化利用</w:t>
                  </w:r>
                </w:p>
              </w:tc>
            </w:tr>
            <w:tr w14:paraId="5EDCD1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205" w:type="pct"/>
                  <w:noWrap w:val="0"/>
                  <w:vAlign w:val="center"/>
                </w:tcPr>
                <w:p w14:paraId="5CADEE0C">
                  <w:pPr>
                    <w:pStyle w:val="71"/>
                    <w:adjustRightInd w:val="0"/>
                    <w:ind w:left="-63" w:leftChars="-30" w:right="-63" w:rightChars="-30"/>
                    <w:jc w:val="center"/>
                    <w:rPr>
                      <w:rFonts w:hint="default"/>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9</w:t>
                  </w:r>
                </w:p>
              </w:tc>
              <w:tc>
                <w:tcPr>
                  <w:tcW w:w="572" w:type="pct"/>
                  <w:noWrap w:val="0"/>
                  <w:vAlign w:val="center"/>
                </w:tcPr>
                <w:p w14:paraId="1D5BE2C6">
                  <w:pPr>
                    <w:pStyle w:val="71"/>
                    <w:adjustRightInd w:val="0"/>
                    <w:ind w:left="-63" w:leftChars="-30" w:right="-63" w:rightChars="-30"/>
                    <w:jc w:val="center"/>
                    <w:rPr>
                      <w:rFonts w:hint="eastAsia"/>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残留生产物料类废物</w:t>
                  </w:r>
                </w:p>
              </w:tc>
              <w:tc>
                <w:tcPr>
                  <w:tcW w:w="715" w:type="pct"/>
                  <w:noWrap w:val="0"/>
                  <w:vAlign w:val="center"/>
                </w:tcPr>
                <w:p w14:paraId="5AF63D14">
                  <w:pPr>
                    <w:pStyle w:val="71"/>
                    <w:adjustRightInd w:val="0"/>
                    <w:ind w:left="-63" w:leftChars="-30" w:right="-63" w:rightChars="-30"/>
                    <w:jc w:val="center"/>
                    <w:rPr>
                      <w:rFonts w:hint="eastAsia"/>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设备筒仓、搅拌主机内清理出的水泥、粉煤灰结块及残留粉料</w:t>
                  </w:r>
                </w:p>
              </w:tc>
              <w:tc>
                <w:tcPr>
                  <w:tcW w:w="928" w:type="dxa"/>
                  <w:noWrap w:val="0"/>
                  <w:vAlign w:val="center"/>
                </w:tcPr>
                <w:p w14:paraId="38AF10E8">
                  <w:pPr>
                    <w:pStyle w:val="71"/>
                    <w:adjustRightInd w:val="0"/>
                    <w:ind w:left="-63" w:leftChars="-30" w:right="-63" w:rightChars="-30"/>
                    <w:jc w:val="center"/>
                    <w:rPr>
                      <w:rFonts w:hint="eastAsia"/>
                      <w:b w:val="0"/>
                      <w:bCs w:val="0"/>
                      <w:color w:val="auto"/>
                      <w:sz w:val="21"/>
                      <w:szCs w:val="21"/>
                      <w:highlight w:val="none"/>
                      <w:u w:val="single"/>
                    </w:rPr>
                  </w:pPr>
                  <w:r>
                    <w:rPr>
                      <w:rFonts w:hint="eastAsia"/>
                      <w:b w:val="0"/>
                      <w:bCs w:val="0"/>
                      <w:color w:val="auto"/>
                      <w:sz w:val="21"/>
                      <w:szCs w:val="21"/>
                      <w:highlight w:val="none"/>
                      <w:u w:val="single"/>
                    </w:rPr>
                    <w:t>一般固废</w:t>
                  </w:r>
                </w:p>
              </w:tc>
              <w:tc>
                <w:tcPr>
                  <w:tcW w:w="847" w:type="pct"/>
                  <w:noWrap w:val="0"/>
                  <w:vAlign w:val="center"/>
                </w:tcPr>
                <w:p w14:paraId="715EE431">
                  <w:pPr>
                    <w:keepNext w:val="0"/>
                    <w:keepLines w:val="0"/>
                    <w:widowControl/>
                    <w:suppressLineNumbers w:val="0"/>
                    <w:jc w:val="center"/>
                    <w:rPr>
                      <w:rFonts w:hint="default" w:ascii="Times New Roman" w:hAnsi="Times New Roman" w:eastAsia="宋体" w:cs="Times New Roman"/>
                      <w:color w:val="auto"/>
                      <w:kern w:val="0"/>
                      <w:sz w:val="21"/>
                      <w:szCs w:val="21"/>
                      <w:highlight w:val="none"/>
                      <w:u w:val="single"/>
                      <w:lang w:val="en-US" w:eastAsia="zh-CN" w:bidi="ar"/>
                    </w:rPr>
                  </w:pPr>
                  <w:r>
                    <w:rPr>
                      <w:rFonts w:hint="default" w:ascii="Times New Roman" w:hAnsi="Times New Roman" w:eastAsia="宋体" w:cs="Times New Roman"/>
                      <w:color w:val="auto"/>
                      <w:kern w:val="0"/>
                      <w:sz w:val="21"/>
                      <w:szCs w:val="21"/>
                      <w:highlight w:val="none"/>
                      <w:u w:val="single"/>
                      <w:lang w:val="en-US" w:eastAsia="zh-CN" w:bidi="ar"/>
                    </w:rPr>
                    <w:t>900-099-S59</w:t>
                  </w:r>
                </w:p>
              </w:tc>
              <w:tc>
                <w:tcPr>
                  <w:tcW w:w="498" w:type="pct"/>
                  <w:noWrap w:val="0"/>
                  <w:vAlign w:val="center"/>
                </w:tcPr>
                <w:p w14:paraId="539F9159">
                  <w:pPr>
                    <w:pStyle w:val="71"/>
                    <w:adjustRightInd w:val="0"/>
                    <w:ind w:left="-63" w:leftChars="-30" w:right="-63" w:rightChars="-30"/>
                    <w:jc w:val="center"/>
                    <w:rPr>
                      <w:rFonts w:hint="default"/>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15</w:t>
                  </w:r>
                </w:p>
              </w:tc>
              <w:tc>
                <w:tcPr>
                  <w:tcW w:w="498" w:type="pct"/>
                  <w:noWrap w:val="0"/>
                  <w:vAlign w:val="center"/>
                </w:tcPr>
                <w:p w14:paraId="638CAB3E">
                  <w:pPr>
                    <w:pStyle w:val="71"/>
                    <w:adjustRightInd w:val="0"/>
                    <w:ind w:left="-63" w:leftChars="-30" w:right="-63" w:rightChars="-30"/>
                    <w:jc w:val="center"/>
                    <w:rPr>
                      <w:rFonts w:hint="default"/>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w:t>
                  </w:r>
                </w:p>
              </w:tc>
              <w:tc>
                <w:tcPr>
                  <w:tcW w:w="584" w:type="dxa"/>
                  <w:noWrap w:val="0"/>
                  <w:vAlign w:val="center"/>
                </w:tcPr>
                <w:p w14:paraId="5BF5CD0E">
                  <w:pPr>
                    <w:pStyle w:val="71"/>
                    <w:adjustRightInd w:val="0"/>
                    <w:ind w:left="-63" w:leftChars="-30" w:right="-63" w:rightChars="-30"/>
                    <w:jc w:val="center"/>
                    <w:rPr>
                      <w:rFonts w:hint="eastAsia"/>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15</w:t>
                  </w:r>
                </w:p>
              </w:tc>
              <w:tc>
                <w:tcPr>
                  <w:tcW w:w="769" w:type="pct"/>
                  <w:noWrap w:val="0"/>
                  <w:vAlign w:val="center"/>
                </w:tcPr>
                <w:p w14:paraId="39096B4B">
                  <w:pPr>
                    <w:pStyle w:val="71"/>
                    <w:adjustRightInd w:val="0"/>
                    <w:ind w:left="-63" w:leftChars="-30" w:right="-63" w:rightChars="-30"/>
                    <w:jc w:val="center"/>
                    <w:rPr>
                      <w:rFonts w:hint="default" w:eastAsia="宋体"/>
                      <w:b w:val="0"/>
                      <w:bCs w:val="0"/>
                      <w:color w:val="auto"/>
                      <w:sz w:val="21"/>
                      <w:szCs w:val="21"/>
                      <w:highlight w:val="none"/>
                      <w:u w:val="single"/>
                      <w:lang w:val="en-US" w:eastAsia="zh-CN"/>
                    </w:rPr>
                  </w:pPr>
                  <w:r>
                    <w:rPr>
                      <w:rFonts w:hint="default" w:eastAsia="宋体"/>
                      <w:b w:val="0"/>
                      <w:bCs w:val="0"/>
                      <w:color w:val="auto"/>
                      <w:sz w:val="21"/>
                      <w:szCs w:val="21"/>
                      <w:highlight w:val="none"/>
                      <w:u w:val="single"/>
                      <w:lang w:val="en-US" w:eastAsia="zh-CN"/>
                    </w:rPr>
                    <w:t>清理出的洁净粉料优先回用于生产工序；无法回用的结块物料按一般工业固体废物管理，委托具备相应处置能力的单位合规处置</w:t>
                  </w:r>
                </w:p>
              </w:tc>
            </w:tr>
          </w:tbl>
          <w:p w14:paraId="500B90F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sz w:val="24"/>
                <w:szCs w:val="24"/>
                <w:highlight w:val="none"/>
                <w:u w:val="none" w:color="auto"/>
                <w:lang w:eastAsia="zh-CN"/>
              </w:rPr>
            </w:pPr>
          </w:p>
          <w:p w14:paraId="4439A9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sz w:val="24"/>
                <w:szCs w:val="24"/>
                <w:highlight w:val="none"/>
                <w:u w:val="none" w:color="auto"/>
                <w:lang w:val="en-US" w:eastAsia="zh-CN"/>
              </w:rPr>
            </w:pPr>
            <w:r>
              <w:rPr>
                <w:rFonts w:hint="default" w:ascii="Times New Roman" w:hAnsi="Times New Roman" w:eastAsia="宋体" w:cs="Times New Roman"/>
                <w:sz w:val="24"/>
                <w:szCs w:val="24"/>
                <w:highlight w:val="none"/>
                <w:u w:val="none" w:color="auto"/>
                <w:lang w:val="en-US" w:eastAsia="zh-CN"/>
              </w:rPr>
              <w:t>各类固废均实现分类收集、合规处置：生活垃圾交由环卫部门清运；除尘粉尘、沉淀池污泥全部回用于生产；废布袋由厂家回收；废弃试样交由建材厂综合利用。</w:t>
            </w:r>
          </w:p>
          <w:p w14:paraId="0320C5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rPr>
                <w:rFonts w:hint="default" w:ascii="Times New Roman" w:hAnsi="Times New Roman" w:eastAsia="宋体" w:cs="Times New Roman"/>
                <w:b/>
                <w:bCs/>
                <w:sz w:val="24"/>
                <w:szCs w:val="24"/>
                <w:highlight w:val="none"/>
                <w:u w:val="none" w:color="auto"/>
                <w:lang w:val="en-US" w:eastAsia="zh-CN"/>
              </w:rPr>
            </w:pPr>
            <w:r>
              <w:rPr>
                <w:rFonts w:hint="eastAsia" w:cs="Times New Roman"/>
                <w:b/>
                <w:bCs/>
                <w:sz w:val="24"/>
                <w:szCs w:val="24"/>
                <w:highlight w:val="none"/>
                <w:u w:val="none" w:color="auto"/>
                <w:lang w:val="en-US" w:eastAsia="zh-CN"/>
              </w:rPr>
              <w:t>4.2</w:t>
            </w:r>
            <w:r>
              <w:rPr>
                <w:rFonts w:hint="default" w:ascii="Times New Roman" w:hAnsi="Times New Roman" w:eastAsia="宋体" w:cs="Times New Roman"/>
                <w:b/>
                <w:bCs/>
                <w:sz w:val="24"/>
                <w:szCs w:val="24"/>
                <w:highlight w:val="none"/>
                <w:u w:val="none" w:color="auto"/>
                <w:lang w:val="en-US" w:eastAsia="zh-CN"/>
              </w:rPr>
              <w:t>固体废物环境管理要求</w:t>
            </w:r>
          </w:p>
          <w:p w14:paraId="747200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sz w:val="24"/>
                <w:szCs w:val="24"/>
                <w:highlight w:val="none"/>
                <w:u w:val="single" w:color="auto"/>
              </w:rPr>
            </w:pPr>
            <w:r>
              <w:rPr>
                <w:rFonts w:hint="default" w:ascii="Times New Roman" w:hAnsi="Times New Roman" w:eastAsia="宋体" w:cs="Times New Roman"/>
                <w:sz w:val="24"/>
                <w:szCs w:val="24"/>
                <w:highlight w:val="none"/>
                <w:u w:val="single" w:color="auto"/>
              </w:rPr>
              <w:t>①</w:t>
            </w:r>
            <w:r>
              <w:rPr>
                <w:rFonts w:hint="default" w:ascii="Times New Roman" w:hAnsi="Times New Roman" w:eastAsia="宋体" w:cs="Times New Roman"/>
                <w:sz w:val="24"/>
                <w:szCs w:val="24"/>
                <w:highlight w:val="none"/>
                <w:u w:val="single" w:color="auto"/>
                <w:lang w:eastAsia="zh-CN"/>
              </w:rPr>
              <w:t>一般固体废物</w:t>
            </w:r>
            <w:r>
              <w:rPr>
                <w:rFonts w:hint="default" w:ascii="Times New Roman" w:hAnsi="Times New Roman" w:eastAsia="宋体" w:cs="Times New Roman"/>
                <w:sz w:val="24"/>
                <w:szCs w:val="24"/>
                <w:highlight w:val="none"/>
                <w:u w:val="single" w:color="auto"/>
              </w:rPr>
              <w:t>安全贮存要求</w:t>
            </w:r>
          </w:p>
          <w:p w14:paraId="03635FC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sz w:val="24"/>
                <w:szCs w:val="24"/>
                <w:highlight w:val="none"/>
                <w:u w:val="single" w:color="auto"/>
              </w:rPr>
            </w:pPr>
            <w:r>
              <w:rPr>
                <w:rFonts w:hint="default" w:ascii="Times New Roman" w:hAnsi="Times New Roman" w:eastAsia="宋体" w:cs="Times New Roman"/>
                <w:sz w:val="24"/>
                <w:szCs w:val="24"/>
                <w:highlight w:val="none"/>
                <w:u w:val="single" w:color="auto"/>
                <w:lang w:val="en-US" w:eastAsia="zh-CN"/>
              </w:rPr>
              <w:t>a.</w:t>
            </w:r>
            <w:r>
              <w:rPr>
                <w:rFonts w:hint="default" w:ascii="Times New Roman" w:hAnsi="Times New Roman" w:eastAsia="宋体" w:cs="Times New Roman"/>
                <w:sz w:val="24"/>
                <w:szCs w:val="24"/>
                <w:highlight w:val="none"/>
                <w:u w:val="single" w:color="auto"/>
              </w:rPr>
              <w:t>要按照</w:t>
            </w:r>
            <w:r>
              <w:rPr>
                <w:rFonts w:hint="default" w:ascii="Times New Roman" w:hAnsi="Times New Roman" w:eastAsia="宋体" w:cs="Times New Roman"/>
                <w:color w:val="auto"/>
                <w:sz w:val="24"/>
                <w:szCs w:val="24"/>
                <w:highlight w:val="none"/>
                <w:u w:val="single" w:color="auto"/>
              </w:rPr>
              <w:t>《一般工业固体废物贮存</w:t>
            </w:r>
            <w:r>
              <w:rPr>
                <w:rFonts w:hint="default" w:ascii="Times New Roman" w:hAnsi="Times New Roman" w:eastAsia="宋体" w:cs="Times New Roman"/>
                <w:color w:val="auto"/>
                <w:sz w:val="24"/>
                <w:szCs w:val="24"/>
                <w:highlight w:val="none"/>
                <w:u w:val="single" w:color="auto"/>
                <w:lang w:eastAsia="zh-CN"/>
              </w:rPr>
              <w:t>和填埋</w:t>
            </w:r>
            <w:r>
              <w:rPr>
                <w:rFonts w:hint="default" w:ascii="Times New Roman" w:hAnsi="Times New Roman" w:eastAsia="宋体" w:cs="Times New Roman"/>
                <w:color w:val="auto"/>
                <w:sz w:val="24"/>
                <w:szCs w:val="24"/>
                <w:highlight w:val="none"/>
                <w:u w:val="single" w:color="auto"/>
              </w:rPr>
              <w:t>污染控制标准》</w:t>
            </w:r>
            <w:r>
              <w:rPr>
                <w:rFonts w:hint="default" w:ascii="Times New Roman" w:hAnsi="Times New Roman" w:eastAsia="宋体" w:cs="Times New Roman"/>
                <w:color w:val="auto"/>
                <w:sz w:val="24"/>
                <w:szCs w:val="24"/>
                <w:highlight w:val="none"/>
                <w:u w:val="single" w:color="auto"/>
                <w:lang w:eastAsia="zh-CN"/>
              </w:rPr>
              <w:t>（</w:t>
            </w:r>
            <w:r>
              <w:rPr>
                <w:rFonts w:hint="default" w:ascii="Times New Roman" w:hAnsi="Times New Roman" w:eastAsia="宋体" w:cs="Times New Roman"/>
                <w:color w:val="auto"/>
                <w:sz w:val="24"/>
                <w:szCs w:val="24"/>
                <w:highlight w:val="none"/>
                <w:u w:val="single" w:color="auto"/>
              </w:rPr>
              <w:t>GB18599-20</w:t>
            </w:r>
            <w:r>
              <w:rPr>
                <w:rFonts w:hint="default" w:ascii="Times New Roman" w:hAnsi="Times New Roman" w:eastAsia="宋体" w:cs="Times New Roman"/>
                <w:color w:val="auto"/>
                <w:sz w:val="24"/>
                <w:szCs w:val="24"/>
                <w:highlight w:val="none"/>
                <w:u w:val="single" w:color="auto"/>
                <w:lang w:val="en-US" w:eastAsia="zh-CN"/>
              </w:rPr>
              <w:t>20</w:t>
            </w:r>
            <w:r>
              <w:rPr>
                <w:rFonts w:hint="default" w:ascii="Times New Roman" w:hAnsi="Times New Roman" w:eastAsia="宋体" w:cs="Times New Roman"/>
                <w:color w:val="auto"/>
                <w:sz w:val="24"/>
                <w:szCs w:val="24"/>
                <w:highlight w:val="none"/>
                <w:u w:val="single" w:color="auto"/>
                <w:lang w:eastAsia="zh-CN"/>
              </w:rPr>
              <w:t>）</w:t>
            </w:r>
            <w:r>
              <w:rPr>
                <w:rFonts w:hint="default" w:ascii="Times New Roman" w:hAnsi="Times New Roman" w:eastAsia="宋体" w:cs="Times New Roman"/>
                <w:sz w:val="24"/>
                <w:szCs w:val="24"/>
                <w:highlight w:val="none"/>
                <w:u w:val="single" w:color="auto"/>
              </w:rPr>
              <w:t>的要求设置暂存场所。</w:t>
            </w:r>
          </w:p>
          <w:p w14:paraId="671501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sz w:val="24"/>
                <w:szCs w:val="24"/>
                <w:highlight w:val="none"/>
                <w:u w:val="single" w:color="auto"/>
              </w:rPr>
            </w:pPr>
            <w:r>
              <w:rPr>
                <w:rFonts w:hint="default" w:ascii="Times New Roman" w:hAnsi="Times New Roman" w:eastAsia="宋体" w:cs="Times New Roman"/>
                <w:sz w:val="24"/>
                <w:szCs w:val="24"/>
                <w:highlight w:val="none"/>
                <w:u w:val="single" w:color="auto"/>
                <w:lang w:val="en-US" w:eastAsia="zh-CN"/>
              </w:rPr>
              <w:t>b.</w:t>
            </w:r>
            <w:r>
              <w:rPr>
                <w:rFonts w:hint="default" w:ascii="Times New Roman" w:hAnsi="Times New Roman" w:eastAsia="宋体" w:cs="Times New Roman"/>
                <w:sz w:val="24"/>
                <w:szCs w:val="24"/>
                <w:highlight w:val="none"/>
                <w:u w:val="single" w:color="auto"/>
              </w:rPr>
              <w:t>贮存、处置场的设置必须与将要堆放的一般工业固体废物的类别一致。</w:t>
            </w:r>
          </w:p>
          <w:p w14:paraId="6F70FB8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sz w:val="24"/>
                <w:szCs w:val="24"/>
                <w:highlight w:val="none"/>
                <w:u w:val="single" w:color="auto"/>
              </w:rPr>
            </w:pPr>
            <w:r>
              <w:rPr>
                <w:rFonts w:hint="default" w:ascii="Times New Roman" w:hAnsi="Times New Roman" w:eastAsia="宋体" w:cs="Times New Roman"/>
                <w:sz w:val="24"/>
                <w:szCs w:val="24"/>
                <w:highlight w:val="none"/>
                <w:u w:val="single" w:color="auto"/>
                <w:lang w:val="en-US" w:eastAsia="zh-CN"/>
              </w:rPr>
              <w:t>c.一般工业固废严禁露天堆放，做好防雨、防渗措施，避免产生二次污染</w:t>
            </w:r>
            <w:r>
              <w:rPr>
                <w:rFonts w:hint="default" w:ascii="Times New Roman" w:hAnsi="Times New Roman" w:eastAsia="宋体" w:cs="Times New Roman"/>
                <w:sz w:val="24"/>
                <w:szCs w:val="24"/>
                <w:highlight w:val="none"/>
                <w:u w:val="single" w:color="auto"/>
              </w:rPr>
              <w:t>。</w:t>
            </w:r>
          </w:p>
          <w:p w14:paraId="44153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sz w:val="24"/>
                <w:szCs w:val="24"/>
                <w:highlight w:val="none"/>
                <w:u w:val="single" w:color="auto"/>
                <w:lang w:eastAsia="zh-CN"/>
              </w:rPr>
            </w:pPr>
            <w:r>
              <w:rPr>
                <w:rFonts w:hint="default" w:ascii="Times New Roman" w:hAnsi="Times New Roman" w:eastAsia="宋体" w:cs="Times New Roman"/>
                <w:sz w:val="24"/>
                <w:szCs w:val="24"/>
                <w:highlight w:val="none"/>
                <w:u w:val="single" w:color="auto"/>
                <w:lang w:val="en-US" w:eastAsia="zh-CN"/>
              </w:rPr>
              <w:t>d.</w:t>
            </w:r>
            <w:r>
              <w:rPr>
                <w:rFonts w:hint="default" w:ascii="Times New Roman" w:hAnsi="Times New Roman" w:eastAsia="宋体" w:cs="Times New Roman"/>
                <w:sz w:val="24"/>
                <w:szCs w:val="24"/>
                <w:highlight w:val="none"/>
                <w:u w:val="single" w:color="auto"/>
              </w:rPr>
              <w:t>单位须针对此对职工进行培训，加强安全及防止污染的意识，培训通过后方可上岗，对于固体废弃物的收集、运输要实施专人专职管理制度并建立好档案制度。应将入场的一般工业固体废物的种类和数量以及下列资料，详细记录在案，长期保存，供随时查阅。</w:t>
            </w:r>
          </w:p>
          <w:p w14:paraId="4614DF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highlight w:val="none"/>
                <w:u w:val="none" w:color="auto"/>
                <w:lang w:val="en-US" w:eastAsia="zh-CN"/>
              </w:rPr>
            </w:pPr>
            <w:r>
              <w:rPr>
                <w:rFonts w:hint="default" w:ascii="Times New Roman" w:hAnsi="Times New Roman" w:eastAsia="宋体" w:cs="Times New Roman"/>
                <w:sz w:val="24"/>
                <w:szCs w:val="24"/>
                <w:highlight w:val="none"/>
                <w:u w:val="none" w:color="auto"/>
              </w:rPr>
              <w:t>②转移运输</w:t>
            </w:r>
            <w:r>
              <w:rPr>
                <w:rFonts w:hint="default" w:ascii="Times New Roman" w:hAnsi="Times New Roman" w:eastAsia="宋体" w:cs="Times New Roman"/>
                <w:sz w:val="24"/>
                <w:szCs w:val="24"/>
                <w:highlight w:val="none"/>
                <w:u w:val="none" w:color="auto"/>
                <w:lang w:val="en-US" w:eastAsia="zh-CN"/>
              </w:rPr>
              <w:t>要求</w:t>
            </w:r>
          </w:p>
          <w:p w14:paraId="19DB0E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highlight w:val="none"/>
                <w:u w:val="none" w:color="auto"/>
              </w:rPr>
            </w:pPr>
            <w:r>
              <w:rPr>
                <w:rFonts w:hint="default" w:ascii="Times New Roman" w:hAnsi="Times New Roman" w:eastAsia="宋体" w:cs="Times New Roman"/>
                <w:sz w:val="24"/>
                <w:szCs w:val="24"/>
                <w:highlight w:val="none"/>
                <w:u w:val="none" w:color="auto"/>
              </w:rPr>
              <w:t>项目一般固体废物在厂内堆放和转移运输过程应防止抛洒逸散，正常情况下，转移过程不会对沿线环境造成不良影响。</w:t>
            </w:r>
          </w:p>
          <w:p w14:paraId="6161F3A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宋体" w:cs="Times New Roman"/>
                <w:b/>
                <w:bCs/>
                <w:color w:val="auto"/>
                <w:sz w:val="24"/>
                <w:szCs w:val="24"/>
                <w:highlight w:val="none"/>
                <w:u w:val="single" w:color="auto"/>
                <w:lang w:eastAsia="zh-CN"/>
              </w:rPr>
            </w:pPr>
            <w:r>
              <w:rPr>
                <w:rFonts w:hint="eastAsia" w:cs="Times New Roman"/>
                <w:b/>
                <w:bCs/>
                <w:color w:val="auto"/>
                <w:sz w:val="24"/>
                <w:szCs w:val="24"/>
                <w:highlight w:val="none"/>
                <w:u w:val="single" w:color="auto"/>
                <w:lang w:val="en-US" w:eastAsia="zh-CN"/>
              </w:rPr>
              <w:t>4.3</w:t>
            </w:r>
            <w:r>
              <w:rPr>
                <w:rFonts w:hint="eastAsia" w:cs="Times New Roman"/>
                <w:b/>
                <w:bCs/>
                <w:color w:val="auto"/>
                <w:sz w:val="24"/>
                <w:szCs w:val="24"/>
                <w:highlight w:val="none"/>
                <w:u w:val="single" w:color="auto"/>
                <w:lang w:eastAsia="zh-CN"/>
              </w:rPr>
              <w:t>运营期满后拆除活动污染防治要求</w:t>
            </w:r>
          </w:p>
          <w:p w14:paraId="52622B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u w:val="single" w:color="auto"/>
              </w:rPr>
            </w:pPr>
            <w:r>
              <w:rPr>
                <w:rFonts w:hint="default" w:ascii="Times New Roman" w:hAnsi="Times New Roman" w:eastAsia="宋体" w:cs="Times New Roman"/>
                <w:color w:val="auto"/>
                <w:sz w:val="24"/>
                <w:szCs w:val="24"/>
                <w:highlight w:val="none"/>
                <w:u w:val="single" w:color="auto"/>
              </w:rPr>
              <w:t>项目运营期满拆除建（构）筑物、生产设备时，需严格落实拆除全过程污染防治管理，防范扬尘、固体废物等环境影响，具体要求如下：</w:t>
            </w:r>
          </w:p>
          <w:p w14:paraId="563B9A9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u w:val="single" w:color="auto"/>
              </w:rPr>
            </w:pPr>
            <w:r>
              <w:rPr>
                <w:rFonts w:hint="default" w:ascii="Times New Roman" w:hAnsi="Times New Roman" w:eastAsia="宋体" w:cs="Times New Roman"/>
                <w:color w:val="auto"/>
                <w:sz w:val="24"/>
                <w:szCs w:val="24"/>
                <w:highlight w:val="none"/>
                <w:u w:val="single" w:color="auto"/>
                <w:lang w:val="en-US" w:eastAsia="zh-CN"/>
              </w:rPr>
              <w:t>4.3.1</w:t>
            </w:r>
            <w:r>
              <w:rPr>
                <w:rFonts w:hint="default" w:ascii="Times New Roman" w:hAnsi="Times New Roman" w:eastAsia="宋体" w:cs="Times New Roman"/>
                <w:color w:val="auto"/>
                <w:sz w:val="24"/>
                <w:szCs w:val="24"/>
                <w:highlight w:val="none"/>
                <w:u w:val="single" w:color="auto"/>
              </w:rPr>
              <w:t>拆除前期物料清理要求</w:t>
            </w:r>
          </w:p>
          <w:p w14:paraId="535D01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u w:val="single" w:color="auto"/>
              </w:rPr>
            </w:pPr>
            <w:r>
              <w:rPr>
                <w:rFonts w:hint="default" w:ascii="Times New Roman" w:hAnsi="Times New Roman" w:cs="Times New Roman"/>
                <w:color w:val="auto"/>
                <w:sz w:val="24"/>
                <w:szCs w:val="24"/>
                <w:u w:val="single" w:color="auto"/>
              </w:rPr>
              <w:t>拆除作业实施前，需先行对搅拌主机、物料筒仓、输送系统等生产设备内部进行彻底清理，清空残留的水泥、粉煤灰等粉状物料及结块料。可回收利用的洁净粉料优先回用于生产工序；无法回用的残留粉料与结块料，按一般固体废物管理要求妥善收集后清运至合规场所处置，严禁拆除过程中粉料散落造成扬尘与土壤污染。</w:t>
            </w:r>
          </w:p>
          <w:p w14:paraId="65A468A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u w:val="single" w:color="auto"/>
              </w:rPr>
            </w:pPr>
            <w:r>
              <w:rPr>
                <w:rFonts w:hint="default" w:ascii="Times New Roman" w:hAnsi="Times New Roman" w:eastAsia="宋体" w:cs="Times New Roman"/>
                <w:color w:val="auto"/>
                <w:sz w:val="24"/>
                <w:szCs w:val="24"/>
                <w:highlight w:val="none"/>
                <w:u w:val="single" w:color="auto"/>
                <w:lang w:val="en-US" w:eastAsia="zh-CN"/>
              </w:rPr>
              <w:t>4.3.2</w:t>
            </w:r>
            <w:r>
              <w:rPr>
                <w:rFonts w:hint="default" w:ascii="Times New Roman" w:hAnsi="Times New Roman" w:eastAsia="宋体" w:cs="Times New Roman"/>
                <w:color w:val="auto"/>
                <w:sz w:val="24"/>
                <w:szCs w:val="24"/>
                <w:highlight w:val="none"/>
                <w:u w:val="single" w:color="auto"/>
              </w:rPr>
              <w:t>拆除作业扬尘污染防治措施</w:t>
            </w:r>
          </w:p>
          <w:p w14:paraId="4F9E15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u w:val="single" w:color="auto"/>
              </w:rPr>
            </w:pPr>
            <w:r>
              <w:rPr>
                <w:rFonts w:hint="default" w:ascii="Times New Roman" w:hAnsi="Times New Roman" w:cs="Times New Roman"/>
                <w:color w:val="auto"/>
                <w:sz w:val="24"/>
                <w:szCs w:val="24"/>
                <w:u w:val="single" w:color="auto"/>
              </w:rPr>
              <w:t>拆除作业全过程执行湿法作业要求，对拆除作业面持续洒水降尘，控制扬尘无组织排放；遇四级及以上大风天气时，停止所有拆除作业，并对作业面及裸露物料采取覆盖抑尘措施。拆除区域设置临时围挡，减少扬尘扩散范围，降低对周边环境的影响。</w:t>
            </w:r>
          </w:p>
          <w:p w14:paraId="56AC66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u w:val="single" w:color="auto"/>
              </w:rPr>
            </w:pPr>
            <w:r>
              <w:rPr>
                <w:rFonts w:hint="default" w:ascii="Times New Roman" w:hAnsi="Times New Roman" w:eastAsia="宋体" w:cs="Times New Roman"/>
                <w:color w:val="auto"/>
                <w:sz w:val="24"/>
                <w:szCs w:val="24"/>
                <w:highlight w:val="none"/>
                <w:u w:val="single" w:color="auto"/>
                <w:lang w:val="en-US" w:eastAsia="zh-CN"/>
              </w:rPr>
              <w:t>4.3.3</w:t>
            </w:r>
            <w:r>
              <w:rPr>
                <w:rFonts w:hint="default" w:ascii="Times New Roman" w:hAnsi="Times New Roman" w:eastAsia="宋体" w:cs="Times New Roman"/>
                <w:color w:val="auto"/>
                <w:sz w:val="24"/>
                <w:szCs w:val="24"/>
                <w:highlight w:val="none"/>
                <w:u w:val="single" w:color="auto"/>
              </w:rPr>
              <w:t>固体废物分类处置方案</w:t>
            </w:r>
          </w:p>
          <w:p w14:paraId="46711A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u w:val="single" w:color="auto"/>
              </w:rPr>
            </w:pPr>
            <w:r>
              <w:rPr>
                <w:rFonts w:hint="default" w:ascii="Times New Roman" w:hAnsi="Times New Roman" w:cs="Times New Roman"/>
                <w:color w:val="auto"/>
                <w:sz w:val="24"/>
                <w:szCs w:val="24"/>
                <w:u w:val="single" w:color="auto"/>
              </w:rPr>
              <w:t>依据《中华人民共和国固体废物污染环境防治法》相关要求，拆除过程产生的固体废物实行分类收集、分类处置：</w:t>
            </w:r>
          </w:p>
          <w:p w14:paraId="7E6EF5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u w:val="single" w:color="auto"/>
              </w:rPr>
            </w:pPr>
            <w:r>
              <w:rPr>
                <w:rFonts w:hint="default" w:ascii="Times New Roman" w:hAnsi="Times New Roman" w:cs="Times New Roman"/>
                <w:color w:val="auto"/>
                <w:sz w:val="24"/>
                <w:szCs w:val="24"/>
                <w:u w:val="single" w:color="auto"/>
                <w:lang w:eastAsia="zh-CN"/>
              </w:rPr>
              <w:t>①</w:t>
            </w:r>
            <w:r>
              <w:rPr>
                <w:rFonts w:hint="default" w:ascii="Times New Roman" w:hAnsi="Times New Roman" w:cs="Times New Roman"/>
                <w:color w:val="auto"/>
                <w:sz w:val="24"/>
                <w:szCs w:val="24"/>
                <w:u w:val="single" w:color="auto"/>
              </w:rPr>
              <w:t>可回收利用废物：拆除产生的彩钢板、钢筋、金属构件、设备金属部件等可回收物料，统一收集后交由具备资质的回收单位资源化利用；</w:t>
            </w:r>
          </w:p>
          <w:p w14:paraId="1DEDC4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u w:val="single" w:color="auto"/>
              </w:rPr>
            </w:pPr>
            <w:r>
              <w:rPr>
                <w:rFonts w:hint="default" w:ascii="Times New Roman" w:hAnsi="Times New Roman" w:eastAsia="宋体" w:cs="Times New Roman"/>
                <w:color w:val="auto"/>
                <w:sz w:val="24"/>
                <w:szCs w:val="24"/>
                <w:highlight w:val="none"/>
                <w:u w:val="single" w:color="auto"/>
                <w:lang w:eastAsia="zh-CN"/>
              </w:rPr>
              <w:t>②</w:t>
            </w:r>
            <w:r>
              <w:rPr>
                <w:rFonts w:hint="default" w:ascii="Times New Roman" w:hAnsi="Times New Roman" w:eastAsia="宋体" w:cs="Times New Roman"/>
                <w:color w:val="auto"/>
                <w:sz w:val="24"/>
                <w:szCs w:val="24"/>
                <w:highlight w:val="none"/>
                <w:u w:val="single" w:color="auto"/>
              </w:rPr>
              <w:t>建筑垃圾：拆除产生的混凝土基础、废砖石、破损构件等建筑垃圾，集中堆放、及时清运，委托具备清运资质的单位运送至合规建筑垃圾消纳场处置；</w:t>
            </w:r>
          </w:p>
          <w:p w14:paraId="54BAB4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u w:val="single" w:color="auto"/>
              </w:rPr>
            </w:pPr>
            <w:r>
              <w:rPr>
                <w:rFonts w:hint="default" w:ascii="Times New Roman" w:hAnsi="Times New Roman" w:eastAsia="宋体" w:cs="Times New Roman"/>
                <w:color w:val="auto"/>
                <w:sz w:val="24"/>
                <w:szCs w:val="24"/>
                <w:highlight w:val="none"/>
                <w:u w:val="single" w:color="auto"/>
                <w:lang w:eastAsia="zh-CN"/>
              </w:rPr>
              <w:t>③</w:t>
            </w:r>
            <w:r>
              <w:rPr>
                <w:rFonts w:hint="default" w:ascii="Times New Roman" w:hAnsi="Times New Roman" w:eastAsia="宋体" w:cs="Times New Roman"/>
                <w:color w:val="auto"/>
                <w:sz w:val="24"/>
                <w:szCs w:val="24"/>
                <w:highlight w:val="none"/>
                <w:u w:val="single" w:color="auto"/>
              </w:rPr>
              <w:t>残留生产物料：清理出的无法回用的水泥、粉煤灰结块料等，按一般工业固体废物管理要求，交由合规处置场所处理。</w:t>
            </w:r>
          </w:p>
          <w:p w14:paraId="74A47DD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u w:val="single" w:color="auto"/>
              </w:rPr>
            </w:pPr>
            <w:r>
              <w:rPr>
                <w:rFonts w:hint="default" w:ascii="Times New Roman" w:hAnsi="Times New Roman" w:cs="Times New Roman"/>
                <w:color w:val="auto"/>
                <w:sz w:val="24"/>
                <w:szCs w:val="24"/>
                <w:u w:val="single" w:color="auto"/>
              </w:rPr>
              <w:t>所有拆除废物严禁随意丢弃、倾倒，全部实现资源化利用或合规处置。</w:t>
            </w:r>
          </w:p>
          <w:p w14:paraId="36B9B9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u w:val="single" w:color="auto"/>
              </w:rPr>
            </w:pPr>
            <w:r>
              <w:rPr>
                <w:rFonts w:hint="default" w:ascii="Times New Roman" w:hAnsi="Times New Roman" w:eastAsia="宋体" w:cs="Times New Roman"/>
                <w:color w:val="auto"/>
                <w:sz w:val="24"/>
                <w:szCs w:val="24"/>
                <w:highlight w:val="none"/>
                <w:u w:val="single" w:color="auto"/>
                <w:lang w:val="en-US" w:eastAsia="zh-CN"/>
              </w:rPr>
              <w:t>4.3.4</w:t>
            </w:r>
            <w:r>
              <w:rPr>
                <w:rFonts w:hint="default" w:ascii="Times New Roman" w:hAnsi="Times New Roman" w:eastAsia="宋体" w:cs="Times New Roman"/>
                <w:color w:val="auto"/>
                <w:sz w:val="24"/>
                <w:szCs w:val="24"/>
                <w:highlight w:val="none"/>
                <w:u w:val="single" w:color="auto"/>
              </w:rPr>
              <w:t>环境管理要求</w:t>
            </w:r>
          </w:p>
          <w:p w14:paraId="4A1D09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u w:val="none" w:color="auto"/>
              </w:rPr>
            </w:pPr>
            <w:r>
              <w:rPr>
                <w:rFonts w:hint="default" w:ascii="Times New Roman" w:hAnsi="Times New Roman" w:cs="Times New Roman"/>
                <w:color w:val="auto"/>
                <w:sz w:val="24"/>
                <w:szCs w:val="24"/>
                <w:u w:val="single" w:color="auto"/>
              </w:rPr>
              <w:t>拆除活动实施前，建设单位应参照《企业拆除活动污染防治方案编制指南》编制《企业拆除活动污染防治方案》，明确拆除流程、污染防治措施、固体废物处置去向、环境风险防控及应急要求，方案报当地生态环境主管部门备案后方可实施拆除作业。拆除过程安排专人负责环保管理，确保各项污染防治措施落实到位。</w:t>
            </w:r>
          </w:p>
          <w:p w14:paraId="74A6981B">
            <w:pPr>
              <w:adjustRightInd w:val="0"/>
              <w:snapToGrid w:val="0"/>
              <w:spacing w:line="360" w:lineRule="auto"/>
              <w:ind w:firstLine="482" w:firstLineChars="200"/>
              <w:rPr>
                <w:rFonts w:hint="default" w:ascii="Times New Roman" w:hAnsi="Times New Roman" w:eastAsia="宋体" w:cs="Times New Roman"/>
                <w:b/>
                <w:bCs/>
                <w:color w:val="auto"/>
                <w:sz w:val="24"/>
                <w:szCs w:val="24"/>
                <w:highlight w:val="none"/>
                <w:u w:val="none"/>
              </w:rPr>
            </w:pPr>
            <w:r>
              <w:rPr>
                <w:rFonts w:hint="eastAsia" w:ascii="Times New Roman" w:hAnsi="Times New Roman" w:eastAsia="宋体" w:cs="Times New Roman"/>
                <w:b/>
                <w:bCs/>
                <w:color w:val="auto"/>
                <w:sz w:val="24"/>
                <w:szCs w:val="24"/>
                <w:highlight w:val="none"/>
                <w:u w:val="none"/>
                <w:lang w:val="en-US" w:eastAsia="zh-CN"/>
              </w:rPr>
              <w:t>5</w:t>
            </w:r>
            <w:r>
              <w:rPr>
                <w:rFonts w:hint="default" w:ascii="Times New Roman" w:hAnsi="Times New Roman" w:eastAsia="宋体" w:cs="Times New Roman"/>
                <w:b/>
                <w:bCs/>
                <w:color w:val="auto"/>
                <w:sz w:val="24"/>
                <w:szCs w:val="24"/>
                <w:highlight w:val="none"/>
                <w:u w:val="none"/>
              </w:rPr>
              <w:t>、地下水环境影响分析</w:t>
            </w:r>
          </w:p>
          <w:p w14:paraId="74BB5AE7">
            <w:pPr>
              <w:keepNext w:val="0"/>
              <w:keepLines w:val="0"/>
              <w:pageBreakBefore w:val="0"/>
              <w:widowControl/>
              <w:suppressLineNumbers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u w:val="none"/>
                <w:lang w:val="en-US" w:eastAsia="zh-CN" w:bidi="ar"/>
              </w:rPr>
              <w:t>本项目为商品混凝土制造项目，原料主要为粉煤灰、水泥、砂石等，不涉及危险化学品</w:t>
            </w:r>
            <w:r>
              <w:rPr>
                <w:rFonts w:hint="eastAsia" w:ascii="宋体" w:hAnsi="宋体" w:cs="宋体"/>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u w:val="none"/>
                <w:lang w:val="en-US" w:eastAsia="zh-CN" w:bidi="ar"/>
              </w:rPr>
              <w:t>正常情况下，</w:t>
            </w:r>
            <w:r>
              <w:rPr>
                <w:rFonts w:hint="default" w:ascii="Times New Roman" w:hAnsi="Times New Roman" w:eastAsia="宋体" w:cs="Times New Roman"/>
                <w:color w:val="auto"/>
                <w:kern w:val="0"/>
                <w:sz w:val="24"/>
                <w:szCs w:val="24"/>
                <w:highlight w:val="none"/>
                <w:u w:val="none"/>
                <w:lang w:val="en-US" w:eastAsia="zh-CN" w:bidi="ar"/>
              </w:rPr>
              <w:t>项目不会对地下水造成污染。</w:t>
            </w:r>
          </w:p>
          <w:p w14:paraId="2CCC15E5">
            <w:pPr>
              <w:adjustRightInd w:val="0"/>
              <w:snapToGrid w:val="0"/>
              <w:spacing w:line="360" w:lineRule="auto"/>
              <w:ind w:firstLine="480" w:firstLineChars="200"/>
              <w:rPr>
                <w:rFonts w:hint="default" w:ascii="Times New Roman" w:hAnsi="Times New Roman" w:eastAsia="宋体" w:cs="Times New Roman"/>
                <w:color w:val="auto"/>
                <w:kern w:val="0"/>
                <w:sz w:val="24"/>
                <w:szCs w:val="24"/>
                <w:highlight w:val="none"/>
                <w:u w:val="single"/>
                <w:lang w:val="en-US" w:eastAsia="zh-CN" w:bidi="ar"/>
              </w:rPr>
            </w:pPr>
            <w:r>
              <w:rPr>
                <w:rFonts w:hint="default" w:ascii="Times New Roman" w:hAnsi="Times New Roman" w:eastAsia="宋体" w:cs="Times New Roman"/>
                <w:color w:val="auto"/>
                <w:kern w:val="0"/>
                <w:sz w:val="24"/>
                <w:szCs w:val="24"/>
                <w:highlight w:val="none"/>
                <w:u w:val="none"/>
                <w:lang w:val="en-US" w:eastAsia="zh-CN" w:bidi="ar"/>
              </w:rPr>
              <w:t>本项目对地下水环境产生污染的主要污染源为</w:t>
            </w:r>
            <w:r>
              <w:rPr>
                <w:rFonts w:hint="eastAsia" w:cs="Times New Roman"/>
                <w:color w:val="auto"/>
                <w:kern w:val="0"/>
                <w:sz w:val="24"/>
                <w:szCs w:val="24"/>
                <w:highlight w:val="none"/>
                <w:u w:val="none"/>
                <w:lang w:val="en-US" w:eastAsia="zh-CN" w:bidi="ar"/>
              </w:rPr>
              <w:t>外加剂储罐、沉淀池、初期雨水收集池</w:t>
            </w:r>
            <w:r>
              <w:rPr>
                <w:rFonts w:hint="default" w:ascii="Times New Roman" w:hAnsi="Times New Roman" w:eastAsia="宋体" w:cs="Times New Roman"/>
                <w:color w:val="auto"/>
                <w:kern w:val="0"/>
                <w:sz w:val="24"/>
                <w:szCs w:val="24"/>
                <w:highlight w:val="none"/>
                <w:u w:val="none"/>
                <w:lang w:val="en-US" w:eastAsia="zh-CN" w:bidi="ar"/>
              </w:rPr>
              <w:t>等，污染物为</w:t>
            </w:r>
            <w:r>
              <w:rPr>
                <w:rFonts w:hint="eastAsia" w:cs="Times New Roman"/>
                <w:color w:val="auto"/>
                <w:kern w:val="0"/>
                <w:sz w:val="24"/>
                <w:szCs w:val="24"/>
                <w:highlight w:val="none"/>
                <w:u w:val="none"/>
                <w:lang w:val="en-US" w:eastAsia="zh-CN" w:bidi="ar"/>
              </w:rPr>
              <w:t>外加剂</w:t>
            </w:r>
            <w:r>
              <w:rPr>
                <w:rFonts w:hint="default" w:ascii="Times New Roman" w:hAnsi="Times New Roman" w:eastAsia="宋体" w:cs="Times New Roman"/>
                <w:color w:val="auto"/>
                <w:kern w:val="0"/>
                <w:sz w:val="24"/>
                <w:szCs w:val="24"/>
                <w:highlight w:val="none"/>
                <w:u w:val="none"/>
                <w:lang w:val="en-US" w:eastAsia="zh-CN" w:bidi="ar"/>
              </w:rPr>
              <w:t>、</w:t>
            </w:r>
            <w:r>
              <w:rPr>
                <w:rFonts w:hint="eastAsia" w:cs="Times New Roman"/>
                <w:color w:val="auto"/>
                <w:kern w:val="0"/>
                <w:sz w:val="24"/>
                <w:szCs w:val="24"/>
                <w:highlight w:val="none"/>
                <w:u w:val="none"/>
                <w:lang w:val="en-US" w:eastAsia="zh-CN" w:bidi="ar"/>
              </w:rPr>
              <w:t>生产废水、初期雨水</w:t>
            </w:r>
            <w:r>
              <w:rPr>
                <w:rFonts w:hint="default" w:ascii="Times New Roman" w:hAnsi="Times New Roman" w:eastAsia="宋体" w:cs="Times New Roman"/>
                <w:color w:val="auto"/>
                <w:kern w:val="0"/>
                <w:sz w:val="24"/>
                <w:szCs w:val="24"/>
                <w:highlight w:val="none"/>
                <w:u w:val="none"/>
                <w:lang w:val="en-US" w:eastAsia="zh-CN" w:bidi="ar"/>
              </w:rPr>
              <w:t>等，若防渗不当导致污染物泄漏、下渗，对区域地下水环境造成污染</w:t>
            </w:r>
            <w:r>
              <w:rPr>
                <w:rFonts w:hint="eastAsia" w:cs="Times New Roman"/>
                <w:color w:val="auto"/>
                <w:kern w:val="0"/>
                <w:sz w:val="24"/>
                <w:szCs w:val="24"/>
                <w:highlight w:val="none"/>
                <w:u w:val="none"/>
                <w:lang w:val="en-US" w:eastAsia="zh-CN" w:bidi="ar"/>
              </w:rPr>
              <w:t>以及项目物料或厂区内泥、水流入地表河流或因暴雨山洪冲刷进入地表河流中将污染地表水体，进而对区域地下水造成污染</w:t>
            </w:r>
            <w:r>
              <w:rPr>
                <w:rFonts w:hint="default" w:ascii="Times New Roman" w:hAnsi="Times New Roman" w:eastAsia="宋体" w:cs="Times New Roman"/>
                <w:color w:val="auto"/>
                <w:kern w:val="0"/>
                <w:sz w:val="24"/>
                <w:szCs w:val="24"/>
                <w:highlight w:val="none"/>
                <w:u w:val="none"/>
                <w:lang w:val="en-US" w:eastAsia="zh-CN" w:bidi="ar"/>
              </w:rPr>
              <w:t>。项目厂界外500m范围内无地下水集中式饮用水水源和热水、矿泉水、温泉等特殊地下水资源，因此无地下水环境保护目标。</w:t>
            </w:r>
            <w:r>
              <w:rPr>
                <w:rFonts w:hint="eastAsia" w:cs="Times New Roman"/>
                <w:color w:val="auto"/>
                <w:kern w:val="0"/>
                <w:sz w:val="24"/>
                <w:szCs w:val="24"/>
                <w:highlight w:val="none"/>
                <w:u w:val="single"/>
                <w:lang w:val="en-US" w:eastAsia="zh-CN" w:bidi="ar"/>
              </w:rPr>
              <w:t>运营期</w:t>
            </w:r>
            <w:r>
              <w:rPr>
                <w:rFonts w:hint="default" w:ascii="Times New Roman" w:hAnsi="Times New Roman" w:eastAsia="宋体" w:cs="Times New Roman"/>
                <w:color w:val="auto"/>
                <w:kern w:val="0"/>
                <w:sz w:val="24"/>
                <w:szCs w:val="24"/>
                <w:highlight w:val="none"/>
                <w:u w:val="single"/>
                <w:lang w:val="en-US" w:eastAsia="zh-CN" w:bidi="ar"/>
              </w:rPr>
              <w:t>采取以下措施预防：项目加工过程产尘点均采取密闭措施，产生的粉尘收集后经布袋除尘器处理后达标排放，减少无组织粉尘产生量，同时对厂区地面、车间及料场等进行地面硬化，定期洒水降尘减少粉尘对周围土壤及农作物的影响。</w:t>
            </w:r>
          </w:p>
          <w:p w14:paraId="4C28F54C">
            <w:pPr>
              <w:adjustRightInd w:val="0"/>
              <w:snapToGrid w:val="0"/>
              <w:spacing w:line="360" w:lineRule="auto"/>
              <w:ind w:firstLine="480" w:firstLineChars="200"/>
              <w:rPr>
                <w:rFonts w:hint="default" w:ascii="Times New Roman" w:hAnsi="Times New Roman" w:eastAsia="宋体" w:cs="Times New Roman"/>
                <w:color w:val="auto"/>
                <w:kern w:val="0"/>
                <w:sz w:val="24"/>
                <w:szCs w:val="24"/>
                <w:highlight w:val="none"/>
                <w:u w:val="none"/>
                <w:lang w:val="en-US" w:eastAsia="zh-CN" w:bidi="ar"/>
              </w:rPr>
            </w:pPr>
            <w:r>
              <w:rPr>
                <w:rFonts w:hint="default" w:ascii="Times New Roman" w:hAnsi="Times New Roman" w:eastAsia="宋体" w:cs="Times New Roman"/>
                <w:color w:val="auto"/>
                <w:kern w:val="0"/>
                <w:sz w:val="24"/>
                <w:szCs w:val="24"/>
                <w:highlight w:val="none"/>
                <w:u w:val="none"/>
                <w:lang w:val="en-US" w:eastAsia="zh-CN" w:bidi="ar"/>
              </w:rPr>
              <w:t>（1）源头控制</w:t>
            </w:r>
          </w:p>
          <w:p w14:paraId="1A2F2DE5">
            <w:pPr>
              <w:adjustRightInd w:val="0"/>
              <w:snapToGrid w:val="0"/>
              <w:spacing w:line="360" w:lineRule="auto"/>
              <w:ind w:firstLine="480" w:firstLineChars="200"/>
              <w:rPr>
                <w:rFonts w:hint="default" w:ascii="Times New Roman" w:hAnsi="Times New Roman" w:eastAsia="宋体" w:cs="Times New Roman"/>
                <w:color w:val="auto"/>
                <w:kern w:val="0"/>
                <w:sz w:val="24"/>
                <w:szCs w:val="24"/>
                <w:highlight w:val="none"/>
                <w:u w:val="none"/>
                <w:lang w:val="en-US" w:eastAsia="zh-CN" w:bidi="ar"/>
              </w:rPr>
            </w:pPr>
            <w:r>
              <w:rPr>
                <w:rFonts w:hint="default" w:ascii="Times New Roman" w:hAnsi="Times New Roman" w:eastAsia="宋体" w:cs="Times New Roman"/>
                <w:color w:val="auto"/>
                <w:kern w:val="0"/>
                <w:sz w:val="24"/>
                <w:szCs w:val="24"/>
                <w:highlight w:val="none"/>
                <w:u w:val="none"/>
                <w:lang w:val="en-US" w:eastAsia="zh-CN" w:bidi="ar"/>
              </w:rPr>
              <w:t>①项目应根据国家现行相关规范加强环境管理，采取防治和降低污染物跑、冒、滴、漏的措施。正常生产过程中应加强巡检</w:t>
            </w:r>
            <w:r>
              <w:rPr>
                <w:rFonts w:hint="eastAsia" w:cs="Times New Roman"/>
                <w:color w:val="auto"/>
                <w:kern w:val="0"/>
                <w:sz w:val="24"/>
                <w:szCs w:val="24"/>
                <w:highlight w:val="none"/>
                <w:u w:val="none"/>
                <w:lang w:val="en-US" w:eastAsia="zh-CN" w:bidi="ar"/>
              </w:rPr>
              <w:t>，</w:t>
            </w:r>
            <w:r>
              <w:rPr>
                <w:rFonts w:hint="default" w:ascii="Times New Roman" w:hAnsi="Times New Roman" w:eastAsia="宋体" w:cs="Times New Roman"/>
                <w:color w:val="auto"/>
                <w:kern w:val="0"/>
                <w:sz w:val="24"/>
                <w:szCs w:val="24"/>
                <w:highlight w:val="none"/>
                <w:u w:val="none"/>
                <w:lang w:val="en-US" w:eastAsia="zh-CN" w:bidi="ar"/>
              </w:rPr>
              <w:t>及时处理污染物跑、冒、滴、漏。同时应加强对防渗工程检查，若发现防渗密封材料老化或损坏，应及时维修更换。</w:t>
            </w:r>
          </w:p>
          <w:p w14:paraId="69658308">
            <w:pPr>
              <w:adjustRightInd w:val="0"/>
              <w:snapToGrid w:val="0"/>
              <w:spacing w:line="360" w:lineRule="auto"/>
              <w:ind w:firstLine="480" w:firstLineChars="200"/>
              <w:rPr>
                <w:rFonts w:hint="default" w:ascii="Times New Roman" w:hAnsi="Times New Roman" w:eastAsia="宋体" w:cs="Times New Roman"/>
                <w:color w:val="auto"/>
                <w:kern w:val="0"/>
                <w:sz w:val="24"/>
                <w:szCs w:val="24"/>
                <w:highlight w:val="none"/>
                <w:u w:val="none"/>
                <w:lang w:val="en-US" w:eastAsia="zh-CN" w:bidi="ar"/>
              </w:rPr>
            </w:pPr>
            <w:r>
              <w:rPr>
                <w:rFonts w:hint="default" w:ascii="Times New Roman" w:hAnsi="Times New Roman" w:eastAsia="宋体" w:cs="Times New Roman"/>
                <w:color w:val="auto"/>
                <w:kern w:val="0"/>
                <w:sz w:val="24"/>
                <w:szCs w:val="24"/>
                <w:highlight w:val="none"/>
                <w:u w:val="none"/>
                <w:lang w:val="en-US" w:eastAsia="zh-CN" w:bidi="ar"/>
              </w:rPr>
              <w:t>②对工艺、设备、</w:t>
            </w:r>
            <w:r>
              <w:rPr>
                <w:rFonts w:hint="eastAsia" w:cs="Times New Roman"/>
                <w:color w:val="auto"/>
                <w:kern w:val="0"/>
                <w:sz w:val="24"/>
                <w:szCs w:val="24"/>
                <w:highlight w:val="none"/>
                <w:u w:val="none"/>
                <w:lang w:val="en-US" w:eastAsia="zh-CN" w:bidi="ar"/>
              </w:rPr>
              <w:t>沉淀池、初期雨水收集池</w:t>
            </w:r>
            <w:r>
              <w:rPr>
                <w:rFonts w:hint="default" w:ascii="Times New Roman" w:hAnsi="Times New Roman" w:eastAsia="宋体" w:cs="Times New Roman"/>
                <w:color w:val="auto"/>
                <w:kern w:val="0"/>
                <w:sz w:val="24"/>
                <w:szCs w:val="24"/>
                <w:highlight w:val="none"/>
                <w:u w:val="none"/>
                <w:lang w:val="en-US" w:eastAsia="zh-CN" w:bidi="ar"/>
              </w:rPr>
              <w:t>及处理构筑物采取控制措施，防止污染物跑、冒、滴、漏，将污染物泄漏的环境污染事故降至最低限度。</w:t>
            </w:r>
          </w:p>
          <w:p w14:paraId="70FE6670">
            <w:pPr>
              <w:numPr>
                <w:ilvl w:val="0"/>
                <w:numId w:val="0"/>
              </w:numPr>
              <w:spacing w:line="360" w:lineRule="auto"/>
              <w:ind w:leftChars="0" w:firstLine="480" w:firstLineChars="200"/>
              <w:rPr>
                <w:rFonts w:hint="eastAsia" w:ascii="Times New Roman" w:hAnsi="Times New Roman" w:eastAsia="宋体" w:cs="Times New Roman"/>
                <w:bCs/>
                <w:snapToGrid w:val="0"/>
                <w:color w:val="auto"/>
                <w:sz w:val="24"/>
                <w:szCs w:val="24"/>
                <w:highlight w:val="none"/>
                <w:u w:val="none"/>
                <w:lang w:val="en-US" w:eastAsia="zh-CN"/>
              </w:rPr>
            </w:pPr>
            <w:r>
              <w:rPr>
                <w:rFonts w:hint="eastAsia" w:ascii="Times New Roman" w:hAnsi="Times New Roman" w:cs="Times New Roman"/>
                <w:bCs/>
                <w:snapToGrid w:val="0"/>
                <w:color w:val="auto"/>
                <w:sz w:val="24"/>
                <w:szCs w:val="24"/>
                <w:highlight w:val="none"/>
                <w:u w:val="none"/>
                <w:lang w:val="en-US" w:eastAsia="zh-CN"/>
              </w:rPr>
              <w:t>（2）</w:t>
            </w:r>
            <w:r>
              <w:rPr>
                <w:rFonts w:hint="eastAsia" w:ascii="Times New Roman" w:hAnsi="Times New Roman" w:eastAsia="宋体" w:cs="Times New Roman"/>
                <w:bCs/>
                <w:snapToGrid w:val="0"/>
                <w:color w:val="auto"/>
                <w:sz w:val="24"/>
                <w:szCs w:val="24"/>
                <w:highlight w:val="none"/>
                <w:u w:val="none"/>
                <w:lang w:val="en-US" w:eastAsia="zh-CN"/>
              </w:rPr>
              <w:t>末端控制</w:t>
            </w:r>
          </w:p>
          <w:p w14:paraId="676553EA">
            <w:pPr>
              <w:adjustRightInd w:val="0"/>
              <w:snapToGrid w:val="0"/>
              <w:spacing w:line="360" w:lineRule="auto"/>
              <w:ind w:firstLine="480" w:firstLineChars="200"/>
              <w:rPr>
                <w:rFonts w:hint="eastAsia" w:cs="Times New Roman"/>
                <w:color w:val="auto"/>
                <w:kern w:val="0"/>
                <w:sz w:val="24"/>
                <w:szCs w:val="24"/>
                <w:highlight w:val="none"/>
                <w:u w:val="none"/>
                <w:lang w:val="en-US" w:eastAsia="zh-CN" w:bidi="ar"/>
              </w:rPr>
            </w:pPr>
            <w:r>
              <w:rPr>
                <w:rFonts w:hint="eastAsia" w:ascii="Times New Roman" w:hAnsi="Times New Roman" w:eastAsia="宋体" w:cs="Times New Roman"/>
                <w:bCs/>
                <w:snapToGrid w:val="0"/>
                <w:color w:val="auto"/>
                <w:sz w:val="24"/>
                <w:szCs w:val="24"/>
                <w:highlight w:val="none"/>
                <w:u w:val="none"/>
                <w:lang w:val="en-US" w:eastAsia="zh-CN"/>
              </w:rPr>
              <w:t>主要包括厂内</w:t>
            </w:r>
            <w:r>
              <w:rPr>
                <w:rFonts w:hint="eastAsia" w:ascii="Times New Roman" w:hAnsi="Times New Roman" w:cs="Times New Roman"/>
                <w:bCs/>
                <w:snapToGrid w:val="0"/>
                <w:color w:val="auto"/>
                <w:sz w:val="24"/>
                <w:szCs w:val="24"/>
                <w:highlight w:val="none"/>
                <w:u w:val="none"/>
                <w:lang w:val="en-US" w:eastAsia="zh-CN"/>
              </w:rPr>
              <w:t>易</w:t>
            </w:r>
            <w:r>
              <w:rPr>
                <w:rFonts w:hint="eastAsia" w:ascii="Times New Roman" w:hAnsi="Times New Roman" w:eastAsia="宋体" w:cs="Times New Roman"/>
                <w:bCs/>
                <w:snapToGrid w:val="0"/>
                <w:color w:val="auto"/>
                <w:sz w:val="24"/>
                <w:szCs w:val="24"/>
                <w:highlight w:val="none"/>
                <w:u w:val="none"/>
                <w:lang w:val="en-US" w:eastAsia="zh-CN"/>
              </w:rPr>
              <w:t>污染区地面的防渗措施和泄漏、渗漏污染物收集措施，即在</w:t>
            </w:r>
            <w:r>
              <w:rPr>
                <w:rFonts w:hint="eastAsia" w:ascii="Times New Roman" w:hAnsi="Times New Roman" w:cs="Times New Roman"/>
                <w:bCs/>
                <w:snapToGrid w:val="0"/>
                <w:color w:val="auto"/>
                <w:sz w:val="24"/>
                <w:szCs w:val="24"/>
                <w:highlight w:val="none"/>
                <w:u w:val="none"/>
                <w:lang w:val="en-US" w:eastAsia="zh-CN"/>
              </w:rPr>
              <w:t>易</w:t>
            </w:r>
            <w:r>
              <w:rPr>
                <w:rFonts w:hint="eastAsia" w:ascii="Times New Roman" w:hAnsi="Times New Roman" w:eastAsia="宋体" w:cs="Times New Roman"/>
                <w:bCs/>
                <w:snapToGrid w:val="0"/>
                <w:color w:val="auto"/>
                <w:sz w:val="24"/>
                <w:szCs w:val="24"/>
                <w:highlight w:val="none"/>
                <w:u w:val="none"/>
                <w:lang w:val="en-US" w:eastAsia="zh-CN"/>
              </w:rPr>
              <w:t>污染区地面进行防渗处理，防止洒落地面的污染物渗入地下，并把滞留在地面的污染物收集起来</w:t>
            </w:r>
            <w:r>
              <w:rPr>
                <w:rFonts w:hint="eastAsia" w:ascii="Times New Roman" w:hAnsi="Times New Roman" w:cs="Times New Roman"/>
                <w:bCs/>
                <w:snapToGrid w:val="0"/>
                <w:color w:val="auto"/>
                <w:sz w:val="24"/>
                <w:szCs w:val="24"/>
                <w:highlight w:val="none"/>
                <w:u w:val="none"/>
                <w:lang w:val="en-US" w:eastAsia="zh-CN"/>
              </w:rPr>
              <w:t>妥善处理</w:t>
            </w:r>
            <w:r>
              <w:rPr>
                <w:rFonts w:hint="eastAsia" w:ascii="Times New Roman" w:hAnsi="Times New Roman" w:eastAsia="宋体" w:cs="Times New Roman"/>
                <w:bCs/>
                <w:snapToGrid w:val="0"/>
                <w:color w:val="auto"/>
                <w:sz w:val="24"/>
                <w:szCs w:val="24"/>
                <w:highlight w:val="none"/>
                <w:u w:val="none"/>
                <w:lang w:val="en-US" w:eastAsia="zh-CN"/>
              </w:rPr>
              <w:t>；末端控制采取分区防渗原则。</w:t>
            </w:r>
          </w:p>
          <w:p w14:paraId="49D40DA0">
            <w:pPr>
              <w:adjustRightInd w:val="0"/>
              <w:snapToGrid w:val="0"/>
              <w:spacing w:line="360" w:lineRule="auto"/>
              <w:ind w:firstLine="480" w:firstLineChars="200"/>
              <w:rPr>
                <w:rFonts w:hint="default" w:ascii="Times New Roman" w:hAnsi="Times New Roman" w:eastAsia="宋体" w:cs="Times New Roman"/>
                <w:color w:val="auto"/>
                <w:kern w:val="0"/>
                <w:sz w:val="24"/>
                <w:szCs w:val="24"/>
                <w:highlight w:val="none"/>
                <w:u w:val="single"/>
                <w:lang w:val="en-US" w:eastAsia="zh-CN" w:bidi="ar"/>
              </w:rPr>
            </w:pPr>
            <w:r>
              <w:rPr>
                <w:rFonts w:hint="eastAsia" w:cs="Times New Roman"/>
                <w:color w:val="auto"/>
                <w:kern w:val="0"/>
                <w:sz w:val="24"/>
                <w:szCs w:val="24"/>
                <w:highlight w:val="none"/>
                <w:u w:val="single"/>
                <w:lang w:val="en-US" w:eastAsia="zh-CN" w:bidi="ar"/>
              </w:rPr>
              <w:t>（3）分区防渗</w:t>
            </w:r>
          </w:p>
          <w:p w14:paraId="4ED8438C">
            <w:pPr>
              <w:adjustRightInd w:val="0"/>
              <w:snapToGrid w:val="0"/>
              <w:spacing w:line="360" w:lineRule="auto"/>
              <w:ind w:firstLine="480" w:firstLineChars="200"/>
              <w:rPr>
                <w:rFonts w:hint="default" w:ascii="Times New Roman" w:hAnsi="Times New Roman" w:eastAsia="宋体" w:cs="Times New Roman"/>
                <w:bCs/>
                <w:color w:val="auto"/>
                <w:sz w:val="24"/>
                <w:highlight w:val="none"/>
                <w:u w:val="none"/>
                <w:lang w:eastAsia="zh-CN"/>
              </w:rPr>
            </w:pPr>
            <w:r>
              <w:rPr>
                <w:rFonts w:hint="default" w:ascii="Times New Roman" w:hAnsi="Times New Roman" w:eastAsia="宋体" w:cs="Times New Roman"/>
                <w:color w:val="auto"/>
                <w:kern w:val="0"/>
                <w:sz w:val="24"/>
                <w:szCs w:val="20"/>
                <w:highlight w:val="none"/>
                <w:u w:val="single"/>
                <w:lang w:val="en-US" w:eastAsia="zh-CN"/>
              </w:rPr>
              <w:t>厂区</w:t>
            </w:r>
            <w:r>
              <w:rPr>
                <w:rFonts w:hint="default" w:ascii="Times New Roman" w:hAnsi="Times New Roman" w:eastAsia="宋体" w:cs="Times New Roman"/>
                <w:color w:val="auto"/>
                <w:sz w:val="24"/>
                <w:highlight w:val="none"/>
                <w:u w:val="single"/>
              </w:rPr>
              <w:t>参照《环境影响评价技术导则—地下水环境》（HJ610-2016）</w:t>
            </w:r>
            <w:r>
              <w:rPr>
                <w:rFonts w:hint="default" w:ascii="Times New Roman" w:hAnsi="Times New Roman" w:eastAsia="宋体" w:cs="Times New Roman"/>
                <w:color w:val="auto"/>
                <w:kern w:val="0"/>
                <w:sz w:val="24"/>
                <w:szCs w:val="20"/>
                <w:highlight w:val="none"/>
                <w:u w:val="single"/>
              </w:rPr>
              <w:t>要求进行分区防渗；外加剂储罐区、沉淀池、初期雨水收集池按照一般防渗区进行防渗，等效黏土防渗层厚度Mb≥1.5m，渗透系数K≤1.0×10</w:t>
            </w:r>
            <w:r>
              <w:rPr>
                <w:rFonts w:hint="eastAsia" w:cs="Times New Roman"/>
                <w:color w:val="auto"/>
                <w:kern w:val="0"/>
                <w:sz w:val="24"/>
                <w:szCs w:val="20"/>
                <w:highlight w:val="none"/>
                <w:u w:val="single"/>
                <w:vertAlign w:val="superscript"/>
                <w:lang w:val="en-US" w:eastAsia="zh-CN"/>
              </w:rPr>
              <w:t>-7</w:t>
            </w:r>
            <w:r>
              <w:rPr>
                <w:rFonts w:hint="default" w:ascii="Times New Roman" w:hAnsi="Times New Roman" w:eastAsia="宋体" w:cs="Times New Roman"/>
                <w:color w:val="auto"/>
                <w:kern w:val="0"/>
                <w:sz w:val="24"/>
                <w:szCs w:val="20"/>
                <w:highlight w:val="none"/>
                <w:u w:val="single"/>
              </w:rPr>
              <w:t>cm/s，或参照GB18598执行；厂区道路、化验室、堆场等其他区域按照简单防渗区进行防渗，一般地面硬化即可</w:t>
            </w:r>
            <w:r>
              <w:rPr>
                <w:rFonts w:hint="eastAsia" w:ascii="Times New Roman" w:hAnsi="Times New Roman" w:eastAsia="宋体" w:cs="Times New Roman"/>
                <w:color w:val="auto"/>
                <w:kern w:val="0"/>
                <w:sz w:val="24"/>
                <w:szCs w:val="20"/>
                <w:highlight w:val="none"/>
                <w:u w:val="single"/>
                <w:lang w:eastAsia="zh-CN"/>
              </w:rPr>
              <w:t>。</w:t>
            </w:r>
            <w:r>
              <w:rPr>
                <w:rFonts w:hint="eastAsia" w:ascii="Times New Roman" w:hAnsi="Times New Roman" w:eastAsia="宋体" w:cs="Times New Roman"/>
                <w:color w:val="auto"/>
                <w:kern w:val="0"/>
                <w:sz w:val="24"/>
                <w:szCs w:val="20"/>
                <w:highlight w:val="none"/>
                <w:u w:val="single"/>
                <w:lang w:val="en-US" w:eastAsia="zh-CN"/>
              </w:rPr>
              <w:t>分区防渗</w:t>
            </w:r>
            <w:r>
              <w:rPr>
                <w:rFonts w:hint="default" w:ascii="Times New Roman" w:hAnsi="Times New Roman" w:eastAsia="宋体" w:cs="Times New Roman"/>
                <w:color w:val="auto"/>
                <w:sz w:val="24"/>
                <w:highlight w:val="none"/>
                <w:u w:val="single"/>
              </w:rPr>
              <w:t>隔断了本项目建</w:t>
            </w:r>
            <w:r>
              <w:rPr>
                <w:rFonts w:hint="default" w:ascii="Times New Roman" w:hAnsi="Times New Roman" w:eastAsia="宋体" w:cs="Times New Roman"/>
                <w:color w:val="auto"/>
                <w:sz w:val="24"/>
                <w:highlight w:val="none"/>
                <w:u w:val="single"/>
                <w:lang w:eastAsia="zh-CN"/>
              </w:rPr>
              <w:t>构</w:t>
            </w:r>
            <w:r>
              <w:rPr>
                <w:rFonts w:hint="default" w:ascii="Times New Roman" w:hAnsi="Times New Roman" w:eastAsia="宋体" w:cs="Times New Roman"/>
                <w:color w:val="auto"/>
                <w:sz w:val="24"/>
                <w:highlight w:val="none"/>
                <w:u w:val="single"/>
              </w:rPr>
              <w:t>筑</w:t>
            </w:r>
            <w:r>
              <w:rPr>
                <w:rFonts w:hint="default" w:ascii="Times New Roman" w:hAnsi="Times New Roman" w:eastAsia="宋体" w:cs="Times New Roman"/>
                <w:color w:val="auto"/>
                <w:sz w:val="24"/>
                <w:highlight w:val="none"/>
                <w:u w:val="single"/>
                <w:lang w:eastAsia="zh-CN"/>
              </w:rPr>
              <w:t>物</w:t>
            </w:r>
            <w:r>
              <w:rPr>
                <w:rFonts w:hint="default" w:ascii="Times New Roman" w:hAnsi="Times New Roman" w:eastAsia="宋体" w:cs="Times New Roman"/>
                <w:color w:val="auto"/>
                <w:sz w:val="24"/>
                <w:highlight w:val="none"/>
                <w:u w:val="single"/>
              </w:rPr>
              <w:t>与地下水的联系途径，</w:t>
            </w:r>
            <w:r>
              <w:rPr>
                <w:rFonts w:hint="default" w:ascii="Times New Roman" w:hAnsi="Times New Roman" w:eastAsia="宋体" w:cs="Times New Roman"/>
                <w:bCs/>
                <w:color w:val="auto"/>
                <w:sz w:val="24"/>
                <w:highlight w:val="none"/>
                <w:u w:val="single"/>
              </w:rPr>
              <w:t>在确保防渗措施得以落实，并加强和维护厂区环境管理的前提，</w:t>
            </w:r>
            <w:r>
              <w:rPr>
                <w:rFonts w:hint="default" w:ascii="Times New Roman" w:hAnsi="Times New Roman" w:eastAsia="宋体" w:cs="Times New Roman"/>
                <w:bCs/>
                <w:color w:val="auto"/>
                <w:sz w:val="24"/>
                <w:highlight w:val="none"/>
                <w:u w:val="single"/>
                <w:lang w:val="en-US" w:eastAsia="zh-CN"/>
              </w:rPr>
              <w:t>几乎</w:t>
            </w:r>
            <w:r>
              <w:rPr>
                <w:rFonts w:hint="default" w:ascii="Times New Roman" w:hAnsi="Times New Roman" w:eastAsia="宋体" w:cs="Times New Roman"/>
                <w:bCs/>
                <w:color w:val="auto"/>
                <w:sz w:val="24"/>
                <w:highlight w:val="none"/>
                <w:u w:val="single"/>
              </w:rPr>
              <w:t>不会对区域地下水环境产生影响</w:t>
            </w:r>
            <w:r>
              <w:rPr>
                <w:rFonts w:hint="default" w:ascii="Times New Roman" w:hAnsi="Times New Roman" w:eastAsia="宋体" w:cs="Times New Roman"/>
                <w:bCs/>
                <w:color w:val="auto"/>
                <w:sz w:val="24"/>
                <w:highlight w:val="none"/>
                <w:u w:val="single"/>
                <w:lang w:eastAsia="zh-CN"/>
              </w:rPr>
              <w:t>。</w:t>
            </w:r>
          </w:p>
          <w:p w14:paraId="1CA15386">
            <w:pPr>
              <w:adjustRightInd w:val="0"/>
              <w:snapToGrid w:val="0"/>
              <w:spacing w:line="360" w:lineRule="auto"/>
              <w:ind w:firstLine="482" w:firstLineChars="200"/>
              <w:rPr>
                <w:rFonts w:hint="default" w:ascii="Times New Roman" w:hAnsi="Times New Roman" w:eastAsia="宋体" w:cs="Times New Roman"/>
                <w:b/>
                <w:bCs/>
                <w:color w:val="auto"/>
                <w:sz w:val="24"/>
                <w:szCs w:val="24"/>
                <w:highlight w:val="none"/>
                <w:u w:val="none"/>
              </w:rPr>
            </w:pPr>
            <w:r>
              <w:rPr>
                <w:rFonts w:hint="eastAsia" w:cs="Times New Roman"/>
                <w:b/>
                <w:bCs/>
                <w:color w:val="auto"/>
                <w:sz w:val="24"/>
                <w:szCs w:val="24"/>
                <w:highlight w:val="none"/>
                <w:u w:val="none"/>
                <w:lang w:val="en-US" w:eastAsia="zh-CN"/>
              </w:rPr>
              <w:t>6</w:t>
            </w:r>
            <w:r>
              <w:rPr>
                <w:rFonts w:hint="default" w:ascii="Times New Roman" w:hAnsi="Times New Roman" w:eastAsia="宋体" w:cs="Times New Roman"/>
                <w:b/>
                <w:bCs/>
                <w:color w:val="auto"/>
                <w:sz w:val="24"/>
                <w:szCs w:val="24"/>
                <w:highlight w:val="none"/>
                <w:u w:val="none"/>
              </w:rPr>
              <w:t>、</w:t>
            </w:r>
            <w:r>
              <w:rPr>
                <w:rFonts w:hint="eastAsia" w:cs="Times New Roman"/>
                <w:b/>
                <w:bCs/>
                <w:color w:val="auto"/>
                <w:sz w:val="24"/>
                <w:szCs w:val="24"/>
                <w:highlight w:val="none"/>
                <w:u w:val="none"/>
                <w:lang w:eastAsia="zh-CN"/>
              </w:rPr>
              <w:t>土壤</w:t>
            </w:r>
            <w:r>
              <w:rPr>
                <w:rFonts w:hint="default" w:ascii="Times New Roman" w:hAnsi="Times New Roman" w:eastAsia="宋体" w:cs="Times New Roman"/>
                <w:b/>
                <w:bCs/>
                <w:color w:val="auto"/>
                <w:sz w:val="24"/>
                <w:szCs w:val="24"/>
                <w:highlight w:val="none"/>
                <w:u w:val="none"/>
              </w:rPr>
              <w:t>环境影响分析</w:t>
            </w:r>
          </w:p>
          <w:p w14:paraId="030AC0C2">
            <w:pPr>
              <w:widowControl/>
              <w:tabs>
                <w:tab w:val="left" w:pos="1275"/>
              </w:tabs>
              <w:overflowPunct w:val="0"/>
              <w:topLinePunct/>
              <w:autoSpaceDE w:val="0"/>
              <w:spacing w:line="360" w:lineRule="auto"/>
              <w:ind w:firstLine="480" w:firstLineChars="200"/>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kern w:val="0"/>
                <w:sz w:val="24"/>
                <w:szCs w:val="24"/>
                <w:highlight w:val="none"/>
                <w:u w:val="none"/>
                <w:lang w:val="en-US" w:eastAsia="zh-CN" w:bidi="ar"/>
              </w:rPr>
              <w:t>本项目正常工况下废气主要为颗粒物，</w:t>
            </w:r>
            <w:bookmarkStart w:id="13" w:name="OLE_LINK184"/>
            <w:r>
              <w:rPr>
                <w:rFonts w:hint="default" w:ascii="Times New Roman" w:hAnsi="Times New Roman" w:eastAsia="宋体" w:cs="Times New Roman"/>
                <w:color w:val="auto"/>
                <w:kern w:val="0"/>
                <w:sz w:val="24"/>
                <w:szCs w:val="24"/>
                <w:highlight w:val="none"/>
                <w:u w:val="none"/>
                <w:lang w:val="en-US" w:eastAsia="zh-CN" w:bidi="ar"/>
              </w:rPr>
              <w:t>废气中污染物浓度较低，无重金属等沉降型污染，采取地面硬化、洒水降尘，粉状原料密闭储存</w:t>
            </w:r>
            <w:r>
              <w:rPr>
                <w:rFonts w:hint="eastAsia" w:cs="Times New Roman"/>
                <w:color w:val="auto"/>
                <w:kern w:val="0"/>
                <w:sz w:val="24"/>
                <w:szCs w:val="24"/>
                <w:highlight w:val="none"/>
                <w:u w:val="none"/>
                <w:lang w:val="en-US" w:eastAsia="zh-CN" w:bidi="ar"/>
              </w:rPr>
              <w:t>运输</w:t>
            </w:r>
            <w:r>
              <w:rPr>
                <w:rFonts w:hint="default" w:ascii="Times New Roman" w:hAnsi="Times New Roman" w:eastAsia="宋体" w:cs="Times New Roman"/>
                <w:color w:val="auto"/>
                <w:kern w:val="0"/>
                <w:sz w:val="24"/>
                <w:szCs w:val="24"/>
                <w:highlight w:val="none"/>
                <w:u w:val="none"/>
                <w:lang w:val="en-US" w:eastAsia="zh-CN" w:bidi="ar"/>
              </w:rPr>
              <w:t>等措施</w:t>
            </w:r>
            <w:r>
              <w:rPr>
                <w:rFonts w:hint="eastAsia" w:cs="Times New Roman"/>
                <w:color w:val="auto"/>
                <w:kern w:val="0"/>
                <w:sz w:val="24"/>
                <w:szCs w:val="24"/>
                <w:highlight w:val="none"/>
                <w:u w:val="none"/>
                <w:lang w:val="en-US" w:eastAsia="zh-CN" w:bidi="ar"/>
              </w:rPr>
              <w:t>，</w:t>
            </w:r>
            <w:r>
              <w:rPr>
                <w:rFonts w:hint="default" w:ascii="Times New Roman" w:hAnsi="Times New Roman" w:eastAsia="宋体" w:cs="Times New Roman"/>
                <w:color w:val="auto"/>
                <w:kern w:val="0"/>
                <w:sz w:val="24"/>
                <w:szCs w:val="24"/>
                <w:highlight w:val="none"/>
                <w:u w:val="none"/>
                <w:lang w:val="en-US" w:eastAsia="zh-CN" w:bidi="ar"/>
              </w:rPr>
              <w:t>基本不会通过大气沉降对区域土壤造成影响。</w:t>
            </w:r>
            <w:r>
              <w:rPr>
                <w:rFonts w:hint="eastAsia" w:ascii="宋体" w:hAnsi="宋体" w:eastAsia="宋体" w:cs="宋体"/>
                <w:color w:val="auto"/>
                <w:kern w:val="0"/>
                <w:sz w:val="24"/>
                <w:szCs w:val="24"/>
                <w:highlight w:val="none"/>
                <w:u w:val="none"/>
                <w:lang w:val="en-US" w:eastAsia="zh-CN" w:bidi="ar"/>
              </w:rPr>
              <w:t>原料主要为粉煤灰、水泥、砂石等，不涉及危险化学品</w:t>
            </w:r>
            <w:r>
              <w:rPr>
                <w:rFonts w:hint="eastAsia" w:ascii="宋体" w:hAnsi="宋体" w:cs="宋体"/>
                <w:color w:val="auto"/>
                <w:kern w:val="0"/>
                <w:sz w:val="24"/>
                <w:szCs w:val="24"/>
                <w:highlight w:val="none"/>
                <w:u w:val="none"/>
                <w:lang w:val="en-US" w:eastAsia="zh-CN" w:bidi="ar"/>
              </w:rPr>
              <w:t>，</w:t>
            </w:r>
            <w:r>
              <w:rPr>
                <w:rFonts w:hint="default" w:ascii="Times New Roman" w:hAnsi="Times New Roman" w:eastAsia="宋体" w:cs="Times New Roman"/>
                <w:color w:val="auto"/>
                <w:sz w:val="24"/>
                <w:szCs w:val="24"/>
                <w:highlight w:val="none"/>
                <w:u w:val="none"/>
                <w:lang w:val="en-US" w:eastAsia="zh-CN"/>
              </w:rPr>
              <w:t>可能产生土壤环境污染的途径主要为</w:t>
            </w:r>
            <w:r>
              <w:rPr>
                <w:rFonts w:hint="eastAsia" w:cs="Times New Roman"/>
                <w:color w:val="auto"/>
                <w:kern w:val="0"/>
                <w:sz w:val="24"/>
                <w:szCs w:val="24"/>
                <w:highlight w:val="none"/>
                <w:u w:val="none"/>
                <w:lang w:val="en-US" w:eastAsia="zh-CN" w:bidi="ar"/>
              </w:rPr>
              <w:t>外加剂、生产废水</w:t>
            </w:r>
            <w:r>
              <w:rPr>
                <w:rFonts w:hint="default" w:ascii="Times New Roman" w:hAnsi="Times New Roman" w:eastAsia="宋体" w:cs="Times New Roman"/>
                <w:color w:val="auto"/>
                <w:sz w:val="24"/>
                <w:highlight w:val="none"/>
                <w:u w:val="none"/>
                <w:lang w:val="en-US" w:eastAsia="zh-CN"/>
              </w:rPr>
              <w:t>等</w:t>
            </w:r>
            <w:r>
              <w:rPr>
                <w:rFonts w:hint="default" w:ascii="Times New Roman" w:hAnsi="Times New Roman" w:eastAsia="宋体" w:cs="Times New Roman"/>
                <w:color w:val="auto"/>
                <w:sz w:val="24"/>
                <w:szCs w:val="24"/>
                <w:highlight w:val="none"/>
                <w:u w:val="none"/>
                <w:lang w:val="en-US" w:eastAsia="zh-CN"/>
              </w:rPr>
              <w:t>渗漏或泄漏，</w:t>
            </w:r>
            <w:r>
              <w:rPr>
                <w:rFonts w:hint="eastAsia" w:cs="Times New Roman"/>
                <w:color w:val="auto"/>
                <w:sz w:val="24"/>
                <w:szCs w:val="24"/>
                <w:highlight w:val="none"/>
                <w:u w:val="none"/>
                <w:lang w:val="en-US" w:eastAsia="zh-CN"/>
              </w:rPr>
              <w:t>通过</w:t>
            </w:r>
            <w:r>
              <w:rPr>
                <w:rFonts w:hint="default" w:ascii="Times New Roman" w:hAnsi="Times New Roman" w:eastAsia="宋体" w:cs="Times New Roman"/>
                <w:color w:val="auto"/>
                <w:kern w:val="0"/>
                <w:sz w:val="24"/>
                <w:szCs w:val="24"/>
                <w:highlight w:val="none"/>
                <w:u w:val="none"/>
                <w:lang w:val="en-US" w:eastAsia="zh-CN" w:bidi="ar"/>
              </w:rPr>
              <w:t>地表漫流、</w:t>
            </w:r>
            <w:r>
              <w:rPr>
                <w:rFonts w:hint="default" w:ascii="Times New Roman" w:hAnsi="Times New Roman" w:eastAsia="宋体" w:cs="Times New Roman"/>
                <w:color w:val="auto"/>
                <w:sz w:val="24"/>
                <w:szCs w:val="24"/>
                <w:highlight w:val="none"/>
                <w:u w:val="none"/>
                <w:lang w:val="en-US" w:eastAsia="zh-CN"/>
              </w:rPr>
              <w:t>入渗包气带-垂直入渗</w:t>
            </w:r>
            <w:r>
              <w:rPr>
                <w:rFonts w:hint="eastAsia" w:cs="Times New Roman"/>
                <w:color w:val="auto"/>
                <w:sz w:val="24"/>
                <w:szCs w:val="24"/>
                <w:highlight w:val="none"/>
                <w:u w:val="none"/>
                <w:lang w:val="en-US" w:eastAsia="zh-CN"/>
              </w:rPr>
              <w:t>污染土壤环境</w:t>
            </w:r>
            <w:r>
              <w:rPr>
                <w:rFonts w:hint="default" w:ascii="Times New Roman" w:hAnsi="Times New Roman" w:eastAsia="宋体" w:cs="Times New Roman"/>
                <w:color w:val="auto"/>
                <w:sz w:val="24"/>
                <w:szCs w:val="24"/>
                <w:highlight w:val="none"/>
                <w:u w:val="none"/>
                <w:lang w:val="en-US" w:eastAsia="zh-CN"/>
              </w:rPr>
              <w:t>。</w:t>
            </w:r>
            <w:bookmarkEnd w:id="13"/>
          </w:p>
          <w:p w14:paraId="16865166">
            <w:pPr>
              <w:widowControl/>
              <w:tabs>
                <w:tab w:val="left" w:pos="1275"/>
              </w:tabs>
              <w:overflowPunct w:val="0"/>
              <w:topLinePunct/>
              <w:autoSpaceDE w:val="0"/>
              <w:spacing w:line="360" w:lineRule="auto"/>
              <w:ind w:firstLine="480" w:firstLineChars="200"/>
              <w:rPr>
                <w:rFonts w:hint="default" w:ascii="Times New Roman" w:hAnsi="Times New Roman" w:eastAsia="宋体" w:cs="Times New Roman"/>
                <w:color w:val="auto"/>
                <w:sz w:val="24"/>
                <w:szCs w:val="24"/>
                <w:highlight w:val="none"/>
                <w:u w:val="single"/>
                <w:lang w:val="en-US" w:eastAsia="zh-CN"/>
              </w:rPr>
            </w:pPr>
            <w:r>
              <w:rPr>
                <w:rFonts w:hint="default" w:ascii="Times New Roman" w:hAnsi="Times New Roman" w:eastAsia="宋体" w:cs="Times New Roman"/>
                <w:color w:val="auto"/>
                <w:sz w:val="24"/>
                <w:szCs w:val="24"/>
                <w:highlight w:val="none"/>
                <w:u w:val="single"/>
                <w:lang w:val="en-US" w:eastAsia="zh-CN"/>
              </w:rPr>
              <w:t>为了确保项目建设对占地范围内外的土壤环境质量影响降至最低，本次评价建议企业加强土壤污染防治措施，具体措施如下：</w:t>
            </w:r>
          </w:p>
          <w:p w14:paraId="6C2C5539">
            <w:pPr>
              <w:widowControl/>
              <w:tabs>
                <w:tab w:val="left" w:pos="1275"/>
              </w:tabs>
              <w:overflowPunct w:val="0"/>
              <w:topLinePunct/>
              <w:autoSpaceDE w:val="0"/>
              <w:spacing w:line="360" w:lineRule="auto"/>
              <w:ind w:firstLine="480" w:firstLineChars="200"/>
              <w:rPr>
                <w:rFonts w:hint="default" w:ascii="Times New Roman" w:hAnsi="Times New Roman" w:eastAsia="宋体" w:cs="Times New Roman"/>
                <w:color w:val="auto"/>
                <w:sz w:val="24"/>
                <w:szCs w:val="24"/>
                <w:highlight w:val="none"/>
                <w:u w:val="single"/>
                <w:lang w:val="en-US" w:eastAsia="zh-CN"/>
              </w:rPr>
            </w:pPr>
            <w:r>
              <w:rPr>
                <w:rFonts w:hint="default" w:ascii="Times New Roman" w:hAnsi="Times New Roman" w:eastAsia="宋体" w:cs="Times New Roman"/>
                <w:color w:val="auto"/>
                <w:sz w:val="24"/>
                <w:szCs w:val="24"/>
                <w:highlight w:val="none"/>
                <w:u w:val="single"/>
                <w:lang w:val="en-US" w:eastAsia="zh-CN"/>
              </w:rPr>
              <w:t>①土壤环境质量现状保障措施</w:t>
            </w:r>
          </w:p>
          <w:p w14:paraId="507960F2">
            <w:pPr>
              <w:widowControl/>
              <w:tabs>
                <w:tab w:val="left" w:pos="1275"/>
              </w:tabs>
              <w:overflowPunct w:val="0"/>
              <w:topLinePunct/>
              <w:autoSpaceDE w:val="0"/>
              <w:spacing w:line="360" w:lineRule="auto"/>
              <w:ind w:firstLine="480" w:firstLineChars="200"/>
              <w:rPr>
                <w:rFonts w:hint="default" w:ascii="Times New Roman" w:hAnsi="Times New Roman" w:eastAsia="宋体" w:cs="Times New Roman"/>
                <w:color w:val="auto"/>
                <w:sz w:val="24"/>
                <w:szCs w:val="24"/>
                <w:highlight w:val="none"/>
                <w:u w:val="single"/>
                <w:lang w:val="en-US" w:eastAsia="zh-CN"/>
              </w:rPr>
            </w:pPr>
            <w:r>
              <w:rPr>
                <w:rFonts w:hint="default" w:ascii="Times New Roman" w:hAnsi="Times New Roman" w:eastAsia="宋体" w:cs="Times New Roman"/>
                <w:color w:val="auto"/>
                <w:sz w:val="24"/>
                <w:szCs w:val="24"/>
                <w:highlight w:val="none"/>
                <w:u w:val="single"/>
                <w:lang w:val="en-US" w:eastAsia="zh-CN"/>
              </w:rPr>
              <w:t>项目车间设计贯彻方便工艺布置的原则，平面简洁规整，功能分区明确</w:t>
            </w:r>
            <w:r>
              <w:rPr>
                <w:rFonts w:hint="eastAsia" w:cs="Times New Roman"/>
                <w:color w:val="auto"/>
                <w:sz w:val="24"/>
                <w:szCs w:val="24"/>
                <w:highlight w:val="none"/>
                <w:u w:val="single"/>
                <w:lang w:val="en-US" w:eastAsia="zh-CN"/>
              </w:rPr>
              <w:t>。</w:t>
            </w:r>
          </w:p>
          <w:p w14:paraId="16677441">
            <w:pPr>
              <w:widowControl/>
              <w:tabs>
                <w:tab w:val="left" w:pos="1275"/>
              </w:tabs>
              <w:overflowPunct w:val="0"/>
              <w:topLinePunct/>
              <w:autoSpaceDE w:val="0"/>
              <w:spacing w:line="360" w:lineRule="auto"/>
              <w:ind w:firstLine="480" w:firstLineChars="200"/>
              <w:rPr>
                <w:rFonts w:hint="default" w:ascii="Times New Roman" w:hAnsi="Times New Roman" w:eastAsia="宋体" w:cs="Times New Roman"/>
                <w:color w:val="auto"/>
                <w:sz w:val="24"/>
                <w:szCs w:val="24"/>
                <w:highlight w:val="none"/>
                <w:u w:val="single"/>
                <w:lang w:val="en-US" w:eastAsia="zh-CN"/>
              </w:rPr>
            </w:pPr>
            <w:r>
              <w:rPr>
                <w:rFonts w:hint="default" w:ascii="Times New Roman" w:hAnsi="Times New Roman" w:eastAsia="宋体" w:cs="Times New Roman"/>
                <w:color w:val="auto"/>
                <w:sz w:val="24"/>
                <w:szCs w:val="24"/>
                <w:highlight w:val="none"/>
                <w:u w:val="single"/>
                <w:lang w:val="en-US" w:eastAsia="zh-CN"/>
              </w:rPr>
              <w:t>②源头控制措施</w:t>
            </w:r>
          </w:p>
          <w:p w14:paraId="62F21A9F">
            <w:pPr>
              <w:widowControl/>
              <w:tabs>
                <w:tab w:val="left" w:pos="1275"/>
              </w:tabs>
              <w:overflowPunct w:val="0"/>
              <w:topLinePunct/>
              <w:autoSpaceDE w:val="0"/>
              <w:spacing w:line="360" w:lineRule="auto"/>
              <w:ind w:firstLine="480" w:firstLineChars="200"/>
              <w:rPr>
                <w:rFonts w:hint="default" w:ascii="Times New Roman" w:hAnsi="Times New Roman" w:eastAsia="宋体" w:cs="Times New Roman"/>
                <w:color w:val="auto"/>
                <w:sz w:val="24"/>
                <w:szCs w:val="24"/>
                <w:highlight w:val="none"/>
                <w:u w:val="single"/>
                <w:lang w:val="en-US" w:eastAsia="zh-CN"/>
              </w:rPr>
            </w:pPr>
            <w:r>
              <w:rPr>
                <w:rFonts w:hint="default" w:ascii="Times New Roman" w:hAnsi="Times New Roman" w:eastAsia="宋体" w:cs="Times New Roman"/>
                <w:color w:val="auto"/>
                <w:sz w:val="24"/>
                <w:szCs w:val="24"/>
                <w:highlight w:val="none"/>
                <w:u w:val="single"/>
                <w:lang w:val="en-US" w:eastAsia="zh-CN"/>
              </w:rPr>
              <w:t>保证废气采用合理有效的处理设施处理后达标排放，减少废气的排放量。</w:t>
            </w:r>
          </w:p>
          <w:p w14:paraId="53762179">
            <w:pPr>
              <w:widowControl/>
              <w:tabs>
                <w:tab w:val="left" w:pos="1275"/>
              </w:tabs>
              <w:overflowPunct w:val="0"/>
              <w:topLinePunct/>
              <w:autoSpaceDE w:val="0"/>
              <w:spacing w:line="360" w:lineRule="auto"/>
              <w:ind w:firstLine="480" w:firstLineChars="200"/>
              <w:rPr>
                <w:rFonts w:hint="default" w:ascii="Times New Roman" w:hAnsi="Times New Roman" w:eastAsia="宋体" w:cs="Times New Roman"/>
                <w:color w:val="auto"/>
                <w:sz w:val="24"/>
                <w:szCs w:val="24"/>
                <w:highlight w:val="none"/>
                <w:u w:val="single"/>
                <w:lang w:val="en-US" w:eastAsia="zh-CN"/>
              </w:rPr>
            </w:pPr>
            <w:r>
              <w:rPr>
                <w:rFonts w:hint="default" w:ascii="Times New Roman" w:hAnsi="Times New Roman" w:eastAsia="宋体" w:cs="Times New Roman"/>
                <w:color w:val="auto"/>
                <w:sz w:val="24"/>
                <w:szCs w:val="24"/>
                <w:highlight w:val="none"/>
                <w:u w:val="single"/>
                <w:lang w:val="en-US" w:eastAsia="zh-CN"/>
              </w:rPr>
              <w:t>③过程防控措施</w:t>
            </w:r>
          </w:p>
          <w:p w14:paraId="1140F87E">
            <w:pPr>
              <w:widowControl/>
              <w:tabs>
                <w:tab w:val="left" w:pos="1275"/>
              </w:tabs>
              <w:overflowPunct w:val="0"/>
              <w:topLinePunct/>
              <w:autoSpaceDE w:val="0"/>
              <w:spacing w:line="360" w:lineRule="auto"/>
              <w:ind w:firstLine="480" w:firstLineChars="200"/>
              <w:rPr>
                <w:rFonts w:hint="default" w:ascii="Times New Roman" w:hAnsi="Times New Roman" w:eastAsia="宋体" w:cs="Times New Roman"/>
                <w:color w:val="auto"/>
                <w:sz w:val="24"/>
                <w:szCs w:val="24"/>
                <w:highlight w:val="none"/>
                <w:u w:val="single"/>
                <w:lang w:val="en-US" w:eastAsia="zh-CN"/>
              </w:rPr>
            </w:pPr>
            <w:r>
              <w:rPr>
                <w:rFonts w:hint="default" w:ascii="Times New Roman" w:hAnsi="Times New Roman" w:eastAsia="宋体" w:cs="Times New Roman"/>
                <w:color w:val="auto"/>
                <w:sz w:val="24"/>
                <w:szCs w:val="24"/>
                <w:highlight w:val="none"/>
                <w:u w:val="single"/>
                <w:lang w:val="en-US" w:eastAsia="zh-CN"/>
              </w:rPr>
              <w:t>项目地面进行硬化、防渗处理，按照防渗标准要求进行合理设计，将污染物泄漏的环境风险事故降到最低限度。</w:t>
            </w:r>
          </w:p>
          <w:p w14:paraId="08B2413E">
            <w:pPr>
              <w:widowControl/>
              <w:tabs>
                <w:tab w:val="left" w:pos="1275"/>
              </w:tabs>
              <w:overflowPunct w:val="0"/>
              <w:topLinePunct/>
              <w:autoSpaceDE w:val="0"/>
              <w:spacing w:line="360" w:lineRule="auto"/>
              <w:ind w:firstLine="480" w:firstLineChars="200"/>
              <w:rPr>
                <w:bCs/>
                <w:snapToGrid w:val="0"/>
                <w:color w:val="auto"/>
                <w:kern w:val="0"/>
                <w:sz w:val="24"/>
                <w:szCs w:val="24"/>
                <w:highlight w:val="none"/>
              </w:rPr>
            </w:pPr>
            <w:r>
              <w:rPr>
                <w:rFonts w:hint="default" w:ascii="Times New Roman" w:hAnsi="Times New Roman" w:eastAsia="宋体" w:cs="Times New Roman"/>
                <w:color w:val="auto"/>
                <w:sz w:val="24"/>
                <w:szCs w:val="24"/>
                <w:highlight w:val="none"/>
                <w:u w:val="none"/>
                <w:lang w:val="en-US" w:eastAsia="zh-CN"/>
              </w:rPr>
              <w:t>厂区按照要求采取分区防渗措施，做好厂内各区域的防渗工作，加强设施运行维护管理，杜绝项目污染物直接进入土壤的可能性，正常运营情况下几乎</w:t>
            </w:r>
            <w:r>
              <w:rPr>
                <w:rFonts w:hint="default" w:ascii="Times New Roman" w:hAnsi="Times New Roman" w:eastAsia="宋体" w:cs="Times New Roman"/>
                <w:bCs/>
                <w:color w:val="auto"/>
                <w:sz w:val="24"/>
                <w:highlight w:val="none"/>
                <w:u w:val="none"/>
              </w:rPr>
              <w:t>不会对区域</w:t>
            </w:r>
            <w:r>
              <w:rPr>
                <w:rFonts w:hint="default" w:ascii="Times New Roman" w:hAnsi="Times New Roman" w:eastAsia="宋体" w:cs="Times New Roman"/>
                <w:bCs/>
                <w:color w:val="auto"/>
                <w:sz w:val="24"/>
                <w:highlight w:val="none"/>
                <w:u w:val="none"/>
                <w:lang w:val="en-US" w:eastAsia="zh-CN"/>
              </w:rPr>
              <w:t>土壤</w:t>
            </w:r>
            <w:r>
              <w:rPr>
                <w:rFonts w:hint="default" w:ascii="Times New Roman" w:hAnsi="Times New Roman" w:eastAsia="宋体" w:cs="Times New Roman"/>
                <w:bCs/>
                <w:color w:val="auto"/>
                <w:sz w:val="24"/>
                <w:highlight w:val="none"/>
                <w:u w:val="none"/>
              </w:rPr>
              <w:t>环境产生影响</w:t>
            </w:r>
            <w:r>
              <w:rPr>
                <w:rFonts w:hint="default" w:ascii="Times New Roman" w:hAnsi="Times New Roman" w:eastAsia="宋体" w:cs="Times New Roman"/>
                <w:bCs/>
                <w:color w:val="auto"/>
                <w:sz w:val="24"/>
                <w:highlight w:val="none"/>
                <w:u w:val="none"/>
                <w:lang w:eastAsia="zh-CN"/>
              </w:rPr>
              <w:t>。</w:t>
            </w:r>
          </w:p>
          <w:p w14:paraId="04BFA9FC">
            <w:pPr>
              <w:pStyle w:val="11"/>
              <w:keepNext w:val="0"/>
              <w:keepLines w:val="0"/>
              <w:pageBreakBefore w:val="0"/>
              <w:kinsoku/>
              <w:wordWrap/>
              <w:overflowPunct/>
              <w:topLinePunct w:val="0"/>
              <w:bidi w:val="0"/>
              <w:adjustRightInd w:val="0"/>
              <w:snapToGrid/>
              <w:spacing w:before="0" w:beforeAutospacing="0" w:after="0" w:afterAutospacing="0" w:line="360" w:lineRule="auto"/>
              <w:ind w:left="0" w:leftChars="0" w:firstLine="482" w:firstLineChars="200"/>
              <w:textAlignment w:val="auto"/>
              <w:rPr>
                <w:rFonts w:hint="default" w:ascii="Times New Roman" w:hAnsi="Times New Roman" w:eastAsia="宋体" w:cs="Times New Roman"/>
                <w:b/>
                <w:bCs/>
                <w:color w:val="auto"/>
                <w:sz w:val="24"/>
                <w:highlight w:val="none"/>
              </w:rPr>
            </w:pPr>
            <w:r>
              <w:rPr>
                <w:rFonts w:hint="eastAsia" w:ascii="Times New Roman" w:hAnsi="Times New Roman" w:cs="Times New Roman"/>
                <w:b/>
                <w:bCs/>
                <w:color w:val="auto"/>
                <w:sz w:val="24"/>
                <w:highlight w:val="none"/>
                <w:lang w:val="en-US" w:eastAsia="zh-CN"/>
              </w:rPr>
              <w:t>7</w:t>
            </w:r>
            <w:r>
              <w:rPr>
                <w:rFonts w:hint="default" w:ascii="Times New Roman" w:hAnsi="Times New Roman" w:eastAsia="宋体" w:cs="Times New Roman"/>
                <w:b/>
                <w:bCs/>
                <w:color w:val="auto"/>
                <w:sz w:val="24"/>
                <w:highlight w:val="none"/>
              </w:rPr>
              <w:t>、运输环境影响分析</w:t>
            </w:r>
          </w:p>
          <w:p w14:paraId="7B0CEFBC">
            <w:pPr>
              <w:pStyle w:val="35"/>
              <w:keepNext w:val="0"/>
              <w:keepLines w:val="0"/>
              <w:pageBreakBefore w:val="0"/>
              <w:kinsoku/>
              <w:wordWrap/>
              <w:overflowPunct/>
              <w:topLinePunct w:val="0"/>
              <w:bidi w:val="0"/>
              <w:adjustRightInd w:val="0"/>
              <w:snapToGrid/>
              <w:spacing w:beforeAutospacing="0" w:afterAutospacing="0" w:line="360" w:lineRule="auto"/>
              <w:ind w:left="0" w:leftChars="0" w:firstLine="480" w:firstLineChars="200"/>
              <w:jc w:val="both"/>
              <w:textAlignment w:val="auto"/>
              <w:rPr>
                <w:rFonts w:hint="eastAsia" w:cs="Times New Roman"/>
                <w:b/>
                <w:bCs/>
                <w:color w:val="auto"/>
                <w:sz w:val="24"/>
                <w:szCs w:val="24"/>
                <w:highlight w:val="none"/>
                <w:u w:val="none"/>
                <w:lang w:val="en-US" w:eastAsia="zh-CN"/>
              </w:rPr>
            </w:pPr>
            <w:r>
              <w:rPr>
                <w:rFonts w:hint="default" w:ascii="Times New Roman" w:hAnsi="Times New Roman" w:eastAsia="宋体" w:cs="Times New Roman"/>
                <w:color w:val="auto"/>
                <w:highlight w:val="none"/>
                <w:u w:val="none"/>
              </w:rPr>
              <w:t>本项目</w:t>
            </w:r>
            <w:r>
              <w:rPr>
                <w:rFonts w:hint="eastAsia" w:ascii="Times New Roman" w:hAnsi="Times New Roman" w:eastAsia="宋体" w:cs="Times New Roman"/>
                <w:color w:val="auto"/>
                <w:highlight w:val="none"/>
                <w:u w:val="none"/>
                <w:lang w:eastAsia="zh-CN"/>
              </w:rPr>
              <w:t>东侧</w:t>
            </w:r>
            <w:r>
              <w:rPr>
                <w:rFonts w:hint="eastAsia" w:ascii="Times New Roman" w:hAnsi="Times New Roman" w:eastAsia="宋体" w:cs="Times New Roman"/>
                <w:color w:val="auto"/>
                <w:highlight w:val="none"/>
                <w:u w:val="none"/>
                <w:lang w:val="en-US" w:eastAsia="zh-CN"/>
              </w:rPr>
              <w:t>约700m即为S204漫临线，厂区至S204漫临线沿线无环境保护目标，项目原料及产品运输路线</w:t>
            </w:r>
            <w:r>
              <w:rPr>
                <w:rFonts w:hint="default" w:ascii="Times New Roman" w:hAnsi="Times New Roman" w:eastAsia="宋体" w:cs="Times New Roman"/>
                <w:color w:val="auto"/>
                <w:highlight w:val="none"/>
                <w:u w:val="none"/>
              </w:rPr>
              <w:t>沿线保护目标主要为沿线居民等环境敏感点，运输车辆应保证车辆清洁，</w:t>
            </w:r>
            <w:r>
              <w:rPr>
                <w:rFonts w:ascii="宋体" w:hAnsi="宋体" w:eastAsia="宋体" w:cs="宋体"/>
                <w:color w:val="auto"/>
                <w:sz w:val="24"/>
                <w:szCs w:val="24"/>
              </w:rPr>
              <w:t>原料及成品运输车辆全覆盖苫布，途经居民区等敏感点时减速慢行、禁止鸣笛，降低扬尘与噪声影响</w:t>
            </w:r>
            <w:r>
              <w:rPr>
                <w:rFonts w:hint="default" w:ascii="Times New Roman" w:hAnsi="Times New Roman" w:eastAsia="宋体" w:cs="Times New Roman"/>
                <w:color w:val="auto"/>
                <w:highlight w:val="none"/>
                <w:u w:val="none"/>
              </w:rPr>
              <w:t>，减少运输过程中噪声对沿线敏感点的影响，故不会对周边敏感目标产生较大的影响。同时车辆应配备应急措施，以防发生事故时物料泄漏对周围环境造成影响。</w:t>
            </w:r>
          </w:p>
          <w:p w14:paraId="0DC58A2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textAlignment w:val="auto"/>
              <w:rPr>
                <w:rFonts w:hint="default" w:cs="Times New Roman"/>
                <w:b/>
                <w:bCs/>
                <w:color w:val="auto"/>
                <w:sz w:val="24"/>
                <w:szCs w:val="24"/>
                <w:highlight w:val="none"/>
                <w:u w:val="single"/>
                <w:lang w:val="en-US" w:eastAsia="zh-CN"/>
              </w:rPr>
            </w:pPr>
            <w:r>
              <w:rPr>
                <w:rFonts w:hint="eastAsia" w:cs="Times New Roman"/>
                <w:b/>
                <w:bCs/>
                <w:color w:val="auto"/>
                <w:sz w:val="24"/>
                <w:szCs w:val="24"/>
                <w:highlight w:val="none"/>
                <w:u w:val="single"/>
                <w:lang w:val="en-US" w:eastAsia="zh-CN"/>
              </w:rPr>
              <w:t>8、运营期满后恢复措施</w:t>
            </w:r>
          </w:p>
          <w:p w14:paraId="0795AC0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i w:val="0"/>
                <w:iCs w:val="0"/>
                <w:color w:val="auto"/>
                <w:sz w:val="24"/>
                <w:szCs w:val="24"/>
                <w:highlight w:val="none"/>
                <w:u w:val="single"/>
                <w:lang w:val="en-US" w:eastAsia="zh-CN"/>
              </w:rPr>
            </w:pPr>
            <w:r>
              <w:rPr>
                <w:rFonts w:hint="default" w:ascii="Times New Roman" w:hAnsi="Times New Roman" w:cs="Times New Roman"/>
                <w:i w:val="0"/>
                <w:iCs w:val="0"/>
                <w:color w:val="auto"/>
                <w:sz w:val="24"/>
                <w:szCs w:val="24"/>
                <w:highlight w:val="none"/>
                <w:u w:val="single"/>
                <w:lang w:val="en-US" w:eastAsia="zh-CN"/>
              </w:rPr>
              <w:t>根据《土地复垦条例》第三条，生产建设活动损毁的土地，按照“谁损毁，谁复垦”的原则，由生产建设单位</w:t>
            </w:r>
            <w:r>
              <w:rPr>
                <w:rFonts w:hint="eastAsia" w:cs="Times New Roman"/>
                <w:i w:val="0"/>
                <w:iCs w:val="0"/>
                <w:color w:val="auto"/>
                <w:sz w:val="24"/>
                <w:szCs w:val="24"/>
                <w:highlight w:val="none"/>
                <w:u w:val="single"/>
                <w:lang w:val="en-US" w:eastAsia="zh-CN"/>
              </w:rPr>
              <w:t>中交路桥建设有限公司国道漫临线（G612）分水（县界）至临江段工程MLSG01标段项目经理部</w:t>
            </w:r>
            <w:r>
              <w:rPr>
                <w:rFonts w:hint="default" w:ascii="Times New Roman" w:hAnsi="Times New Roman" w:cs="Times New Roman"/>
                <w:i w:val="0"/>
                <w:iCs w:val="0"/>
                <w:color w:val="auto"/>
                <w:sz w:val="24"/>
                <w:szCs w:val="24"/>
                <w:highlight w:val="none"/>
                <w:u w:val="single"/>
                <w:lang w:val="en-US" w:eastAsia="zh-CN"/>
              </w:rPr>
              <w:t>负责复垦。自临时用地期满之日起一年内完成土地复垦，使其达到可供利用状态。复垦验收应由自然资源主管部门会同生态环境等有关部门组织实施。本项目为国道漫临线（G612）配套临时工程，用地期满后严格遵循</w:t>
            </w:r>
            <w:r>
              <w:rPr>
                <w:rFonts w:hint="eastAsia" w:ascii="Times New Roman" w:hAnsi="Times New Roman" w:cs="Times New Roman"/>
                <w:i w:val="0"/>
                <w:iCs w:val="0"/>
                <w:color w:val="auto"/>
                <w:sz w:val="24"/>
                <w:szCs w:val="24"/>
                <w:highlight w:val="none"/>
                <w:u w:val="single"/>
                <w:lang w:val="en-US" w:eastAsia="zh-CN"/>
              </w:rPr>
              <w:t>“</w:t>
            </w:r>
            <w:r>
              <w:rPr>
                <w:rFonts w:hint="default" w:ascii="Times New Roman" w:hAnsi="Times New Roman" w:cs="Times New Roman"/>
                <w:i w:val="0"/>
                <w:iCs w:val="0"/>
                <w:color w:val="auto"/>
                <w:sz w:val="24"/>
                <w:szCs w:val="24"/>
                <w:highlight w:val="none"/>
                <w:u w:val="single"/>
                <w:lang w:val="en-US" w:eastAsia="zh-CN"/>
              </w:rPr>
              <w:t>谁使用、谁复垦、宜林则林、宜草则草</w:t>
            </w:r>
            <w:r>
              <w:rPr>
                <w:rFonts w:hint="eastAsia" w:ascii="Times New Roman" w:hAnsi="Times New Roman" w:cs="Times New Roman"/>
                <w:i w:val="0"/>
                <w:iCs w:val="0"/>
                <w:color w:val="auto"/>
                <w:sz w:val="24"/>
                <w:szCs w:val="24"/>
                <w:highlight w:val="none"/>
                <w:u w:val="single"/>
                <w:lang w:val="en-US" w:eastAsia="zh-CN"/>
              </w:rPr>
              <w:t>”</w:t>
            </w:r>
            <w:r>
              <w:rPr>
                <w:rFonts w:hint="default" w:ascii="Times New Roman" w:hAnsi="Times New Roman" w:cs="Times New Roman"/>
                <w:i w:val="0"/>
                <w:iCs w:val="0"/>
                <w:color w:val="auto"/>
                <w:sz w:val="24"/>
                <w:szCs w:val="24"/>
                <w:highlight w:val="none"/>
                <w:u w:val="single"/>
                <w:lang w:val="en-US" w:eastAsia="zh-CN"/>
              </w:rPr>
              <w:t>的原则，按照原地类属性落实全流程土地复垦与生态恢复措施，恢复后土地生态功能不低于原有水平，有效防控水土流失，</w:t>
            </w:r>
            <w:r>
              <w:rPr>
                <w:rFonts w:hint="eastAsia" w:cs="Times New Roman"/>
                <w:i w:val="0"/>
                <w:iCs w:val="0"/>
                <w:color w:val="auto"/>
                <w:sz w:val="24"/>
                <w:szCs w:val="24"/>
                <w:highlight w:val="none"/>
                <w:u w:val="single"/>
                <w:lang w:val="en-US" w:eastAsia="zh-CN"/>
              </w:rPr>
              <w:t>具体技术标准满足《土地复垦质量控制标准》TD/T 1036-2013）中要求，</w:t>
            </w:r>
            <w:r>
              <w:rPr>
                <w:rFonts w:hint="default" w:ascii="Times New Roman" w:hAnsi="Times New Roman" w:cs="Times New Roman"/>
                <w:i w:val="0"/>
                <w:iCs w:val="0"/>
                <w:color w:val="auto"/>
                <w:sz w:val="24"/>
                <w:szCs w:val="24"/>
                <w:highlight w:val="none"/>
                <w:u w:val="single"/>
                <w:lang w:val="en-US" w:eastAsia="zh-CN"/>
              </w:rPr>
              <w:t>具体措施如下：</w:t>
            </w:r>
          </w:p>
          <w:p w14:paraId="7F4DB1F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i w:val="0"/>
                <w:iCs w:val="0"/>
                <w:color w:val="auto"/>
                <w:sz w:val="24"/>
                <w:szCs w:val="24"/>
                <w:highlight w:val="none"/>
                <w:u w:val="single"/>
                <w:lang w:val="en-US" w:eastAsia="zh-CN"/>
              </w:rPr>
            </w:pPr>
            <w:r>
              <w:rPr>
                <w:rFonts w:hint="default" w:ascii="Times New Roman" w:hAnsi="Times New Roman" w:cs="Times New Roman"/>
                <w:i w:val="0"/>
                <w:iCs w:val="0"/>
                <w:color w:val="auto"/>
                <w:sz w:val="24"/>
                <w:szCs w:val="24"/>
                <w:highlight w:val="none"/>
                <w:u w:val="single"/>
                <w:lang w:val="en-US" w:eastAsia="zh-CN"/>
              </w:rPr>
              <w:t>（1）提前储备吉林本地乡土苗木、草种及合格种植土，严禁选用外来入侵物种；乔木优先选用小青杨、旱柳等本土阔叶树种，草种优先选用草地早熟禾、紫羊茅、披碱草等多年生耐寒乡土草本。</w:t>
            </w:r>
          </w:p>
          <w:p w14:paraId="4217C45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i w:val="0"/>
                <w:iCs w:val="0"/>
                <w:color w:val="auto"/>
                <w:sz w:val="24"/>
                <w:szCs w:val="24"/>
                <w:highlight w:val="none"/>
                <w:u w:val="single"/>
                <w:lang w:val="en-US" w:eastAsia="zh-CN"/>
              </w:rPr>
            </w:pPr>
            <w:r>
              <w:rPr>
                <w:rFonts w:hint="default" w:ascii="Times New Roman" w:hAnsi="Times New Roman" w:cs="Times New Roman"/>
                <w:i w:val="0"/>
                <w:iCs w:val="0"/>
                <w:color w:val="auto"/>
                <w:sz w:val="24"/>
                <w:szCs w:val="24"/>
                <w:highlight w:val="none"/>
                <w:u w:val="single"/>
                <w:lang w:val="en-US" w:eastAsia="zh-CN"/>
              </w:rPr>
              <w:t>（2）按照</w:t>
            </w:r>
            <w:r>
              <w:rPr>
                <w:rFonts w:hint="eastAsia" w:ascii="Times New Roman" w:hAnsi="Times New Roman" w:cs="Times New Roman"/>
                <w:i w:val="0"/>
                <w:iCs w:val="0"/>
                <w:color w:val="auto"/>
                <w:sz w:val="24"/>
                <w:szCs w:val="24"/>
                <w:highlight w:val="none"/>
                <w:u w:val="single"/>
                <w:lang w:val="en-US" w:eastAsia="zh-CN"/>
              </w:rPr>
              <w:t>“</w:t>
            </w:r>
            <w:r>
              <w:rPr>
                <w:rFonts w:hint="default" w:ascii="Times New Roman" w:hAnsi="Times New Roman" w:cs="Times New Roman"/>
                <w:i w:val="0"/>
                <w:iCs w:val="0"/>
                <w:color w:val="auto"/>
                <w:sz w:val="24"/>
                <w:szCs w:val="24"/>
                <w:highlight w:val="none"/>
                <w:u w:val="single"/>
                <w:lang w:val="en-US" w:eastAsia="zh-CN"/>
              </w:rPr>
              <w:t>自上而下、先地上后地下</w:t>
            </w:r>
            <w:r>
              <w:rPr>
                <w:rFonts w:hint="eastAsia" w:ascii="Times New Roman" w:hAnsi="Times New Roman" w:cs="Times New Roman"/>
                <w:i w:val="0"/>
                <w:iCs w:val="0"/>
                <w:color w:val="auto"/>
                <w:sz w:val="24"/>
                <w:szCs w:val="24"/>
                <w:highlight w:val="none"/>
                <w:u w:val="single"/>
                <w:lang w:val="en-US" w:eastAsia="zh-CN"/>
              </w:rPr>
              <w:t>”</w:t>
            </w:r>
            <w:r>
              <w:rPr>
                <w:rFonts w:hint="default" w:ascii="Times New Roman" w:hAnsi="Times New Roman" w:cs="Times New Roman"/>
                <w:i w:val="0"/>
                <w:iCs w:val="0"/>
                <w:color w:val="auto"/>
                <w:sz w:val="24"/>
                <w:szCs w:val="24"/>
                <w:highlight w:val="none"/>
                <w:u w:val="single"/>
                <w:lang w:val="en-US" w:eastAsia="zh-CN"/>
              </w:rPr>
              <w:t>的顺序拆除全部临时建构筑物，包括生产厂房、设备基础、临时道路硬化层及地下隐蔽基础，拆除深度至原自然地面标高，无残留硬化垫层、混凝土基础等障碍物。</w:t>
            </w:r>
          </w:p>
          <w:p w14:paraId="3292CC6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i w:val="0"/>
                <w:iCs w:val="0"/>
                <w:color w:val="auto"/>
                <w:sz w:val="24"/>
                <w:szCs w:val="24"/>
                <w:highlight w:val="none"/>
                <w:u w:val="single"/>
                <w:lang w:val="en-US" w:eastAsia="zh-CN"/>
              </w:rPr>
            </w:pPr>
            <w:r>
              <w:rPr>
                <w:rFonts w:hint="default" w:ascii="Times New Roman" w:hAnsi="Times New Roman" w:cs="Times New Roman"/>
                <w:i w:val="0"/>
                <w:iCs w:val="0"/>
                <w:color w:val="auto"/>
                <w:sz w:val="24"/>
                <w:szCs w:val="24"/>
                <w:highlight w:val="none"/>
                <w:u w:val="single"/>
                <w:lang w:val="en-US" w:eastAsia="zh-CN"/>
              </w:rPr>
              <w:t>（3）拆除产生的建筑垃圾分类处置：可资源化利用的硬质建筑垃圾优先用于主线道路工程铺垫，其余全部密闭清运至政府指定的建筑垃圾消纳场处置，严禁就地填埋、随意丢弃；场地内残留的生活垃圾、废弃物料同步清运；若检出油污污染土壤、废矿物油等危险废物，单独收集后委托有资质单位规范处置，杜绝土壤遗留污染。</w:t>
            </w:r>
          </w:p>
          <w:p w14:paraId="3FB0F80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i w:val="0"/>
                <w:iCs w:val="0"/>
                <w:color w:val="auto"/>
                <w:sz w:val="24"/>
                <w:szCs w:val="24"/>
                <w:highlight w:val="none"/>
                <w:u w:val="single"/>
                <w:lang w:val="en-US" w:eastAsia="zh-CN"/>
              </w:rPr>
            </w:pPr>
            <w:r>
              <w:rPr>
                <w:rFonts w:hint="default" w:ascii="Times New Roman" w:hAnsi="Times New Roman" w:cs="Times New Roman"/>
                <w:i w:val="0"/>
                <w:iCs w:val="0"/>
                <w:color w:val="auto"/>
                <w:sz w:val="24"/>
                <w:szCs w:val="24"/>
                <w:highlight w:val="none"/>
                <w:u w:val="single"/>
                <w:lang w:val="en-US" w:eastAsia="zh-CN"/>
              </w:rPr>
              <w:t>（4）全面清理场地表层杂填土中的碎石、砖块、塑料等杂物，清理深度不小于20cm，为后续土壤整治及植被恢复创造条件。</w:t>
            </w:r>
          </w:p>
          <w:p w14:paraId="456D311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i w:val="0"/>
                <w:iCs w:val="0"/>
                <w:color w:val="auto"/>
                <w:sz w:val="24"/>
                <w:szCs w:val="24"/>
                <w:highlight w:val="none"/>
                <w:u w:val="single"/>
                <w:lang w:val="en-US" w:eastAsia="zh-CN"/>
              </w:rPr>
            </w:pPr>
            <w:r>
              <w:rPr>
                <w:rFonts w:hint="default" w:ascii="Times New Roman" w:hAnsi="Times New Roman" w:cs="Times New Roman"/>
                <w:i w:val="0"/>
                <w:iCs w:val="0"/>
                <w:color w:val="auto"/>
                <w:sz w:val="24"/>
                <w:szCs w:val="24"/>
                <w:highlight w:val="none"/>
                <w:u w:val="single"/>
                <w:lang w:val="en-US" w:eastAsia="zh-CN"/>
              </w:rPr>
              <w:t>（5）对拆除后的压实板结场地全面深翻松土，深翻深度不小于30cm，破除机械压实形成的不透水层，改善土壤透气性；针对现状杂填土肥力差、保水性弱的问题，全域铺设合格种植土：林地恢复区域种植土厚度不小于60cm，草地恢复区域种植土厚度不小于30cm，种植土符合《绿化种植土壤》标准，不含建筑垃圾、有毒有害物质。</w:t>
            </w:r>
          </w:p>
          <w:p w14:paraId="3238768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i w:val="0"/>
                <w:iCs w:val="0"/>
                <w:color w:val="auto"/>
                <w:sz w:val="24"/>
                <w:szCs w:val="24"/>
                <w:highlight w:val="none"/>
                <w:u w:val="single"/>
                <w:lang w:val="en-US" w:eastAsia="zh-CN"/>
              </w:rPr>
            </w:pPr>
            <w:r>
              <w:rPr>
                <w:rFonts w:hint="default" w:ascii="Times New Roman" w:hAnsi="Times New Roman" w:cs="Times New Roman"/>
                <w:i w:val="0"/>
                <w:iCs w:val="0"/>
                <w:color w:val="auto"/>
                <w:sz w:val="24"/>
                <w:szCs w:val="24"/>
                <w:highlight w:val="none"/>
                <w:u w:val="single"/>
                <w:lang w:val="en-US" w:eastAsia="zh-CN"/>
              </w:rPr>
              <w:t>（6）植被恢复后设置不少于1年的管护期，安排专人负责日常养护，定期开展浇水、除草、病虫害防治工作；每年春、秋季核查植被成活率，林木成活率低于90%、草地覆盖度低于85%的区域及时补植补播，确保恢复效果达标。</w:t>
            </w:r>
          </w:p>
          <w:p w14:paraId="78BC877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cs="Times New Roman"/>
                <w:i w:val="0"/>
                <w:iCs w:val="0"/>
                <w:color w:val="auto"/>
                <w:sz w:val="24"/>
                <w:szCs w:val="24"/>
                <w:highlight w:val="none"/>
                <w:u w:val="single"/>
                <w:lang w:val="en-US" w:eastAsia="zh-CN"/>
              </w:rPr>
            </w:pPr>
            <w:r>
              <w:rPr>
                <w:rFonts w:hint="eastAsia" w:cs="Times New Roman"/>
                <w:i w:val="0"/>
                <w:iCs w:val="0"/>
                <w:color w:val="auto"/>
                <w:sz w:val="24"/>
                <w:szCs w:val="24"/>
                <w:highlight w:val="none"/>
                <w:u w:val="single"/>
                <w:lang w:val="en-US" w:eastAsia="zh-CN"/>
              </w:rPr>
              <w:t>（7）沉淀池、初期雨水收集池在长期使用过程中，池底和池壁可能吸附或渗入污染物（SS、外加剂残留等），拆除过程中若处置不当，可能造成土壤和地下水二次污染。因此，项目拆除沉淀池、初期雨水收集池前，应清空池内积水和底泥，底泥应按报告前述要求外售制砖厂或透水砖加工厂；拆除池体构筑物时，应采取防渗措施防止残留污染物渗入土壤；拆除完成后，应对原沉淀池、外加剂储罐区等关键区域进行土壤采样监测，确认无残留污染。</w:t>
            </w:r>
          </w:p>
          <w:p w14:paraId="4600462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i w:val="0"/>
                <w:iCs w:val="0"/>
                <w:color w:val="auto"/>
                <w:sz w:val="24"/>
                <w:szCs w:val="24"/>
                <w:highlight w:val="none"/>
                <w:u w:val="single"/>
                <w:lang w:val="en-US" w:eastAsia="zh-CN"/>
              </w:rPr>
            </w:pPr>
            <w:r>
              <w:rPr>
                <w:rFonts w:hint="eastAsia" w:cs="Times New Roman"/>
                <w:i w:val="0"/>
                <w:iCs w:val="0"/>
                <w:color w:val="auto"/>
                <w:sz w:val="24"/>
                <w:szCs w:val="24"/>
                <w:highlight w:val="none"/>
                <w:u w:val="single"/>
                <w:lang w:val="en-US" w:eastAsia="zh-CN"/>
              </w:rPr>
              <w:t>（8）根据《中华人民共和国土壤污染防治法》第五十九条，对土壤污染状况普查、详查和监测、现场检查表明有土壤污染风险的建设用地地块，土地使用权人应按照规定进行土壤污染状况调查。本项目临时用地期满后需恢复原地类（林地和草地），属于土地用途恢复情形，应依法评估是否存在土壤污染风险并决定是否开展调查。本环评建议及要求：如存在土壤污染风险，应按照《土壤污染防治法》要求开展土壤污染状况调查，并将调查报告报地方生态环境主管部门会同自然资源主管部门评审。调查的责任主体为土地使用权人（中交路桥建设有限公司国道漫临线（G612）分水（县界）至临江段工程MLSG01标段项目经理部）。</w:t>
            </w:r>
          </w:p>
          <w:p w14:paraId="4C3958D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textAlignment w:val="auto"/>
              <w:rPr>
                <w:rFonts w:hint="default" w:cs="Times New Roman"/>
                <w:b/>
                <w:bCs/>
                <w:color w:val="auto"/>
                <w:sz w:val="24"/>
                <w:szCs w:val="24"/>
                <w:highlight w:val="none"/>
                <w:u w:val="single"/>
                <w:lang w:val="en-US" w:eastAsia="zh-CN"/>
              </w:rPr>
            </w:pPr>
            <w:r>
              <w:rPr>
                <w:rFonts w:hint="eastAsia" w:cs="Times New Roman"/>
                <w:b/>
                <w:bCs/>
                <w:color w:val="auto"/>
                <w:sz w:val="24"/>
                <w:szCs w:val="24"/>
                <w:highlight w:val="none"/>
                <w:u w:val="single"/>
                <w:lang w:val="en-US" w:eastAsia="zh-CN"/>
              </w:rPr>
              <w:t>9、退役后环境监测计划</w:t>
            </w:r>
          </w:p>
          <w:p w14:paraId="2A819CB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cs="Times New Roman"/>
                <w:b w:val="0"/>
                <w:bCs w:val="0"/>
                <w:color w:val="auto"/>
                <w:sz w:val="24"/>
                <w:szCs w:val="24"/>
                <w:highlight w:val="none"/>
                <w:u w:val="single"/>
                <w:lang w:val="en-US" w:eastAsia="zh-CN"/>
              </w:rPr>
            </w:pPr>
            <w:r>
              <w:rPr>
                <w:rFonts w:hint="eastAsia" w:cs="Times New Roman"/>
                <w:b w:val="0"/>
                <w:bCs w:val="0"/>
                <w:color w:val="auto"/>
                <w:sz w:val="24"/>
                <w:szCs w:val="24"/>
                <w:highlight w:val="none"/>
                <w:u w:val="single"/>
                <w:lang w:val="en-US" w:eastAsia="zh-CN"/>
              </w:rPr>
              <w:t>根据《排污单位自行监测技术指南 总则》（HJ 819-2017）关于监测方案应覆盖全生命周期的原则要求，退役期环境监测是建设项目环境管理的必要组成部分。</w:t>
            </w:r>
          </w:p>
          <w:p w14:paraId="15E375F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cs="Times New Roman"/>
                <w:b w:val="0"/>
                <w:bCs w:val="0"/>
                <w:color w:val="auto"/>
                <w:sz w:val="24"/>
                <w:szCs w:val="24"/>
                <w:highlight w:val="none"/>
                <w:u w:val="single"/>
                <w:lang w:val="en-US" w:eastAsia="zh-CN"/>
              </w:rPr>
            </w:pPr>
            <w:r>
              <w:rPr>
                <w:rFonts w:hint="eastAsia" w:cs="Times New Roman"/>
                <w:b w:val="0"/>
                <w:bCs w:val="0"/>
                <w:color w:val="auto"/>
                <w:sz w:val="24"/>
                <w:szCs w:val="24"/>
                <w:highlight w:val="none"/>
                <w:u w:val="single"/>
                <w:lang w:val="en-US" w:eastAsia="zh-CN"/>
              </w:rPr>
              <w:t>拆除作业期间将产生施工扬尘和机械噪声，影响周边环境空气质量（TSP）和声环境；复垦后需要对植被恢复效果进行跟踪监测（植被覆盖率、物种多样性等）。</w:t>
            </w:r>
          </w:p>
          <w:p w14:paraId="49CA686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cs="Times New Roman"/>
                <w:b w:val="0"/>
                <w:bCs w:val="0"/>
                <w:color w:val="auto"/>
                <w:sz w:val="24"/>
                <w:szCs w:val="24"/>
                <w:highlight w:val="none"/>
                <w:u w:val="single"/>
                <w:lang w:val="en-US" w:eastAsia="zh-CN"/>
              </w:rPr>
            </w:pPr>
            <w:r>
              <w:rPr>
                <w:rFonts w:hint="eastAsia" w:cs="Times New Roman"/>
                <w:b w:val="0"/>
                <w:bCs w:val="0"/>
                <w:color w:val="auto"/>
                <w:sz w:val="24"/>
                <w:szCs w:val="24"/>
                <w:highlight w:val="none"/>
                <w:u w:val="single"/>
                <w:lang w:val="en-US" w:eastAsia="zh-CN"/>
              </w:rPr>
              <w:t>（1）拆除作业期间环境监测计划</w:t>
            </w:r>
          </w:p>
          <w:p w14:paraId="1FEE4C2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s="Times New Roman"/>
                <w:b/>
                <w:bCs/>
                <w:color w:val="auto"/>
                <w:sz w:val="24"/>
                <w:szCs w:val="24"/>
                <w:highlight w:val="none"/>
                <w:u w:val="single"/>
                <w:lang w:val="en-US" w:eastAsia="zh-CN"/>
              </w:rPr>
            </w:pPr>
            <w:r>
              <w:rPr>
                <w:rFonts w:hint="eastAsia" w:cs="Times New Roman"/>
                <w:b/>
                <w:bCs/>
                <w:color w:val="auto"/>
                <w:sz w:val="24"/>
                <w:szCs w:val="24"/>
                <w:highlight w:val="none"/>
                <w:u w:val="single"/>
                <w:lang w:val="en-US" w:eastAsia="zh-CN"/>
              </w:rPr>
              <w:t>表4-13  拆除作业期间环境监测计划</w:t>
            </w:r>
          </w:p>
          <w:tbl>
            <w:tblPr>
              <w:tblStyle w:val="26"/>
              <w:tblW w:w="0" w:type="auto"/>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215"/>
              <w:gridCol w:w="1245"/>
              <w:gridCol w:w="1620"/>
              <w:gridCol w:w="3699"/>
            </w:tblGrid>
            <w:tr w14:paraId="2340EF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85" w:type="dxa"/>
                  <w:tcBorders>
                    <w:tl2br w:val="nil"/>
                    <w:tr2bl w:val="nil"/>
                  </w:tcBorders>
                  <w:vAlign w:val="center"/>
                </w:tcPr>
                <w:p w14:paraId="0DCE5DB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序号</w:t>
                  </w:r>
                </w:p>
              </w:tc>
              <w:tc>
                <w:tcPr>
                  <w:tcW w:w="1215" w:type="dxa"/>
                  <w:tcBorders>
                    <w:tl2br w:val="nil"/>
                    <w:tr2bl w:val="nil"/>
                  </w:tcBorders>
                  <w:vAlign w:val="center"/>
                </w:tcPr>
                <w:p w14:paraId="3D14BE4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监测内容</w:t>
                  </w:r>
                </w:p>
              </w:tc>
              <w:tc>
                <w:tcPr>
                  <w:tcW w:w="1245" w:type="dxa"/>
                  <w:tcBorders>
                    <w:tl2br w:val="nil"/>
                    <w:tr2bl w:val="nil"/>
                  </w:tcBorders>
                  <w:vAlign w:val="center"/>
                </w:tcPr>
                <w:p w14:paraId="626CD28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监测因子</w:t>
                  </w:r>
                </w:p>
              </w:tc>
              <w:tc>
                <w:tcPr>
                  <w:tcW w:w="1620" w:type="dxa"/>
                  <w:tcBorders>
                    <w:tl2br w:val="nil"/>
                    <w:tr2bl w:val="nil"/>
                  </w:tcBorders>
                  <w:vAlign w:val="center"/>
                </w:tcPr>
                <w:p w14:paraId="6F91C28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监测频次</w:t>
                  </w:r>
                </w:p>
              </w:tc>
              <w:tc>
                <w:tcPr>
                  <w:tcW w:w="3699" w:type="dxa"/>
                  <w:tcBorders>
                    <w:tl2br w:val="nil"/>
                    <w:tr2bl w:val="nil"/>
                  </w:tcBorders>
                  <w:vAlign w:val="center"/>
                </w:tcPr>
                <w:p w14:paraId="0F1F1A5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执行标准</w:t>
                  </w:r>
                </w:p>
              </w:tc>
            </w:tr>
            <w:tr w14:paraId="69DC70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85" w:type="dxa"/>
                  <w:tcBorders>
                    <w:tl2br w:val="nil"/>
                    <w:tr2bl w:val="nil"/>
                  </w:tcBorders>
                  <w:vAlign w:val="center"/>
                </w:tcPr>
                <w:p w14:paraId="58AE1CF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1</w:t>
                  </w:r>
                </w:p>
              </w:tc>
              <w:tc>
                <w:tcPr>
                  <w:tcW w:w="1215" w:type="dxa"/>
                  <w:tcBorders>
                    <w:tl2br w:val="nil"/>
                    <w:tr2bl w:val="nil"/>
                  </w:tcBorders>
                  <w:vAlign w:val="center"/>
                </w:tcPr>
                <w:p w14:paraId="11B52CC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环境空气</w:t>
                  </w:r>
                </w:p>
              </w:tc>
              <w:tc>
                <w:tcPr>
                  <w:tcW w:w="1245" w:type="dxa"/>
                  <w:tcBorders>
                    <w:tl2br w:val="nil"/>
                    <w:tr2bl w:val="nil"/>
                  </w:tcBorders>
                  <w:vAlign w:val="center"/>
                </w:tcPr>
                <w:p w14:paraId="5C4D28B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TSP</w:t>
                  </w:r>
                </w:p>
              </w:tc>
              <w:tc>
                <w:tcPr>
                  <w:tcW w:w="1620" w:type="dxa"/>
                  <w:vMerge w:val="restart"/>
                  <w:tcBorders>
                    <w:tl2br w:val="nil"/>
                    <w:tr2bl w:val="nil"/>
                  </w:tcBorders>
                  <w:vAlign w:val="center"/>
                </w:tcPr>
                <w:p w14:paraId="18DDB7D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拆除作业高峰期1次/周</w:t>
                  </w:r>
                </w:p>
              </w:tc>
              <w:tc>
                <w:tcPr>
                  <w:tcW w:w="3699" w:type="dxa"/>
                  <w:tcBorders>
                    <w:tl2br w:val="nil"/>
                    <w:tr2bl w:val="nil"/>
                  </w:tcBorders>
                  <w:vAlign w:val="center"/>
                </w:tcPr>
                <w:p w14:paraId="27E3068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《水泥工业大气污染物排放标准》（GB 4915-2013）表3无组织排放限值</w:t>
                  </w:r>
                </w:p>
              </w:tc>
            </w:tr>
            <w:tr w14:paraId="4CE66F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85" w:type="dxa"/>
                  <w:tcBorders>
                    <w:tl2br w:val="nil"/>
                    <w:tr2bl w:val="nil"/>
                  </w:tcBorders>
                  <w:vAlign w:val="center"/>
                </w:tcPr>
                <w:p w14:paraId="65A8A44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2</w:t>
                  </w:r>
                </w:p>
              </w:tc>
              <w:tc>
                <w:tcPr>
                  <w:tcW w:w="1215" w:type="dxa"/>
                  <w:tcBorders>
                    <w:tl2br w:val="nil"/>
                    <w:tr2bl w:val="nil"/>
                  </w:tcBorders>
                  <w:vAlign w:val="center"/>
                </w:tcPr>
                <w:p w14:paraId="11890ED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声环境</w:t>
                  </w:r>
                </w:p>
              </w:tc>
              <w:tc>
                <w:tcPr>
                  <w:tcW w:w="1245" w:type="dxa"/>
                  <w:tcBorders>
                    <w:tl2br w:val="nil"/>
                    <w:tr2bl w:val="nil"/>
                  </w:tcBorders>
                  <w:vAlign w:val="center"/>
                </w:tcPr>
                <w:p w14:paraId="289187B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噪声</w:t>
                  </w:r>
                </w:p>
              </w:tc>
              <w:tc>
                <w:tcPr>
                  <w:tcW w:w="1620" w:type="dxa"/>
                  <w:vMerge w:val="continue"/>
                  <w:tcBorders>
                    <w:tl2br w:val="nil"/>
                    <w:tr2bl w:val="nil"/>
                  </w:tcBorders>
                  <w:vAlign w:val="center"/>
                </w:tcPr>
                <w:p w14:paraId="5DAB11F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cs="Times New Roman"/>
                      <w:b w:val="0"/>
                      <w:bCs w:val="0"/>
                      <w:color w:val="auto"/>
                      <w:sz w:val="21"/>
                      <w:szCs w:val="21"/>
                      <w:highlight w:val="none"/>
                      <w:u w:val="single"/>
                      <w:vertAlign w:val="baseline"/>
                      <w:lang w:val="en-US" w:eastAsia="zh-CN"/>
                    </w:rPr>
                  </w:pPr>
                </w:p>
              </w:tc>
              <w:tc>
                <w:tcPr>
                  <w:tcW w:w="3699" w:type="dxa"/>
                  <w:tcBorders>
                    <w:tl2br w:val="nil"/>
                    <w:tr2bl w:val="nil"/>
                  </w:tcBorders>
                  <w:vAlign w:val="center"/>
                </w:tcPr>
                <w:p w14:paraId="57C89FA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《建筑施工噪声排放标准》（GB12523-2025）</w:t>
                  </w:r>
                </w:p>
              </w:tc>
            </w:tr>
          </w:tbl>
          <w:p w14:paraId="31B4C55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eastAsia" w:cs="Times New Roman"/>
                <w:b w:val="0"/>
                <w:bCs w:val="0"/>
                <w:color w:val="auto"/>
                <w:sz w:val="24"/>
                <w:szCs w:val="24"/>
                <w:highlight w:val="none"/>
                <w:u w:val="single"/>
                <w:lang w:val="en-US" w:eastAsia="zh-CN"/>
              </w:rPr>
            </w:pPr>
          </w:p>
          <w:p w14:paraId="6A90423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cs="Times New Roman"/>
                <w:b w:val="0"/>
                <w:bCs w:val="0"/>
                <w:color w:val="auto"/>
                <w:sz w:val="24"/>
                <w:szCs w:val="24"/>
                <w:highlight w:val="none"/>
                <w:u w:val="single"/>
                <w:lang w:val="en-US" w:eastAsia="zh-CN"/>
              </w:rPr>
            </w:pPr>
            <w:r>
              <w:rPr>
                <w:rFonts w:hint="eastAsia" w:cs="Times New Roman"/>
                <w:b w:val="0"/>
                <w:bCs w:val="0"/>
                <w:color w:val="auto"/>
                <w:sz w:val="24"/>
                <w:szCs w:val="24"/>
                <w:highlight w:val="none"/>
                <w:u w:val="single"/>
                <w:lang w:val="en-US" w:eastAsia="zh-CN"/>
              </w:rPr>
              <w:t>（2）复垦后生态跟踪监测计划</w:t>
            </w:r>
          </w:p>
          <w:p w14:paraId="70048AE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cs="Times New Roman"/>
                <w:b w:val="0"/>
                <w:bCs w:val="0"/>
                <w:color w:val="auto"/>
                <w:sz w:val="24"/>
                <w:szCs w:val="24"/>
                <w:highlight w:val="none"/>
                <w:u w:val="single"/>
                <w:lang w:val="en-US" w:eastAsia="zh-CN"/>
              </w:rPr>
            </w:pPr>
          </w:p>
          <w:p w14:paraId="26E3B30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s="Times New Roman"/>
                <w:b/>
                <w:bCs/>
                <w:color w:val="auto"/>
                <w:sz w:val="24"/>
                <w:szCs w:val="24"/>
                <w:highlight w:val="none"/>
                <w:u w:val="single"/>
                <w:lang w:val="en-US" w:eastAsia="zh-CN"/>
              </w:rPr>
            </w:pPr>
            <w:r>
              <w:rPr>
                <w:rFonts w:hint="eastAsia" w:cs="Times New Roman"/>
                <w:b/>
                <w:bCs/>
                <w:color w:val="auto"/>
                <w:sz w:val="24"/>
                <w:szCs w:val="24"/>
                <w:highlight w:val="none"/>
                <w:u w:val="single"/>
                <w:lang w:val="en-US" w:eastAsia="zh-CN"/>
              </w:rPr>
              <w:t>表4-14  复垦后生态跟踪监测计划</w:t>
            </w:r>
          </w:p>
          <w:tbl>
            <w:tblPr>
              <w:tblStyle w:val="26"/>
              <w:tblW w:w="4999"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33"/>
              <w:gridCol w:w="2970"/>
              <w:gridCol w:w="3864"/>
            </w:tblGrid>
            <w:tr w14:paraId="54CDD0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64" w:type="pct"/>
                  <w:tcBorders>
                    <w:tl2br w:val="nil"/>
                    <w:tr2bl w:val="nil"/>
                  </w:tcBorders>
                  <w:vAlign w:val="center"/>
                </w:tcPr>
                <w:p w14:paraId="41FAC1C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序号</w:t>
                  </w:r>
                </w:p>
              </w:tc>
              <w:tc>
                <w:tcPr>
                  <w:tcW w:w="1753" w:type="pct"/>
                  <w:tcBorders>
                    <w:tl2br w:val="nil"/>
                    <w:tr2bl w:val="nil"/>
                  </w:tcBorders>
                  <w:vAlign w:val="center"/>
                </w:tcPr>
                <w:p w14:paraId="1DC3168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监测因子</w:t>
                  </w:r>
                </w:p>
              </w:tc>
              <w:tc>
                <w:tcPr>
                  <w:tcW w:w="2281" w:type="pct"/>
                  <w:tcBorders>
                    <w:tl2br w:val="nil"/>
                    <w:tr2bl w:val="nil"/>
                  </w:tcBorders>
                  <w:vAlign w:val="center"/>
                </w:tcPr>
                <w:p w14:paraId="1D19DF7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监测频次</w:t>
                  </w:r>
                </w:p>
              </w:tc>
            </w:tr>
            <w:tr w14:paraId="7C05EB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64" w:type="pct"/>
                  <w:tcBorders>
                    <w:tl2br w:val="nil"/>
                    <w:tr2bl w:val="nil"/>
                  </w:tcBorders>
                  <w:vAlign w:val="center"/>
                </w:tcPr>
                <w:p w14:paraId="2AFADD1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1</w:t>
                  </w:r>
                </w:p>
              </w:tc>
              <w:tc>
                <w:tcPr>
                  <w:tcW w:w="1753" w:type="pct"/>
                  <w:tcBorders>
                    <w:tl2br w:val="nil"/>
                    <w:tr2bl w:val="nil"/>
                  </w:tcBorders>
                  <w:vAlign w:val="center"/>
                </w:tcPr>
                <w:p w14:paraId="7968D75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植被覆盖率</w:t>
                  </w:r>
                </w:p>
              </w:tc>
              <w:tc>
                <w:tcPr>
                  <w:tcW w:w="2281" w:type="pct"/>
                  <w:vMerge w:val="restart"/>
                  <w:tcBorders>
                    <w:tl2br w:val="nil"/>
                    <w:tr2bl w:val="nil"/>
                  </w:tcBorders>
                  <w:vAlign w:val="center"/>
                </w:tcPr>
                <w:p w14:paraId="3D99DDF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复垦完成后1次/年，连续2年</w:t>
                  </w:r>
                </w:p>
              </w:tc>
            </w:tr>
            <w:tr w14:paraId="3A0D9B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64" w:type="pct"/>
                  <w:tcBorders>
                    <w:tl2br w:val="nil"/>
                    <w:tr2bl w:val="nil"/>
                  </w:tcBorders>
                  <w:vAlign w:val="center"/>
                </w:tcPr>
                <w:p w14:paraId="754C7C0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2</w:t>
                  </w:r>
                </w:p>
              </w:tc>
              <w:tc>
                <w:tcPr>
                  <w:tcW w:w="1753" w:type="pct"/>
                  <w:tcBorders>
                    <w:tl2br w:val="nil"/>
                    <w:tr2bl w:val="nil"/>
                  </w:tcBorders>
                  <w:vAlign w:val="center"/>
                </w:tcPr>
                <w:p w14:paraId="7342392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土壤质量（pH、有机质）</w:t>
                  </w:r>
                </w:p>
              </w:tc>
              <w:tc>
                <w:tcPr>
                  <w:tcW w:w="2281" w:type="pct"/>
                  <w:vMerge w:val="continue"/>
                  <w:tcBorders>
                    <w:tl2br w:val="nil"/>
                    <w:tr2bl w:val="nil"/>
                  </w:tcBorders>
                  <w:vAlign w:val="center"/>
                </w:tcPr>
                <w:p w14:paraId="57F584D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cs="Times New Roman"/>
                      <w:b w:val="0"/>
                      <w:bCs w:val="0"/>
                      <w:color w:val="auto"/>
                      <w:sz w:val="21"/>
                      <w:szCs w:val="21"/>
                      <w:highlight w:val="none"/>
                      <w:u w:val="single"/>
                      <w:vertAlign w:val="baseline"/>
                      <w:lang w:val="en-US" w:eastAsia="zh-CN"/>
                    </w:rPr>
                  </w:pPr>
                </w:p>
              </w:tc>
            </w:tr>
          </w:tbl>
          <w:p w14:paraId="42C4B31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val="0"/>
                <w:color w:val="auto"/>
                <w:sz w:val="24"/>
                <w:szCs w:val="24"/>
                <w:highlight w:val="none"/>
                <w:u w:val="single"/>
                <w:lang w:val="en-US" w:eastAsia="zh-CN"/>
              </w:rPr>
            </w:pPr>
          </w:p>
          <w:p w14:paraId="385EC9D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cs="Times New Roman"/>
                <w:i w:val="0"/>
                <w:iCs w:val="0"/>
                <w:color w:val="auto"/>
                <w:sz w:val="24"/>
                <w:szCs w:val="24"/>
                <w:highlight w:val="none"/>
                <w:u w:val="single"/>
                <w:lang w:val="en-US" w:eastAsia="zh-CN"/>
              </w:rPr>
            </w:pPr>
            <w:r>
              <w:rPr>
                <w:rFonts w:hint="eastAsia" w:cs="Times New Roman"/>
                <w:b/>
                <w:bCs/>
                <w:color w:val="auto"/>
                <w:sz w:val="24"/>
                <w:szCs w:val="24"/>
                <w:highlight w:val="none"/>
                <w:u w:val="single"/>
                <w:lang w:val="en-US" w:eastAsia="zh-CN"/>
              </w:rPr>
              <w:t>10、环境风险分析</w:t>
            </w:r>
          </w:p>
          <w:p w14:paraId="6AE3B1EE">
            <w:pPr>
              <w:widowControl/>
              <w:overflowPunct w:val="0"/>
              <w:topLinePunct/>
              <w:autoSpaceDE w:val="0"/>
              <w:spacing w:line="360" w:lineRule="auto"/>
              <w:ind w:firstLine="480" w:firstLineChars="200"/>
              <w:textAlignment w:val="baseline"/>
              <w:rPr>
                <w:bCs/>
                <w:snapToGrid w:val="0"/>
                <w:color w:val="auto"/>
                <w:sz w:val="24"/>
                <w:szCs w:val="24"/>
                <w:u w:val="single" w:color="auto"/>
              </w:rPr>
            </w:pPr>
            <w:r>
              <w:rPr>
                <w:bCs/>
                <w:snapToGrid w:val="0"/>
                <w:color w:val="auto"/>
                <w:sz w:val="24"/>
                <w:szCs w:val="24"/>
                <w:u w:val="single" w:color="auto"/>
              </w:rPr>
              <w:t>环境风险评价是分析和预测建设项目存在的潜在危险、有害因素，项目运行期间可能发生的突发性时间或事故，引起有毒有害和易燃易爆等物质泄漏，造成人身安全与环境影响和损害程度，提出防范、应急与减缓措施，使项目事故率、损失和环境影响达到可接受水平。</w:t>
            </w:r>
          </w:p>
          <w:p w14:paraId="66CE73C9">
            <w:pPr>
              <w:spacing w:line="360" w:lineRule="auto"/>
              <w:ind w:firstLine="480" w:firstLineChars="200"/>
              <w:rPr>
                <w:rFonts w:hint="eastAsia" w:eastAsia="宋体"/>
                <w:color w:val="auto"/>
                <w:sz w:val="24"/>
                <w:szCs w:val="24"/>
                <w:u w:val="single" w:color="auto"/>
                <w:lang w:eastAsia="zh-CN"/>
              </w:rPr>
            </w:pPr>
            <w:r>
              <w:rPr>
                <w:rFonts w:hint="eastAsia"/>
                <w:color w:val="auto"/>
                <w:sz w:val="24"/>
                <w:szCs w:val="24"/>
                <w:u w:val="single" w:color="auto"/>
              </w:rPr>
              <w:t>（1）</w:t>
            </w:r>
            <w:r>
              <w:rPr>
                <w:rFonts w:hint="eastAsia"/>
                <w:color w:val="auto"/>
                <w:sz w:val="24"/>
                <w:szCs w:val="24"/>
                <w:u w:val="single" w:color="auto"/>
                <w:lang w:eastAsia="zh-CN"/>
              </w:rPr>
              <w:t>风险识别及分布情况</w:t>
            </w:r>
          </w:p>
          <w:p w14:paraId="2926FCE1">
            <w:pPr>
              <w:spacing w:line="360" w:lineRule="auto"/>
              <w:ind w:firstLine="480" w:firstLineChars="200"/>
              <w:rPr>
                <w:rFonts w:hint="eastAsia" w:ascii="Times New Roman" w:hAnsi="Times New Roman" w:eastAsia="宋体" w:cs="Times New Roman"/>
                <w:color w:val="auto"/>
                <w:sz w:val="24"/>
                <w:highlight w:val="none"/>
                <w:u w:val="none" w:color="auto"/>
                <w:lang w:eastAsia="zh-CN"/>
              </w:rPr>
            </w:pPr>
            <w:r>
              <w:rPr>
                <w:rFonts w:hint="default" w:ascii="Times New Roman" w:hAnsi="Times New Roman" w:eastAsia="宋体" w:cs="Times New Roman"/>
                <w:color w:val="auto"/>
                <w:sz w:val="24"/>
                <w:highlight w:val="none"/>
                <w:u w:val="single" w:color="auto"/>
              </w:rPr>
              <w:t>根据《建设项目环境风险评价技术导则》（HJ169-2018），企业使用物质的危险性按导则中附录B识别出危险物质，经查找附录B.1，本项目不涉及危险物质</w:t>
            </w:r>
            <w:r>
              <w:rPr>
                <w:rFonts w:hint="eastAsia" w:cs="Times New Roman"/>
                <w:color w:val="auto"/>
                <w:sz w:val="24"/>
                <w:highlight w:val="none"/>
                <w:u w:val="single" w:color="auto"/>
                <w:lang w:eastAsia="zh-CN"/>
              </w:rPr>
              <w:t>。</w:t>
            </w:r>
          </w:p>
          <w:p w14:paraId="3C17DAA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u w:val="single"/>
              </w:rPr>
            </w:pPr>
            <w:r>
              <w:rPr>
                <w:rFonts w:hint="default" w:ascii="Times New Roman" w:hAnsi="Times New Roman" w:eastAsia="宋体" w:cs="Times New Roman"/>
                <w:color w:val="auto"/>
                <w:kern w:val="0"/>
                <w:sz w:val="24"/>
                <w:szCs w:val="24"/>
                <w:u w:val="single"/>
                <w:lang w:val="en-US" w:eastAsia="zh-CN" w:bidi="ar"/>
              </w:rPr>
              <w:t>（2）事故情景分析</w:t>
            </w:r>
          </w:p>
          <w:p w14:paraId="3AE7E8E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u w:val="single"/>
              </w:rPr>
            </w:pPr>
            <w:r>
              <w:rPr>
                <w:rFonts w:hint="default" w:ascii="Times New Roman" w:hAnsi="Times New Roman" w:eastAsia="宋体" w:cs="Times New Roman"/>
                <w:color w:val="auto"/>
                <w:kern w:val="0"/>
                <w:sz w:val="24"/>
                <w:szCs w:val="24"/>
                <w:u w:val="single"/>
                <w:lang w:val="en-US" w:eastAsia="zh-CN" w:bidi="ar"/>
              </w:rPr>
              <w:t>①废气处理设施故障</w:t>
            </w:r>
          </w:p>
          <w:p w14:paraId="7B01D4F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sz w:val="24"/>
                <w:szCs w:val="24"/>
                <w:u w:val="single"/>
              </w:rPr>
            </w:pPr>
            <w:r>
              <w:rPr>
                <w:rFonts w:hint="default" w:ascii="Times New Roman" w:hAnsi="Times New Roman" w:eastAsia="宋体" w:cs="Times New Roman"/>
                <w:color w:val="auto"/>
                <w:kern w:val="0"/>
                <w:sz w:val="24"/>
                <w:szCs w:val="24"/>
                <w:u w:val="single"/>
                <w:lang w:val="en-US" w:eastAsia="zh-CN" w:bidi="ar"/>
              </w:rPr>
              <w:t>若废气处理设施发生故障，将导致废气无法得到合理处置，直接逸散至外环境，对区域大气环境及周边敏感点造成较大影响。</w:t>
            </w:r>
          </w:p>
          <w:p w14:paraId="79B8CC9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u w:val="single"/>
              </w:rPr>
            </w:pPr>
            <w:r>
              <w:rPr>
                <w:rFonts w:hint="default" w:ascii="Times New Roman" w:hAnsi="Times New Roman" w:eastAsia="宋体" w:cs="Times New Roman"/>
                <w:color w:val="auto"/>
                <w:kern w:val="0"/>
                <w:sz w:val="24"/>
                <w:szCs w:val="24"/>
                <w:u w:val="single"/>
                <w:lang w:val="en-US" w:eastAsia="zh-CN" w:bidi="ar"/>
              </w:rPr>
              <w:t>②</w:t>
            </w:r>
            <w:r>
              <w:rPr>
                <w:rFonts w:hint="eastAsia" w:ascii="Times New Roman" w:hAnsi="Times New Roman" w:eastAsia="宋体" w:cs="Times New Roman"/>
                <w:color w:val="auto"/>
                <w:kern w:val="0"/>
                <w:sz w:val="24"/>
                <w:szCs w:val="24"/>
                <w:u w:val="single"/>
                <w:lang w:val="en-US" w:eastAsia="zh-CN" w:bidi="ar"/>
              </w:rPr>
              <w:t>外加剂、</w:t>
            </w:r>
            <w:r>
              <w:rPr>
                <w:rFonts w:hint="default" w:ascii="Times New Roman" w:hAnsi="Times New Roman" w:eastAsia="宋体" w:cs="Times New Roman"/>
                <w:color w:val="auto"/>
                <w:kern w:val="0"/>
                <w:sz w:val="24"/>
                <w:szCs w:val="24"/>
                <w:u w:val="single"/>
                <w:lang w:val="en-US" w:eastAsia="zh-CN" w:bidi="ar"/>
              </w:rPr>
              <w:t>废水泄漏事故</w:t>
            </w:r>
          </w:p>
          <w:p w14:paraId="1A491A0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sz w:val="24"/>
                <w:szCs w:val="24"/>
                <w:u w:val="single"/>
              </w:rPr>
            </w:pPr>
            <w:r>
              <w:rPr>
                <w:rFonts w:hint="default" w:ascii="Times New Roman" w:hAnsi="Times New Roman" w:eastAsia="宋体" w:cs="Times New Roman"/>
                <w:color w:val="auto"/>
                <w:kern w:val="0"/>
                <w:sz w:val="24"/>
                <w:szCs w:val="24"/>
                <w:u w:val="single"/>
                <w:lang w:val="en-US" w:eastAsia="zh-CN" w:bidi="ar"/>
              </w:rPr>
              <w:t>由于管理不善、</w:t>
            </w:r>
            <w:r>
              <w:rPr>
                <w:rFonts w:hint="eastAsia" w:ascii="Times New Roman" w:hAnsi="Times New Roman" w:eastAsia="宋体" w:cs="Times New Roman"/>
                <w:color w:val="auto"/>
                <w:kern w:val="0"/>
                <w:sz w:val="24"/>
                <w:szCs w:val="24"/>
                <w:u w:val="single"/>
                <w:lang w:val="en-US" w:eastAsia="zh-CN" w:bidi="ar"/>
              </w:rPr>
              <w:t>储罐破损、沉淀</w:t>
            </w:r>
            <w:r>
              <w:rPr>
                <w:rFonts w:hint="default" w:ascii="Times New Roman" w:hAnsi="Times New Roman" w:eastAsia="宋体" w:cs="Times New Roman"/>
                <w:color w:val="auto"/>
                <w:kern w:val="0"/>
                <w:sz w:val="24"/>
                <w:szCs w:val="24"/>
                <w:u w:val="single"/>
                <w:lang w:val="en-US" w:eastAsia="zh-CN" w:bidi="ar"/>
              </w:rPr>
              <w:t>池体破损等原因造成的</w:t>
            </w:r>
            <w:r>
              <w:rPr>
                <w:rFonts w:hint="eastAsia" w:ascii="Times New Roman" w:hAnsi="Times New Roman" w:eastAsia="宋体" w:cs="Times New Roman"/>
                <w:color w:val="auto"/>
                <w:kern w:val="0"/>
                <w:sz w:val="24"/>
                <w:szCs w:val="24"/>
                <w:u w:val="single"/>
                <w:lang w:val="en-US" w:eastAsia="zh-CN" w:bidi="ar"/>
              </w:rPr>
              <w:t>外加剂、</w:t>
            </w:r>
            <w:r>
              <w:rPr>
                <w:rFonts w:hint="eastAsia" w:cs="Times New Roman"/>
                <w:color w:val="auto"/>
                <w:kern w:val="0"/>
                <w:sz w:val="24"/>
                <w:szCs w:val="24"/>
                <w:u w:val="single"/>
                <w:lang w:val="en-US" w:eastAsia="zh-CN" w:bidi="ar"/>
              </w:rPr>
              <w:t>清洗</w:t>
            </w:r>
            <w:r>
              <w:rPr>
                <w:rFonts w:hint="default" w:ascii="Times New Roman" w:hAnsi="Times New Roman" w:eastAsia="宋体" w:cs="Times New Roman"/>
                <w:color w:val="auto"/>
                <w:kern w:val="0"/>
                <w:sz w:val="24"/>
                <w:szCs w:val="24"/>
                <w:u w:val="single"/>
                <w:lang w:val="en-US" w:eastAsia="zh-CN" w:bidi="ar"/>
              </w:rPr>
              <w:t>废水泄漏，泄漏后可能会流入周边地表水、地下水、土壤，对外部环境和地表水、地下水、土壤造成污染。</w:t>
            </w:r>
          </w:p>
          <w:p w14:paraId="35BEF09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b w:val="0"/>
                <w:bCs w:val="0"/>
                <w:color w:val="auto"/>
                <w:sz w:val="24"/>
                <w:szCs w:val="24"/>
                <w:u w:val="single"/>
              </w:rPr>
            </w:pPr>
            <w:r>
              <w:rPr>
                <w:rFonts w:hint="eastAsia" w:ascii="宋体" w:hAnsi="宋体" w:eastAsia="宋体" w:cs="宋体"/>
                <w:b w:val="0"/>
                <w:bCs w:val="0"/>
                <w:color w:val="auto"/>
                <w:kern w:val="0"/>
                <w:sz w:val="24"/>
                <w:szCs w:val="24"/>
                <w:u w:val="single"/>
                <w:lang w:val="en-US" w:eastAsia="zh-CN" w:bidi="ar"/>
              </w:rPr>
              <w:t>（</w:t>
            </w:r>
            <w:r>
              <w:rPr>
                <w:rFonts w:hint="default" w:ascii="Times New Roman" w:hAnsi="Times New Roman" w:eastAsia="宋体" w:cs="Times New Roman"/>
                <w:b w:val="0"/>
                <w:bCs w:val="0"/>
                <w:color w:val="auto"/>
                <w:kern w:val="0"/>
                <w:sz w:val="24"/>
                <w:szCs w:val="24"/>
                <w:u w:val="single"/>
                <w:lang w:val="en-US" w:eastAsia="zh-CN" w:bidi="ar"/>
              </w:rPr>
              <w:t>3</w:t>
            </w:r>
            <w:r>
              <w:rPr>
                <w:rFonts w:hint="eastAsia" w:ascii="宋体" w:hAnsi="宋体" w:eastAsia="宋体" w:cs="宋体"/>
                <w:b w:val="0"/>
                <w:bCs w:val="0"/>
                <w:color w:val="auto"/>
                <w:kern w:val="0"/>
                <w:sz w:val="24"/>
                <w:szCs w:val="24"/>
                <w:u w:val="single"/>
                <w:lang w:val="en-US" w:eastAsia="zh-CN" w:bidi="ar"/>
              </w:rPr>
              <w:t>）影响途径</w:t>
            </w:r>
          </w:p>
          <w:p w14:paraId="37AF569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b w:val="0"/>
                <w:bCs w:val="0"/>
                <w:color w:val="auto"/>
                <w:sz w:val="24"/>
                <w:szCs w:val="24"/>
                <w:u w:val="single"/>
              </w:rPr>
            </w:pPr>
            <w:r>
              <w:rPr>
                <w:rFonts w:hint="eastAsia" w:ascii="宋体" w:hAnsi="宋体" w:eastAsia="宋体" w:cs="宋体"/>
                <w:b w:val="0"/>
                <w:bCs w:val="0"/>
                <w:color w:val="auto"/>
                <w:kern w:val="0"/>
                <w:sz w:val="24"/>
                <w:szCs w:val="24"/>
                <w:u w:val="single"/>
                <w:lang w:val="en-US" w:eastAsia="zh-CN" w:bidi="ar"/>
              </w:rPr>
              <w:t>根据本项目的风险源分析，企业可能存在的风险事故主要为粉尘外泄事故、外加剂、废水泄漏事故，一旦发生事故粉尘会对周边环境空气造成污染，外加剂、</w:t>
            </w:r>
            <w:r>
              <w:rPr>
                <w:rFonts w:hint="eastAsia" w:ascii="宋体" w:hAnsi="宋体" w:cs="宋体"/>
                <w:b w:val="0"/>
                <w:bCs w:val="0"/>
                <w:color w:val="auto"/>
                <w:kern w:val="0"/>
                <w:sz w:val="24"/>
                <w:szCs w:val="24"/>
                <w:u w:val="single"/>
                <w:lang w:val="en-US" w:eastAsia="zh-CN" w:bidi="ar"/>
              </w:rPr>
              <w:t>清洗</w:t>
            </w:r>
            <w:r>
              <w:rPr>
                <w:rFonts w:hint="eastAsia" w:ascii="宋体" w:hAnsi="宋体" w:eastAsia="宋体" w:cs="宋体"/>
                <w:b w:val="0"/>
                <w:bCs w:val="0"/>
                <w:color w:val="auto"/>
                <w:kern w:val="0"/>
                <w:sz w:val="24"/>
                <w:szCs w:val="24"/>
                <w:u w:val="single"/>
                <w:lang w:val="en-US" w:eastAsia="zh-CN" w:bidi="ar"/>
              </w:rPr>
              <w:t>废水会对周边地表水、地下水、土壤造成污染。</w:t>
            </w:r>
          </w:p>
          <w:p w14:paraId="44065C6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b w:val="0"/>
                <w:bCs w:val="0"/>
                <w:color w:val="auto"/>
                <w:sz w:val="24"/>
                <w:szCs w:val="24"/>
                <w:u w:val="single"/>
              </w:rPr>
            </w:pPr>
            <w:r>
              <w:rPr>
                <w:rFonts w:hint="eastAsia" w:ascii="宋体" w:hAnsi="宋体" w:eastAsia="宋体" w:cs="宋体"/>
                <w:b w:val="0"/>
                <w:bCs w:val="0"/>
                <w:color w:val="auto"/>
                <w:kern w:val="0"/>
                <w:sz w:val="24"/>
                <w:szCs w:val="24"/>
                <w:u w:val="single"/>
                <w:lang w:val="en-US" w:eastAsia="zh-CN" w:bidi="ar"/>
              </w:rPr>
              <w:t>（</w:t>
            </w:r>
            <w:r>
              <w:rPr>
                <w:rFonts w:hint="default" w:ascii="Times New Roman" w:hAnsi="Times New Roman" w:eastAsia="宋体" w:cs="Times New Roman"/>
                <w:b w:val="0"/>
                <w:bCs w:val="0"/>
                <w:color w:val="auto"/>
                <w:kern w:val="0"/>
                <w:sz w:val="24"/>
                <w:szCs w:val="24"/>
                <w:u w:val="single"/>
                <w:lang w:val="en-US" w:eastAsia="zh-CN" w:bidi="ar"/>
              </w:rPr>
              <w:t>4</w:t>
            </w:r>
            <w:r>
              <w:rPr>
                <w:rFonts w:hint="eastAsia" w:ascii="宋体" w:hAnsi="宋体" w:eastAsia="宋体" w:cs="宋体"/>
                <w:b w:val="0"/>
                <w:bCs w:val="0"/>
                <w:color w:val="auto"/>
                <w:kern w:val="0"/>
                <w:sz w:val="24"/>
                <w:szCs w:val="24"/>
                <w:u w:val="single"/>
                <w:lang w:val="en-US" w:eastAsia="zh-CN" w:bidi="ar"/>
              </w:rPr>
              <w:t>）风险防范措施</w:t>
            </w:r>
          </w:p>
          <w:p w14:paraId="46F62E7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b w:val="0"/>
                <w:bCs w:val="0"/>
                <w:color w:val="auto"/>
                <w:sz w:val="24"/>
                <w:szCs w:val="24"/>
                <w:u w:val="single"/>
              </w:rPr>
            </w:pPr>
            <w:r>
              <w:rPr>
                <w:rFonts w:hint="eastAsia" w:ascii="宋体" w:hAnsi="宋体" w:eastAsia="宋体" w:cs="宋体"/>
                <w:b w:val="0"/>
                <w:bCs w:val="0"/>
                <w:color w:val="auto"/>
                <w:kern w:val="0"/>
                <w:sz w:val="24"/>
                <w:szCs w:val="24"/>
                <w:u w:val="single"/>
                <w:lang w:val="en-US" w:eastAsia="zh-CN" w:bidi="ar"/>
              </w:rPr>
              <w:t>①生产线开始工作前，先运行各配套风机及废气处理装置；在停止相应作业后，保持废气风机及处理装置继续运转，待废气完全排出后再停止，确保在开、停工阶段排出的污染物得到有效处理。</w:t>
            </w:r>
          </w:p>
          <w:p w14:paraId="3D58082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b w:val="0"/>
                <w:bCs w:val="0"/>
                <w:color w:val="auto"/>
                <w:sz w:val="24"/>
                <w:szCs w:val="24"/>
                <w:u w:val="single"/>
              </w:rPr>
            </w:pPr>
            <w:r>
              <w:rPr>
                <w:rFonts w:hint="eastAsia" w:ascii="宋体" w:hAnsi="宋体" w:eastAsia="宋体" w:cs="宋体"/>
                <w:b w:val="0"/>
                <w:bCs w:val="0"/>
                <w:color w:val="auto"/>
                <w:kern w:val="0"/>
                <w:sz w:val="24"/>
                <w:szCs w:val="24"/>
                <w:u w:val="single"/>
                <w:lang w:val="en-US" w:eastAsia="zh-CN" w:bidi="ar"/>
              </w:rPr>
              <w:t>②废气处理装置配套的风机、管道等选购和制作时应选用耐腐蚀材料。</w:t>
            </w:r>
          </w:p>
          <w:p w14:paraId="530B3F7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b w:val="0"/>
                <w:bCs w:val="0"/>
                <w:color w:val="auto"/>
                <w:sz w:val="24"/>
                <w:szCs w:val="24"/>
                <w:u w:val="single"/>
              </w:rPr>
            </w:pPr>
            <w:r>
              <w:rPr>
                <w:rFonts w:hint="eastAsia" w:ascii="宋体" w:hAnsi="宋体" w:eastAsia="宋体" w:cs="宋体"/>
                <w:b w:val="0"/>
                <w:bCs w:val="0"/>
                <w:color w:val="auto"/>
                <w:kern w:val="0"/>
                <w:sz w:val="24"/>
                <w:szCs w:val="24"/>
                <w:u w:val="single"/>
                <w:lang w:val="en-US" w:eastAsia="zh-CN" w:bidi="ar"/>
              </w:rPr>
              <w:t>③针对废气处理设施故障造成废气超标排放的风险，要求企业安排专人对风机、废气处理设备和生产设施进行日常维护，如发现问题及时上报维修，必要时要停产检修，确保废气达标排放。在产生事故后应先停止生产设备，立即停止生产，维修或更换处理设备保证废气达标排放后再行生产。</w:t>
            </w:r>
          </w:p>
          <w:p w14:paraId="595C971D">
            <w:pPr>
              <w:keepNext w:val="0"/>
              <w:keepLines w:val="0"/>
              <w:pageBreakBefore w:val="0"/>
              <w:widowControl/>
              <w:suppressLineNumbers w:val="0"/>
              <w:kinsoku/>
              <w:wordWrap/>
              <w:overflowPunct/>
              <w:topLinePunct w:val="0"/>
              <w:autoSpaceDE/>
              <w:autoSpaceDN/>
              <w:bidi w:val="0"/>
              <w:adjustRightInd/>
              <w:snapToGrid/>
              <w:spacing w:line="360" w:lineRule="auto"/>
              <w:ind w:right="0" w:firstLine="480" w:firstLineChars="200"/>
              <w:jc w:val="both"/>
              <w:textAlignment w:val="auto"/>
              <w:rPr>
                <w:b w:val="0"/>
                <w:bCs w:val="0"/>
                <w:color w:val="auto"/>
                <w:sz w:val="24"/>
                <w:szCs w:val="24"/>
                <w:u w:val="single"/>
              </w:rPr>
            </w:pPr>
            <w:r>
              <w:rPr>
                <w:rFonts w:hint="eastAsia" w:ascii="宋体" w:hAnsi="宋体" w:eastAsia="宋体" w:cs="宋体"/>
                <w:b w:val="0"/>
                <w:bCs w:val="0"/>
                <w:color w:val="auto"/>
                <w:kern w:val="0"/>
                <w:sz w:val="24"/>
                <w:szCs w:val="24"/>
                <w:u w:val="single"/>
                <w:lang w:val="en-US" w:eastAsia="zh-CN" w:bidi="ar"/>
              </w:rPr>
              <w:t>④操作及管理人员的技术水平可直接影响到风险事故的发生，本项目建成投产后，应对操作和管理人员的技术水平从严要求，上岗之前必须参加培训，培训不合格严禁上岗。</w:t>
            </w:r>
          </w:p>
          <w:p w14:paraId="633B4BC0">
            <w:pPr>
              <w:keepNext w:val="0"/>
              <w:keepLines w:val="0"/>
              <w:pageBreakBefore w:val="0"/>
              <w:widowControl/>
              <w:suppressLineNumbers w:val="0"/>
              <w:kinsoku/>
              <w:wordWrap/>
              <w:overflowPunct/>
              <w:topLinePunct w:val="0"/>
              <w:autoSpaceDE/>
              <w:autoSpaceDN/>
              <w:bidi w:val="0"/>
              <w:adjustRightInd/>
              <w:snapToGrid/>
              <w:spacing w:line="360" w:lineRule="auto"/>
              <w:ind w:right="0" w:firstLine="480" w:firstLineChars="200"/>
              <w:jc w:val="both"/>
              <w:textAlignment w:val="auto"/>
              <w:rPr>
                <w:rFonts w:hint="eastAsia" w:ascii="宋体" w:hAnsi="宋体" w:eastAsia="宋体" w:cs="宋体"/>
                <w:b w:val="0"/>
                <w:bCs w:val="0"/>
                <w:color w:val="auto"/>
                <w:kern w:val="0"/>
                <w:sz w:val="24"/>
                <w:szCs w:val="24"/>
                <w:u w:val="single"/>
                <w:lang w:val="en-US" w:eastAsia="zh-CN" w:bidi="ar"/>
              </w:rPr>
            </w:pPr>
            <w:r>
              <w:rPr>
                <w:rFonts w:hint="eastAsia" w:ascii="宋体" w:hAnsi="宋体" w:eastAsia="宋体" w:cs="宋体"/>
                <w:b w:val="0"/>
                <w:bCs w:val="0"/>
                <w:color w:val="auto"/>
                <w:kern w:val="0"/>
                <w:sz w:val="24"/>
                <w:szCs w:val="24"/>
                <w:u w:val="single"/>
                <w:lang w:val="en-US" w:eastAsia="zh-CN" w:bidi="ar"/>
              </w:rPr>
              <w:t>⑤沉淀池、外加剂储罐区等进行防渗硬化处理，对池体、储罐情况定期进行检查是否破损，有问题及时进行修补。</w:t>
            </w:r>
          </w:p>
          <w:p w14:paraId="6704D2C5">
            <w:pPr>
              <w:pStyle w:val="23"/>
              <w:keepNext w:val="0"/>
              <w:keepLines w:val="0"/>
              <w:pageBreakBefore w:val="0"/>
              <w:widowControl/>
              <w:kinsoku/>
              <w:wordWrap/>
              <w:overflowPunct/>
              <w:topLinePunct w:val="0"/>
              <w:autoSpaceDE/>
              <w:autoSpaceDN/>
              <w:bidi w:val="0"/>
              <w:adjustRightInd/>
              <w:snapToGrid/>
              <w:spacing w:before="0" w:after="0" w:line="360" w:lineRule="auto"/>
              <w:ind w:right="0" w:firstLine="480" w:firstLineChars="200"/>
              <w:textAlignment w:val="auto"/>
              <w:rPr>
                <w:rFonts w:hint="default" w:ascii="Times New Roman" w:hAnsi="Times New Roman" w:cs="Times New Roman"/>
                <w:color w:val="auto"/>
                <w:u w:val="single"/>
                <w:lang w:val="en-US"/>
              </w:rPr>
            </w:pPr>
            <w:r>
              <w:rPr>
                <w:rFonts w:hint="default" w:ascii="Times New Roman" w:hAnsi="Times New Roman" w:cs="Times New Roman"/>
                <w:b w:val="0"/>
                <w:bCs w:val="0"/>
                <w:color w:val="auto"/>
                <w:kern w:val="0"/>
                <w:sz w:val="24"/>
                <w:szCs w:val="24"/>
                <w:u w:val="single"/>
                <w:lang w:val="en-US" w:eastAsia="zh-CN" w:bidi="ar"/>
              </w:rPr>
              <w:t>⑥一次灭火消防最大用水量，消防用水量为30L/s（其中室外20L/s，室内10L/s），火灾延续时间为30min，则最大消防用水量为54m</w:t>
            </w:r>
            <w:r>
              <w:rPr>
                <w:rFonts w:hint="default" w:ascii="Times New Roman" w:hAnsi="Times New Roman" w:cs="Times New Roman"/>
                <w:b w:val="0"/>
                <w:bCs w:val="0"/>
                <w:color w:val="auto"/>
                <w:kern w:val="0"/>
                <w:sz w:val="24"/>
                <w:szCs w:val="24"/>
                <w:u w:val="single"/>
                <w:vertAlign w:val="superscript"/>
                <w:lang w:val="en-US" w:eastAsia="zh-CN" w:bidi="ar"/>
              </w:rPr>
              <w:t>3</w:t>
            </w:r>
            <w:r>
              <w:rPr>
                <w:rFonts w:hint="default" w:ascii="Times New Roman" w:hAnsi="Times New Roman" w:cs="Times New Roman"/>
                <w:b w:val="0"/>
                <w:bCs w:val="0"/>
                <w:color w:val="auto"/>
                <w:kern w:val="0"/>
                <w:sz w:val="24"/>
                <w:szCs w:val="24"/>
                <w:u w:val="single"/>
                <w:lang w:val="en-US" w:eastAsia="zh-CN" w:bidi="ar"/>
              </w:rPr>
              <w:t>，厂区内三级沉淀池容积为</w:t>
            </w:r>
            <w:r>
              <w:rPr>
                <w:rFonts w:hint="eastAsia" w:cs="Times New Roman"/>
                <w:b w:val="0"/>
                <w:bCs w:val="0"/>
                <w:color w:val="auto"/>
                <w:kern w:val="0"/>
                <w:sz w:val="24"/>
                <w:szCs w:val="24"/>
                <w:u w:val="single"/>
                <w:lang w:val="en-US" w:eastAsia="zh-CN" w:bidi="ar"/>
              </w:rPr>
              <w:t>120</w:t>
            </w:r>
            <w:r>
              <w:rPr>
                <w:rFonts w:hint="default" w:ascii="Times New Roman" w:hAnsi="Times New Roman" w:cs="Times New Roman"/>
                <w:b w:val="0"/>
                <w:bCs w:val="0"/>
                <w:color w:val="auto"/>
                <w:kern w:val="0"/>
                <w:sz w:val="24"/>
                <w:szCs w:val="24"/>
                <w:u w:val="single"/>
                <w:lang w:val="en-US" w:eastAsia="zh-CN" w:bidi="ar"/>
              </w:rPr>
              <w:t>m</w:t>
            </w:r>
            <w:r>
              <w:rPr>
                <w:rFonts w:hint="default" w:ascii="Times New Roman" w:hAnsi="Times New Roman" w:cs="Times New Roman"/>
                <w:b w:val="0"/>
                <w:bCs w:val="0"/>
                <w:color w:val="auto"/>
                <w:kern w:val="0"/>
                <w:sz w:val="24"/>
                <w:szCs w:val="24"/>
                <w:u w:val="single"/>
                <w:vertAlign w:val="superscript"/>
                <w:lang w:val="en-US" w:eastAsia="zh-CN" w:bidi="ar"/>
              </w:rPr>
              <w:t>3</w:t>
            </w:r>
            <w:r>
              <w:rPr>
                <w:rFonts w:hint="default" w:ascii="Times New Roman" w:hAnsi="Times New Roman" w:cs="Times New Roman"/>
                <w:b w:val="0"/>
                <w:bCs w:val="0"/>
                <w:color w:val="auto"/>
                <w:kern w:val="0"/>
                <w:sz w:val="24"/>
                <w:szCs w:val="24"/>
                <w:u w:val="single"/>
                <w:lang w:val="en-US" w:eastAsia="zh-CN" w:bidi="ar"/>
              </w:rPr>
              <w:t>，项目清洗废水产生量为</w:t>
            </w:r>
            <w:r>
              <w:rPr>
                <w:rFonts w:hint="eastAsia" w:cs="Times New Roman"/>
                <w:b w:val="0"/>
                <w:bCs w:val="0"/>
                <w:color w:val="auto"/>
                <w:kern w:val="0"/>
                <w:sz w:val="24"/>
                <w:szCs w:val="24"/>
                <w:u w:val="single"/>
                <w:lang w:val="en-US" w:eastAsia="zh-CN" w:bidi="ar"/>
              </w:rPr>
              <w:t>7.02</w:t>
            </w:r>
            <w:r>
              <w:rPr>
                <w:rFonts w:hint="default" w:ascii="Times New Roman" w:hAnsi="Times New Roman" w:cs="Times New Roman"/>
                <w:b w:val="0"/>
                <w:bCs w:val="0"/>
                <w:color w:val="auto"/>
                <w:kern w:val="0"/>
                <w:sz w:val="24"/>
                <w:szCs w:val="24"/>
                <w:u w:val="single"/>
                <w:lang w:val="en-US" w:eastAsia="zh-CN" w:bidi="ar"/>
              </w:rPr>
              <w:t>m</w:t>
            </w:r>
            <w:r>
              <w:rPr>
                <w:rFonts w:hint="default" w:ascii="Times New Roman" w:hAnsi="Times New Roman" w:cs="Times New Roman"/>
                <w:b w:val="0"/>
                <w:bCs w:val="0"/>
                <w:color w:val="auto"/>
                <w:kern w:val="0"/>
                <w:sz w:val="24"/>
                <w:szCs w:val="24"/>
                <w:u w:val="single"/>
                <w:vertAlign w:val="superscript"/>
                <w:lang w:val="en-US" w:eastAsia="zh-CN" w:bidi="ar"/>
              </w:rPr>
              <w:t>3</w:t>
            </w:r>
            <w:r>
              <w:rPr>
                <w:rFonts w:hint="default" w:ascii="Times New Roman" w:hAnsi="Times New Roman" w:cs="Times New Roman"/>
                <w:b w:val="0"/>
                <w:bCs w:val="0"/>
                <w:color w:val="auto"/>
                <w:kern w:val="0"/>
                <w:sz w:val="24"/>
                <w:szCs w:val="24"/>
                <w:u w:val="single"/>
                <w:lang w:val="en-US" w:eastAsia="zh-CN" w:bidi="ar"/>
              </w:rPr>
              <w:t>/d，三级沉淀池有足够容积盛放消防废水</w:t>
            </w:r>
            <w:r>
              <w:rPr>
                <w:rFonts w:hint="eastAsia" w:cs="Times New Roman"/>
                <w:b w:val="0"/>
                <w:bCs w:val="0"/>
                <w:color w:val="auto"/>
                <w:kern w:val="0"/>
                <w:sz w:val="24"/>
                <w:szCs w:val="24"/>
                <w:u w:val="single"/>
                <w:lang w:val="en-US" w:eastAsia="zh-CN" w:bidi="ar"/>
              </w:rPr>
              <w:t>，</w:t>
            </w:r>
            <w:r>
              <w:rPr>
                <w:rFonts w:hint="default" w:ascii="Times New Roman" w:hAnsi="Times New Roman" w:cs="Times New Roman"/>
                <w:b w:val="0"/>
                <w:bCs w:val="0"/>
                <w:color w:val="auto"/>
                <w:kern w:val="0"/>
                <w:sz w:val="24"/>
                <w:szCs w:val="24"/>
                <w:u w:val="single"/>
                <w:lang w:val="en-US" w:eastAsia="zh-CN" w:bidi="ar"/>
              </w:rPr>
              <w:t>事故状态下消防废水集中围挡引至厂区三级沉淀池内暂存，确保不流出厂区。</w:t>
            </w:r>
          </w:p>
          <w:p w14:paraId="542A8CB6">
            <w:pPr>
              <w:keepNext w:val="0"/>
              <w:keepLines w:val="0"/>
              <w:pageBreakBefore w:val="0"/>
              <w:widowControl/>
              <w:suppressLineNumbers w:val="0"/>
              <w:kinsoku/>
              <w:wordWrap/>
              <w:overflowPunct/>
              <w:topLinePunct w:val="0"/>
              <w:autoSpaceDE/>
              <w:autoSpaceDN/>
              <w:bidi w:val="0"/>
              <w:adjustRightInd/>
              <w:snapToGrid/>
              <w:spacing w:line="360" w:lineRule="auto"/>
              <w:ind w:right="0" w:firstLine="480" w:firstLineChars="200"/>
              <w:jc w:val="left"/>
              <w:textAlignment w:val="auto"/>
              <w:rPr>
                <w:b w:val="0"/>
                <w:bCs w:val="0"/>
                <w:color w:val="auto"/>
                <w:sz w:val="24"/>
                <w:szCs w:val="24"/>
                <w:u w:val="single"/>
              </w:rPr>
            </w:pPr>
            <w:r>
              <w:rPr>
                <w:rFonts w:hint="eastAsia" w:ascii="宋体" w:hAnsi="宋体" w:eastAsia="宋体" w:cs="宋体"/>
                <w:b w:val="0"/>
                <w:bCs w:val="0"/>
                <w:color w:val="auto"/>
                <w:kern w:val="0"/>
                <w:sz w:val="24"/>
                <w:szCs w:val="24"/>
                <w:u w:val="single"/>
                <w:lang w:val="en-US" w:eastAsia="zh-CN" w:bidi="ar"/>
              </w:rPr>
              <w:t>（</w:t>
            </w:r>
            <w:r>
              <w:rPr>
                <w:rFonts w:hint="default" w:ascii="Times New Roman" w:hAnsi="Times New Roman" w:eastAsia="宋体" w:cs="Times New Roman"/>
                <w:b w:val="0"/>
                <w:bCs w:val="0"/>
                <w:color w:val="auto"/>
                <w:kern w:val="0"/>
                <w:sz w:val="24"/>
                <w:szCs w:val="24"/>
                <w:u w:val="single"/>
                <w:lang w:val="en-US" w:eastAsia="zh-CN" w:bidi="ar"/>
              </w:rPr>
              <w:t>5</w:t>
            </w:r>
            <w:r>
              <w:rPr>
                <w:rFonts w:hint="eastAsia" w:ascii="宋体" w:hAnsi="宋体" w:eastAsia="宋体" w:cs="宋体"/>
                <w:b w:val="0"/>
                <w:bCs w:val="0"/>
                <w:color w:val="auto"/>
                <w:kern w:val="0"/>
                <w:sz w:val="24"/>
                <w:szCs w:val="24"/>
                <w:u w:val="single"/>
                <w:lang w:val="en-US" w:eastAsia="zh-CN" w:bidi="ar"/>
              </w:rPr>
              <w:t>）环境风险评价结论</w:t>
            </w:r>
          </w:p>
          <w:p w14:paraId="1EAE77B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i w:val="0"/>
                <w:iCs w:val="0"/>
                <w:color w:val="auto"/>
                <w:sz w:val="24"/>
                <w:szCs w:val="24"/>
                <w:highlight w:val="none"/>
                <w:u w:val="single"/>
                <w:lang w:val="en-US" w:eastAsia="zh-CN"/>
              </w:rPr>
            </w:pPr>
            <w:r>
              <w:rPr>
                <w:rFonts w:hint="eastAsia" w:ascii="宋体" w:hAnsi="宋体" w:eastAsia="宋体" w:cs="宋体"/>
                <w:b w:val="0"/>
                <w:bCs w:val="0"/>
                <w:color w:val="auto"/>
                <w:kern w:val="0"/>
                <w:sz w:val="24"/>
                <w:szCs w:val="24"/>
                <w:u w:val="single"/>
                <w:lang w:val="en-US" w:eastAsia="zh-CN" w:bidi="ar"/>
              </w:rPr>
              <w:t>本项目环境风险主要表现为粉尘外泄事故</w:t>
            </w:r>
            <w:r>
              <w:rPr>
                <w:rFonts w:hint="eastAsia" w:ascii="宋体" w:hAnsi="宋体" w:cs="宋体"/>
                <w:b w:val="0"/>
                <w:bCs w:val="0"/>
                <w:color w:val="auto"/>
                <w:kern w:val="0"/>
                <w:sz w:val="24"/>
                <w:szCs w:val="24"/>
                <w:u w:val="single"/>
                <w:lang w:val="en-US" w:eastAsia="zh-CN" w:bidi="ar"/>
              </w:rPr>
              <w:t>、</w:t>
            </w:r>
            <w:r>
              <w:rPr>
                <w:rFonts w:hint="eastAsia" w:ascii="宋体" w:hAnsi="宋体" w:eastAsia="宋体" w:cs="宋体"/>
                <w:b w:val="0"/>
                <w:bCs w:val="0"/>
                <w:color w:val="auto"/>
                <w:kern w:val="0"/>
                <w:sz w:val="24"/>
                <w:szCs w:val="24"/>
                <w:u w:val="single"/>
                <w:lang w:val="en-US" w:eastAsia="zh-CN" w:bidi="ar"/>
              </w:rPr>
              <w:t>外加剂、</w:t>
            </w:r>
            <w:r>
              <w:rPr>
                <w:rFonts w:hint="eastAsia" w:ascii="宋体" w:hAnsi="宋体" w:cs="宋体"/>
                <w:b w:val="0"/>
                <w:bCs w:val="0"/>
                <w:color w:val="auto"/>
                <w:kern w:val="0"/>
                <w:sz w:val="24"/>
                <w:szCs w:val="24"/>
                <w:u w:val="single"/>
                <w:lang w:val="en-US" w:eastAsia="zh-CN" w:bidi="ar"/>
              </w:rPr>
              <w:t>清洗</w:t>
            </w:r>
            <w:r>
              <w:rPr>
                <w:rFonts w:hint="eastAsia" w:ascii="宋体" w:hAnsi="宋体" w:eastAsia="宋体" w:cs="宋体"/>
                <w:b w:val="0"/>
                <w:bCs w:val="0"/>
                <w:color w:val="auto"/>
                <w:kern w:val="0"/>
                <w:sz w:val="24"/>
                <w:szCs w:val="24"/>
                <w:u w:val="single"/>
                <w:lang w:val="en-US" w:eastAsia="zh-CN" w:bidi="ar"/>
              </w:rPr>
              <w:t>废水泄漏事故，本评价要求项目应采取本评价提出的风险防范措施，将发生事故的概率降到最低，使产生的环境风险处于可接受水平。</w:t>
            </w:r>
          </w:p>
          <w:p w14:paraId="78BF5F3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i w:val="0"/>
                <w:iCs w:val="0"/>
                <w:color w:val="auto"/>
                <w:sz w:val="24"/>
                <w:szCs w:val="24"/>
                <w:highlight w:val="none"/>
                <w:u w:val="single"/>
                <w:lang w:val="en-US" w:eastAsia="zh-CN"/>
              </w:rPr>
            </w:pPr>
          </w:p>
          <w:p w14:paraId="5073E3F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i w:val="0"/>
                <w:iCs w:val="0"/>
                <w:color w:val="auto"/>
                <w:sz w:val="24"/>
                <w:szCs w:val="24"/>
                <w:highlight w:val="none"/>
                <w:u w:val="single"/>
                <w:lang w:val="en-US" w:eastAsia="zh-CN"/>
              </w:rPr>
            </w:pPr>
          </w:p>
          <w:p w14:paraId="7C3EEE4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i w:val="0"/>
                <w:iCs w:val="0"/>
                <w:color w:val="auto"/>
                <w:sz w:val="24"/>
                <w:szCs w:val="24"/>
                <w:highlight w:val="none"/>
                <w:u w:val="single"/>
                <w:lang w:val="en-US" w:eastAsia="zh-CN"/>
              </w:rPr>
            </w:pPr>
          </w:p>
          <w:p w14:paraId="22B2C17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i w:val="0"/>
                <w:iCs w:val="0"/>
                <w:color w:val="auto"/>
                <w:sz w:val="24"/>
                <w:szCs w:val="24"/>
                <w:highlight w:val="none"/>
                <w:u w:val="single"/>
                <w:lang w:val="en-US" w:eastAsia="zh-CN"/>
              </w:rPr>
            </w:pPr>
          </w:p>
          <w:p w14:paraId="7BF0945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i w:val="0"/>
                <w:iCs w:val="0"/>
                <w:color w:val="auto"/>
                <w:sz w:val="24"/>
                <w:szCs w:val="24"/>
                <w:highlight w:val="none"/>
                <w:u w:val="single"/>
                <w:lang w:val="en-US" w:eastAsia="zh-CN"/>
              </w:rPr>
            </w:pPr>
          </w:p>
          <w:p w14:paraId="38AA125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i w:val="0"/>
                <w:iCs w:val="0"/>
                <w:color w:val="auto"/>
                <w:sz w:val="24"/>
                <w:szCs w:val="24"/>
                <w:highlight w:val="none"/>
                <w:u w:val="single"/>
                <w:lang w:val="en-US" w:eastAsia="zh-CN"/>
              </w:rPr>
            </w:pPr>
          </w:p>
          <w:p w14:paraId="4CF33F4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i w:val="0"/>
                <w:iCs w:val="0"/>
                <w:color w:val="auto"/>
                <w:sz w:val="24"/>
                <w:szCs w:val="24"/>
                <w:highlight w:val="none"/>
                <w:u w:val="single"/>
                <w:lang w:val="en-US" w:eastAsia="zh-CN"/>
              </w:rPr>
            </w:pPr>
          </w:p>
          <w:p w14:paraId="4988650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i w:val="0"/>
                <w:iCs w:val="0"/>
                <w:color w:val="auto"/>
                <w:sz w:val="24"/>
                <w:szCs w:val="24"/>
                <w:highlight w:val="none"/>
                <w:u w:val="single"/>
                <w:lang w:val="en-US" w:eastAsia="zh-CN"/>
              </w:rPr>
            </w:pPr>
          </w:p>
          <w:p w14:paraId="6435E06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cs="宋体"/>
                <w:i w:val="0"/>
                <w:iCs w:val="0"/>
                <w:sz w:val="24"/>
                <w:szCs w:val="24"/>
                <w:highlight w:val="cyan"/>
                <w:u w:val="none"/>
                <w:lang w:val="en-US" w:eastAsia="zh-CN"/>
              </w:rPr>
            </w:pPr>
          </w:p>
        </w:tc>
      </w:tr>
    </w:tbl>
    <w:p w14:paraId="33B88824">
      <w:pPr>
        <w:pStyle w:val="21"/>
        <w:jc w:val="center"/>
        <w:outlineLvl w:val="9"/>
        <w:rPr>
          <w:rFonts w:hint="eastAsia" w:ascii="黑体" w:hAnsi="黑体" w:eastAsia="黑体"/>
          <w:snapToGrid w:val="0"/>
          <w:sz w:val="30"/>
          <w:szCs w:val="30"/>
          <w:highlight w:val="none"/>
          <w:lang w:val="en-US" w:eastAsia="zh-CN"/>
        </w:rPr>
      </w:pPr>
    </w:p>
    <w:p w14:paraId="05B25F15">
      <w:pPr>
        <w:rPr>
          <w:rFonts w:hint="eastAsia"/>
          <w:highlight w:val="cyan"/>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7A5BA153">
      <w:pPr>
        <w:pStyle w:val="21"/>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outlineLvl w:val="0"/>
        <w:rPr>
          <w:rFonts w:hint="eastAsia" w:ascii="黑体" w:hAnsi="黑体" w:eastAsia="黑体" w:cs="Times New Roman"/>
          <w:snapToGrid w:val="0"/>
          <w:color w:val="auto"/>
          <w:sz w:val="30"/>
          <w:szCs w:val="30"/>
          <w:highlight w:val="none"/>
          <w:u w:val="none" w:color="auto"/>
        </w:rPr>
      </w:pPr>
      <w:r>
        <w:rPr>
          <w:rFonts w:hint="eastAsia" w:ascii="黑体" w:hAnsi="黑体" w:eastAsia="黑体" w:cs="Times New Roman"/>
          <w:snapToGrid w:val="0"/>
          <w:color w:val="auto"/>
          <w:sz w:val="30"/>
          <w:szCs w:val="30"/>
          <w:highlight w:val="none"/>
          <w:u w:val="none" w:color="auto"/>
        </w:rPr>
        <w:t>五、</w:t>
      </w:r>
      <w:bookmarkStart w:id="14" w:name="_Hlk54167917"/>
      <w:r>
        <w:rPr>
          <w:rFonts w:hint="eastAsia" w:ascii="黑体" w:hAnsi="黑体" w:eastAsia="黑体" w:cs="Times New Roman"/>
          <w:snapToGrid w:val="0"/>
          <w:color w:val="auto"/>
          <w:sz w:val="30"/>
          <w:szCs w:val="30"/>
          <w:highlight w:val="none"/>
          <w:u w:val="none" w:color="auto"/>
        </w:rPr>
        <w:t>环境保护措施监督检查清单</w:t>
      </w:r>
      <w:bookmarkEnd w:id="14"/>
    </w:p>
    <w:tbl>
      <w:tblPr>
        <w:tblStyle w:val="2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1784"/>
        <w:gridCol w:w="1396"/>
        <w:gridCol w:w="2022"/>
        <w:gridCol w:w="1980"/>
      </w:tblGrid>
      <w:tr w14:paraId="57B2AA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18" w:type="dxa"/>
            <w:tcBorders>
              <w:tl2br w:val="single" w:color="auto" w:sz="4" w:space="0"/>
            </w:tcBorders>
            <w:noWrap w:val="0"/>
            <w:vAlign w:val="top"/>
          </w:tcPr>
          <w:p w14:paraId="7A81EA02">
            <w:pPr>
              <w:adjustRightInd w:val="0"/>
              <w:snapToGrid w:val="0"/>
              <w:ind w:firstLine="840"/>
              <w:rPr>
                <w:rFonts w:eastAsia="Calibri"/>
                <w:b/>
                <w:bCs/>
                <w:color w:val="auto"/>
                <w:sz w:val="24"/>
                <w:szCs w:val="24"/>
                <w:highlight w:val="none"/>
                <w:u w:val="none" w:color="auto"/>
              </w:rPr>
            </w:pPr>
            <w:r>
              <w:rPr>
                <w:b/>
                <w:bCs/>
                <w:color w:val="auto"/>
                <w:sz w:val="24"/>
                <w:szCs w:val="24"/>
                <w:highlight w:val="none"/>
                <w:u w:val="none" w:color="auto"/>
              </w:rPr>
              <w:t>内容</w:t>
            </w:r>
          </w:p>
          <w:p w14:paraId="36C5A039">
            <w:pPr>
              <w:adjustRightInd w:val="0"/>
              <w:snapToGrid w:val="0"/>
              <w:rPr>
                <w:rFonts w:eastAsia="Calibri"/>
                <w:b/>
                <w:bCs/>
                <w:color w:val="auto"/>
                <w:sz w:val="24"/>
                <w:szCs w:val="24"/>
                <w:highlight w:val="none"/>
                <w:u w:val="none" w:color="auto"/>
              </w:rPr>
            </w:pPr>
            <w:r>
              <w:rPr>
                <w:b/>
                <w:bCs/>
                <w:color w:val="auto"/>
                <w:sz w:val="24"/>
                <w:szCs w:val="24"/>
                <w:highlight w:val="none"/>
                <w:u w:val="none" w:color="auto"/>
              </w:rPr>
              <w:t>要素</w:t>
            </w:r>
          </w:p>
        </w:tc>
        <w:tc>
          <w:tcPr>
            <w:tcW w:w="1784" w:type="dxa"/>
            <w:noWrap w:val="0"/>
            <w:vAlign w:val="center"/>
          </w:tcPr>
          <w:p w14:paraId="72552E17">
            <w:pPr>
              <w:adjustRightInd w:val="0"/>
              <w:snapToGrid w:val="0"/>
              <w:jc w:val="center"/>
              <w:rPr>
                <w:rFonts w:eastAsia="Calibri"/>
                <w:b/>
                <w:bCs/>
                <w:color w:val="auto"/>
                <w:sz w:val="24"/>
                <w:szCs w:val="24"/>
                <w:highlight w:val="none"/>
                <w:u w:val="none" w:color="auto"/>
              </w:rPr>
            </w:pPr>
            <w:r>
              <w:rPr>
                <w:b/>
                <w:bCs/>
                <w:color w:val="auto"/>
                <w:sz w:val="24"/>
                <w:szCs w:val="24"/>
                <w:highlight w:val="none"/>
                <w:u w:val="none" w:color="auto"/>
              </w:rPr>
              <w:t>排放口</w:t>
            </w:r>
            <w:r>
              <w:rPr>
                <w:rFonts w:eastAsia="Calibri"/>
                <w:b/>
                <w:bCs/>
                <w:color w:val="auto"/>
                <w:sz w:val="24"/>
                <w:szCs w:val="24"/>
                <w:highlight w:val="none"/>
                <w:u w:val="none" w:color="auto"/>
              </w:rPr>
              <w:t>(</w:t>
            </w:r>
            <w:r>
              <w:rPr>
                <w:b/>
                <w:bCs/>
                <w:color w:val="auto"/>
                <w:sz w:val="24"/>
                <w:szCs w:val="24"/>
                <w:highlight w:val="none"/>
                <w:u w:val="none" w:color="auto"/>
              </w:rPr>
              <w:t>编号、</w:t>
            </w:r>
          </w:p>
          <w:p w14:paraId="29A0AE1D">
            <w:pPr>
              <w:adjustRightInd w:val="0"/>
              <w:snapToGrid w:val="0"/>
              <w:jc w:val="center"/>
              <w:rPr>
                <w:rFonts w:eastAsia="Calibri"/>
                <w:b/>
                <w:bCs/>
                <w:color w:val="auto"/>
                <w:sz w:val="24"/>
                <w:szCs w:val="24"/>
                <w:highlight w:val="none"/>
                <w:u w:val="none" w:color="auto"/>
              </w:rPr>
            </w:pPr>
            <w:r>
              <w:rPr>
                <w:b/>
                <w:bCs/>
                <w:color w:val="auto"/>
                <w:sz w:val="24"/>
                <w:szCs w:val="24"/>
                <w:highlight w:val="none"/>
                <w:u w:val="none" w:color="auto"/>
              </w:rPr>
              <w:t>名称</w:t>
            </w:r>
            <w:r>
              <w:rPr>
                <w:rFonts w:eastAsia="Calibri"/>
                <w:b/>
                <w:bCs/>
                <w:color w:val="auto"/>
                <w:sz w:val="24"/>
                <w:szCs w:val="24"/>
                <w:highlight w:val="none"/>
                <w:u w:val="none" w:color="auto"/>
              </w:rPr>
              <w:t>)/</w:t>
            </w:r>
            <w:r>
              <w:rPr>
                <w:b/>
                <w:bCs/>
                <w:color w:val="auto"/>
                <w:sz w:val="24"/>
                <w:szCs w:val="24"/>
                <w:highlight w:val="none"/>
                <w:u w:val="none" w:color="auto"/>
              </w:rPr>
              <w:t>污染源</w:t>
            </w:r>
          </w:p>
        </w:tc>
        <w:tc>
          <w:tcPr>
            <w:tcW w:w="1396" w:type="dxa"/>
            <w:noWrap w:val="0"/>
            <w:vAlign w:val="center"/>
          </w:tcPr>
          <w:p w14:paraId="34463A18">
            <w:pPr>
              <w:adjustRightInd w:val="0"/>
              <w:snapToGrid w:val="0"/>
              <w:jc w:val="center"/>
              <w:rPr>
                <w:rFonts w:eastAsia="Calibri"/>
                <w:b/>
                <w:bCs/>
                <w:color w:val="auto"/>
                <w:sz w:val="24"/>
                <w:szCs w:val="24"/>
                <w:highlight w:val="none"/>
                <w:u w:val="none" w:color="auto"/>
              </w:rPr>
            </w:pPr>
            <w:r>
              <w:rPr>
                <w:b/>
                <w:bCs/>
                <w:color w:val="auto"/>
                <w:sz w:val="24"/>
                <w:szCs w:val="24"/>
                <w:highlight w:val="none"/>
                <w:u w:val="none" w:color="auto"/>
              </w:rPr>
              <w:t>污染物项目</w:t>
            </w:r>
          </w:p>
        </w:tc>
        <w:tc>
          <w:tcPr>
            <w:tcW w:w="2022" w:type="dxa"/>
            <w:noWrap w:val="0"/>
            <w:vAlign w:val="center"/>
          </w:tcPr>
          <w:p w14:paraId="17395AE0">
            <w:pPr>
              <w:adjustRightInd w:val="0"/>
              <w:snapToGrid w:val="0"/>
              <w:jc w:val="center"/>
              <w:rPr>
                <w:rFonts w:eastAsia="Calibri"/>
                <w:b/>
                <w:bCs/>
                <w:color w:val="auto"/>
                <w:sz w:val="24"/>
                <w:szCs w:val="24"/>
                <w:highlight w:val="none"/>
                <w:u w:val="none" w:color="auto"/>
              </w:rPr>
            </w:pPr>
            <w:r>
              <w:rPr>
                <w:b/>
                <w:bCs/>
                <w:color w:val="auto"/>
                <w:sz w:val="24"/>
                <w:szCs w:val="24"/>
                <w:highlight w:val="none"/>
                <w:u w:val="none" w:color="auto"/>
              </w:rPr>
              <w:t>环境保护措施</w:t>
            </w:r>
          </w:p>
        </w:tc>
        <w:tc>
          <w:tcPr>
            <w:tcW w:w="1980" w:type="dxa"/>
            <w:noWrap w:val="0"/>
            <w:vAlign w:val="center"/>
          </w:tcPr>
          <w:p w14:paraId="7FF77D5C">
            <w:pPr>
              <w:adjustRightInd w:val="0"/>
              <w:snapToGrid w:val="0"/>
              <w:jc w:val="center"/>
              <w:rPr>
                <w:rFonts w:eastAsia="Calibri"/>
                <w:b/>
                <w:bCs/>
                <w:color w:val="auto"/>
                <w:sz w:val="24"/>
                <w:szCs w:val="24"/>
                <w:highlight w:val="none"/>
                <w:u w:val="none" w:color="auto"/>
              </w:rPr>
            </w:pPr>
            <w:r>
              <w:rPr>
                <w:b/>
                <w:bCs/>
                <w:color w:val="auto"/>
                <w:sz w:val="24"/>
                <w:szCs w:val="24"/>
                <w:highlight w:val="none"/>
                <w:u w:val="none" w:color="auto"/>
              </w:rPr>
              <w:t>执行标准</w:t>
            </w:r>
          </w:p>
        </w:tc>
      </w:tr>
      <w:tr w14:paraId="16B22B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6" w:hRule="atLeast"/>
          <w:jc w:val="center"/>
        </w:trPr>
        <w:tc>
          <w:tcPr>
            <w:tcW w:w="1618" w:type="dxa"/>
            <w:vMerge w:val="restart"/>
            <w:noWrap w:val="0"/>
            <w:vAlign w:val="center"/>
          </w:tcPr>
          <w:p w14:paraId="40510323">
            <w:pPr>
              <w:adjustRightInd w:val="0"/>
              <w:snapToGrid w:val="0"/>
              <w:jc w:val="center"/>
              <w:rPr>
                <w:rFonts w:eastAsia="Calibri"/>
                <w:color w:val="auto"/>
                <w:sz w:val="24"/>
                <w:szCs w:val="24"/>
                <w:highlight w:val="none"/>
                <w:u w:val="none" w:color="auto"/>
              </w:rPr>
            </w:pPr>
            <w:r>
              <w:rPr>
                <w:color w:val="auto"/>
                <w:sz w:val="24"/>
                <w:szCs w:val="24"/>
                <w:highlight w:val="none"/>
                <w:u w:val="none" w:color="auto"/>
              </w:rPr>
              <w:t>大气环境</w:t>
            </w:r>
          </w:p>
        </w:tc>
        <w:tc>
          <w:tcPr>
            <w:tcW w:w="1784" w:type="dxa"/>
            <w:noWrap w:val="0"/>
            <w:vAlign w:val="center"/>
          </w:tcPr>
          <w:p w14:paraId="379A482C">
            <w:pPr>
              <w:adjustRightInd w:val="0"/>
              <w:snapToGrid w:val="0"/>
              <w:jc w:val="center"/>
              <w:rPr>
                <w:rFonts w:hint="default" w:eastAsia="宋体"/>
                <w:color w:val="auto"/>
                <w:sz w:val="24"/>
                <w:szCs w:val="24"/>
                <w:highlight w:val="none"/>
                <w:u w:val="none" w:color="auto"/>
                <w:lang w:val="en-US" w:eastAsia="zh-CN"/>
              </w:rPr>
            </w:pPr>
            <w:r>
              <w:rPr>
                <w:rFonts w:hint="eastAsia"/>
                <w:color w:val="auto"/>
                <w:sz w:val="24"/>
                <w:szCs w:val="24"/>
                <w:highlight w:val="none"/>
                <w:u w:val="none" w:color="auto"/>
                <w:lang w:val="en-US" w:eastAsia="zh-CN"/>
              </w:rPr>
              <w:t>筒仓粉尘（水泥筒仓DA001-DA006、粉煤灰筒仓DA007-DA008）</w:t>
            </w:r>
          </w:p>
        </w:tc>
        <w:tc>
          <w:tcPr>
            <w:tcW w:w="1396" w:type="dxa"/>
            <w:noWrap w:val="0"/>
            <w:vAlign w:val="center"/>
          </w:tcPr>
          <w:p w14:paraId="516C388F">
            <w:pPr>
              <w:adjustRightInd w:val="0"/>
              <w:snapToGrid w:val="0"/>
              <w:jc w:val="center"/>
              <w:rPr>
                <w:rFonts w:hint="default" w:eastAsia="宋体"/>
                <w:color w:val="auto"/>
                <w:sz w:val="24"/>
                <w:szCs w:val="24"/>
                <w:highlight w:val="none"/>
                <w:u w:val="none" w:color="auto"/>
                <w:lang w:val="en-US" w:eastAsia="zh-CN"/>
              </w:rPr>
            </w:pPr>
            <w:r>
              <w:rPr>
                <w:rFonts w:hint="eastAsia"/>
                <w:color w:val="auto"/>
                <w:sz w:val="24"/>
                <w:szCs w:val="24"/>
                <w:highlight w:val="none"/>
                <w:u w:val="none" w:color="auto"/>
                <w:lang w:val="en-US" w:eastAsia="zh-CN"/>
              </w:rPr>
              <w:t>颗粒物</w:t>
            </w:r>
          </w:p>
        </w:tc>
        <w:tc>
          <w:tcPr>
            <w:tcW w:w="2022" w:type="dxa"/>
            <w:noWrap w:val="0"/>
            <w:vAlign w:val="center"/>
          </w:tcPr>
          <w:p w14:paraId="5D0553DB">
            <w:pPr>
              <w:ind w:left="-105" w:leftChars="-50" w:right="-105" w:rightChars="-50"/>
              <w:jc w:val="center"/>
              <w:rPr>
                <w:rFonts w:hint="eastAsia" w:eastAsia="宋体"/>
                <w:color w:val="auto"/>
                <w:sz w:val="24"/>
                <w:szCs w:val="24"/>
                <w:highlight w:val="none"/>
                <w:u w:val="none" w:color="auto"/>
                <w:lang w:eastAsia="zh-CN"/>
              </w:rPr>
            </w:pPr>
            <w:r>
              <w:rPr>
                <w:rFonts w:hint="default" w:ascii="Times New Roman" w:hAnsi="Times New Roman" w:cs="Times New Roman"/>
                <w:color w:val="auto"/>
                <w:sz w:val="24"/>
                <w:szCs w:val="24"/>
                <w:highlight w:val="none"/>
                <w:u w:val="none" w:color="auto"/>
                <w:lang w:val="en-US" w:eastAsia="zh-CN"/>
              </w:rPr>
              <w:t>脉冲袋式</w:t>
            </w:r>
            <w:r>
              <w:rPr>
                <w:rFonts w:hint="default" w:ascii="Times New Roman" w:hAnsi="Times New Roman" w:cs="Times New Roman"/>
                <w:color w:val="auto"/>
                <w:sz w:val="24"/>
                <w:szCs w:val="24"/>
                <w:highlight w:val="none"/>
                <w:u w:val="none" w:color="auto"/>
              </w:rPr>
              <w:t>除尘装置</w:t>
            </w:r>
            <w:r>
              <w:rPr>
                <w:rFonts w:hint="eastAsia" w:cs="Times New Roman"/>
                <w:color w:val="auto"/>
                <w:sz w:val="24"/>
                <w:szCs w:val="24"/>
                <w:highlight w:val="none"/>
                <w:u w:val="none" w:color="auto"/>
                <w:lang w:val="en-US" w:eastAsia="zh-CN"/>
              </w:rPr>
              <w:t>+</w:t>
            </w:r>
            <w:r>
              <w:rPr>
                <w:rFonts w:hint="eastAsia" w:cs="Times New Roman"/>
                <w:color w:val="auto"/>
                <w:sz w:val="24"/>
                <w:szCs w:val="24"/>
                <w:highlight w:val="none"/>
                <w:u w:val="none" w:color="auto"/>
                <w:lang w:eastAsia="zh-CN"/>
              </w:rPr>
              <w:t>各</w:t>
            </w:r>
            <w:r>
              <w:rPr>
                <w:rFonts w:hint="default" w:ascii="Times New Roman" w:hAnsi="Times New Roman" w:cs="Times New Roman"/>
                <w:color w:val="auto"/>
                <w:sz w:val="24"/>
                <w:szCs w:val="24"/>
                <w:highlight w:val="none"/>
                <w:u w:val="none" w:color="auto"/>
                <w:lang w:val="en-US" w:eastAsia="zh-CN"/>
              </w:rPr>
              <w:t>仓</w:t>
            </w:r>
            <w:r>
              <w:rPr>
                <w:rFonts w:hint="eastAsia" w:cs="Times New Roman"/>
                <w:color w:val="auto"/>
                <w:sz w:val="24"/>
                <w:szCs w:val="24"/>
                <w:highlight w:val="none"/>
                <w:u w:val="none" w:color="auto"/>
                <w:lang w:val="en-US" w:eastAsia="zh-CN"/>
              </w:rPr>
              <w:t>底部</w:t>
            </w:r>
            <w:r>
              <w:rPr>
                <w:rFonts w:hint="default" w:ascii="Times New Roman" w:hAnsi="Times New Roman" w:cs="Times New Roman"/>
                <w:color w:val="auto"/>
                <w:sz w:val="24"/>
                <w:szCs w:val="24"/>
                <w:highlight w:val="none"/>
                <w:u w:val="none" w:color="auto"/>
                <w:lang w:val="en-US" w:eastAsia="zh-CN"/>
              </w:rPr>
              <w:t>排气口</w:t>
            </w:r>
            <w:r>
              <w:rPr>
                <w:rFonts w:hint="eastAsia" w:cs="Times New Roman"/>
                <w:color w:val="auto"/>
                <w:sz w:val="24"/>
                <w:szCs w:val="24"/>
                <w:highlight w:val="none"/>
                <w:u w:val="none" w:color="auto"/>
                <w:lang w:val="en-US" w:eastAsia="zh-CN"/>
              </w:rPr>
              <w:t>（17m）</w:t>
            </w:r>
          </w:p>
        </w:tc>
        <w:tc>
          <w:tcPr>
            <w:tcW w:w="1980" w:type="dxa"/>
            <w:vMerge w:val="restart"/>
            <w:noWrap w:val="0"/>
            <w:vAlign w:val="center"/>
          </w:tcPr>
          <w:p w14:paraId="52AD27C5">
            <w:pPr>
              <w:adjustRightInd w:val="0"/>
              <w:snapToGrid w:val="0"/>
              <w:jc w:val="center"/>
              <w:rPr>
                <w:color w:val="auto"/>
                <w:sz w:val="24"/>
                <w:szCs w:val="24"/>
                <w:highlight w:val="none"/>
                <w:u w:val="none" w:color="auto"/>
              </w:rPr>
            </w:pPr>
            <w:r>
              <w:rPr>
                <w:i w:val="0"/>
                <w:iCs w:val="0"/>
                <w:color w:val="auto"/>
                <w:sz w:val="24"/>
                <w:szCs w:val="24"/>
                <w:highlight w:val="none"/>
                <w:u w:val="none" w:color="auto"/>
              </w:rPr>
              <w:t>《水泥工业大气污染物排放标准》（GB 4915-2013）表</w:t>
            </w:r>
            <w:r>
              <w:rPr>
                <w:rFonts w:hint="eastAsia"/>
                <w:i w:val="0"/>
                <w:iCs w:val="0"/>
                <w:color w:val="auto"/>
                <w:sz w:val="24"/>
                <w:szCs w:val="24"/>
                <w:highlight w:val="none"/>
                <w:u w:val="none" w:color="auto"/>
                <w:lang w:val="en-US" w:eastAsia="zh-CN"/>
              </w:rPr>
              <w:t>1和表3</w:t>
            </w:r>
            <w:r>
              <w:rPr>
                <w:i w:val="0"/>
                <w:iCs w:val="0"/>
                <w:color w:val="auto"/>
                <w:sz w:val="24"/>
                <w:szCs w:val="24"/>
                <w:highlight w:val="none"/>
                <w:u w:val="none" w:color="auto"/>
              </w:rPr>
              <w:t>排放限值</w:t>
            </w:r>
          </w:p>
        </w:tc>
      </w:tr>
      <w:tr w14:paraId="3A40EE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618" w:type="dxa"/>
            <w:vMerge w:val="continue"/>
            <w:noWrap w:val="0"/>
            <w:vAlign w:val="center"/>
          </w:tcPr>
          <w:p w14:paraId="2C1F0DC2">
            <w:pPr>
              <w:adjustRightInd w:val="0"/>
              <w:snapToGrid w:val="0"/>
              <w:jc w:val="center"/>
              <w:rPr>
                <w:i/>
                <w:iCs/>
                <w:color w:val="auto"/>
                <w:sz w:val="24"/>
                <w:szCs w:val="24"/>
                <w:highlight w:val="none"/>
                <w:u w:val="none" w:color="auto"/>
              </w:rPr>
            </w:pPr>
          </w:p>
        </w:tc>
        <w:tc>
          <w:tcPr>
            <w:tcW w:w="1784" w:type="dxa"/>
            <w:noWrap w:val="0"/>
            <w:vAlign w:val="center"/>
          </w:tcPr>
          <w:p w14:paraId="5AA76DAE">
            <w:pPr>
              <w:adjustRightInd w:val="0"/>
              <w:snapToGrid w:val="0"/>
              <w:jc w:val="center"/>
              <w:rPr>
                <w:rFonts w:hint="default" w:eastAsia="宋体"/>
                <w:color w:val="auto"/>
                <w:sz w:val="24"/>
                <w:szCs w:val="24"/>
                <w:highlight w:val="none"/>
                <w:u w:val="single" w:color="auto"/>
                <w:lang w:val="en-US" w:eastAsia="zh-CN"/>
              </w:rPr>
            </w:pPr>
            <w:r>
              <w:rPr>
                <w:rFonts w:hint="default" w:ascii="Times New Roman" w:hAnsi="Times New Roman" w:eastAsia="宋体" w:cs="Times New Roman"/>
                <w:color w:val="auto"/>
                <w:sz w:val="24"/>
                <w:szCs w:val="24"/>
                <w:highlight w:val="none"/>
                <w:u w:val="single" w:color="auto"/>
                <w:lang w:val="en-US" w:eastAsia="zh-CN"/>
              </w:rPr>
              <w:t>搅拌机粉尘</w:t>
            </w:r>
            <w:r>
              <w:rPr>
                <w:rFonts w:hint="default" w:ascii="Times New Roman" w:hAnsi="Times New Roman" w:cs="Times New Roman"/>
                <w:color w:val="auto"/>
                <w:sz w:val="24"/>
                <w:szCs w:val="24"/>
                <w:highlight w:val="none"/>
                <w:u w:val="single" w:color="auto"/>
                <w:lang w:val="en-US" w:eastAsia="zh-CN"/>
              </w:rPr>
              <w:t>（DA009、DA010）</w:t>
            </w:r>
          </w:p>
        </w:tc>
        <w:tc>
          <w:tcPr>
            <w:tcW w:w="1396" w:type="dxa"/>
            <w:noWrap w:val="0"/>
            <w:vAlign w:val="center"/>
          </w:tcPr>
          <w:p w14:paraId="469CC14E">
            <w:pPr>
              <w:adjustRightInd w:val="0"/>
              <w:snapToGrid w:val="0"/>
              <w:jc w:val="center"/>
              <w:rPr>
                <w:rFonts w:eastAsia="Calibri"/>
                <w:color w:val="auto"/>
                <w:sz w:val="24"/>
                <w:szCs w:val="24"/>
                <w:highlight w:val="none"/>
                <w:u w:val="single" w:color="auto"/>
              </w:rPr>
            </w:pPr>
            <w:r>
              <w:rPr>
                <w:rFonts w:hint="eastAsia"/>
                <w:color w:val="auto"/>
                <w:sz w:val="24"/>
                <w:szCs w:val="24"/>
                <w:highlight w:val="none"/>
                <w:u w:val="single" w:color="auto"/>
                <w:lang w:val="en-US" w:eastAsia="zh-CN"/>
              </w:rPr>
              <w:t>颗粒物</w:t>
            </w:r>
          </w:p>
        </w:tc>
        <w:tc>
          <w:tcPr>
            <w:tcW w:w="2022" w:type="dxa"/>
            <w:tcBorders>
              <w:top w:val="single" w:color="000000" w:sz="4" w:space="0"/>
            </w:tcBorders>
            <w:noWrap w:val="0"/>
            <w:vAlign w:val="center"/>
          </w:tcPr>
          <w:p w14:paraId="40E6F791">
            <w:pPr>
              <w:ind w:left="-105" w:leftChars="-50" w:right="-105" w:rightChars="-50"/>
              <w:jc w:val="center"/>
              <w:rPr>
                <w:rFonts w:hint="eastAsia" w:eastAsia="宋体"/>
                <w:color w:val="auto"/>
                <w:sz w:val="24"/>
                <w:szCs w:val="24"/>
                <w:highlight w:val="none"/>
                <w:u w:val="single" w:color="auto"/>
                <w:lang w:val="en-US" w:eastAsia="zh-CN"/>
              </w:rPr>
            </w:pPr>
            <w:r>
              <w:rPr>
                <w:rFonts w:hint="eastAsia"/>
                <w:color w:val="auto"/>
                <w:sz w:val="24"/>
                <w:szCs w:val="24"/>
                <w:highlight w:val="none"/>
                <w:u w:val="single" w:color="auto"/>
                <w:lang w:val="en-US" w:eastAsia="zh-CN"/>
              </w:rPr>
              <w:t>脉冲袋式</w:t>
            </w:r>
            <w:r>
              <w:rPr>
                <w:color w:val="auto"/>
                <w:sz w:val="24"/>
                <w:szCs w:val="24"/>
                <w:highlight w:val="none"/>
                <w:u w:val="single" w:color="auto"/>
              </w:rPr>
              <w:t>除尘装置</w:t>
            </w:r>
            <w:r>
              <w:rPr>
                <w:rFonts w:hint="eastAsia"/>
                <w:color w:val="auto"/>
                <w:sz w:val="24"/>
                <w:szCs w:val="24"/>
                <w:highlight w:val="none"/>
                <w:u w:val="single" w:color="auto"/>
                <w:lang w:val="en-US" w:eastAsia="zh-CN"/>
              </w:rPr>
              <w:t>+</w:t>
            </w:r>
            <w:r>
              <w:rPr>
                <w:rFonts w:hint="eastAsia" w:cs="Times New Roman"/>
                <w:color w:val="auto"/>
                <w:sz w:val="24"/>
                <w:szCs w:val="24"/>
                <w:highlight w:val="none"/>
                <w:u w:val="single" w:color="auto"/>
                <w:lang w:val="en-US" w:eastAsia="zh-CN"/>
              </w:rPr>
              <w:t>底部</w:t>
            </w:r>
            <w:r>
              <w:rPr>
                <w:rFonts w:hint="default" w:ascii="Times New Roman" w:hAnsi="Times New Roman" w:cs="Times New Roman"/>
                <w:color w:val="auto"/>
                <w:sz w:val="24"/>
                <w:szCs w:val="24"/>
                <w:highlight w:val="none"/>
                <w:u w:val="single" w:color="auto"/>
                <w:lang w:val="en-US" w:eastAsia="zh-CN"/>
              </w:rPr>
              <w:t>排气口</w:t>
            </w:r>
            <w:r>
              <w:rPr>
                <w:rFonts w:hint="eastAsia" w:cs="Times New Roman"/>
                <w:color w:val="auto"/>
                <w:sz w:val="24"/>
                <w:szCs w:val="24"/>
                <w:highlight w:val="none"/>
                <w:u w:val="single" w:color="auto"/>
                <w:lang w:val="en-US" w:eastAsia="zh-CN"/>
              </w:rPr>
              <w:t>（17m）</w:t>
            </w:r>
          </w:p>
        </w:tc>
        <w:tc>
          <w:tcPr>
            <w:tcW w:w="1980" w:type="dxa"/>
            <w:vMerge w:val="continue"/>
            <w:noWrap w:val="0"/>
            <w:vAlign w:val="center"/>
          </w:tcPr>
          <w:p w14:paraId="4A09B19B">
            <w:pPr>
              <w:adjustRightInd w:val="0"/>
              <w:snapToGrid w:val="0"/>
              <w:jc w:val="center"/>
              <w:rPr>
                <w:color w:val="auto"/>
                <w:sz w:val="24"/>
                <w:szCs w:val="24"/>
                <w:highlight w:val="none"/>
                <w:u w:val="none" w:color="auto"/>
              </w:rPr>
            </w:pPr>
          </w:p>
        </w:tc>
      </w:tr>
      <w:tr w14:paraId="51B97F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1618" w:type="dxa"/>
            <w:vMerge w:val="continue"/>
            <w:noWrap w:val="0"/>
            <w:vAlign w:val="center"/>
          </w:tcPr>
          <w:p w14:paraId="7261A304">
            <w:pPr>
              <w:adjustRightInd w:val="0"/>
              <w:snapToGrid w:val="0"/>
              <w:jc w:val="center"/>
              <w:rPr>
                <w:i/>
                <w:iCs/>
                <w:color w:val="auto"/>
                <w:sz w:val="24"/>
                <w:szCs w:val="24"/>
                <w:highlight w:val="none"/>
                <w:u w:val="none" w:color="auto"/>
              </w:rPr>
            </w:pPr>
          </w:p>
        </w:tc>
        <w:tc>
          <w:tcPr>
            <w:tcW w:w="1784" w:type="dxa"/>
            <w:noWrap w:val="0"/>
            <w:vAlign w:val="center"/>
          </w:tcPr>
          <w:p w14:paraId="61F1AA51">
            <w:pPr>
              <w:adjustRightInd w:val="0"/>
              <w:snapToGrid w:val="0"/>
              <w:jc w:val="center"/>
              <w:rPr>
                <w:rFonts w:ascii="Times New Roman" w:hAnsi="Times New Roman" w:eastAsia="Calibri" w:cs="Times New Roman"/>
                <w:color w:val="auto"/>
                <w:sz w:val="24"/>
                <w:szCs w:val="24"/>
                <w:highlight w:val="none"/>
                <w:u w:val="none" w:color="auto"/>
              </w:rPr>
            </w:pPr>
            <w:r>
              <w:rPr>
                <w:rFonts w:hint="eastAsia" w:eastAsia="宋体" w:cs="Times New Roman"/>
                <w:color w:val="auto"/>
                <w:sz w:val="24"/>
                <w:szCs w:val="24"/>
                <w:highlight w:val="none"/>
                <w:u w:val="none" w:color="auto"/>
                <w:lang w:eastAsia="zh-CN"/>
              </w:rPr>
              <w:t>卸</w:t>
            </w:r>
            <w:r>
              <w:rPr>
                <w:rFonts w:ascii="Times New Roman" w:hAnsi="Times New Roman" w:eastAsia="Calibri" w:cs="Times New Roman"/>
                <w:color w:val="auto"/>
                <w:sz w:val="24"/>
                <w:szCs w:val="24"/>
                <w:highlight w:val="none"/>
                <w:u w:val="none" w:color="auto"/>
              </w:rPr>
              <w:t>料</w:t>
            </w:r>
            <w:r>
              <w:rPr>
                <w:rFonts w:hint="eastAsia" w:eastAsia="宋体" w:cs="Times New Roman"/>
                <w:color w:val="auto"/>
                <w:sz w:val="24"/>
                <w:szCs w:val="24"/>
                <w:highlight w:val="none"/>
                <w:u w:val="none" w:color="auto"/>
                <w:lang w:val="en-US" w:eastAsia="zh-CN"/>
              </w:rPr>
              <w:t>扬尘</w:t>
            </w:r>
          </w:p>
        </w:tc>
        <w:tc>
          <w:tcPr>
            <w:tcW w:w="1396" w:type="dxa"/>
            <w:noWrap w:val="0"/>
            <w:vAlign w:val="center"/>
          </w:tcPr>
          <w:p w14:paraId="5810F023">
            <w:pPr>
              <w:adjustRightInd w:val="0"/>
              <w:snapToGrid w:val="0"/>
              <w:jc w:val="center"/>
              <w:rPr>
                <w:rFonts w:ascii="Times New Roman" w:hAnsi="Times New Roman" w:eastAsia="Calibri" w:cs="Times New Roman"/>
                <w:color w:val="auto"/>
                <w:sz w:val="24"/>
                <w:szCs w:val="24"/>
                <w:highlight w:val="none"/>
                <w:u w:val="none" w:color="auto"/>
              </w:rPr>
            </w:pPr>
            <w:r>
              <w:rPr>
                <w:rFonts w:hint="eastAsia"/>
                <w:color w:val="auto"/>
                <w:sz w:val="24"/>
                <w:szCs w:val="24"/>
                <w:highlight w:val="none"/>
                <w:u w:val="none" w:color="auto"/>
                <w:lang w:val="en-US" w:eastAsia="zh-CN"/>
              </w:rPr>
              <w:t>颗粒物</w:t>
            </w:r>
          </w:p>
        </w:tc>
        <w:tc>
          <w:tcPr>
            <w:tcW w:w="2022" w:type="dxa"/>
            <w:noWrap w:val="0"/>
            <w:vAlign w:val="center"/>
          </w:tcPr>
          <w:p w14:paraId="68B0973F">
            <w:pPr>
              <w:tabs>
                <w:tab w:val="left" w:pos="3000"/>
              </w:tabs>
              <w:jc w:val="center"/>
              <w:rPr>
                <w:rFonts w:hint="default" w:eastAsia="宋体"/>
                <w:b/>
                <w:color w:val="auto"/>
                <w:sz w:val="24"/>
                <w:szCs w:val="24"/>
                <w:highlight w:val="none"/>
                <w:u w:val="none" w:color="auto"/>
                <w:lang w:val="en-US" w:eastAsia="zh-CN"/>
              </w:rPr>
            </w:pPr>
            <w:r>
              <w:rPr>
                <w:rFonts w:hint="eastAsia"/>
                <w:bCs/>
                <w:color w:val="auto"/>
                <w:sz w:val="24"/>
                <w:szCs w:val="24"/>
                <w:highlight w:val="none"/>
                <w:u w:val="none" w:color="auto"/>
                <w:lang w:val="en-US" w:eastAsia="zh-CN"/>
              </w:rPr>
              <w:t>洒水降尘</w:t>
            </w:r>
          </w:p>
        </w:tc>
        <w:tc>
          <w:tcPr>
            <w:tcW w:w="1980" w:type="dxa"/>
            <w:vMerge w:val="continue"/>
            <w:noWrap w:val="0"/>
            <w:vAlign w:val="center"/>
          </w:tcPr>
          <w:p w14:paraId="7510FBB0">
            <w:pPr>
              <w:adjustRightInd w:val="0"/>
              <w:snapToGrid w:val="0"/>
              <w:jc w:val="center"/>
              <w:rPr>
                <w:color w:val="auto"/>
                <w:sz w:val="24"/>
                <w:szCs w:val="24"/>
                <w:highlight w:val="none"/>
                <w:u w:val="none" w:color="auto"/>
              </w:rPr>
            </w:pPr>
          </w:p>
        </w:tc>
      </w:tr>
      <w:tr w14:paraId="41CC88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1618" w:type="dxa"/>
            <w:vMerge w:val="continue"/>
            <w:noWrap w:val="0"/>
            <w:vAlign w:val="center"/>
          </w:tcPr>
          <w:p w14:paraId="0DBB024B">
            <w:pPr>
              <w:ind w:left="105" w:leftChars="50" w:right="105" w:rightChars="50"/>
              <w:jc w:val="center"/>
              <w:rPr>
                <w:color w:val="auto"/>
                <w:sz w:val="24"/>
                <w:szCs w:val="24"/>
                <w:highlight w:val="none"/>
                <w:u w:val="none" w:color="auto"/>
              </w:rPr>
            </w:pPr>
          </w:p>
        </w:tc>
        <w:tc>
          <w:tcPr>
            <w:tcW w:w="1784" w:type="dxa"/>
            <w:noWrap w:val="0"/>
            <w:vAlign w:val="center"/>
          </w:tcPr>
          <w:p w14:paraId="29878DAA">
            <w:pPr>
              <w:tabs>
                <w:tab w:val="left" w:pos="3000"/>
              </w:tabs>
              <w:jc w:val="center"/>
              <w:rPr>
                <w:rFonts w:ascii="Times New Roman" w:hAnsi="Times New Roman" w:eastAsia="Calibri" w:cs="Times New Roman"/>
                <w:color w:val="auto"/>
                <w:sz w:val="24"/>
                <w:szCs w:val="24"/>
                <w:highlight w:val="none"/>
                <w:u w:val="none" w:color="auto"/>
              </w:rPr>
            </w:pPr>
            <w:r>
              <w:rPr>
                <w:rFonts w:hint="eastAsia" w:eastAsia="宋体" w:cs="Times New Roman"/>
                <w:color w:val="auto"/>
                <w:sz w:val="24"/>
                <w:szCs w:val="24"/>
                <w:highlight w:val="none"/>
                <w:u w:val="none" w:color="auto"/>
                <w:lang w:val="en-US" w:eastAsia="zh-CN"/>
              </w:rPr>
              <w:t>堆场粉尘</w:t>
            </w:r>
          </w:p>
        </w:tc>
        <w:tc>
          <w:tcPr>
            <w:tcW w:w="1396" w:type="dxa"/>
            <w:noWrap w:val="0"/>
            <w:vAlign w:val="center"/>
          </w:tcPr>
          <w:p w14:paraId="215C3AA8">
            <w:pPr>
              <w:ind w:left="105" w:leftChars="50" w:right="105" w:rightChars="50"/>
              <w:jc w:val="center"/>
              <w:rPr>
                <w:rFonts w:ascii="Times New Roman" w:hAnsi="Times New Roman" w:eastAsia="Calibri" w:cs="Times New Roman"/>
                <w:color w:val="auto"/>
                <w:sz w:val="24"/>
                <w:szCs w:val="24"/>
                <w:highlight w:val="none"/>
                <w:u w:val="none" w:color="auto"/>
              </w:rPr>
            </w:pPr>
            <w:r>
              <w:rPr>
                <w:rFonts w:hint="eastAsia"/>
                <w:color w:val="auto"/>
                <w:sz w:val="24"/>
                <w:szCs w:val="24"/>
                <w:highlight w:val="none"/>
                <w:u w:val="none" w:color="auto"/>
                <w:lang w:val="en-US" w:eastAsia="zh-CN"/>
              </w:rPr>
              <w:t>颗粒物</w:t>
            </w:r>
          </w:p>
        </w:tc>
        <w:tc>
          <w:tcPr>
            <w:tcW w:w="2022" w:type="dxa"/>
            <w:noWrap w:val="0"/>
            <w:vAlign w:val="center"/>
          </w:tcPr>
          <w:p w14:paraId="62C0AB77">
            <w:pPr>
              <w:tabs>
                <w:tab w:val="left" w:pos="3000"/>
              </w:tabs>
              <w:jc w:val="center"/>
              <w:rPr>
                <w:rFonts w:ascii="Times New Roman" w:hAnsi="Times New Roman" w:eastAsia="Calibri" w:cs="Times New Roman"/>
                <w:color w:val="auto"/>
                <w:sz w:val="24"/>
                <w:szCs w:val="24"/>
                <w:highlight w:val="none"/>
                <w:u w:val="none" w:color="auto"/>
              </w:rPr>
            </w:pPr>
            <w:r>
              <w:rPr>
                <w:rFonts w:hint="eastAsia" w:cs="Times New Roman"/>
                <w:color w:val="auto"/>
                <w:sz w:val="24"/>
                <w:szCs w:val="24"/>
                <w:highlight w:val="none"/>
                <w:u w:val="none" w:color="auto"/>
                <w:lang w:val="en-US" w:eastAsia="zh-CN"/>
              </w:rPr>
              <w:t>半封闭彩钢棚</w:t>
            </w:r>
            <w:r>
              <w:rPr>
                <w:rFonts w:hint="eastAsia" w:eastAsia="宋体" w:cs="Times New Roman"/>
                <w:color w:val="auto"/>
                <w:sz w:val="24"/>
                <w:szCs w:val="24"/>
                <w:highlight w:val="none"/>
                <w:u w:val="none" w:color="auto"/>
                <w:lang w:val="en-US" w:eastAsia="zh-CN"/>
              </w:rPr>
              <w:t>、</w:t>
            </w:r>
            <w:r>
              <w:rPr>
                <w:rFonts w:hint="eastAsia" w:cs="Times New Roman"/>
                <w:color w:val="auto"/>
                <w:sz w:val="24"/>
                <w:szCs w:val="24"/>
                <w:highlight w:val="none"/>
                <w:u w:val="none" w:color="auto"/>
                <w:lang w:val="en-US" w:eastAsia="zh-CN"/>
              </w:rPr>
              <w:t>洒水</w:t>
            </w:r>
            <w:r>
              <w:rPr>
                <w:rFonts w:hint="eastAsia" w:eastAsia="宋体" w:cs="Times New Roman"/>
                <w:color w:val="auto"/>
                <w:sz w:val="24"/>
                <w:szCs w:val="24"/>
                <w:highlight w:val="none"/>
                <w:u w:val="none" w:color="auto"/>
                <w:lang w:val="en-US" w:eastAsia="zh-CN"/>
              </w:rPr>
              <w:t>降尘</w:t>
            </w:r>
          </w:p>
        </w:tc>
        <w:tc>
          <w:tcPr>
            <w:tcW w:w="1980" w:type="dxa"/>
            <w:vMerge w:val="continue"/>
            <w:noWrap w:val="0"/>
            <w:vAlign w:val="center"/>
          </w:tcPr>
          <w:p w14:paraId="51AD4F23">
            <w:pPr>
              <w:ind w:left="105" w:leftChars="50" w:right="105" w:rightChars="50"/>
              <w:jc w:val="center"/>
              <w:rPr>
                <w:rFonts w:ascii="Times New Roman" w:hAnsi="Times New Roman" w:eastAsia="Calibri" w:cs="Times New Roman"/>
                <w:color w:val="auto"/>
                <w:sz w:val="24"/>
                <w:szCs w:val="24"/>
                <w:highlight w:val="none"/>
                <w:u w:val="none" w:color="auto"/>
              </w:rPr>
            </w:pPr>
          </w:p>
        </w:tc>
      </w:tr>
      <w:tr w14:paraId="270184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1618" w:type="dxa"/>
            <w:vMerge w:val="continue"/>
            <w:noWrap w:val="0"/>
            <w:vAlign w:val="center"/>
          </w:tcPr>
          <w:p w14:paraId="0AF22156">
            <w:pPr>
              <w:ind w:left="105" w:leftChars="50" w:right="105" w:rightChars="50"/>
              <w:jc w:val="center"/>
              <w:rPr>
                <w:rFonts w:ascii="Times New Roman" w:hAnsi="Times New Roman" w:eastAsia="Calibri" w:cs="Times New Roman"/>
                <w:color w:val="auto"/>
                <w:sz w:val="24"/>
                <w:szCs w:val="24"/>
                <w:highlight w:val="none"/>
                <w:u w:val="none" w:color="auto"/>
              </w:rPr>
            </w:pPr>
          </w:p>
        </w:tc>
        <w:tc>
          <w:tcPr>
            <w:tcW w:w="1784" w:type="dxa"/>
            <w:noWrap w:val="0"/>
            <w:vAlign w:val="center"/>
          </w:tcPr>
          <w:p w14:paraId="726473F4">
            <w:pPr>
              <w:tabs>
                <w:tab w:val="left" w:pos="3000"/>
              </w:tabs>
              <w:jc w:val="center"/>
              <w:rPr>
                <w:rFonts w:ascii="Times New Roman" w:hAnsi="Times New Roman" w:eastAsia="Calibri" w:cs="Times New Roman"/>
                <w:color w:val="auto"/>
                <w:sz w:val="24"/>
                <w:szCs w:val="24"/>
                <w:highlight w:val="none"/>
                <w:u w:val="none" w:color="auto"/>
              </w:rPr>
            </w:pPr>
            <w:r>
              <w:rPr>
                <w:rFonts w:hint="eastAsia" w:eastAsia="宋体" w:cs="Times New Roman"/>
                <w:color w:val="auto"/>
                <w:sz w:val="24"/>
                <w:szCs w:val="24"/>
                <w:highlight w:val="none"/>
                <w:u w:val="none" w:color="auto"/>
                <w:lang w:val="en-US" w:eastAsia="zh-CN"/>
              </w:rPr>
              <w:t>上料粉尘</w:t>
            </w:r>
          </w:p>
        </w:tc>
        <w:tc>
          <w:tcPr>
            <w:tcW w:w="1396" w:type="dxa"/>
            <w:noWrap w:val="0"/>
            <w:vAlign w:val="center"/>
          </w:tcPr>
          <w:p w14:paraId="16638CE2">
            <w:pPr>
              <w:ind w:left="105" w:leftChars="50" w:right="105" w:rightChars="50"/>
              <w:jc w:val="center"/>
              <w:rPr>
                <w:rFonts w:ascii="Times New Roman" w:hAnsi="Times New Roman" w:eastAsia="Calibri" w:cs="Times New Roman"/>
                <w:color w:val="auto"/>
                <w:sz w:val="24"/>
                <w:szCs w:val="24"/>
                <w:highlight w:val="none"/>
                <w:u w:val="none" w:color="auto"/>
              </w:rPr>
            </w:pPr>
            <w:r>
              <w:rPr>
                <w:rFonts w:hint="eastAsia"/>
                <w:color w:val="auto"/>
                <w:sz w:val="24"/>
                <w:szCs w:val="24"/>
                <w:highlight w:val="none"/>
                <w:u w:val="none" w:color="auto"/>
                <w:lang w:val="en-US" w:eastAsia="zh-CN"/>
              </w:rPr>
              <w:t>颗粒物</w:t>
            </w:r>
          </w:p>
        </w:tc>
        <w:tc>
          <w:tcPr>
            <w:tcW w:w="2022" w:type="dxa"/>
            <w:noWrap w:val="0"/>
            <w:vAlign w:val="center"/>
          </w:tcPr>
          <w:p w14:paraId="77691EBA">
            <w:pPr>
              <w:tabs>
                <w:tab w:val="left" w:pos="3000"/>
              </w:tabs>
              <w:jc w:val="center"/>
              <w:rPr>
                <w:rFonts w:ascii="Times New Roman" w:hAnsi="Times New Roman" w:eastAsia="Calibri" w:cs="Times New Roman"/>
                <w:color w:val="auto"/>
                <w:sz w:val="24"/>
                <w:szCs w:val="24"/>
                <w:highlight w:val="none"/>
                <w:u w:val="none" w:color="auto"/>
              </w:rPr>
            </w:pPr>
            <w:r>
              <w:rPr>
                <w:rFonts w:hint="eastAsia"/>
                <w:bCs/>
                <w:color w:val="auto"/>
                <w:sz w:val="24"/>
                <w:szCs w:val="24"/>
                <w:highlight w:val="none"/>
                <w:u w:val="none" w:color="auto"/>
                <w:lang w:val="en-US" w:eastAsia="zh-CN"/>
              </w:rPr>
              <w:t>洒水降尘</w:t>
            </w:r>
          </w:p>
        </w:tc>
        <w:tc>
          <w:tcPr>
            <w:tcW w:w="1980" w:type="dxa"/>
            <w:vMerge w:val="continue"/>
            <w:noWrap w:val="0"/>
            <w:vAlign w:val="center"/>
          </w:tcPr>
          <w:p w14:paraId="6DB477BE">
            <w:pPr>
              <w:ind w:left="105" w:leftChars="50" w:right="105" w:rightChars="50"/>
              <w:jc w:val="center"/>
              <w:rPr>
                <w:rFonts w:ascii="Times New Roman" w:hAnsi="Times New Roman" w:eastAsia="Calibri" w:cs="Times New Roman"/>
                <w:color w:val="auto"/>
                <w:sz w:val="24"/>
                <w:szCs w:val="24"/>
                <w:highlight w:val="none"/>
                <w:u w:val="none" w:color="auto"/>
              </w:rPr>
            </w:pPr>
          </w:p>
        </w:tc>
      </w:tr>
      <w:tr w14:paraId="33790E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1618" w:type="dxa"/>
            <w:vMerge w:val="continue"/>
            <w:noWrap w:val="0"/>
            <w:vAlign w:val="center"/>
          </w:tcPr>
          <w:p w14:paraId="1BD0FB81">
            <w:pPr>
              <w:ind w:left="105" w:leftChars="50" w:right="105" w:rightChars="50"/>
              <w:jc w:val="center"/>
              <w:rPr>
                <w:rFonts w:ascii="Times New Roman" w:hAnsi="Times New Roman" w:eastAsia="Calibri" w:cs="Times New Roman"/>
                <w:color w:val="auto"/>
                <w:sz w:val="24"/>
                <w:szCs w:val="24"/>
                <w:highlight w:val="none"/>
                <w:u w:val="none" w:color="auto"/>
              </w:rPr>
            </w:pPr>
          </w:p>
        </w:tc>
        <w:tc>
          <w:tcPr>
            <w:tcW w:w="1784" w:type="dxa"/>
            <w:noWrap w:val="0"/>
            <w:vAlign w:val="center"/>
          </w:tcPr>
          <w:p w14:paraId="3D6B7372">
            <w:pPr>
              <w:tabs>
                <w:tab w:val="left" w:pos="3000"/>
              </w:tabs>
              <w:jc w:val="center"/>
              <w:rPr>
                <w:rFonts w:ascii="Times New Roman" w:hAnsi="Times New Roman" w:eastAsia="Calibri" w:cs="Times New Roman"/>
                <w:color w:val="auto"/>
                <w:sz w:val="24"/>
                <w:szCs w:val="24"/>
                <w:highlight w:val="none"/>
                <w:u w:val="none" w:color="auto"/>
              </w:rPr>
            </w:pPr>
            <w:r>
              <w:rPr>
                <w:rFonts w:hint="eastAsia" w:eastAsia="宋体" w:cs="Times New Roman"/>
                <w:color w:val="auto"/>
                <w:sz w:val="24"/>
                <w:szCs w:val="24"/>
                <w:highlight w:val="none"/>
                <w:u w:val="none" w:color="auto"/>
                <w:lang w:val="en-US" w:eastAsia="zh-CN"/>
              </w:rPr>
              <w:t>运输粉尘</w:t>
            </w:r>
          </w:p>
        </w:tc>
        <w:tc>
          <w:tcPr>
            <w:tcW w:w="1396" w:type="dxa"/>
            <w:noWrap w:val="0"/>
            <w:vAlign w:val="center"/>
          </w:tcPr>
          <w:p w14:paraId="706BB8F3">
            <w:pPr>
              <w:ind w:left="105" w:leftChars="50" w:right="105" w:rightChars="50"/>
              <w:jc w:val="center"/>
              <w:rPr>
                <w:rFonts w:ascii="Times New Roman" w:hAnsi="Times New Roman" w:eastAsia="Calibri" w:cs="Times New Roman"/>
                <w:color w:val="auto"/>
                <w:sz w:val="24"/>
                <w:szCs w:val="24"/>
                <w:highlight w:val="none"/>
                <w:u w:val="none" w:color="auto"/>
              </w:rPr>
            </w:pPr>
            <w:r>
              <w:rPr>
                <w:rFonts w:hint="eastAsia"/>
                <w:color w:val="auto"/>
                <w:sz w:val="24"/>
                <w:szCs w:val="24"/>
                <w:highlight w:val="none"/>
                <w:u w:val="none" w:color="auto"/>
                <w:lang w:val="en-US" w:eastAsia="zh-CN"/>
              </w:rPr>
              <w:t>颗粒物</w:t>
            </w:r>
          </w:p>
        </w:tc>
        <w:tc>
          <w:tcPr>
            <w:tcW w:w="2022" w:type="dxa"/>
            <w:noWrap w:val="0"/>
            <w:vAlign w:val="center"/>
          </w:tcPr>
          <w:p w14:paraId="6E98D7E6">
            <w:pPr>
              <w:tabs>
                <w:tab w:val="left" w:pos="3000"/>
              </w:tabs>
              <w:jc w:val="center"/>
              <w:rPr>
                <w:rFonts w:ascii="Times New Roman" w:hAnsi="Times New Roman" w:eastAsia="Calibri" w:cs="Times New Roman"/>
                <w:color w:val="auto"/>
                <w:sz w:val="24"/>
                <w:szCs w:val="24"/>
                <w:highlight w:val="none"/>
                <w:u w:val="none" w:color="auto"/>
              </w:rPr>
            </w:pPr>
            <w:r>
              <w:rPr>
                <w:rFonts w:hint="eastAsia"/>
                <w:bCs/>
                <w:color w:val="auto"/>
                <w:sz w:val="24"/>
                <w:szCs w:val="24"/>
                <w:highlight w:val="none"/>
                <w:u w:val="none" w:color="auto"/>
                <w:lang w:val="en-US" w:eastAsia="zh-CN"/>
              </w:rPr>
              <w:t>洒水降尘</w:t>
            </w:r>
          </w:p>
        </w:tc>
        <w:tc>
          <w:tcPr>
            <w:tcW w:w="1980" w:type="dxa"/>
            <w:vMerge w:val="continue"/>
            <w:noWrap w:val="0"/>
            <w:vAlign w:val="center"/>
          </w:tcPr>
          <w:p w14:paraId="3EE2A710">
            <w:pPr>
              <w:ind w:left="105" w:leftChars="50" w:right="105" w:rightChars="50"/>
              <w:jc w:val="center"/>
              <w:rPr>
                <w:rFonts w:ascii="Times New Roman" w:hAnsi="Times New Roman" w:eastAsia="Calibri" w:cs="Times New Roman"/>
                <w:color w:val="auto"/>
                <w:sz w:val="24"/>
                <w:szCs w:val="24"/>
                <w:highlight w:val="none"/>
                <w:u w:val="none" w:color="auto"/>
              </w:rPr>
            </w:pPr>
          </w:p>
        </w:tc>
      </w:tr>
      <w:tr w14:paraId="12E01F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18" w:type="dxa"/>
            <w:vMerge w:val="restart"/>
            <w:noWrap w:val="0"/>
            <w:vAlign w:val="center"/>
          </w:tcPr>
          <w:p w14:paraId="614D47CB">
            <w:pPr>
              <w:adjustRightInd w:val="0"/>
              <w:snapToGrid w:val="0"/>
              <w:jc w:val="center"/>
              <w:rPr>
                <w:rFonts w:eastAsia="Calibri"/>
                <w:color w:val="auto"/>
                <w:sz w:val="24"/>
                <w:szCs w:val="24"/>
                <w:highlight w:val="none"/>
                <w:u w:val="none" w:color="auto"/>
              </w:rPr>
            </w:pPr>
            <w:r>
              <w:rPr>
                <w:color w:val="auto"/>
                <w:sz w:val="24"/>
                <w:szCs w:val="24"/>
                <w:highlight w:val="none"/>
                <w:u w:val="none" w:color="auto"/>
              </w:rPr>
              <w:t>地表水环境</w:t>
            </w:r>
          </w:p>
        </w:tc>
        <w:tc>
          <w:tcPr>
            <w:tcW w:w="1784" w:type="dxa"/>
            <w:noWrap w:val="0"/>
            <w:vAlign w:val="center"/>
          </w:tcPr>
          <w:p w14:paraId="1D96774F">
            <w:pPr>
              <w:adjustRightInd w:val="0"/>
              <w:snapToGrid w:val="0"/>
              <w:jc w:val="center"/>
              <w:rPr>
                <w:i w:val="0"/>
                <w:iCs w:val="0"/>
                <w:color w:val="auto"/>
                <w:sz w:val="24"/>
                <w:szCs w:val="24"/>
                <w:highlight w:val="none"/>
                <w:u w:val="none" w:color="auto"/>
              </w:rPr>
            </w:pPr>
            <w:r>
              <w:rPr>
                <w:rFonts w:hint="eastAsia"/>
                <w:i w:val="0"/>
                <w:iCs w:val="0"/>
                <w:color w:val="auto"/>
                <w:sz w:val="24"/>
                <w:szCs w:val="24"/>
                <w:highlight w:val="none"/>
                <w:u w:val="none" w:color="auto"/>
                <w:lang w:val="en-US" w:eastAsia="zh-CN"/>
              </w:rPr>
              <w:t>设备、罐车冲洗废水</w:t>
            </w:r>
          </w:p>
        </w:tc>
        <w:tc>
          <w:tcPr>
            <w:tcW w:w="1396" w:type="dxa"/>
            <w:noWrap w:val="0"/>
            <w:vAlign w:val="center"/>
          </w:tcPr>
          <w:p w14:paraId="19D31667">
            <w:pPr>
              <w:adjustRightInd w:val="0"/>
              <w:snapToGrid w:val="0"/>
              <w:jc w:val="center"/>
              <w:rPr>
                <w:rFonts w:hint="eastAsia"/>
                <w:i w:val="0"/>
                <w:iCs w:val="0"/>
                <w:color w:val="auto"/>
                <w:sz w:val="24"/>
                <w:szCs w:val="24"/>
                <w:highlight w:val="none"/>
                <w:u w:val="none" w:color="auto"/>
              </w:rPr>
            </w:pPr>
            <w:r>
              <w:rPr>
                <w:rFonts w:hint="eastAsia"/>
                <w:i w:val="0"/>
                <w:iCs w:val="0"/>
                <w:color w:val="auto"/>
                <w:sz w:val="24"/>
                <w:szCs w:val="24"/>
                <w:highlight w:val="none"/>
                <w:u w:val="none" w:color="auto"/>
              </w:rPr>
              <w:t>SS</w:t>
            </w:r>
          </w:p>
        </w:tc>
        <w:tc>
          <w:tcPr>
            <w:tcW w:w="2022" w:type="dxa"/>
            <w:noWrap w:val="0"/>
            <w:vAlign w:val="center"/>
          </w:tcPr>
          <w:p w14:paraId="78837973">
            <w:pPr>
              <w:adjustRightInd w:val="0"/>
              <w:snapToGrid w:val="0"/>
              <w:jc w:val="center"/>
              <w:rPr>
                <w:i w:val="0"/>
                <w:iCs w:val="0"/>
                <w:color w:val="auto"/>
                <w:sz w:val="24"/>
                <w:szCs w:val="24"/>
                <w:highlight w:val="none"/>
                <w:u w:val="none" w:color="auto"/>
              </w:rPr>
            </w:pPr>
            <w:r>
              <w:rPr>
                <w:rFonts w:hint="eastAsia" w:cs="Times New Roman"/>
                <w:color w:val="auto"/>
                <w:sz w:val="24"/>
                <w:szCs w:val="24"/>
                <w:highlight w:val="none"/>
                <w:u w:val="none" w:color="auto"/>
                <w:lang w:val="en-US" w:eastAsia="zh-CN"/>
              </w:rPr>
              <w:t>三级</w:t>
            </w:r>
            <w:r>
              <w:rPr>
                <w:rFonts w:hint="eastAsia" w:ascii="Times New Roman" w:hAnsi="Times New Roman" w:eastAsia="宋体" w:cs="Times New Roman"/>
                <w:color w:val="auto"/>
                <w:sz w:val="24"/>
                <w:szCs w:val="24"/>
                <w:highlight w:val="none"/>
                <w:u w:val="none" w:color="auto"/>
                <w:lang w:val="en-US" w:eastAsia="zh-CN"/>
              </w:rPr>
              <w:t>沉淀池</w:t>
            </w:r>
            <w:r>
              <w:rPr>
                <w:rFonts w:hint="eastAsia" w:cs="Times New Roman"/>
                <w:color w:val="auto"/>
                <w:sz w:val="24"/>
                <w:szCs w:val="24"/>
                <w:highlight w:val="none"/>
                <w:u w:val="none" w:color="auto"/>
                <w:lang w:val="en-US" w:eastAsia="zh-CN"/>
              </w:rPr>
              <w:t>沉淀</w:t>
            </w:r>
            <w:r>
              <w:rPr>
                <w:rFonts w:hint="eastAsia" w:eastAsia="宋体"/>
                <w:i w:val="0"/>
                <w:iCs w:val="0"/>
                <w:color w:val="auto"/>
                <w:sz w:val="24"/>
                <w:szCs w:val="24"/>
                <w:highlight w:val="none"/>
                <w:u w:val="none" w:color="auto"/>
                <w:lang w:val="en-US" w:eastAsia="zh-CN"/>
              </w:rPr>
              <w:t>处理</w:t>
            </w:r>
            <w:r>
              <w:rPr>
                <w:rFonts w:hint="eastAsia"/>
                <w:i w:val="0"/>
                <w:iCs w:val="0"/>
                <w:color w:val="auto"/>
                <w:sz w:val="24"/>
                <w:szCs w:val="24"/>
                <w:highlight w:val="none"/>
                <w:u w:val="none" w:color="auto"/>
              </w:rPr>
              <w:t>后回用</w:t>
            </w:r>
          </w:p>
        </w:tc>
        <w:tc>
          <w:tcPr>
            <w:tcW w:w="1980" w:type="dxa"/>
            <w:noWrap w:val="0"/>
            <w:vAlign w:val="center"/>
          </w:tcPr>
          <w:p w14:paraId="76D89D61">
            <w:pPr>
              <w:adjustRightInd w:val="0"/>
              <w:snapToGrid w:val="0"/>
              <w:jc w:val="center"/>
              <w:rPr>
                <w:i w:val="0"/>
                <w:iCs w:val="0"/>
                <w:color w:val="auto"/>
                <w:sz w:val="24"/>
                <w:szCs w:val="24"/>
                <w:highlight w:val="none"/>
                <w:u w:val="none" w:color="auto"/>
              </w:rPr>
            </w:pPr>
            <w:r>
              <w:rPr>
                <w:rFonts w:hint="eastAsia"/>
                <w:i w:val="0"/>
                <w:iCs w:val="0"/>
                <w:color w:val="auto"/>
                <w:sz w:val="24"/>
                <w:szCs w:val="24"/>
                <w:highlight w:val="none"/>
                <w:u w:val="none" w:color="auto"/>
              </w:rPr>
              <w:t>不排放</w:t>
            </w:r>
          </w:p>
        </w:tc>
      </w:tr>
      <w:tr w14:paraId="42BC1C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1618" w:type="dxa"/>
            <w:vMerge w:val="continue"/>
            <w:noWrap w:val="0"/>
            <w:vAlign w:val="center"/>
          </w:tcPr>
          <w:p w14:paraId="3B0365F0">
            <w:pPr>
              <w:adjustRightInd w:val="0"/>
              <w:snapToGrid w:val="0"/>
              <w:jc w:val="center"/>
              <w:rPr>
                <w:color w:val="auto"/>
                <w:sz w:val="24"/>
                <w:szCs w:val="24"/>
                <w:highlight w:val="none"/>
                <w:u w:val="none" w:color="auto"/>
              </w:rPr>
            </w:pPr>
          </w:p>
        </w:tc>
        <w:tc>
          <w:tcPr>
            <w:tcW w:w="1784" w:type="dxa"/>
            <w:noWrap w:val="0"/>
            <w:vAlign w:val="center"/>
          </w:tcPr>
          <w:p w14:paraId="11C2C1BF">
            <w:pPr>
              <w:adjustRightInd w:val="0"/>
              <w:snapToGrid w:val="0"/>
              <w:jc w:val="center"/>
              <w:rPr>
                <w:rFonts w:hint="eastAsia" w:eastAsia="宋体"/>
                <w:color w:val="auto"/>
                <w:sz w:val="24"/>
                <w:szCs w:val="24"/>
                <w:highlight w:val="none"/>
                <w:u w:val="none" w:color="auto"/>
                <w:lang w:eastAsia="zh-CN"/>
              </w:rPr>
            </w:pPr>
            <w:r>
              <w:rPr>
                <w:rFonts w:hint="eastAsia"/>
                <w:color w:val="auto"/>
                <w:sz w:val="24"/>
                <w:szCs w:val="24"/>
                <w:highlight w:val="none"/>
                <w:u w:val="none" w:color="auto"/>
              </w:rPr>
              <w:t>生活</w:t>
            </w:r>
            <w:r>
              <w:rPr>
                <w:rFonts w:hint="eastAsia"/>
                <w:color w:val="auto"/>
                <w:sz w:val="24"/>
                <w:szCs w:val="24"/>
                <w:highlight w:val="none"/>
                <w:u w:val="none" w:color="auto"/>
                <w:lang w:val="en-US" w:eastAsia="zh-CN"/>
              </w:rPr>
              <w:t>污水</w:t>
            </w:r>
          </w:p>
        </w:tc>
        <w:tc>
          <w:tcPr>
            <w:tcW w:w="1396" w:type="dxa"/>
            <w:noWrap w:val="0"/>
            <w:vAlign w:val="center"/>
          </w:tcPr>
          <w:p w14:paraId="46881702">
            <w:pPr>
              <w:adjustRightInd w:val="0"/>
              <w:snapToGrid w:val="0"/>
              <w:jc w:val="center"/>
              <w:rPr>
                <w:color w:val="auto"/>
                <w:sz w:val="24"/>
                <w:szCs w:val="24"/>
                <w:highlight w:val="none"/>
                <w:u w:val="none" w:color="auto"/>
              </w:rPr>
            </w:pPr>
            <w:r>
              <w:rPr>
                <w:color w:val="auto"/>
                <w:sz w:val="24"/>
                <w:szCs w:val="24"/>
                <w:highlight w:val="none"/>
                <w:u w:val="none" w:color="auto"/>
              </w:rPr>
              <w:t>COD、BOD</w:t>
            </w:r>
            <w:r>
              <w:rPr>
                <w:color w:val="auto"/>
                <w:sz w:val="24"/>
                <w:szCs w:val="24"/>
                <w:highlight w:val="none"/>
                <w:u w:val="none" w:color="auto"/>
                <w:vertAlign w:val="subscript"/>
              </w:rPr>
              <w:t>5</w:t>
            </w:r>
          </w:p>
          <w:p w14:paraId="10BED4EF">
            <w:pPr>
              <w:adjustRightInd w:val="0"/>
              <w:snapToGrid w:val="0"/>
              <w:jc w:val="center"/>
              <w:rPr>
                <w:rFonts w:hint="eastAsia" w:eastAsia="Calibri"/>
                <w:color w:val="auto"/>
                <w:sz w:val="24"/>
                <w:szCs w:val="24"/>
                <w:highlight w:val="none"/>
                <w:u w:val="none" w:color="auto"/>
              </w:rPr>
            </w:pPr>
            <w:r>
              <w:rPr>
                <w:color w:val="auto"/>
                <w:sz w:val="24"/>
                <w:szCs w:val="24"/>
                <w:highlight w:val="none"/>
                <w:u w:val="none" w:color="auto"/>
              </w:rPr>
              <w:t>SS、氨氮</w:t>
            </w:r>
          </w:p>
        </w:tc>
        <w:tc>
          <w:tcPr>
            <w:tcW w:w="2022" w:type="dxa"/>
            <w:noWrap w:val="0"/>
            <w:vAlign w:val="center"/>
          </w:tcPr>
          <w:p w14:paraId="0B41E8AC">
            <w:pPr>
              <w:adjustRightInd w:val="0"/>
              <w:snapToGrid w:val="0"/>
              <w:jc w:val="center"/>
              <w:rPr>
                <w:rFonts w:hint="default" w:eastAsia="宋体"/>
                <w:color w:val="auto"/>
                <w:sz w:val="24"/>
                <w:szCs w:val="24"/>
                <w:highlight w:val="none"/>
                <w:u w:val="none" w:color="auto"/>
                <w:lang w:val="en-US" w:eastAsia="zh-CN"/>
              </w:rPr>
            </w:pPr>
            <w:r>
              <w:rPr>
                <w:color w:val="auto"/>
                <w:sz w:val="24"/>
                <w:szCs w:val="24"/>
                <w:highlight w:val="none"/>
                <w:u w:val="none" w:color="auto"/>
              </w:rPr>
              <w:t>排入</w:t>
            </w:r>
            <w:r>
              <w:rPr>
                <w:rFonts w:hint="eastAsia"/>
                <w:color w:val="auto"/>
                <w:sz w:val="24"/>
                <w:szCs w:val="24"/>
                <w:highlight w:val="none"/>
                <w:u w:val="none" w:color="auto"/>
              </w:rPr>
              <w:t>厂区</w:t>
            </w:r>
            <w:r>
              <w:rPr>
                <w:rFonts w:hint="eastAsia"/>
                <w:color w:val="auto"/>
                <w:sz w:val="24"/>
                <w:szCs w:val="24"/>
                <w:highlight w:val="none"/>
                <w:u w:val="none" w:color="auto"/>
                <w:lang w:val="en-US" w:eastAsia="zh-CN"/>
              </w:rPr>
              <w:t>防渗旱厕，定期清掏作农肥</w:t>
            </w:r>
          </w:p>
        </w:tc>
        <w:tc>
          <w:tcPr>
            <w:tcW w:w="1980" w:type="dxa"/>
            <w:noWrap w:val="0"/>
            <w:vAlign w:val="center"/>
          </w:tcPr>
          <w:p w14:paraId="4AE604B6">
            <w:pPr>
              <w:adjustRightInd w:val="0"/>
              <w:snapToGrid w:val="0"/>
              <w:jc w:val="center"/>
              <w:rPr>
                <w:rFonts w:hint="eastAsia"/>
                <w:color w:val="auto"/>
                <w:sz w:val="24"/>
                <w:szCs w:val="24"/>
                <w:highlight w:val="none"/>
                <w:u w:val="none" w:color="auto"/>
              </w:rPr>
            </w:pPr>
            <w:r>
              <w:rPr>
                <w:rFonts w:hint="eastAsia"/>
                <w:bCs/>
                <w:color w:val="auto"/>
                <w:kern w:val="0"/>
                <w:sz w:val="24"/>
                <w:szCs w:val="24"/>
                <w:highlight w:val="none"/>
                <w:u w:val="none" w:color="auto"/>
              </w:rPr>
              <w:t>不排放</w:t>
            </w:r>
          </w:p>
        </w:tc>
      </w:tr>
      <w:tr w14:paraId="39377F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18" w:type="dxa"/>
            <w:noWrap w:val="0"/>
            <w:vAlign w:val="center"/>
          </w:tcPr>
          <w:p w14:paraId="41635EBE">
            <w:pPr>
              <w:adjustRightInd w:val="0"/>
              <w:snapToGrid w:val="0"/>
              <w:jc w:val="center"/>
              <w:rPr>
                <w:rFonts w:eastAsia="Calibri"/>
                <w:color w:val="auto"/>
                <w:sz w:val="24"/>
                <w:szCs w:val="24"/>
                <w:highlight w:val="none"/>
                <w:u w:val="none" w:color="auto"/>
              </w:rPr>
            </w:pPr>
            <w:r>
              <w:rPr>
                <w:color w:val="auto"/>
                <w:sz w:val="24"/>
                <w:szCs w:val="24"/>
                <w:highlight w:val="none"/>
                <w:u w:val="none" w:color="auto"/>
              </w:rPr>
              <w:t>声环境</w:t>
            </w:r>
          </w:p>
        </w:tc>
        <w:tc>
          <w:tcPr>
            <w:tcW w:w="1784" w:type="dxa"/>
            <w:noWrap w:val="0"/>
            <w:vAlign w:val="center"/>
          </w:tcPr>
          <w:p w14:paraId="21BC4372">
            <w:pPr>
              <w:adjustRightInd w:val="0"/>
              <w:snapToGrid w:val="0"/>
              <w:jc w:val="center"/>
              <w:rPr>
                <w:color w:val="auto"/>
                <w:sz w:val="24"/>
                <w:szCs w:val="24"/>
                <w:highlight w:val="none"/>
                <w:u w:val="none" w:color="auto"/>
              </w:rPr>
            </w:pPr>
            <w:r>
              <w:rPr>
                <w:rFonts w:hint="eastAsia"/>
                <w:color w:val="auto"/>
                <w:sz w:val="24"/>
                <w:szCs w:val="24"/>
                <w:highlight w:val="none"/>
                <w:u w:val="none" w:color="auto"/>
              </w:rPr>
              <w:t>搅拌站、运输车辆</w:t>
            </w:r>
          </w:p>
        </w:tc>
        <w:tc>
          <w:tcPr>
            <w:tcW w:w="1396" w:type="dxa"/>
            <w:noWrap w:val="0"/>
            <w:vAlign w:val="center"/>
          </w:tcPr>
          <w:p w14:paraId="64AA4DF6">
            <w:pPr>
              <w:adjustRightInd w:val="0"/>
              <w:snapToGrid w:val="0"/>
              <w:jc w:val="center"/>
              <w:rPr>
                <w:rFonts w:eastAsia="Calibri"/>
                <w:color w:val="auto"/>
                <w:sz w:val="24"/>
                <w:szCs w:val="24"/>
                <w:highlight w:val="none"/>
                <w:u w:val="none" w:color="auto"/>
              </w:rPr>
            </w:pPr>
            <w:r>
              <w:rPr>
                <w:rFonts w:hint="eastAsia"/>
                <w:color w:val="auto"/>
                <w:sz w:val="24"/>
                <w:szCs w:val="24"/>
                <w:highlight w:val="none"/>
                <w:u w:val="none" w:color="auto"/>
              </w:rPr>
              <w:t>机械噪声</w:t>
            </w:r>
          </w:p>
        </w:tc>
        <w:tc>
          <w:tcPr>
            <w:tcW w:w="2022" w:type="dxa"/>
            <w:noWrap w:val="0"/>
            <w:vAlign w:val="center"/>
          </w:tcPr>
          <w:p w14:paraId="3543D679">
            <w:pPr>
              <w:adjustRightInd w:val="0"/>
              <w:snapToGrid w:val="0"/>
              <w:jc w:val="center"/>
              <w:rPr>
                <w:rFonts w:hint="eastAsia" w:eastAsia="宋体"/>
                <w:color w:val="auto"/>
                <w:sz w:val="24"/>
                <w:szCs w:val="24"/>
                <w:highlight w:val="none"/>
                <w:u w:val="none" w:color="auto"/>
                <w:lang w:eastAsia="zh-CN"/>
              </w:rPr>
            </w:pPr>
            <w:r>
              <w:rPr>
                <w:rFonts w:hint="eastAsia" w:ascii="宋体" w:hAnsi="宋体"/>
                <w:bCs/>
                <w:color w:val="auto"/>
                <w:sz w:val="24"/>
                <w:szCs w:val="24"/>
                <w:highlight w:val="none"/>
                <w:u w:val="none" w:color="auto"/>
              </w:rPr>
              <w:t>低噪声设备，采取有效的减振、</w:t>
            </w:r>
            <w:r>
              <w:rPr>
                <w:rFonts w:hint="eastAsia" w:ascii="宋体" w:hAnsi="宋体"/>
                <w:bCs/>
                <w:color w:val="auto"/>
                <w:sz w:val="24"/>
                <w:szCs w:val="24"/>
                <w:highlight w:val="none"/>
                <w:u w:val="none" w:color="auto"/>
                <w:lang w:val="en-US" w:eastAsia="zh-CN"/>
              </w:rPr>
              <w:t>消</w:t>
            </w:r>
            <w:r>
              <w:rPr>
                <w:rFonts w:hint="eastAsia" w:ascii="宋体" w:hAnsi="宋体"/>
                <w:bCs/>
                <w:color w:val="auto"/>
                <w:sz w:val="24"/>
                <w:szCs w:val="24"/>
                <w:highlight w:val="none"/>
                <w:u w:val="none" w:color="auto"/>
              </w:rPr>
              <w:t>声等降噪措施，</w:t>
            </w:r>
            <w:r>
              <w:rPr>
                <w:rFonts w:hint="eastAsia"/>
                <w:color w:val="auto"/>
                <w:sz w:val="24"/>
                <w:szCs w:val="24"/>
                <w:highlight w:val="none"/>
                <w:u w:val="none" w:color="auto"/>
              </w:rPr>
              <w:t>加强厂区车辆的维护管理</w:t>
            </w:r>
          </w:p>
        </w:tc>
        <w:tc>
          <w:tcPr>
            <w:tcW w:w="1980" w:type="dxa"/>
            <w:noWrap w:val="0"/>
            <w:vAlign w:val="center"/>
          </w:tcPr>
          <w:p w14:paraId="51880A05">
            <w:pPr>
              <w:adjustRightInd w:val="0"/>
              <w:snapToGrid w:val="0"/>
              <w:jc w:val="center"/>
              <w:rPr>
                <w:rFonts w:eastAsia="Calibri"/>
                <w:i/>
                <w:iCs/>
                <w:color w:val="auto"/>
                <w:sz w:val="24"/>
                <w:szCs w:val="24"/>
                <w:highlight w:val="none"/>
                <w:u w:val="none" w:color="auto"/>
              </w:rPr>
            </w:pPr>
            <w:r>
              <w:rPr>
                <w:bCs/>
                <w:i w:val="0"/>
                <w:iCs w:val="0"/>
                <w:color w:val="auto"/>
                <w:kern w:val="0"/>
                <w:sz w:val="24"/>
                <w:szCs w:val="24"/>
                <w:highlight w:val="none"/>
                <w:u w:val="single" w:color="auto"/>
              </w:rPr>
              <w:t>《工业企业厂界环境噪声排放标准》（</w:t>
            </w:r>
            <w:r>
              <w:rPr>
                <w:rFonts w:eastAsia="Calibri"/>
                <w:i w:val="0"/>
                <w:iCs w:val="0"/>
                <w:color w:val="auto"/>
                <w:kern w:val="0"/>
                <w:sz w:val="24"/>
                <w:szCs w:val="24"/>
                <w:highlight w:val="none"/>
                <w:u w:val="single" w:color="auto"/>
              </w:rPr>
              <w:t>GB12348</w:t>
            </w:r>
            <w:r>
              <w:rPr>
                <w:rFonts w:hint="eastAsia" w:eastAsia="宋体"/>
                <w:i w:val="0"/>
                <w:iCs w:val="0"/>
                <w:color w:val="auto"/>
                <w:kern w:val="0"/>
                <w:sz w:val="24"/>
                <w:szCs w:val="24"/>
                <w:highlight w:val="none"/>
                <w:u w:val="single" w:color="auto"/>
                <w:lang w:val="en-US" w:eastAsia="zh-CN"/>
              </w:rPr>
              <w:t>-</w:t>
            </w:r>
            <w:r>
              <w:rPr>
                <w:rFonts w:eastAsia="Calibri"/>
                <w:i w:val="0"/>
                <w:iCs w:val="0"/>
                <w:color w:val="auto"/>
                <w:kern w:val="0"/>
                <w:sz w:val="24"/>
                <w:szCs w:val="24"/>
                <w:highlight w:val="none"/>
                <w:u w:val="single" w:color="auto"/>
              </w:rPr>
              <w:t>2008</w:t>
            </w:r>
            <w:r>
              <w:rPr>
                <w:i w:val="0"/>
                <w:iCs w:val="0"/>
                <w:color w:val="auto"/>
                <w:kern w:val="0"/>
                <w:sz w:val="24"/>
                <w:szCs w:val="24"/>
                <w:highlight w:val="none"/>
                <w:u w:val="single" w:color="auto"/>
              </w:rPr>
              <w:t>）中的</w:t>
            </w:r>
            <w:r>
              <w:rPr>
                <w:rFonts w:hint="eastAsia"/>
                <w:i w:val="0"/>
                <w:iCs w:val="0"/>
                <w:color w:val="auto"/>
                <w:kern w:val="0"/>
                <w:sz w:val="24"/>
                <w:szCs w:val="24"/>
                <w:highlight w:val="none"/>
                <w:u w:val="single" w:color="auto"/>
                <w:lang w:val="en-US" w:eastAsia="zh-CN"/>
              </w:rPr>
              <w:t>2</w:t>
            </w:r>
            <w:r>
              <w:rPr>
                <w:i w:val="0"/>
                <w:iCs w:val="0"/>
                <w:color w:val="auto"/>
                <w:kern w:val="0"/>
                <w:sz w:val="24"/>
                <w:szCs w:val="24"/>
                <w:highlight w:val="none"/>
                <w:u w:val="single" w:color="auto"/>
              </w:rPr>
              <w:t>类标准</w:t>
            </w:r>
          </w:p>
        </w:tc>
      </w:tr>
      <w:tr w14:paraId="725D35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618" w:type="dxa"/>
            <w:noWrap w:val="0"/>
            <w:vAlign w:val="center"/>
          </w:tcPr>
          <w:p w14:paraId="677CC486">
            <w:pPr>
              <w:adjustRightInd w:val="0"/>
              <w:snapToGrid w:val="0"/>
              <w:jc w:val="center"/>
              <w:rPr>
                <w:rFonts w:eastAsia="Calibri"/>
                <w:color w:val="auto"/>
                <w:sz w:val="24"/>
                <w:szCs w:val="24"/>
                <w:highlight w:val="none"/>
                <w:u w:val="none" w:color="auto"/>
              </w:rPr>
            </w:pPr>
            <w:r>
              <w:rPr>
                <w:color w:val="auto"/>
                <w:sz w:val="24"/>
                <w:szCs w:val="24"/>
                <w:highlight w:val="none"/>
                <w:u w:val="none" w:color="auto"/>
              </w:rPr>
              <w:t>电磁辐射</w:t>
            </w:r>
          </w:p>
        </w:tc>
        <w:tc>
          <w:tcPr>
            <w:tcW w:w="1784" w:type="dxa"/>
            <w:noWrap w:val="0"/>
            <w:vAlign w:val="center"/>
          </w:tcPr>
          <w:p w14:paraId="602A9573">
            <w:pPr>
              <w:adjustRightInd w:val="0"/>
              <w:snapToGrid w:val="0"/>
              <w:jc w:val="center"/>
              <w:rPr>
                <w:rFonts w:eastAsia="Calibri"/>
                <w:color w:val="auto"/>
                <w:sz w:val="24"/>
                <w:szCs w:val="24"/>
                <w:highlight w:val="none"/>
                <w:u w:val="none" w:color="auto"/>
              </w:rPr>
            </w:pPr>
            <w:r>
              <w:rPr>
                <w:rFonts w:eastAsia="Calibri"/>
                <w:color w:val="auto"/>
                <w:sz w:val="24"/>
                <w:szCs w:val="24"/>
                <w:highlight w:val="none"/>
                <w:u w:val="none" w:color="auto"/>
              </w:rPr>
              <w:t>/</w:t>
            </w:r>
          </w:p>
        </w:tc>
        <w:tc>
          <w:tcPr>
            <w:tcW w:w="1396" w:type="dxa"/>
            <w:noWrap w:val="0"/>
            <w:vAlign w:val="center"/>
          </w:tcPr>
          <w:p w14:paraId="1CF9D6AD">
            <w:pPr>
              <w:adjustRightInd w:val="0"/>
              <w:snapToGrid w:val="0"/>
              <w:jc w:val="center"/>
              <w:rPr>
                <w:rFonts w:eastAsia="Calibri"/>
                <w:color w:val="auto"/>
                <w:sz w:val="24"/>
                <w:szCs w:val="24"/>
                <w:highlight w:val="none"/>
                <w:u w:val="none" w:color="auto"/>
              </w:rPr>
            </w:pPr>
            <w:r>
              <w:rPr>
                <w:rFonts w:eastAsia="Calibri"/>
                <w:color w:val="auto"/>
                <w:sz w:val="24"/>
                <w:szCs w:val="24"/>
                <w:highlight w:val="none"/>
                <w:u w:val="none" w:color="auto"/>
              </w:rPr>
              <w:t>/</w:t>
            </w:r>
          </w:p>
        </w:tc>
        <w:tc>
          <w:tcPr>
            <w:tcW w:w="2022" w:type="dxa"/>
            <w:noWrap w:val="0"/>
            <w:vAlign w:val="center"/>
          </w:tcPr>
          <w:p w14:paraId="7A401215">
            <w:pPr>
              <w:adjustRightInd w:val="0"/>
              <w:snapToGrid w:val="0"/>
              <w:jc w:val="center"/>
              <w:rPr>
                <w:rFonts w:eastAsia="Calibri"/>
                <w:color w:val="auto"/>
                <w:sz w:val="24"/>
                <w:szCs w:val="24"/>
                <w:highlight w:val="none"/>
                <w:u w:val="none" w:color="auto"/>
              </w:rPr>
            </w:pPr>
            <w:r>
              <w:rPr>
                <w:rFonts w:eastAsia="Calibri"/>
                <w:color w:val="auto"/>
                <w:sz w:val="24"/>
                <w:szCs w:val="24"/>
                <w:highlight w:val="none"/>
                <w:u w:val="none" w:color="auto"/>
              </w:rPr>
              <w:t>/</w:t>
            </w:r>
          </w:p>
        </w:tc>
        <w:tc>
          <w:tcPr>
            <w:tcW w:w="1980" w:type="dxa"/>
            <w:noWrap w:val="0"/>
            <w:vAlign w:val="center"/>
          </w:tcPr>
          <w:p w14:paraId="07913E76">
            <w:pPr>
              <w:adjustRightInd w:val="0"/>
              <w:snapToGrid w:val="0"/>
              <w:jc w:val="center"/>
              <w:rPr>
                <w:rFonts w:eastAsia="Calibri"/>
                <w:color w:val="auto"/>
                <w:sz w:val="24"/>
                <w:szCs w:val="24"/>
                <w:highlight w:val="none"/>
                <w:u w:val="none" w:color="auto"/>
              </w:rPr>
            </w:pPr>
            <w:r>
              <w:rPr>
                <w:rFonts w:eastAsia="Calibri"/>
                <w:color w:val="auto"/>
                <w:sz w:val="24"/>
                <w:szCs w:val="24"/>
                <w:highlight w:val="none"/>
                <w:u w:val="none" w:color="auto"/>
              </w:rPr>
              <w:t>/</w:t>
            </w:r>
          </w:p>
        </w:tc>
      </w:tr>
      <w:tr w14:paraId="21B3CB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7" w:hRule="atLeast"/>
          <w:jc w:val="center"/>
        </w:trPr>
        <w:tc>
          <w:tcPr>
            <w:tcW w:w="1618" w:type="dxa"/>
            <w:noWrap w:val="0"/>
            <w:vAlign w:val="center"/>
          </w:tcPr>
          <w:p w14:paraId="56FEDDDC">
            <w:pPr>
              <w:adjustRightInd w:val="0"/>
              <w:snapToGrid w:val="0"/>
              <w:jc w:val="center"/>
              <w:rPr>
                <w:rFonts w:eastAsia="Calibri"/>
                <w:color w:val="auto"/>
                <w:sz w:val="24"/>
                <w:szCs w:val="24"/>
                <w:highlight w:val="none"/>
                <w:u w:val="none" w:color="auto"/>
              </w:rPr>
            </w:pPr>
            <w:r>
              <w:rPr>
                <w:color w:val="auto"/>
                <w:sz w:val="24"/>
                <w:szCs w:val="24"/>
                <w:highlight w:val="none"/>
                <w:u w:val="none" w:color="auto"/>
              </w:rPr>
              <w:t>固体废物</w:t>
            </w:r>
          </w:p>
        </w:tc>
        <w:tc>
          <w:tcPr>
            <w:tcW w:w="7182" w:type="dxa"/>
            <w:gridSpan w:val="4"/>
            <w:noWrap w:val="0"/>
            <w:vAlign w:val="center"/>
          </w:tcPr>
          <w:p w14:paraId="7BE61020">
            <w:pPr>
              <w:adjustRightInd w:val="0"/>
              <w:snapToGrid w:val="0"/>
              <w:rPr>
                <w:rFonts w:eastAsia="Calibri"/>
                <w:iCs/>
                <w:color w:val="auto"/>
                <w:sz w:val="24"/>
                <w:szCs w:val="24"/>
                <w:highlight w:val="none"/>
                <w:u w:val="none" w:color="auto"/>
              </w:rPr>
            </w:pPr>
            <w:r>
              <w:rPr>
                <w:rFonts w:hint="eastAsia" w:eastAsia="宋体"/>
                <w:color w:val="auto"/>
                <w:sz w:val="24"/>
                <w:szCs w:val="24"/>
                <w:highlight w:val="none"/>
                <w:u w:val="none" w:color="auto"/>
                <w:lang w:val="en-US" w:eastAsia="zh-CN"/>
              </w:rPr>
              <w:t>生活垃圾收集后交由环卫部门统一处理；除尘器收集粉尘回用于生产；废布袋收集后</w:t>
            </w:r>
            <w:r>
              <w:rPr>
                <w:rFonts w:hint="default" w:ascii="Times New Roman" w:hAnsi="Times New Roman" w:eastAsia="宋体" w:cs="Times New Roman"/>
                <w:color w:val="auto"/>
                <w:sz w:val="24"/>
                <w:szCs w:val="24"/>
                <w:highlight w:val="none"/>
                <w:u w:val="none" w:color="auto"/>
                <w:lang w:val="en-US" w:eastAsia="zh-CN"/>
              </w:rPr>
              <w:t>由专业物资回收单位回收再生处置</w:t>
            </w:r>
            <w:r>
              <w:rPr>
                <w:rFonts w:hint="eastAsia" w:eastAsia="宋体"/>
                <w:color w:val="auto"/>
                <w:sz w:val="24"/>
                <w:szCs w:val="24"/>
                <w:highlight w:val="none"/>
                <w:u w:val="none" w:color="auto"/>
                <w:lang w:val="en-US" w:eastAsia="zh-CN"/>
              </w:rPr>
              <w:t>；沉淀池沉淀物</w:t>
            </w:r>
            <w:r>
              <w:rPr>
                <w:rFonts w:hint="eastAsia"/>
                <w:color w:val="auto"/>
                <w:sz w:val="24"/>
                <w:szCs w:val="24"/>
                <w:highlight w:val="none"/>
                <w:u w:val="none" w:color="auto"/>
                <w:lang w:val="en-US" w:eastAsia="zh-CN"/>
              </w:rPr>
              <w:t>和初期雨水收集池内沉淀污泥</w:t>
            </w:r>
            <w:r>
              <w:rPr>
                <w:rFonts w:hint="default" w:ascii="Times New Roman" w:hAnsi="Times New Roman" w:eastAsia="宋体" w:cs="Times New Roman"/>
                <w:color w:val="auto"/>
                <w:sz w:val="24"/>
                <w:szCs w:val="24"/>
                <w:highlight w:val="none"/>
                <w:u w:val="none" w:color="auto"/>
                <w:lang w:val="en-US" w:eastAsia="zh-CN"/>
              </w:rPr>
              <w:t>外售制砖厂、透水砖加工厂作为原料</w:t>
            </w:r>
            <w:r>
              <w:rPr>
                <w:rFonts w:hint="eastAsia" w:eastAsia="宋体"/>
                <w:color w:val="auto"/>
                <w:sz w:val="24"/>
                <w:szCs w:val="24"/>
                <w:highlight w:val="none"/>
                <w:u w:val="none" w:color="auto"/>
                <w:lang w:val="en-US" w:eastAsia="zh-CN"/>
              </w:rPr>
              <w:t>；化验室废试样收集</w:t>
            </w:r>
            <w:r>
              <w:rPr>
                <w:rFonts w:hint="default" w:ascii="Times New Roman" w:hAnsi="Times New Roman" w:eastAsia="宋体" w:cs="Times New Roman"/>
                <w:color w:val="auto"/>
                <w:sz w:val="24"/>
                <w:szCs w:val="24"/>
                <w:highlight w:val="none"/>
                <w:u w:val="none" w:color="auto"/>
                <w:lang w:val="en-US" w:eastAsia="zh-CN"/>
              </w:rPr>
              <w:t>外运至再生骨料加工厂加工再生砂石</w:t>
            </w:r>
            <w:r>
              <w:rPr>
                <w:rFonts w:hint="eastAsia"/>
                <w:color w:val="auto"/>
                <w:sz w:val="24"/>
                <w:szCs w:val="24"/>
                <w:highlight w:val="none"/>
                <w:u w:val="none" w:color="auto"/>
                <w:lang w:val="en-US" w:eastAsia="zh-CN"/>
              </w:rPr>
              <w:t>；</w:t>
            </w:r>
            <w:r>
              <w:rPr>
                <w:rFonts w:hint="eastAsia"/>
                <w:color w:val="auto"/>
                <w:sz w:val="24"/>
                <w:szCs w:val="24"/>
                <w:highlight w:val="none"/>
                <w:u w:val="single" w:color="auto"/>
                <w:lang w:val="en-US" w:eastAsia="zh-CN"/>
              </w:rPr>
              <w:t>混凝土类建筑垃圾集中分类堆放后，委托具备合法清运资质的单位，全部运送至当地合规建筑垃圾消纳场规范处置；优先交由建筑垃圾资源化利用单位加工为再生骨料，提升资源化利用水平；金属类拆除废物统一收集后交由具备资质的再生资源回收单位进行回收资源化利用；残留生产物料类废物清理出的洁净粉料优先回用于生产工序；无法回用的结块物料按一般工业固体废物管理，委托具备相应处置能力的单位合规处置。</w:t>
            </w:r>
          </w:p>
        </w:tc>
      </w:tr>
      <w:tr w14:paraId="25E37D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618" w:type="dxa"/>
            <w:noWrap w:val="0"/>
            <w:vAlign w:val="center"/>
          </w:tcPr>
          <w:p w14:paraId="03862745">
            <w:pPr>
              <w:adjustRightInd w:val="0"/>
              <w:snapToGrid w:val="0"/>
              <w:jc w:val="center"/>
              <w:rPr>
                <w:rFonts w:eastAsia="Calibri"/>
                <w:color w:val="auto"/>
                <w:sz w:val="24"/>
                <w:szCs w:val="24"/>
                <w:highlight w:val="none"/>
                <w:u w:val="none" w:color="auto"/>
              </w:rPr>
            </w:pPr>
            <w:r>
              <w:rPr>
                <w:color w:val="auto"/>
                <w:sz w:val="24"/>
                <w:szCs w:val="24"/>
                <w:highlight w:val="none"/>
                <w:u w:val="none" w:color="auto"/>
              </w:rPr>
              <w:t>土壤及地下水污染防治措施</w:t>
            </w:r>
          </w:p>
        </w:tc>
        <w:tc>
          <w:tcPr>
            <w:tcW w:w="7182" w:type="dxa"/>
            <w:gridSpan w:val="4"/>
            <w:noWrap w:val="0"/>
            <w:vAlign w:val="center"/>
          </w:tcPr>
          <w:p w14:paraId="7FF26AD6">
            <w:pPr>
              <w:adjustRightInd w:val="0"/>
              <w:snapToGrid w:val="0"/>
              <w:jc w:val="both"/>
              <w:rPr>
                <w:rFonts w:eastAsia="Calibri"/>
                <w:color w:val="auto"/>
                <w:sz w:val="24"/>
                <w:szCs w:val="24"/>
                <w:highlight w:val="none"/>
                <w:u w:val="none" w:color="auto"/>
              </w:rPr>
            </w:pPr>
            <w:r>
              <w:rPr>
                <w:rFonts w:hint="eastAsia" w:eastAsia="Calibri"/>
                <w:color w:val="auto"/>
                <w:sz w:val="24"/>
                <w:szCs w:val="24"/>
                <w:highlight w:val="none"/>
                <w:u w:val="none" w:color="auto"/>
              </w:rPr>
              <w:t>厂区实施分区防渗：外加剂储罐、沉淀池、初期雨水池为一般防渗区；道路、堆场、办公区为简单防渗区（地面硬化）。</w:t>
            </w:r>
            <w:r>
              <w:rPr>
                <w:rFonts w:hint="eastAsia" w:cs="Times New Roman"/>
                <w:i w:val="0"/>
                <w:iCs w:val="0"/>
                <w:color w:val="auto"/>
                <w:sz w:val="24"/>
                <w:szCs w:val="24"/>
                <w:highlight w:val="none"/>
                <w:u w:val="single"/>
                <w:lang w:val="en-US" w:eastAsia="zh-CN"/>
              </w:rPr>
              <w:t>项目拆除沉淀池、初期雨水收集池前，应清空池内积水和底泥，底泥应按报告前述要求外售制砖厂或透水砖加工厂；拆除池体构筑物时，应采取防渗措施防止残留污染物渗入土壤；拆除完成后，应对原沉淀池、外加剂储罐区等关键区域进行土壤采样监测，确认无残留污染。</w:t>
            </w:r>
          </w:p>
        </w:tc>
      </w:tr>
      <w:tr w14:paraId="4AAD7D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618" w:type="dxa"/>
            <w:noWrap w:val="0"/>
            <w:vAlign w:val="center"/>
          </w:tcPr>
          <w:p w14:paraId="0F11341A">
            <w:pPr>
              <w:adjustRightInd w:val="0"/>
              <w:snapToGrid w:val="0"/>
              <w:jc w:val="center"/>
              <w:rPr>
                <w:rFonts w:eastAsia="Calibri"/>
                <w:color w:val="auto"/>
                <w:sz w:val="24"/>
                <w:szCs w:val="24"/>
                <w:highlight w:val="none"/>
                <w:u w:val="none" w:color="auto"/>
              </w:rPr>
            </w:pPr>
            <w:r>
              <w:rPr>
                <w:color w:val="auto"/>
                <w:sz w:val="24"/>
                <w:szCs w:val="24"/>
                <w:highlight w:val="none"/>
                <w:u w:val="none" w:color="auto"/>
              </w:rPr>
              <w:t>生态保护措施</w:t>
            </w:r>
          </w:p>
        </w:tc>
        <w:tc>
          <w:tcPr>
            <w:tcW w:w="7182" w:type="dxa"/>
            <w:gridSpan w:val="4"/>
            <w:noWrap w:val="0"/>
            <w:vAlign w:val="center"/>
          </w:tcPr>
          <w:p w14:paraId="2453D5C5">
            <w:pPr>
              <w:rPr>
                <w:rFonts w:hint="default" w:ascii="Times New Roman" w:hAnsi="Times New Roman" w:cs="Times New Roman"/>
                <w:color w:val="auto"/>
                <w:sz w:val="24"/>
                <w:szCs w:val="24"/>
                <w:u w:val="single" w:color="auto"/>
              </w:rPr>
            </w:pPr>
            <w:r>
              <w:rPr>
                <w:rFonts w:hint="eastAsia" w:ascii="Times New Roman" w:hAnsi="Times New Roman" w:cs="Times New Roman"/>
                <w:color w:val="auto"/>
                <w:sz w:val="24"/>
                <w:szCs w:val="24"/>
                <w:u w:val="single" w:color="auto"/>
                <w:lang w:eastAsia="zh-CN"/>
              </w:rPr>
              <w:t>①</w:t>
            </w:r>
            <w:r>
              <w:rPr>
                <w:rFonts w:hint="default" w:ascii="Times New Roman" w:hAnsi="Times New Roman" w:cs="Times New Roman"/>
                <w:color w:val="auto"/>
                <w:sz w:val="24"/>
                <w:szCs w:val="24"/>
                <w:u w:val="single" w:color="auto"/>
              </w:rPr>
              <w:t>适生恢复物料筹备：提前储备吉林本土乡土乔草种苗与合格种植土，优先选用耐寒乡土品种，严禁使用外来入侵物种。</w:t>
            </w:r>
          </w:p>
          <w:p w14:paraId="00786B0D">
            <w:pPr>
              <w:rPr>
                <w:rFonts w:hint="default" w:ascii="Times New Roman" w:hAnsi="Times New Roman" w:cs="Times New Roman"/>
                <w:color w:val="auto"/>
                <w:sz w:val="24"/>
                <w:szCs w:val="24"/>
                <w:u w:val="single" w:color="auto"/>
              </w:rPr>
            </w:pPr>
            <w:r>
              <w:rPr>
                <w:rFonts w:hint="eastAsia" w:ascii="Times New Roman" w:hAnsi="Times New Roman" w:cs="Times New Roman"/>
                <w:color w:val="auto"/>
                <w:sz w:val="24"/>
                <w:szCs w:val="24"/>
                <w:u w:val="single" w:color="auto"/>
                <w:lang w:eastAsia="zh-CN"/>
              </w:rPr>
              <w:t>②</w:t>
            </w:r>
            <w:r>
              <w:rPr>
                <w:rFonts w:hint="default" w:ascii="Times New Roman" w:hAnsi="Times New Roman" w:cs="Times New Roman"/>
                <w:color w:val="auto"/>
                <w:sz w:val="24"/>
                <w:szCs w:val="24"/>
                <w:u w:val="single" w:color="auto"/>
              </w:rPr>
              <w:t>建构筑物彻底拆除：遵循“自上而下、先地上后地下”原则，拆除全部临时建构筑物及地下隐蔽基础，拆除深度至原自然地面标高，无硬化层、混凝土基础残留。</w:t>
            </w:r>
          </w:p>
          <w:p w14:paraId="71D1427C">
            <w:pPr>
              <w:rPr>
                <w:rFonts w:hint="default" w:ascii="Times New Roman" w:hAnsi="Times New Roman" w:cs="Times New Roman"/>
                <w:color w:val="auto"/>
                <w:sz w:val="24"/>
                <w:szCs w:val="24"/>
                <w:u w:val="single" w:color="auto"/>
              </w:rPr>
            </w:pPr>
            <w:r>
              <w:rPr>
                <w:rFonts w:hint="eastAsia" w:ascii="Times New Roman" w:hAnsi="Times New Roman" w:cs="Times New Roman"/>
                <w:color w:val="auto"/>
                <w:sz w:val="24"/>
                <w:szCs w:val="24"/>
                <w:u w:val="single" w:color="auto"/>
                <w:lang w:eastAsia="zh-CN"/>
              </w:rPr>
              <w:t>③</w:t>
            </w:r>
            <w:r>
              <w:rPr>
                <w:rFonts w:hint="default" w:ascii="Times New Roman" w:hAnsi="Times New Roman" w:cs="Times New Roman"/>
                <w:color w:val="auto"/>
                <w:sz w:val="24"/>
                <w:szCs w:val="24"/>
                <w:u w:val="single" w:color="auto"/>
              </w:rPr>
              <w:t>废弃物分类合规处置：可资源化建筑垃圾优先回用主线工程，其余密闭清运至指定消纳场；同步清运生活垃圾，油污土壤、废矿物油等危废单独收集并委托有资质单位处置。</w:t>
            </w:r>
          </w:p>
          <w:p w14:paraId="5B26EE76">
            <w:pPr>
              <w:rPr>
                <w:rFonts w:hint="default" w:ascii="Times New Roman" w:hAnsi="Times New Roman" w:cs="Times New Roman"/>
                <w:color w:val="auto"/>
                <w:sz w:val="24"/>
                <w:szCs w:val="24"/>
                <w:u w:val="single" w:color="auto"/>
              </w:rPr>
            </w:pPr>
            <w:r>
              <w:rPr>
                <w:rFonts w:hint="eastAsia" w:ascii="Times New Roman" w:hAnsi="Times New Roman" w:cs="Times New Roman"/>
                <w:color w:val="auto"/>
                <w:sz w:val="24"/>
                <w:szCs w:val="24"/>
                <w:u w:val="single" w:color="auto"/>
                <w:lang w:eastAsia="zh-CN"/>
              </w:rPr>
              <w:t>④</w:t>
            </w:r>
            <w:r>
              <w:rPr>
                <w:rFonts w:hint="default" w:ascii="Times New Roman" w:hAnsi="Times New Roman" w:cs="Times New Roman"/>
                <w:color w:val="auto"/>
                <w:sz w:val="24"/>
                <w:szCs w:val="24"/>
                <w:u w:val="single" w:color="auto"/>
              </w:rPr>
              <w:t>场地表层清杂整理：全面清理杂填土表层碎石、砖块、塑料等杂物，清理深度不小于20cm，为后续土壤整治与植被恢复提供条件。</w:t>
            </w:r>
          </w:p>
          <w:p w14:paraId="6FB25445">
            <w:pPr>
              <w:rPr>
                <w:rFonts w:hint="default" w:ascii="Times New Roman" w:hAnsi="Times New Roman" w:cs="Times New Roman"/>
                <w:color w:val="auto"/>
                <w:sz w:val="24"/>
                <w:szCs w:val="24"/>
                <w:u w:val="single" w:color="auto"/>
              </w:rPr>
            </w:pPr>
            <w:r>
              <w:rPr>
                <w:rFonts w:hint="eastAsia" w:ascii="Times New Roman" w:hAnsi="Times New Roman" w:cs="Times New Roman"/>
                <w:color w:val="auto"/>
                <w:sz w:val="24"/>
                <w:szCs w:val="24"/>
                <w:u w:val="single" w:color="auto"/>
                <w:lang w:eastAsia="zh-CN"/>
              </w:rPr>
              <w:t>⑤</w:t>
            </w:r>
            <w:r>
              <w:rPr>
                <w:rFonts w:hint="default" w:ascii="Times New Roman" w:hAnsi="Times New Roman" w:cs="Times New Roman"/>
                <w:color w:val="auto"/>
                <w:sz w:val="24"/>
                <w:szCs w:val="24"/>
                <w:u w:val="single" w:color="auto"/>
              </w:rPr>
              <w:t>土壤重构与改良：对压实板结场地全域深翻松土（深度≥30cm），按林地≥60cm、草地≥30cm的标准铺设符合规范的种植土，改善土壤生长条件。</w:t>
            </w:r>
          </w:p>
          <w:p w14:paraId="19D87B37">
            <w:pPr>
              <w:adjustRightInd w:val="0"/>
              <w:snapToGrid w:val="0"/>
              <w:jc w:val="left"/>
              <w:rPr>
                <w:rFonts w:hint="eastAsia" w:ascii="Times New Roman" w:hAnsi="Times New Roman" w:cs="Times New Roman"/>
                <w:color w:val="auto"/>
                <w:sz w:val="24"/>
                <w:szCs w:val="24"/>
                <w:u w:val="single" w:color="auto"/>
                <w:lang w:eastAsia="zh-CN"/>
              </w:rPr>
            </w:pPr>
            <w:r>
              <w:rPr>
                <w:rFonts w:hint="eastAsia" w:ascii="Times New Roman" w:hAnsi="Times New Roman" w:cs="Times New Roman"/>
                <w:color w:val="auto"/>
                <w:sz w:val="24"/>
                <w:szCs w:val="24"/>
                <w:u w:val="single" w:color="auto"/>
                <w:lang w:eastAsia="zh-CN"/>
              </w:rPr>
              <w:t>⑥</w:t>
            </w:r>
            <w:r>
              <w:rPr>
                <w:rFonts w:hint="default" w:ascii="Times New Roman" w:hAnsi="Times New Roman" w:cs="Times New Roman"/>
                <w:color w:val="auto"/>
                <w:sz w:val="24"/>
                <w:szCs w:val="24"/>
                <w:u w:val="single" w:color="auto"/>
              </w:rPr>
              <w:t>管护期成效保障：设置不少于1年的植被管护期，安排专人开展日常养护与病虫害防治，定期核查植被成活率、覆盖度，未达标区域及时补植补播。</w:t>
            </w:r>
          </w:p>
          <w:p w14:paraId="32E2F002">
            <w:pPr>
              <w:adjustRightInd w:val="0"/>
              <w:snapToGrid w:val="0"/>
              <w:jc w:val="left"/>
              <w:rPr>
                <w:rFonts w:hint="eastAsia" w:eastAsia="宋体"/>
                <w:color w:val="auto"/>
                <w:sz w:val="24"/>
                <w:szCs w:val="24"/>
                <w:highlight w:val="none"/>
                <w:u w:val="single" w:color="auto"/>
                <w:lang w:eastAsia="zh-CN"/>
              </w:rPr>
            </w:pPr>
            <w:r>
              <w:rPr>
                <w:rFonts w:hint="eastAsia" w:eastAsia="宋体"/>
                <w:color w:val="auto"/>
                <w:sz w:val="24"/>
                <w:szCs w:val="24"/>
                <w:highlight w:val="none"/>
                <w:u w:val="single" w:color="auto"/>
                <w:lang w:eastAsia="zh-CN"/>
              </w:rPr>
              <w:t>⑦</w:t>
            </w:r>
            <w:r>
              <w:rPr>
                <w:rFonts w:hint="eastAsia" w:cs="Times New Roman"/>
                <w:i w:val="0"/>
                <w:iCs w:val="0"/>
                <w:color w:val="auto"/>
                <w:sz w:val="24"/>
                <w:szCs w:val="24"/>
                <w:highlight w:val="none"/>
                <w:u w:val="single"/>
                <w:lang w:val="en-US" w:eastAsia="zh-CN"/>
              </w:rPr>
              <w:t>项目拆除沉淀池、初期雨水收集池前，应清空池内积水和底泥，底泥应按报告前述要求外售制砖厂或透水砖加工厂；拆除池体构筑物时，应采取防渗措施防止残留污染物渗入土壤；拆除完成后，应对原沉淀池、外加剂储罐区等关键区域进行土壤采样监测，确认无残留污染。</w:t>
            </w:r>
          </w:p>
        </w:tc>
      </w:tr>
      <w:tr w14:paraId="5DA23A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18" w:type="dxa"/>
            <w:noWrap w:val="0"/>
            <w:vAlign w:val="center"/>
          </w:tcPr>
          <w:p w14:paraId="74CB42B4">
            <w:pPr>
              <w:adjustRightInd w:val="0"/>
              <w:snapToGrid w:val="0"/>
              <w:jc w:val="center"/>
              <w:rPr>
                <w:rFonts w:eastAsia="Calibri"/>
                <w:color w:val="auto"/>
                <w:spacing w:val="-8"/>
                <w:sz w:val="24"/>
                <w:szCs w:val="24"/>
                <w:highlight w:val="none"/>
                <w:u w:val="none" w:color="auto"/>
              </w:rPr>
            </w:pPr>
            <w:r>
              <w:rPr>
                <w:color w:val="auto"/>
                <w:spacing w:val="-8"/>
                <w:sz w:val="24"/>
                <w:szCs w:val="24"/>
                <w:highlight w:val="none"/>
                <w:u w:val="none" w:color="auto"/>
              </w:rPr>
              <w:t>环境风险防范措施</w:t>
            </w:r>
          </w:p>
        </w:tc>
        <w:tc>
          <w:tcPr>
            <w:tcW w:w="7182" w:type="dxa"/>
            <w:gridSpan w:val="4"/>
            <w:noWrap w:val="0"/>
            <w:vAlign w:val="center"/>
          </w:tcPr>
          <w:p w14:paraId="0BED4C7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eastAsia" w:eastAsia="宋体"/>
                <w:color w:val="auto"/>
                <w:sz w:val="24"/>
                <w:szCs w:val="24"/>
                <w:highlight w:val="none"/>
                <w:u w:val="none" w:color="auto"/>
                <w:lang w:val="en-US" w:eastAsia="zh-CN"/>
              </w:rPr>
            </w:pPr>
            <w:r>
              <w:rPr>
                <w:rFonts w:hint="eastAsia" w:ascii="宋体" w:hAnsi="宋体" w:eastAsia="宋体" w:cs="宋体"/>
                <w:b w:val="0"/>
                <w:bCs w:val="0"/>
                <w:color w:val="auto"/>
                <w:kern w:val="0"/>
                <w:sz w:val="24"/>
                <w:szCs w:val="24"/>
                <w:u w:val="single" w:color="auto"/>
                <w:lang w:val="en-US" w:eastAsia="zh-CN" w:bidi="ar"/>
              </w:rPr>
              <w:t>①生产线开始工作前，先运行各配套风机及废气处理装置；在停止相应作业后，保持废气风机及处理装置继续运转，待废气完全排出后再停止，确保在开、停工阶段排出的污染物得到有效处理</w:t>
            </w:r>
            <w:r>
              <w:rPr>
                <w:rFonts w:hint="eastAsia" w:ascii="宋体" w:hAnsi="宋体" w:cs="宋体"/>
                <w:b w:val="0"/>
                <w:bCs w:val="0"/>
                <w:color w:val="auto"/>
                <w:kern w:val="0"/>
                <w:sz w:val="24"/>
                <w:szCs w:val="24"/>
                <w:u w:val="single" w:color="auto"/>
                <w:lang w:val="en-US" w:eastAsia="zh-CN" w:bidi="ar"/>
              </w:rPr>
              <w:t>。</w:t>
            </w:r>
            <w:r>
              <w:rPr>
                <w:rFonts w:hint="eastAsia" w:ascii="宋体" w:hAnsi="宋体" w:eastAsia="宋体" w:cs="宋体"/>
                <w:b w:val="0"/>
                <w:bCs w:val="0"/>
                <w:color w:val="auto"/>
                <w:kern w:val="0"/>
                <w:sz w:val="24"/>
                <w:szCs w:val="24"/>
                <w:u w:val="single" w:color="auto"/>
                <w:lang w:val="en-US" w:eastAsia="zh-CN" w:bidi="ar"/>
              </w:rPr>
              <w:t>②废气处理装置配套的风机、管道等选购和制作时应选用耐腐蚀材料</w:t>
            </w:r>
            <w:r>
              <w:rPr>
                <w:rFonts w:hint="eastAsia" w:ascii="宋体" w:hAnsi="宋体" w:cs="宋体"/>
                <w:b w:val="0"/>
                <w:bCs w:val="0"/>
                <w:color w:val="auto"/>
                <w:kern w:val="0"/>
                <w:sz w:val="24"/>
                <w:szCs w:val="24"/>
                <w:u w:val="single" w:color="auto"/>
                <w:lang w:val="en-US" w:eastAsia="zh-CN" w:bidi="ar"/>
              </w:rPr>
              <w:t>。</w:t>
            </w:r>
            <w:r>
              <w:rPr>
                <w:rFonts w:hint="eastAsia" w:ascii="宋体" w:hAnsi="宋体" w:eastAsia="宋体" w:cs="宋体"/>
                <w:b w:val="0"/>
                <w:bCs w:val="0"/>
                <w:color w:val="auto"/>
                <w:kern w:val="0"/>
                <w:sz w:val="24"/>
                <w:szCs w:val="24"/>
                <w:u w:val="single" w:color="auto"/>
                <w:lang w:val="en-US" w:eastAsia="zh-CN" w:bidi="ar"/>
              </w:rPr>
              <w:t>③针对废气处理设施故障造成废气超标排放的风险，要求企业安排专人对风机、废气处理设备和生产设施进行日常维护，如发现问题及时上报维修，必要时要停产检修，确保废气达标排放。在产生事故后应先停止生产设备，立即停止生产，维修或更换处理设备保证废气达标排放后再行生产。④操作及管理人员的技术水平可直接影响到风险事故的发生，本项目建成投产后，应对操作和管理人员的技术水平从严要求，上岗之前必须参加培训，培训不合格严禁上岗。⑤沉淀池、外加剂储罐区等进行防渗硬化处理，对池体、储罐情况定期进行检查是否破损，有问题及时进行修补。</w:t>
            </w:r>
          </w:p>
        </w:tc>
      </w:tr>
      <w:tr w14:paraId="17BE93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618" w:type="dxa"/>
            <w:noWrap w:val="0"/>
            <w:vAlign w:val="center"/>
          </w:tcPr>
          <w:p w14:paraId="7E324BBE">
            <w:pPr>
              <w:adjustRightInd w:val="0"/>
              <w:snapToGrid w:val="0"/>
              <w:jc w:val="center"/>
              <w:rPr>
                <w:rFonts w:eastAsia="Calibri"/>
                <w:color w:val="auto"/>
                <w:spacing w:val="-8"/>
                <w:sz w:val="24"/>
                <w:szCs w:val="24"/>
                <w:highlight w:val="none"/>
                <w:u w:val="none" w:color="auto"/>
              </w:rPr>
            </w:pPr>
            <w:r>
              <w:rPr>
                <w:color w:val="auto"/>
                <w:spacing w:val="-8"/>
                <w:sz w:val="24"/>
                <w:szCs w:val="24"/>
                <w:highlight w:val="none"/>
                <w:u w:val="none" w:color="auto"/>
              </w:rPr>
              <w:t>其他环境管理要求</w:t>
            </w:r>
          </w:p>
        </w:tc>
        <w:tc>
          <w:tcPr>
            <w:tcW w:w="7182" w:type="dxa"/>
            <w:gridSpan w:val="4"/>
            <w:noWrap w:val="0"/>
            <w:vAlign w:val="center"/>
          </w:tcPr>
          <w:p w14:paraId="048AF9B1">
            <w:pPr>
              <w:adjustRightInd w:val="0"/>
              <w:snapToGrid w:val="0"/>
              <w:spacing w:line="360" w:lineRule="auto"/>
              <w:ind w:firstLine="482" w:firstLineChars="200"/>
              <w:rPr>
                <w:rFonts w:hint="default" w:cs="宋体"/>
                <w:b/>
                <w:bCs/>
                <w:color w:val="auto"/>
                <w:sz w:val="24"/>
                <w:szCs w:val="24"/>
                <w:highlight w:val="none"/>
                <w:u w:val="none" w:color="auto"/>
                <w:lang w:val="en-US" w:eastAsia="zh-CN"/>
              </w:rPr>
            </w:pPr>
            <w:r>
              <w:rPr>
                <w:rFonts w:hint="eastAsia" w:cs="宋体"/>
                <w:b/>
                <w:bCs/>
                <w:color w:val="auto"/>
                <w:sz w:val="24"/>
                <w:szCs w:val="24"/>
                <w:highlight w:val="none"/>
                <w:u w:val="none" w:color="auto"/>
                <w:lang w:val="en-US" w:eastAsia="zh-CN"/>
              </w:rPr>
              <w:t>1、</w:t>
            </w:r>
            <w:r>
              <w:rPr>
                <w:rFonts w:hint="default" w:ascii="Times New Roman" w:hAnsi="Times New Roman" w:eastAsia="宋体" w:cs="Times New Roman"/>
                <w:b/>
                <w:bCs/>
                <w:color w:val="auto"/>
                <w:sz w:val="24"/>
                <w:szCs w:val="24"/>
                <w:highlight w:val="none"/>
                <w:u w:val="none"/>
                <w:lang w:val="en-US" w:eastAsia="zh-CN"/>
              </w:rPr>
              <w:t>环保设施投资估算</w:t>
            </w:r>
          </w:p>
          <w:p w14:paraId="677B93AE">
            <w:pPr>
              <w:spacing w:line="360" w:lineRule="auto"/>
              <w:ind w:firstLine="480" w:firstLineChars="200"/>
              <w:rPr>
                <w:rFonts w:hint="default" w:ascii="Times New Roman" w:hAnsi="Times New Roman" w:eastAsia="宋体" w:cs="Times New Roman"/>
                <w:color w:val="auto"/>
                <w:kern w:val="0"/>
                <w:sz w:val="24"/>
                <w:szCs w:val="24"/>
                <w:highlight w:val="none"/>
                <w:u w:val="none"/>
              </w:rPr>
            </w:pPr>
            <w:r>
              <w:rPr>
                <w:rFonts w:hint="default" w:ascii="Times New Roman" w:hAnsi="Times New Roman" w:eastAsia="宋体" w:cs="Times New Roman"/>
                <w:color w:val="auto"/>
                <w:kern w:val="0"/>
                <w:sz w:val="24"/>
                <w:szCs w:val="24"/>
                <w:highlight w:val="none"/>
                <w:u w:val="none"/>
              </w:rPr>
              <w:t>本项目总投资为</w:t>
            </w:r>
            <w:r>
              <w:rPr>
                <w:rFonts w:hint="eastAsia" w:cs="Times New Roman"/>
                <w:color w:val="auto"/>
                <w:kern w:val="0"/>
                <w:sz w:val="24"/>
                <w:szCs w:val="24"/>
                <w:highlight w:val="none"/>
                <w:u w:val="none"/>
                <w:lang w:val="en-US" w:eastAsia="zh-CN"/>
              </w:rPr>
              <w:t>3</w:t>
            </w:r>
            <w:r>
              <w:rPr>
                <w:rFonts w:hint="eastAsia" w:ascii="Times New Roman" w:hAnsi="Times New Roman" w:cs="Times New Roman"/>
                <w:color w:val="auto"/>
                <w:kern w:val="0"/>
                <w:sz w:val="24"/>
                <w:szCs w:val="24"/>
                <w:highlight w:val="none"/>
                <w:u w:val="none"/>
                <w:lang w:val="en-US" w:eastAsia="zh-CN"/>
              </w:rPr>
              <w:t>00</w:t>
            </w:r>
            <w:r>
              <w:rPr>
                <w:rFonts w:hint="default" w:ascii="Times New Roman" w:hAnsi="Times New Roman" w:eastAsia="宋体" w:cs="Times New Roman"/>
                <w:color w:val="auto"/>
                <w:kern w:val="0"/>
                <w:sz w:val="24"/>
                <w:szCs w:val="24"/>
                <w:highlight w:val="none"/>
                <w:u w:val="none"/>
              </w:rPr>
              <w:t>万元，其中环保投资为</w:t>
            </w:r>
            <w:r>
              <w:rPr>
                <w:rFonts w:hint="eastAsia" w:cs="Times New Roman"/>
                <w:color w:val="auto"/>
                <w:kern w:val="0"/>
                <w:sz w:val="24"/>
                <w:szCs w:val="24"/>
                <w:highlight w:val="none"/>
                <w:u w:val="none"/>
                <w:lang w:val="en-US" w:eastAsia="zh-CN"/>
              </w:rPr>
              <w:t>63</w:t>
            </w:r>
            <w:r>
              <w:rPr>
                <w:rFonts w:hint="default" w:ascii="Times New Roman" w:hAnsi="Times New Roman" w:eastAsia="宋体" w:cs="Times New Roman"/>
                <w:color w:val="auto"/>
                <w:kern w:val="0"/>
                <w:sz w:val="24"/>
                <w:szCs w:val="24"/>
                <w:highlight w:val="none"/>
                <w:u w:val="none"/>
              </w:rPr>
              <w:t>万元。环保投资明细详见</w:t>
            </w:r>
            <w:r>
              <w:rPr>
                <w:rFonts w:hint="eastAsia" w:ascii="Times New Roman" w:hAnsi="Times New Roman" w:eastAsia="宋体" w:cs="Times New Roman"/>
                <w:color w:val="auto"/>
                <w:kern w:val="0"/>
                <w:sz w:val="24"/>
                <w:szCs w:val="24"/>
                <w:highlight w:val="none"/>
                <w:u w:val="none"/>
                <w:lang w:val="en-US" w:eastAsia="zh-CN"/>
              </w:rPr>
              <w:t>下表</w:t>
            </w:r>
            <w:r>
              <w:rPr>
                <w:rFonts w:hint="default" w:ascii="Times New Roman" w:hAnsi="Times New Roman" w:eastAsia="宋体" w:cs="Times New Roman"/>
                <w:color w:val="auto"/>
                <w:kern w:val="0"/>
                <w:sz w:val="24"/>
                <w:szCs w:val="24"/>
                <w:highlight w:val="none"/>
                <w:u w:val="none"/>
              </w:rPr>
              <w:t>。</w:t>
            </w:r>
          </w:p>
          <w:p w14:paraId="41D69E44">
            <w:pPr>
              <w:spacing w:line="360" w:lineRule="auto"/>
              <w:ind w:firstLine="480" w:firstLineChars="200"/>
              <w:rPr>
                <w:rFonts w:hint="default" w:ascii="Times New Roman" w:hAnsi="Times New Roman" w:eastAsia="宋体" w:cs="Times New Roman"/>
                <w:color w:val="auto"/>
                <w:kern w:val="0"/>
                <w:sz w:val="24"/>
                <w:szCs w:val="24"/>
                <w:highlight w:val="none"/>
                <w:u w:val="none"/>
              </w:rPr>
            </w:pPr>
          </w:p>
          <w:p w14:paraId="59CA94D4">
            <w:pPr>
              <w:pStyle w:val="6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auto"/>
                <w:sz w:val="24"/>
                <w:szCs w:val="24"/>
                <w:highlight w:val="none"/>
                <w:lang w:val="en-US" w:eastAsia="zh-CN"/>
              </w:rPr>
            </w:pPr>
            <w:r>
              <w:rPr>
                <w:rFonts w:ascii="Times New Roman" w:hAnsi="Times New Roman" w:eastAsia="宋体" w:cs="Times New Roman"/>
                <w:b/>
                <w:bCs w:val="0"/>
                <w:color w:val="auto"/>
                <w:sz w:val="24"/>
                <w:szCs w:val="24"/>
                <w:highlight w:val="none"/>
              </w:rPr>
              <w:t>表</w:t>
            </w:r>
            <w:r>
              <w:rPr>
                <w:rFonts w:hint="eastAsia" w:cs="Times New Roman"/>
                <w:b/>
                <w:bCs w:val="0"/>
                <w:color w:val="auto"/>
                <w:sz w:val="24"/>
                <w:szCs w:val="24"/>
                <w:highlight w:val="none"/>
                <w:lang w:val="en-US" w:eastAsia="zh-CN"/>
              </w:rPr>
              <w:t>5-1</w:t>
            </w:r>
            <w:r>
              <w:rPr>
                <w:rFonts w:ascii="Times New Roman" w:hAnsi="Times New Roman" w:eastAsia="宋体" w:cs="Times New Roman"/>
                <w:b/>
                <w:bCs w:val="0"/>
                <w:color w:val="auto"/>
                <w:sz w:val="24"/>
                <w:szCs w:val="24"/>
                <w:highlight w:val="none"/>
              </w:rPr>
              <w:t xml:space="preserve">  </w:t>
            </w:r>
            <w:r>
              <w:rPr>
                <w:rFonts w:hint="default" w:ascii="Times New Roman" w:hAnsi="Times New Roman" w:eastAsia="宋体" w:cs="Times New Roman"/>
                <w:b/>
                <w:bCs/>
                <w:iCs/>
                <w:color w:val="auto"/>
                <w:kern w:val="0"/>
                <w:sz w:val="24"/>
                <w:szCs w:val="24"/>
                <w:highlight w:val="none"/>
                <w:u w:val="none"/>
                <w:lang w:val="zh-CN"/>
              </w:rPr>
              <w:t>环保投资一览表</w:t>
            </w:r>
            <w:r>
              <w:rPr>
                <w:rFonts w:hint="eastAsia" w:cs="Times New Roman"/>
                <w:b/>
                <w:bCs/>
                <w:iCs/>
                <w:color w:val="auto"/>
                <w:kern w:val="0"/>
                <w:sz w:val="24"/>
                <w:szCs w:val="24"/>
                <w:highlight w:val="none"/>
                <w:u w:val="none"/>
                <w:lang w:val="en-US" w:eastAsia="zh-CN"/>
              </w:rPr>
              <w:t xml:space="preserve">   单位：万元</w:t>
            </w:r>
          </w:p>
          <w:tbl>
            <w:tblPr>
              <w:tblStyle w:val="25"/>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18"/>
              <w:gridCol w:w="1270"/>
              <w:gridCol w:w="2850"/>
              <w:gridCol w:w="952"/>
              <w:gridCol w:w="1372"/>
            </w:tblGrid>
            <w:tr w14:paraId="3AAE5A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371" w:type="pct"/>
                  <w:tcBorders>
                    <w:tl2br w:val="nil"/>
                    <w:tr2bl w:val="nil"/>
                  </w:tcBorders>
                  <w:noWrap w:val="0"/>
                  <w:vAlign w:val="center"/>
                </w:tcPr>
                <w:p w14:paraId="6298843D">
                  <w:pPr>
                    <w:tabs>
                      <w:tab w:val="left" w:pos="3000"/>
                    </w:tabs>
                    <w:jc w:val="center"/>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要素</w:t>
                  </w:r>
                </w:p>
              </w:tc>
              <w:tc>
                <w:tcPr>
                  <w:tcW w:w="912" w:type="pct"/>
                  <w:tcBorders>
                    <w:tl2br w:val="nil"/>
                    <w:tr2bl w:val="nil"/>
                  </w:tcBorders>
                  <w:noWrap w:val="0"/>
                  <w:vAlign w:val="center"/>
                </w:tcPr>
                <w:p w14:paraId="22070EEF">
                  <w:pPr>
                    <w:tabs>
                      <w:tab w:val="left" w:pos="3000"/>
                    </w:tabs>
                    <w:jc w:val="center"/>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项目</w:t>
                  </w:r>
                </w:p>
              </w:tc>
              <w:tc>
                <w:tcPr>
                  <w:tcW w:w="2046" w:type="pct"/>
                  <w:tcBorders>
                    <w:tl2br w:val="nil"/>
                    <w:tr2bl w:val="nil"/>
                  </w:tcBorders>
                  <w:noWrap w:val="0"/>
                  <w:vAlign w:val="center"/>
                </w:tcPr>
                <w:p w14:paraId="0BF69FBD">
                  <w:pPr>
                    <w:tabs>
                      <w:tab w:val="left" w:pos="3000"/>
                    </w:tabs>
                    <w:jc w:val="center"/>
                    <w:rPr>
                      <w:rFonts w:hint="default" w:ascii="Times New Roman" w:hAnsi="Times New Roman" w:eastAsia="宋体" w:cs="Times New Roman"/>
                      <w:b/>
                      <w:bCs/>
                      <w:color w:val="auto"/>
                      <w:sz w:val="21"/>
                      <w:szCs w:val="21"/>
                      <w:highlight w:val="none"/>
                      <w:u w:val="none" w:color="auto"/>
                      <w:lang w:val="en-US" w:eastAsia="zh-CN"/>
                    </w:rPr>
                  </w:pPr>
                  <w:r>
                    <w:rPr>
                      <w:rFonts w:hint="default" w:ascii="Times New Roman" w:hAnsi="Times New Roman" w:cs="Times New Roman"/>
                      <w:b/>
                      <w:bCs/>
                      <w:color w:val="auto"/>
                      <w:sz w:val="21"/>
                      <w:szCs w:val="21"/>
                      <w:highlight w:val="none"/>
                      <w:u w:val="none" w:color="auto"/>
                      <w:lang w:eastAsia="zh-CN"/>
                    </w:rPr>
                    <w:t>治理措施</w:t>
                  </w:r>
                  <w:r>
                    <w:rPr>
                      <w:rFonts w:hint="default" w:ascii="Times New Roman" w:hAnsi="Times New Roman" w:cs="Times New Roman"/>
                      <w:b/>
                      <w:bCs/>
                      <w:color w:val="auto"/>
                      <w:sz w:val="21"/>
                      <w:szCs w:val="21"/>
                      <w:highlight w:val="none"/>
                      <w:u w:val="none" w:color="auto"/>
                      <w:lang w:val="en-US" w:eastAsia="zh-CN"/>
                    </w:rPr>
                    <w:t>/去向</w:t>
                  </w:r>
                </w:p>
              </w:tc>
              <w:tc>
                <w:tcPr>
                  <w:tcW w:w="683" w:type="pct"/>
                  <w:tcBorders>
                    <w:tl2br w:val="nil"/>
                    <w:tr2bl w:val="nil"/>
                  </w:tcBorders>
                  <w:noWrap w:val="0"/>
                  <w:vAlign w:val="center"/>
                </w:tcPr>
                <w:p w14:paraId="3D184FDF">
                  <w:pPr>
                    <w:tabs>
                      <w:tab w:val="left" w:pos="3000"/>
                    </w:tabs>
                    <w:jc w:val="center"/>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数量</w:t>
                  </w:r>
                </w:p>
              </w:tc>
              <w:tc>
                <w:tcPr>
                  <w:tcW w:w="985" w:type="pct"/>
                  <w:tcBorders>
                    <w:tl2br w:val="nil"/>
                    <w:tr2bl w:val="nil"/>
                  </w:tcBorders>
                  <w:noWrap w:val="0"/>
                  <w:vAlign w:val="center"/>
                </w:tcPr>
                <w:p w14:paraId="6B90DE15">
                  <w:pPr>
                    <w:tabs>
                      <w:tab w:val="left" w:pos="3000"/>
                    </w:tabs>
                    <w:jc w:val="center"/>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环保投资</w:t>
                  </w:r>
                </w:p>
              </w:tc>
            </w:tr>
            <w:tr w14:paraId="06F499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371" w:type="pct"/>
                  <w:vMerge w:val="restart"/>
                  <w:tcBorders>
                    <w:tl2br w:val="nil"/>
                    <w:tr2bl w:val="nil"/>
                  </w:tcBorders>
                  <w:noWrap w:val="0"/>
                  <w:vAlign w:val="center"/>
                </w:tcPr>
                <w:p w14:paraId="4D6FAFA9">
                  <w:pPr>
                    <w:tabs>
                      <w:tab w:val="left" w:pos="3000"/>
                    </w:tabs>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废气</w:t>
                  </w:r>
                </w:p>
              </w:tc>
              <w:tc>
                <w:tcPr>
                  <w:tcW w:w="912" w:type="pct"/>
                  <w:tcBorders>
                    <w:tl2br w:val="nil"/>
                    <w:tr2bl w:val="nil"/>
                  </w:tcBorders>
                  <w:noWrap w:val="0"/>
                  <w:vAlign w:val="center"/>
                </w:tcPr>
                <w:p w14:paraId="1C1EE645">
                  <w:pPr>
                    <w:adjustRightInd w:val="0"/>
                    <w:snapToGrid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筒仓粉尘</w:t>
                  </w:r>
                </w:p>
              </w:tc>
              <w:tc>
                <w:tcPr>
                  <w:tcW w:w="2046" w:type="pct"/>
                  <w:tcBorders>
                    <w:tl2br w:val="nil"/>
                    <w:tr2bl w:val="nil"/>
                  </w:tcBorders>
                  <w:noWrap w:val="0"/>
                  <w:vAlign w:val="center"/>
                </w:tcPr>
                <w:p w14:paraId="65B785DE">
                  <w:pPr>
                    <w:tabs>
                      <w:tab w:val="left" w:pos="3000"/>
                    </w:tabs>
                    <w:jc w:val="both"/>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lang w:val="en-US" w:eastAsia="zh-CN"/>
                    </w:rPr>
                    <w:t>脉冲袋式</w:t>
                  </w:r>
                  <w:r>
                    <w:rPr>
                      <w:rFonts w:hint="default" w:ascii="Times New Roman" w:hAnsi="Times New Roman" w:cs="Times New Roman"/>
                      <w:color w:val="auto"/>
                      <w:sz w:val="21"/>
                      <w:szCs w:val="21"/>
                      <w:highlight w:val="none"/>
                      <w:u w:val="none" w:color="auto"/>
                    </w:rPr>
                    <w:t>除尘装置</w:t>
                  </w:r>
                  <w:r>
                    <w:rPr>
                      <w:rFonts w:hint="default" w:ascii="Times New Roman" w:hAnsi="Times New Roman" w:cs="Times New Roman"/>
                      <w:color w:val="auto"/>
                      <w:sz w:val="21"/>
                      <w:szCs w:val="21"/>
                      <w:highlight w:val="none"/>
                      <w:u w:val="none" w:color="auto"/>
                      <w:lang w:eastAsia="zh-CN"/>
                    </w:rPr>
                    <w:t>，</w:t>
                  </w:r>
                  <w:r>
                    <w:rPr>
                      <w:rFonts w:hint="default" w:ascii="Times New Roman" w:hAnsi="Times New Roman" w:cs="Times New Roman"/>
                      <w:color w:val="auto"/>
                      <w:sz w:val="21"/>
                      <w:szCs w:val="21"/>
                      <w:highlight w:val="none"/>
                      <w:u w:val="none" w:color="auto"/>
                      <w:lang w:val="en-US" w:eastAsia="zh-CN"/>
                    </w:rPr>
                    <w:t>仓</w:t>
                  </w:r>
                  <w:r>
                    <w:rPr>
                      <w:rFonts w:hint="eastAsia" w:cs="Times New Roman"/>
                      <w:color w:val="auto"/>
                      <w:sz w:val="21"/>
                      <w:szCs w:val="21"/>
                      <w:highlight w:val="none"/>
                      <w:u w:val="none" w:color="auto"/>
                      <w:lang w:val="en-US" w:eastAsia="zh-CN"/>
                    </w:rPr>
                    <w:t>底部</w:t>
                  </w:r>
                  <w:r>
                    <w:rPr>
                      <w:rFonts w:hint="default" w:ascii="Times New Roman" w:hAnsi="Times New Roman" w:cs="Times New Roman"/>
                      <w:color w:val="auto"/>
                      <w:sz w:val="21"/>
                      <w:szCs w:val="21"/>
                      <w:highlight w:val="none"/>
                      <w:u w:val="none" w:color="auto"/>
                      <w:lang w:val="en-US" w:eastAsia="zh-CN"/>
                    </w:rPr>
                    <w:t>排气口</w:t>
                  </w:r>
                </w:p>
              </w:tc>
              <w:tc>
                <w:tcPr>
                  <w:tcW w:w="683" w:type="pct"/>
                  <w:tcBorders>
                    <w:tl2br w:val="nil"/>
                    <w:tr2bl w:val="nil"/>
                  </w:tcBorders>
                  <w:noWrap w:val="0"/>
                  <w:vAlign w:val="center"/>
                </w:tcPr>
                <w:p w14:paraId="54AD03A1">
                  <w:pPr>
                    <w:tabs>
                      <w:tab w:val="left" w:pos="3000"/>
                    </w:tabs>
                    <w:jc w:val="center"/>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8台</w:t>
                  </w:r>
                </w:p>
              </w:tc>
              <w:tc>
                <w:tcPr>
                  <w:tcW w:w="985" w:type="pct"/>
                  <w:vMerge w:val="restart"/>
                  <w:tcBorders>
                    <w:tl2br w:val="nil"/>
                    <w:tr2bl w:val="nil"/>
                  </w:tcBorders>
                  <w:noWrap w:val="0"/>
                  <w:vAlign w:val="center"/>
                </w:tcPr>
                <w:p w14:paraId="1D0FB4C5">
                  <w:pPr>
                    <w:tabs>
                      <w:tab w:val="left" w:pos="3000"/>
                    </w:tabs>
                    <w:jc w:val="center"/>
                    <w:rPr>
                      <w:rFonts w:hint="default" w:ascii="Times New Roman" w:hAnsi="Times New Roman" w:eastAsia="宋体" w:cs="Times New Roman"/>
                      <w:color w:val="auto"/>
                      <w:kern w:val="0"/>
                      <w:sz w:val="21"/>
                      <w:szCs w:val="21"/>
                      <w:highlight w:val="none"/>
                      <w:u w:val="none" w:color="auto"/>
                      <w:lang w:val="en-US" w:eastAsia="zh-CN" w:bidi="ar"/>
                    </w:rPr>
                  </w:pPr>
                  <w:r>
                    <w:rPr>
                      <w:rFonts w:hint="eastAsia" w:cs="Times New Roman"/>
                      <w:color w:val="auto"/>
                      <w:kern w:val="0"/>
                      <w:sz w:val="21"/>
                      <w:szCs w:val="21"/>
                      <w:highlight w:val="none"/>
                      <w:u w:val="none" w:color="auto"/>
                      <w:lang w:val="en-US" w:eastAsia="zh-CN" w:bidi="ar"/>
                    </w:rPr>
                    <w:t>30</w:t>
                  </w:r>
                </w:p>
              </w:tc>
            </w:tr>
            <w:tr w14:paraId="40318D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371" w:type="pct"/>
                  <w:vMerge w:val="continue"/>
                  <w:tcBorders>
                    <w:tl2br w:val="nil"/>
                    <w:tr2bl w:val="nil"/>
                  </w:tcBorders>
                  <w:noWrap w:val="0"/>
                  <w:vAlign w:val="center"/>
                </w:tcPr>
                <w:p w14:paraId="3EFC7FB7">
                  <w:pPr>
                    <w:tabs>
                      <w:tab w:val="left" w:pos="3000"/>
                    </w:tabs>
                    <w:jc w:val="center"/>
                    <w:rPr>
                      <w:rFonts w:hint="default" w:ascii="Times New Roman" w:hAnsi="Times New Roman" w:cs="Times New Roman"/>
                      <w:color w:val="auto"/>
                      <w:sz w:val="21"/>
                      <w:szCs w:val="21"/>
                      <w:highlight w:val="none"/>
                      <w:u w:val="none" w:color="auto"/>
                    </w:rPr>
                  </w:pPr>
                </w:p>
              </w:tc>
              <w:tc>
                <w:tcPr>
                  <w:tcW w:w="912" w:type="pct"/>
                  <w:tcBorders>
                    <w:tl2br w:val="nil"/>
                    <w:tr2bl w:val="nil"/>
                  </w:tcBorders>
                  <w:noWrap w:val="0"/>
                  <w:vAlign w:val="center"/>
                </w:tcPr>
                <w:p w14:paraId="6FDCA630">
                  <w:pPr>
                    <w:adjustRightInd w:val="0"/>
                    <w:snapToGrid w:val="0"/>
                    <w:jc w:val="center"/>
                    <w:rPr>
                      <w:rFonts w:hint="default" w:ascii="Times New Roman" w:hAnsi="Times New Roman" w:eastAsia="宋体" w:cs="Times New Roman"/>
                      <w:color w:val="auto"/>
                      <w:sz w:val="21"/>
                      <w:szCs w:val="21"/>
                      <w:highlight w:val="none"/>
                      <w:u w:val="single" w:color="auto"/>
                      <w:lang w:val="en-US" w:eastAsia="zh-CN"/>
                    </w:rPr>
                  </w:pPr>
                  <w:r>
                    <w:rPr>
                      <w:rFonts w:hint="default" w:ascii="Times New Roman" w:hAnsi="Times New Roman" w:cs="Times New Roman"/>
                      <w:color w:val="auto"/>
                      <w:sz w:val="21"/>
                      <w:szCs w:val="21"/>
                      <w:highlight w:val="none"/>
                      <w:u w:val="single" w:color="auto"/>
                      <w:lang w:val="en-US" w:eastAsia="zh-CN"/>
                    </w:rPr>
                    <w:t>搅拌机粉尘</w:t>
                  </w:r>
                </w:p>
              </w:tc>
              <w:tc>
                <w:tcPr>
                  <w:tcW w:w="2046" w:type="pct"/>
                  <w:tcBorders>
                    <w:tl2br w:val="nil"/>
                    <w:tr2bl w:val="nil"/>
                  </w:tcBorders>
                  <w:noWrap w:val="0"/>
                  <w:vAlign w:val="center"/>
                </w:tcPr>
                <w:p w14:paraId="17905B1A">
                  <w:pPr>
                    <w:ind w:left="-105" w:leftChars="-50" w:right="-105" w:rightChars="-50"/>
                    <w:jc w:val="center"/>
                    <w:rPr>
                      <w:rFonts w:hint="default" w:ascii="Times New Roman" w:hAnsi="Times New Roman" w:eastAsia="宋体" w:cs="Times New Roman"/>
                      <w:color w:val="auto"/>
                      <w:kern w:val="2"/>
                      <w:sz w:val="21"/>
                      <w:szCs w:val="21"/>
                      <w:highlight w:val="none"/>
                      <w:u w:val="single" w:color="auto"/>
                      <w:lang w:val="en-US" w:eastAsia="zh-CN" w:bidi="ar-SA"/>
                    </w:rPr>
                  </w:pPr>
                  <w:r>
                    <w:rPr>
                      <w:rFonts w:hint="default" w:ascii="Times New Roman" w:hAnsi="Times New Roman" w:eastAsia="宋体" w:cs="Times New Roman"/>
                      <w:color w:val="auto"/>
                      <w:kern w:val="2"/>
                      <w:sz w:val="21"/>
                      <w:szCs w:val="21"/>
                      <w:highlight w:val="none"/>
                      <w:u w:val="single" w:color="auto"/>
                      <w:lang w:val="en-US" w:eastAsia="zh-CN" w:bidi="ar-SA"/>
                    </w:rPr>
                    <w:t>脉冲袋式除尘装置+底部排气口（17m）</w:t>
                  </w:r>
                </w:p>
              </w:tc>
              <w:tc>
                <w:tcPr>
                  <w:tcW w:w="683" w:type="pct"/>
                  <w:tcBorders>
                    <w:tl2br w:val="nil"/>
                    <w:tr2bl w:val="nil"/>
                  </w:tcBorders>
                  <w:noWrap w:val="0"/>
                  <w:vAlign w:val="center"/>
                </w:tcPr>
                <w:p w14:paraId="6DD19420">
                  <w:pPr>
                    <w:tabs>
                      <w:tab w:val="left" w:pos="3000"/>
                    </w:tabs>
                    <w:jc w:val="center"/>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4台</w:t>
                  </w:r>
                </w:p>
              </w:tc>
              <w:tc>
                <w:tcPr>
                  <w:tcW w:w="985" w:type="pct"/>
                  <w:vMerge w:val="continue"/>
                  <w:tcBorders>
                    <w:tl2br w:val="nil"/>
                    <w:tr2bl w:val="nil"/>
                  </w:tcBorders>
                  <w:noWrap w:val="0"/>
                  <w:vAlign w:val="center"/>
                </w:tcPr>
                <w:p w14:paraId="1C0DAD1E">
                  <w:pPr>
                    <w:tabs>
                      <w:tab w:val="left" w:pos="3000"/>
                    </w:tabs>
                    <w:jc w:val="center"/>
                    <w:rPr>
                      <w:rFonts w:hint="default" w:ascii="Times New Roman" w:hAnsi="Times New Roman" w:eastAsia="宋体" w:cs="Times New Roman"/>
                      <w:color w:val="auto"/>
                      <w:kern w:val="0"/>
                      <w:sz w:val="21"/>
                      <w:szCs w:val="21"/>
                      <w:highlight w:val="none"/>
                      <w:u w:val="none" w:color="auto"/>
                      <w:lang w:val="en-US" w:eastAsia="zh-CN" w:bidi="ar"/>
                    </w:rPr>
                  </w:pPr>
                </w:p>
              </w:tc>
            </w:tr>
            <w:tr w14:paraId="72566B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371" w:type="pct"/>
                  <w:vMerge w:val="continue"/>
                  <w:tcBorders>
                    <w:tl2br w:val="nil"/>
                    <w:tr2bl w:val="nil"/>
                  </w:tcBorders>
                  <w:noWrap w:val="0"/>
                  <w:vAlign w:val="center"/>
                </w:tcPr>
                <w:p w14:paraId="437C063B">
                  <w:pPr>
                    <w:tabs>
                      <w:tab w:val="left" w:pos="3000"/>
                    </w:tabs>
                    <w:jc w:val="center"/>
                    <w:rPr>
                      <w:rFonts w:hint="default" w:ascii="Times New Roman" w:hAnsi="Times New Roman" w:cs="Times New Roman"/>
                      <w:color w:val="auto"/>
                      <w:sz w:val="21"/>
                      <w:szCs w:val="21"/>
                      <w:highlight w:val="none"/>
                      <w:u w:val="none" w:color="auto"/>
                    </w:rPr>
                  </w:pPr>
                </w:p>
              </w:tc>
              <w:tc>
                <w:tcPr>
                  <w:tcW w:w="912" w:type="pct"/>
                  <w:tcBorders>
                    <w:tl2br w:val="nil"/>
                    <w:tr2bl w:val="nil"/>
                  </w:tcBorders>
                  <w:noWrap w:val="0"/>
                  <w:vAlign w:val="center"/>
                </w:tcPr>
                <w:p w14:paraId="63937B51">
                  <w:pPr>
                    <w:adjustRightInd w:val="0"/>
                    <w:snapToGrid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eastAsia="zh-CN"/>
                    </w:rPr>
                    <w:t>卸</w:t>
                  </w:r>
                  <w:r>
                    <w:rPr>
                      <w:rFonts w:hint="default" w:ascii="Times New Roman" w:hAnsi="Times New Roman" w:eastAsia="Calibri" w:cs="Times New Roman"/>
                      <w:color w:val="auto"/>
                      <w:sz w:val="21"/>
                      <w:szCs w:val="21"/>
                      <w:highlight w:val="none"/>
                      <w:u w:val="none" w:color="auto"/>
                    </w:rPr>
                    <w:t>料</w:t>
                  </w:r>
                  <w:r>
                    <w:rPr>
                      <w:rFonts w:hint="default" w:ascii="Times New Roman" w:hAnsi="Times New Roman" w:eastAsia="宋体" w:cs="Times New Roman"/>
                      <w:color w:val="auto"/>
                      <w:sz w:val="21"/>
                      <w:szCs w:val="21"/>
                      <w:highlight w:val="none"/>
                      <w:u w:val="none" w:color="auto"/>
                      <w:lang w:val="en-US" w:eastAsia="zh-CN"/>
                    </w:rPr>
                    <w:t>扬尘</w:t>
                  </w:r>
                </w:p>
              </w:tc>
              <w:tc>
                <w:tcPr>
                  <w:tcW w:w="2046" w:type="pct"/>
                  <w:tcBorders>
                    <w:tl2br w:val="nil"/>
                    <w:tr2bl w:val="nil"/>
                  </w:tcBorders>
                  <w:noWrap w:val="0"/>
                  <w:vAlign w:val="center"/>
                </w:tcPr>
                <w:p w14:paraId="24E02CE6">
                  <w:pPr>
                    <w:tabs>
                      <w:tab w:val="left" w:pos="3000"/>
                    </w:tabs>
                    <w:jc w:val="center"/>
                    <w:rPr>
                      <w:rFonts w:hint="default" w:ascii="Times New Roman" w:hAnsi="Times New Roman" w:cs="Times New Roman"/>
                      <w:color w:val="auto"/>
                      <w:sz w:val="21"/>
                      <w:szCs w:val="21"/>
                      <w:highlight w:val="none"/>
                      <w:u w:val="none" w:color="auto"/>
                      <w:lang w:val="en-US" w:eastAsia="zh-CN"/>
                    </w:rPr>
                  </w:pPr>
                  <w:r>
                    <w:rPr>
                      <w:rFonts w:hint="default" w:ascii="Times New Roman" w:hAnsi="Times New Roman" w:cs="Times New Roman"/>
                      <w:bCs/>
                      <w:color w:val="auto"/>
                      <w:sz w:val="21"/>
                      <w:szCs w:val="21"/>
                      <w:highlight w:val="none"/>
                      <w:u w:val="none" w:color="auto"/>
                      <w:lang w:val="en-US" w:eastAsia="zh-CN"/>
                    </w:rPr>
                    <w:t>洒水降尘</w:t>
                  </w:r>
                </w:p>
              </w:tc>
              <w:tc>
                <w:tcPr>
                  <w:tcW w:w="683" w:type="pct"/>
                  <w:tcBorders>
                    <w:tl2br w:val="nil"/>
                    <w:tr2bl w:val="nil"/>
                  </w:tcBorders>
                  <w:noWrap w:val="0"/>
                  <w:vAlign w:val="center"/>
                </w:tcPr>
                <w:p w14:paraId="17483DDB">
                  <w:pPr>
                    <w:tabs>
                      <w:tab w:val="left" w:pos="3000"/>
                    </w:tabs>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cs="Times New Roman"/>
                      <w:color w:val="auto"/>
                      <w:sz w:val="21"/>
                      <w:szCs w:val="21"/>
                      <w:highlight w:val="none"/>
                      <w:u w:val="none" w:color="auto"/>
                      <w:lang w:val="en-US" w:eastAsia="zh-CN"/>
                    </w:rPr>
                    <w:t>/</w:t>
                  </w:r>
                </w:p>
              </w:tc>
              <w:tc>
                <w:tcPr>
                  <w:tcW w:w="985" w:type="pct"/>
                  <w:vMerge w:val="continue"/>
                  <w:tcBorders>
                    <w:tl2br w:val="nil"/>
                    <w:tr2bl w:val="nil"/>
                  </w:tcBorders>
                  <w:noWrap w:val="0"/>
                  <w:vAlign w:val="center"/>
                </w:tcPr>
                <w:p w14:paraId="5DDA656A">
                  <w:pPr>
                    <w:tabs>
                      <w:tab w:val="left" w:pos="3000"/>
                    </w:tabs>
                    <w:jc w:val="center"/>
                    <w:rPr>
                      <w:rFonts w:hint="default" w:ascii="Times New Roman" w:hAnsi="Times New Roman" w:eastAsia="宋体" w:cs="Times New Roman"/>
                      <w:color w:val="auto"/>
                      <w:kern w:val="0"/>
                      <w:sz w:val="21"/>
                      <w:szCs w:val="21"/>
                      <w:highlight w:val="none"/>
                      <w:u w:val="none" w:color="auto"/>
                      <w:lang w:val="en-US" w:eastAsia="zh-CN" w:bidi="ar"/>
                    </w:rPr>
                  </w:pPr>
                </w:p>
              </w:tc>
            </w:tr>
            <w:tr w14:paraId="4E4B5C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371" w:type="pct"/>
                  <w:vMerge w:val="continue"/>
                  <w:tcBorders>
                    <w:tl2br w:val="nil"/>
                    <w:tr2bl w:val="nil"/>
                  </w:tcBorders>
                  <w:noWrap w:val="0"/>
                  <w:vAlign w:val="center"/>
                </w:tcPr>
                <w:p w14:paraId="10CF0FA4">
                  <w:pPr>
                    <w:tabs>
                      <w:tab w:val="left" w:pos="3000"/>
                    </w:tabs>
                    <w:jc w:val="center"/>
                    <w:rPr>
                      <w:rFonts w:hint="default" w:ascii="Times New Roman" w:hAnsi="Times New Roman" w:cs="Times New Roman"/>
                      <w:color w:val="auto"/>
                      <w:sz w:val="21"/>
                      <w:szCs w:val="21"/>
                      <w:highlight w:val="none"/>
                      <w:u w:val="none" w:color="auto"/>
                    </w:rPr>
                  </w:pPr>
                </w:p>
              </w:tc>
              <w:tc>
                <w:tcPr>
                  <w:tcW w:w="912" w:type="pct"/>
                  <w:tcBorders>
                    <w:tl2br w:val="nil"/>
                    <w:tr2bl w:val="nil"/>
                  </w:tcBorders>
                  <w:noWrap w:val="0"/>
                  <w:vAlign w:val="center"/>
                </w:tcPr>
                <w:p w14:paraId="7D12A103">
                  <w:pPr>
                    <w:tabs>
                      <w:tab w:val="left" w:pos="3000"/>
                    </w:tabs>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堆场粉尘</w:t>
                  </w:r>
                </w:p>
              </w:tc>
              <w:tc>
                <w:tcPr>
                  <w:tcW w:w="2046" w:type="pct"/>
                  <w:tcBorders>
                    <w:tl2br w:val="nil"/>
                    <w:tr2bl w:val="nil"/>
                  </w:tcBorders>
                  <w:noWrap w:val="0"/>
                  <w:vAlign w:val="center"/>
                </w:tcPr>
                <w:p w14:paraId="256C571C">
                  <w:pPr>
                    <w:tabs>
                      <w:tab w:val="left" w:pos="3000"/>
                    </w:tabs>
                    <w:jc w:val="center"/>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彩钢棚</w:t>
                  </w:r>
                  <w:r>
                    <w:rPr>
                      <w:rFonts w:hint="default" w:ascii="Times New Roman" w:hAnsi="Times New Roman" w:cs="Times New Roman"/>
                      <w:color w:val="auto"/>
                      <w:sz w:val="21"/>
                      <w:szCs w:val="21"/>
                      <w:highlight w:val="none"/>
                      <w:u w:val="none" w:color="auto"/>
                      <w:lang w:val="en-US" w:eastAsia="zh-CN"/>
                    </w:rPr>
                    <w:t>遮盖</w:t>
                  </w:r>
                  <w:r>
                    <w:rPr>
                      <w:rFonts w:hint="default" w:ascii="Times New Roman" w:hAnsi="Times New Roman" w:eastAsia="宋体" w:cs="Times New Roman"/>
                      <w:color w:val="auto"/>
                      <w:sz w:val="21"/>
                      <w:szCs w:val="21"/>
                      <w:highlight w:val="none"/>
                      <w:u w:val="none" w:color="auto"/>
                      <w:lang w:val="en-US" w:eastAsia="zh-CN"/>
                    </w:rPr>
                    <w:t>、</w:t>
                  </w:r>
                  <w:r>
                    <w:rPr>
                      <w:rFonts w:hint="default" w:ascii="Times New Roman" w:hAnsi="Times New Roman" w:cs="Times New Roman"/>
                      <w:color w:val="auto"/>
                      <w:sz w:val="21"/>
                      <w:szCs w:val="21"/>
                      <w:highlight w:val="none"/>
                      <w:u w:val="none" w:color="auto"/>
                      <w:lang w:val="en-US" w:eastAsia="zh-CN"/>
                    </w:rPr>
                    <w:t>洒水</w:t>
                  </w:r>
                  <w:r>
                    <w:rPr>
                      <w:rFonts w:hint="default" w:ascii="Times New Roman" w:hAnsi="Times New Roman" w:eastAsia="宋体" w:cs="Times New Roman"/>
                      <w:color w:val="auto"/>
                      <w:sz w:val="21"/>
                      <w:szCs w:val="21"/>
                      <w:highlight w:val="none"/>
                      <w:u w:val="none" w:color="auto"/>
                      <w:lang w:val="en-US" w:eastAsia="zh-CN"/>
                    </w:rPr>
                    <w:t>降尘</w:t>
                  </w:r>
                </w:p>
              </w:tc>
              <w:tc>
                <w:tcPr>
                  <w:tcW w:w="683" w:type="pct"/>
                  <w:tcBorders>
                    <w:tl2br w:val="nil"/>
                    <w:tr2bl w:val="nil"/>
                  </w:tcBorders>
                  <w:noWrap w:val="0"/>
                  <w:vAlign w:val="center"/>
                </w:tcPr>
                <w:p w14:paraId="03118E97">
                  <w:pPr>
                    <w:jc w:val="center"/>
                    <w:rPr>
                      <w:rFonts w:hint="default" w:ascii="Times New Roman" w:hAnsi="Times New Roman" w:eastAsia="Calibri"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lang w:val="en-US" w:eastAsia="zh-CN"/>
                    </w:rPr>
                    <w:t>/</w:t>
                  </w:r>
                </w:p>
              </w:tc>
              <w:tc>
                <w:tcPr>
                  <w:tcW w:w="985" w:type="pct"/>
                  <w:vMerge w:val="continue"/>
                  <w:tcBorders>
                    <w:tl2br w:val="nil"/>
                    <w:tr2bl w:val="nil"/>
                  </w:tcBorders>
                  <w:noWrap w:val="0"/>
                  <w:vAlign w:val="center"/>
                </w:tcPr>
                <w:p w14:paraId="06CEED9C">
                  <w:pPr>
                    <w:tabs>
                      <w:tab w:val="left" w:pos="3000"/>
                    </w:tabs>
                    <w:jc w:val="center"/>
                    <w:rPr>
                      <w:rFonts w:hint="default" w:ascii="Times New Roman" w:hAnsi="Times New Roman" w:eastAsia="Calibri" w:cs="Times New Roman"/>
                      <w:color w:val="auto"/>
                      <w:sz w:val="21"/>
                      <w:szCs w:val="21"/>
                      <w:highlight w:val="none"/>
                      <w:u w:val="none" w:color="auto"/>
                    </w:rPr>
                  </w:pPr>
                </w:p>
              </w:tc>
            </w:tr>
            <w:tr w14:paraId="3351E8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371" w:type="pct"/>
                  <w:vMerge w:val="continue"/>
                  <w:tcBorders>
                    <w:tl2br w:val="nil"/>
                    <w:tr2bl w:val="nil"/>
                  </w:tcBorders>
                  <w:noWrap w:val="0"/>
                  <w:vAlign w:val="center"/>
                </w:tcPr>
                <w:p w14:paraId="38735156">
                  <w:pPr>
                    <w:tabs>
                      <w:tab w:val="left" w:pos="3000"/>
                    </w:tabs>
                    <w:jc w:val="center"/>
                    <w:rPr>
                      <w:rFonts w:hint="default" w:ascii="Times New Roman" w:hAnsi="Times New Roman" w:eastAsia="Calibri" w:cs="Times New Roman"/>
                      <w:color w:val="auto"/>
                      <w:sz w:val="21"/>
                      <w:szCs w:val="21"/>
                      <w:highlight w:val="none"/>
                      <w:u w:val="none" w:color="auto"/>
                    </w:rPr>
                  </w:pPr>
                </w:p>
              </w:tc>
              <w:tc>
                <w:tcPr>
                  <w:tcW w:w="912" w:type="pct"/>
                  <w:tcBorders>
                    <w:tl2br w:val="nil"/>
                    <w:tr2bl w:val="nil"/>
                  </w:tcBorders>
                  <w:noWrap w:val="0"/>
                  <w:vAlign w:val="center"/>
                </w:tcPr>
                <w:p w14:paraId="795D7803">
                  <w:pPr>
                    <w:tabs>
                      <w:tab w:val="left" w:pos="3000"/>
                    </w:tabs>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上料粉尘</w:t>
                  </w:r>
                </w:p>
              </w:tc>
              <w:tc>
                <w:tcPr>
                  <w:tcW w:w="2046" w:type="pct"/>
                  <w:tcBorders>
                    <w:tl2br w:val="nil"/>
                    <w:tr2bl w:val="nil"/>
                  </w:tcBorders>
                  <w:noWrap w:val="0"/>
                  <w:vAlign w:val="center"/>
                </w:tcPr>
                <w:p w14:paraId="630DD045">
                  <w:pPr>
                    <w:tabs>
                      <w:tab w:val="left" w:pos="3000"/>
                    </w:tabs>
                    <w:jc w:val="center"/>
                    <w:rPr>
                      <w:rFonts w:hint="default" w:ascii="Times New Roman" w:hAnsi="Times New Roman" w:eastAsia="Calibri" w:cs="Times New Roman"/>
                      <w:color w:val="auto"/>
                      <w:sz w:val="21"/>
                      <w:szCs w:val="21"/>
                      <w:highlight w:val="none"/>
                      <w:u w:val="none" w:color="auto"/>
                    </w:rPr>
                  </w:pPr>
                  <w:r>
                    <w:rPr>
                      <w:rFonts w:hint="default" w:ascii="Times New Roman" w:hAnsi="Times New Roman" w:cs="Times New Roman"/>
                      <w:bCs/>
                      <w:color w:val="auto"/>
                      <w:sz w:val="21"/>
                      <w:szCs w:val="21"/>
                      <w:highlight w:val="none"/>
                      <w:u w:val="none" w:color="auto"/>
                      <w:lang w:val="en-US" w:eastAsia="zh-CN"/>
                    </w:rPr>
                    <w:t>洒水降尘</w:t>
                  </w:r>
                </w:p>
              </w:tc>
              <w:tc>
                <w:tcPr>
                  <w:tcW w:w="683" w:type="pct"/>
                  <w:tcBorders>
                    <w:tl2br w:val="nil"/>
                    <w:tr2bl w:val="nil"/>
                  </w:tcBorders>
                  <w:noWrap w:val="0"/>
                  <w:vAlign w:val="center"/>
                </w:tcPr>
                <w:p w14:paraId="4904CED4">
                  <w:pPr>
                    <w:jc w:val="center"/>
                    <w:rPr>
                      <w:rFonts w:hint="default" w:ascii="Times New Roman" w:hAnsi="Times New Roman" w:eastAsia="Calibri"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lang w:val="en-US" w:eastAsia="zh-CN"/>
                    </w:rPr>
                    <w:t>/</w:t>
                  </w:r>
                </w:p>
              </w:tc>
              <w:tc>
                <w:tcPr>
                  <w:tcW w:w="985" w:type="pct"/>
                  <w:vMerge w:val="continue"/>
                  <w:tcBorders>
                    <w:tl2br w:val="nil"/>
                    <w:tr2bl w:val="nil"/>
                  </w:tcBorders>
                  <w:noWrap w:val="0"/>
                  <w:vAlign w:val="center"/>
                </w:tcPr>
                <w:p w14:paraId="12CBA423">
                  <w:pPr>
                    <w:tabs>
                      <w:tab w:val="left" w:pos="3000"/>
                    </w:tabs>
                    <w:jc w:val="center"/>
                    <w:rPr>
                      <w:rFonts w:hint="default" w:ascii="Times New Roman" w:hAnsi="Times New Roman" w:eastAsia="Calibri" w:cs="Times New Roman"/>
                      <w:color w:val="auto"/>
                      <w:sz w:val="21"/>
                      <w:szCs w:val="21"/>
                      <w:highlight w:val="none"/>
                      <w:u w:val="none" w:color="auto"/>
                    </w:rPr>
                  </w:pPr>
                </w:p>
              </w:tc>
            </w:tr>
            <w:tr w14:paraId="34FD43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371" w:type="pct"/>
                  <w:vMerge w:val="continue"/>
                  <w:tcBorders>
                    <w:tl2br w:val="nil"/>
                    <w:tr2bl w:val="nil"/>
                  </w:tcBorders>
                  <w:noWrap w:val="0"/>
                  <w:vAlign w:val="center"/>
                </w:tcPr>
                <w:p w14:paraId="14F1A5EC">
                  <w:pPr>
                    <w:tabs>
                      <w:tab w:val="left" w:pos="3000"/>
                    </w:tabs>
                    <w:jc w:val="center"/>
                    <w:rPr>
                      <w:rFonts w:hint="default" w:ascii="Times New Roman" w:hAnsi="Times New Roman" w:eastAsia="Calibri" w:cs="Times New Roman"/>
                      <w:color w:val="auto"/>
                      <w:sz w:val="21"/>
                      <w:szCs w:val="21"/>
                      <w:highlight w:val="none"/>
                      <w:u w:val="none" w:color="auto"/>
                    </w:rPr>
                  </w:pPr>
                </w:p>
              </w:tc>
              <w:tc>
                <w:tcPr>
                  <w:tcW w:w="912" w:type="pct"/>
                  <w:tcBorders>
                    <w:tl2br w:val="nil"/>
                    <w:tr2bl w:val="nil"/>
                  </w:tcBorders>
                  <w:noWrap w:val="0"/>
                  <w:vAlign w:val="center"/>
                </w:tcPr>
                <w:p w14:paraId="338DA805">
                  <w:pPr>
                    <w:tabs>
                      <w:tab w:val="left" w:pos="3000"/>
                    </w:tabs>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运输粉尘</w:t>
                  </w:r>
                </w:p>
              </w:tc>
              <w:tc>
                <w:tcPr>
                  <w:tcW w:w="2046" w:type="pct"/>
                  <w:tcBorders>
                    <w:tl2br w:val="nil"/>
                    <w:tr2bl w:val="nil"/>
                  </w:tcBorders>
                  <w:noWrap w:val="0"/>
                  <w:vAlign w:val="center"/>
                </w:tcPr>
                <w:p w14:paraId="55D8A12A">
                  <w:pPr>
                    <w:tabs>
                      <w:tab w:val="left" w:pos="3000"/>
                    </w:tabs>
                    <w:jc w:val="center"/>
                    <w:rPr>
                      <w:rFonts w:hint="default" w:ascii="Times New Roman" w:hAnsi="Times New Roman" w:eastAsia="Calibri" w:cs="Times New Roman"/>
                      <w:color w:val="auto"/>
                      <w:sz w:val="21"/>
                      <w:szCs w:val="21"/>
                      <w:highlight w:val="none"/>
                      <w:u w:val="none" w:color="auto"/>
                    </w:rPr>
                  </w:pPr>
                  <w:r>
                    <w:rPr>
                      <w:rFonts w:hint="default" w:ascii="Times New Roman" w:hAnsi="Times New Roman" w:cs="Times New Roman"/>
                      <w:bCs/>
                      <w:color w:val="auto"/>
                      <w:sz w:val="21"/>
                      <w:szCs w:val="21"/>
                      <w:highlight w:val="none"/>
                      <w:u w:val="none" w:color="auto"/>
                      <w:lang w:val="en-US" w:eastAsia="zh-CN"/>
                    </w:rPr>
                    <w:t>洒水降尘</w:t>
                  </w:r>
                </w:p>
              </w:tc>
              <w:tc>
                <w:tcPr>
                  <w:tcW w:w="683" w:type="pct"/>
                  <w:tcBorders>
                    <w:tl2br w:val="nil"/>
                    <w:tr2bl w:val="nil"/>
                  </w:tcBorders>
                  <w:noWrap w:val="0"/>
                  <w:vAlign w:val="center"/>
                </w:tcPr>
                <w:p w14:paraId="558EDCD9">
                  <w:pPr>
                    <w:jc w:val="center"/>
                    <w:rPr>
                      <w:rFonts w:hint="default" w:ascii="Times New Roman" w:hAnsi="Times New Roman" w:eastAsia="Calibri"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lang w:val="en-US" w:eastAsia="zh-CN"/>
                    </w:rPr>
                    <w:t>/</w:t>
                  </w:r>
                </w:p>
              </w:tc>
              <w:tc>
                <w:tcPr>
                  <w:tcW w:w="985" w:type="pct"/>
                  <w:vMerge w:val="continue"/>
                  <w:tcBorders>
                    <w:tl2br w:val="nil"/>
                    <w:tr2bl w:val="nil"/>
                  </w:tcBorders>
                  <w:noWrap w:val="0"/>
                  <w:vAlign w:val="center"/>
                </w:tcPr>
                <w:p w14:paraId="611D9F5C">
                  <w:pPr>
                    <w:tabs>
                      <w:tab w:val="left" w:pos="3000"/>
                    </w:tabs>
                    <w:jc w:val="center"/>
                    <w:rPr>
                      <w:rFonts w:hint="default" w:ascii="Times New Roman" w:hAnsi="Times New Roman" w:eastAsia="Calibri" w:cs="Times New Roman"/>
                      <w:color w:val="auto"/>
                      <w:sz w:val="21"/>
                      <w:szCs w:val="21"/>
                      <w:highlight w:val="none"/>
                      <w:u w:val="none" w:color="auto"/>
                    </w:rPr>
                  </w:pPr>
                </w:p>
              </w:tc>
            </w:tr>
            <w:tr w14:paraId="07465E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371" w:type="pct"/>
                  <w:vMerge w:val="restart"/>
                  <w:tcBorders>
                    <w:tl2br w:val="nil"/>
                    <w:tr2bl w:val="nil"/>
                  </w:tcBorders>
                  <w:noWrap w:val="0"/>
                  <w:vAlign w:val="center"/>
                </w:tcPr>
                <w:p w14:paraId="43E75EE2">
                  <w:pPr>
                    <w:tabs>
                      <w:tab w:val="left" w:pos="3000"/>
                    </w:tabs>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废水</w:t>
                  </w:r>
                </w:p>
              </w:tc>
              <w:tc>
                <w:tcPr>
                  <w:tcW w:w="912" w:type="pct"/>
                  <w:tcBorders>
                    <w:tl2br w:val="nil"/>
                    <w:tr2bl w:val="nil"/>
                  </w:tcBorders>
                  <w:noWrap w:val="0"/>
                  <w:vAlign w:val="center"/>
                </w:tcPr>
                <w:p w14:paraId="3CB39E98">
                  <w:pPr>
                    <w:tabs>
                      <w:tab w:val="left" w:pos="3000"/>
                    </w:tabs>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生活污水</w:t>
                  </w:r>
                </w:p>
              </w:tc>
              <w:tc>
                <w:tcPr>
                  <w:tcW w:w="2046" w:type="pct"/>
                  <w:tcBorders>
                    <w:tl2br w:val="nil"/>
                    <w:tr2bl w:val="nil"/>
                  </w:tcBorders>
                  <w:noWrap w:val="0"/>
                  <w:vAlign w:val="center"/>
                </w:tcPr>
                <w:p w14:paraId="62576B09">
                  <w:pPr>
                    <w:tabs>
                      <w:tab w:val="left" w:pos="3000"/>
                    </w:tabs>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防渗旱厕</w:t>
                  </w:r>
                </w:p>
              </w:tc>
              <w:tc>
                <w:tcPr>
                  <w:tcW w:w="683" w:type="pct"/>
                  <w:tcBorders>
                    <w:tl2br w:val="nil"/>
                    <w:tr2bl w:val="nil"/>
                  </w:tcBorders>
                  <w:noWrap w:val="0"/>
                  <w:vAlign w:val="center"/>
                </w:tcPr>
                <w:p w14:paraId="66BB5AD9">
                  <w:pPr>
                    <w:tabs>
                      <w:tab w:val="left" w:pos="3000"/>
                    </w:tabs>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1座</w:t>
                  </w:r>
                </w:p>
              </w:tc>
              <w:tc>
                <w:tcPr>
                  <w:tcW w:w="985" w:type="pct"/>
                  <w:vMerge w:val="restart"/>
                  <w:tcBorders>
                    <w:tl2br w:val="nil"/>
                    <w:tr2bl w:val="nil"/>
                  </w:tcBorders>
                  <w:noWrap w:val="0"/>
                  <w:vAlign w:val="center"/>
                </w:tcPr>
                <w:p w14:paraId="445B1AEF">
                  <w:pPr>
                    <w:tabs>
                      <w:tab w:val="left" w:pos="3000"/>
                    </w:tabs>
                    <w:jc w:val="center"/>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7</w:t>
                  </w:r>
                </w:p>
              </w:tc>
            </w:tr>
            <w:tr w14:paraId="33FE43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371" w:type="pct"/>
                  <w:vMerge w:val="continue"/>
                  <w:tcBorders>
                    <w:tl2br w:val="nil"/>
                    <w:tr2bl w:val="nil"/>
                  </w:tcBorders>
                  <w:noWrap w:val="0"/>
                  <w:vAlign w:val="center"/>
                </w:tcPr>
                <w:p w14:paraId="0633261C">
                  <w:pPr>
                    <w:tabs>
                      <w:tab w:val="left" w:pos="3000"/>
                    </w:tabs>
                    <w:jc w:val="center"/>
                    <w:rPr>
                      <w:rFonts w:hint="default" w:ascii="Times New Roman" w:hAnsi="Times New Roman" w:cs="Times New Roman"/>
                      <w:color w:val="auto"/>
                      <w:sz w:val="21"/>
                      <w:szCs w:val="21"/>
                      <w:highlight w:val="none"/>
                      <w:u w:val="none" w:color="auto"/>
                    </w:rPr>
                  </w:pPr>
                </w:p>
              </w:tc>
              <w:tc>
                <w:tcPr>
                  <w:tcW w:w="912" w:type="pct"/>
                  <w:tcBorders>
                    <w:tl2br w:val="nil"/>
                    <w:tr2bl w:val="nil"/>
                  </w:tcBorders>
                  <w:noWrap w:val="0"/>
                  <w:vAlign w:val="center"/>
                </w:tcPr>
                <w:p w14:paraId="0362A191">
                  <w:pPr>
                    <w:tabs>
                      <w:tab w:val="left" w:pos="3000"/>
                    </w:tabs>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cs="Times New Roman"/>
                      <w:color w:val="auto"/>
                      <w:sz w:val="21"/>
                      <w:szCs w:val="21"/>
                      <w:highlight w:val="none"/>
                      <w:u w:val="none" w:color="auto"/>
                      <w:lang w:val="en-US" w:eastAsia="zh-CN"/>
                    </w:rPr>
                    <w:t>生产废水</w:t>
                  </w:r>
                </w:p>
              </w:tc>
              <w:tc>
                <w:tcPr>
                  <w:tcW w:w="2046" w:type="pct"/>
                  <w:tcBorders>
                    <w:tl2br w:val="nil"/>
                    <w:tr2bl w:val="nil"/>
                  </w:tcBorders>
                  <w:noWrap w:val="0"/>
                  <w:vAlign w:val="center"/>
                </w:tcPr>
                <w:p w14:paraId="6C7FE42F">
                  <w:pPr>
                    <w:tabs>
                      <w:tab w:val="left" w:pos="3000"/>
                    </w:tabs>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cs="Times New Roman"/>
                      <w:color w:val="auto"/>
                      <w:sz w:val="21"/>
                      <w:szCs w:val="21"/>
                      <w:highlight w:val="none"/>
                      <w:u w:val="none" w:color="auto"/>
                      <w:lang w:val="en-US" w:eastAsia="zh-CN"/>
                    </w:rPr>
                    <w:t>三级</w:t>
                  </w:r>
                  <w:r>
                    <w:rPr>
                      <w:rFonts w:hint="default" w:ascii="Times New Roman" w:hAnsi="Times New Roman" w:eastAsia="宋体" w:cs="Times New Roman"/>
                      <w:color w:val="auto"/>
                      <w:sz w:val="21"/>
                      <w:szCs w:val="21"/>
                      <w:highlight w:val="none"/>
                      <w:u w:val="none" w:color="auto"/>
                      <w:lang w:val="en-US" w:eastAsia="zh-CN"/>
                    </w:rPr>
                    <w:t>沉淀池</w:t>
                  </w:r>
                </w:p>
              </w:tc>
              <w:tc>
                <w:tcPr>
                  <w:tcW w:w="683" w:type="pct"/>
                  <w:tcBorders>
                    <w:tl2br w:val="nil"/>
                    <w:tr2bl w:val="nil"/>
                  </w:tcBorders>
                  <w:noWrap w:val="0"/>
                  <w:vAlign w:val="center"/>
                </w:tcPr>
                <w:p w14:paraId="7BBB7EA5">
                  <w:pPr>
                    <w:tabs>
                      <w:tab w:val="left" w:pos="3000"/>
                    </w:tabs>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cs="Times New Roman"/>
                      <w:color w:val="auto"/>
                      <w:sz w:val="21"/>
                      <w:szCs w:val="21"/>
                      <w:highlight w:val="none"/>
                      <w:u w:val="none" w:color="auto"/>
                      <w:lang w:val="en-US" w:eastAsia="zh-CN"/>
                    </w:rPr>
                    <w:t>1座</w:t>
                  </w:r>
                </w:p>
              </w:tc>
              <w:tc>
                <w:tcPr>
                  <w:tcW w:w="985" w:type="pct"/>
                  <w:vMerge w:val="continue"/>
                  <w:tcBorders>
                    <w:tl2br w:val="nil"/>
                    <w:tr2bl w:val="nil"/>
                  </w:tcBorders>
                  <w:noWrap w:val="0"/>
                  <w:vAlign w:val="center"/>
                </w:tcPr>
                <w:p w14:paraId="289C8EA5">
                  <w:pPr>
                    <w:tabs>
                      <w:tab w:val="left" w:pos="3000"/>
                    </w:tabs>
                    <w:jc w:val="center"/>
                    <w:rPr>
                      <w:rFonts w:hint="default" w:ascii="Times New Roman" w:hAnsi="Times New Roman" w:eastAsia="宋体" w:cs="Times New Roman"/>
                      <w:color w:val="auto"/>
                      <w:sz w:val="21"/>
                      <w:szCs w:val="21"/>
                      <w:highlight w:val="none"/>
                      <w:u w:val="none" w:color="auto"/>
                      <w:lang w:val="en-US" w:eastAsia="zh-CN"/>
                    </w:rPr>
                  </w:pPr>
                </w:p>
              </w:tc>
            </w:tr>
            <w:tr w14:paraId="73704E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371" w:type="pct"/>
                  <w:tcBorders>
                    <w:tl2br w:val="nil"/>
                    <w:tr2bl w:val="nil"/>
                  </w:tcBorders>
                  <w:noWrap w:val="0"/>
                  <w:vAlign w:val="center"/>
                </w:tcPr>
                <w:p w14:paraId="35D19B5C">
                  <w:pPr>
                    <w:tabs>
                      <w:tab w:val="left" w:pos="3000"/>
                    </w:tabs>
                    <w:jc w:val="center"/>
                    <w:rPr>
                      <w:rFonts w:hint="eastAsia" w:ascii="Times New Roman" w:hAnsi="Times New Roman" w:eastAsia="宋体" w:cs="Times New Roman"/>
                      <w:color w:val="auto"/>
                      <w:sz w:val="21"/>
                      <w:szCs w:val="21"/>
                      <w:highlight w:val="none"/>
                      <w:u w:val="none" w:color="auto"/>
                      <w:lang w:eastAsia="zh-CN"/>
                    </w:rPr>
                  </w:pPr>
                  <w:r>
                    <w:rPr>
                      <w:rFonts w:hint="eastAsia" w:cs="Times New Roman"/>
                      <w:color w:val="auto"/>
                      <w:sz w:val="21"/>
                      <w:szCs w:val="21"/>
                      <w:highlight w:val="none"/>
                      <w:u w:val="none" w:color="auto"/>
                      <w:lang w:eastAsia="zh-CN"/>
                    </w:rPr>
                    <w:t>雨水</w:t>
                  </w:r>
                </w:p>
              </w:tc>
              <w:tc>
                <w:tcPr>
                  <w:tcW w:w="912" w:type="pct"/>
                  <w:tcBorders>
                    <w:tl2br w:val="nil"/>
                    <w:tr2bl w:val="nil"/>
                  </w:tcBorders>
                  <w:noWrap w:val="0"/>
                  <w:vAlign w:val="center"/>
                </w:tcPr>
                <w:p w14:paraId="25F9D24D">
                  <w:pPr>
                    <w:tabs>
                      <w:tab w:val="left" w:pos="3000"/>
                    </w:tabs>
                    <w:jc w:val="center"/>
                    <w:rPr>
                      <w:rFonts w:hint="default" w:ascii="Times New Roman" w:hAnsi="Times New Roman"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初期雨水</w:t>
                  </w:r>
                </w:p>
              </w:tc>
              <w:tc>
                <w:tcPr>
                  <w:tcW w:w="2046" w:type="pct"/>
                  <w:tcBorders>
                    <w:tl2br w:val="nil"/>
                    <w:tr2bl w:val="nil"/>
                  </w:tcBorders>
                  <w:noWrap w:val="0"/>
                  <w:vAlign w:val="center"/>
                </w:tcPr>
                <w:p w14:paraId="5A387E93">
                  <w:pPr>
                    <w:tabs>
                      <w:tab w:val="left" w:pos="3000"/>
                    </w:tabs>
                    <w:jc w:val="center"/>
                    <w:rPr>
                      <w:rFonts w:hint="default" w:ascii="Times New Roman" w:hAnsi="Times New Roman"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雨水收集池</w:t>
                  </w:r>
                </w:p>
              </w:tc>
              <w:tc>
                <w:tcPr>
                  <w:tcW w:w="683" w:type="pct"/>
                  <w:tcBorders>
                    <w:tl2br w:val="nil"/>
                    <w:tr2bl w:val="nil"/>
                  </w:tcBorders>
                  <w:noWrap w:val="0"/>
                  <w:vAlign w:val="center"/>
                </w:tcPr>
                <w:p w14:paraId="468CDD61">
                  <w:pPr>
                    <w:tabs>
                      <w:tab w:val="left" w:pos="3000"/>
                    </w:tabs>
                    <w:jc w:val="center"/>
                    <w:rPr>
                      <w:rFonts w:hint="default" w:ascii="Times New Roman" w:hAnsi="Times New Roman"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1座</w:t>
                  </w:r>
                </w:p>
              </w:tc>
              <w:tc>
                <w:tcPr>
                  <w:tcW w:w="985" w:type="pct"/>
                  <w:tcBorders>
                    <w:tl2br w:val="nil"/>
                    <w:tr2bl w:val="nil"/>
                  </w:tcBorders>
                  <w:noWrap w:val="0"/>
                  <w:vAlign w:val="center"/>
                </w:tcPr>
                <w:p w14:paraId="28CAE5EA">
                  <w:pPr>
                    <w:tabs>
                      <w:tab w:val="left" w:pos="3000"/>
                    </w:tabs>
                    <w:jc w:val="center"/>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3</w:t>
                  </w:r>
                </w:p>
              </w:tc>
            </w:tr>
            <w:tr w14:paraId="000131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371" w:type="pct"/>
                  <w:tcBorders>
                    <w:tl2br w:val="nil"/>
                    <w:tr2bl w:val="nil"/>
                  </w:tcBorders>
                  <w:shd w:val="clear" w:color="auto" w:fill="auto"/>
                  <w:noWrap w:val="0"/>
                  <w:vAlign w:val="center"/>
                </w:tcPr>
                <w:p w14:paraId="37A4686B">
                  <w:pPr>
                    <w:tabs>
                      <w:tab w:val="left" w:pos="3000"/>
                    </w:tabs>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sz w:val="21"/>
                      <w:szCs w:val="21"/>
                      <w:highlight w:val="none"/>
                      <w:u w:val="none" w:color="auto"/>
                    </w:rPr>
                    <w:t>噪声</w:t>
                  </w:r>
                </w:p>
              </w:tc>
              <w:tc>
                <w:tcPr>
                  <w:tcW w:w="912" w:type="pct"/>
                  <w:tcBorders>
                    <w:tl2br w:val="nil"/>
                    <w:tr2bl w:val="nil"/>
                  </w:tcBorders>
                  <w:shd w:val="clear" w:color="auto" w:fill="auto"/>
                  <w:noWrap w:val="0"/>
                  <w:vAlign w:val="center"/>
                </w:tcPr>
                <w:p w14:paraId="566DF65D">
                  <w:pPr>
                    <w:tabs>
                      <w:tab w:val="left" w:pos="3000"/>
                    </w:tabs>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sz w:val="21"/>
                      <w:szCs w:val="21"/>
                      <w:highlight w:val="none"/>
                      <w:u w:val="none" w:color="auto"/>
                    </w:rPr>
                    <w:t>噪声</w:t>
                  </w:r>
                </w:p>
              </w:tc>
              <w:tc>
                <w:tcPr>
                  <w:tcW w:w="2046" w:type="pct"/>
                  <w:tcBorders>
                    <w:tl2br w:val="nil"/>
                    <w:tr2bl w:val="nil"/>
                  </w:tcBorders>
                  <w:shd w:val="clear" w:color="auto" w:fill="auto"/>
                  <w:noWrap w:val="0"/>
                  <w:vAlign w:val="center"/>
                </w:tcPr>
                <w:p w14:paraId="688C88A3">
                  <w:pPr>
                    <w:adjustRightInd w:val="0"/>
                    <w:snapToGrid w:val="0"/>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bCs/>
                      <w:color w:val="auto"/>
                      <w:sz w:val="21"/>
                      <w:szCs w:val="21"/>
                      <w:highlight w:val="none"/>
                      <w:u w:val="none" w:color="auto"/>
                    </w:rPr>
                    <w:t>低噪声设备，采取有效的减振、</w:t>
                  </w:r>
                  <w:r>
                    <w:rPr>
                      <w:rFonts w:hint="default" w:ascii="Times New Roman" w:hAnsi="Times New Roman" w:cs="Times New Roman"/>
                      <w:bCs/>
                      <w:color w:val="auto"/>
                      <w:sz w:val="21"/>
                      <w:szCs w:val="21"/>
                      <w:highlight w:val="none"/>
                      <w:u w:val="none" w:color="auto"/>
                      <w:lang w:val="en-US" w:eastAsia="zh-CN"/>
                    </w:rPr>
                    <w:t>消</w:t>
                  </w:r>
                  <w:r>
                    <w:rPr>
                      <w:rFonts w:hint="default" w:ascii="Times New Roman" w:hAnsi="Times New Roman" w:cs="Times New Roman"/>
                      <w:bCs/>
                      <w:color w:val="auto"/>
                      <w:sz w:val="21"/>
                      <w:szCs w:val="21"/>
                      <w:highlight w:val="none"/>
                      <w:u w:val="none" w:color="auto"/>
                    </w:rPr>
                    <w:t>声等降噪措施，</w:t>
                  </w:r>
                  <w:r>
                    <w:rPr>
                      <w:rFonts w:hint="default" w:ascii="Times New Roman" w:hAnsi="Times New Roman" w:cs="Times New Roman"/>
                      <w:color w:val="auto"/>
                      <w:sz w:val="21"/>
                      <w:szCs w:val="21"/>
                      <w:highlight w:val="none"/>
                      <w:u w:val="none" w:color="auto"/>
                    </w:rPr>
                    <w:t>加强厂区车辆的维护管理</w:t>
                  </w:r>
                </w:p>
              </w:tc>
              <w:tc>
                <w:tcPr>
                  <w:tcW w:w="683" w:type="pct"/>
                  <w:tcBorders>
                    <w:tl2br w:val="nil"/>
                    <w:tr2bl w:val="nil"/>
                  </w:tcBorders>
                  <w:shd w:val="clear" w:color="auto" w:fill="auto"/>
                  <w:noWrap w:val="0"/>
                  <w:vAlign w:val="center"/>
                </w:tcPr>
                <w:p w14:paraId="331FA60A">
                  <w:pPr>
                    <w:keepNext w:val="0"/>
                    <w:keepLines w:val="0"/>
                    <w:pageBreakBefore w:val="0"/>
                    <w:widowControl w:val="0"/>
                    <w:tabs>
                      <w:tab w:val="left" w:pos="3000"/>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kern w:val="2"/>
                      <w:sz w:val="21"/>
                      <w:szCs w:val="21"/>
                      <w:highlight w:val="none"/>
                      <w:u w:val="none" w:color="auto"/>
                      <w:lang w:val="en-US" w:eastAsia="zh-CN" w:bidi="ar-SA"/>
                    </w:rPr>
                    <w:t>/</w:t>
                  </w:r>
                </w:p>
              </w:tc>
              <w:tc>
                <w:tcPr>
                  <w:tcW w:w="985" w:type="pct"/>
                  <w:tcBorders>
                    <w:tl2br w:val="nil"/>
                    <w:tr2bl w:val="nil"/>
                  </w:tcBorders>
                  <w:shd w:val="clear" w:color="auto" w:fill="auto"/>
                  <w:noWrap w:val="0"/>
                  <w:vAlign w:val="center"/>
                </w:tcPr>
                <w:p w14:paraId="410D0DEC">
                  <w:pPr>
                    <w:tabs>
                      <w:tab w:val="left" w:pos="3000"/>
                    </w:tabs>
                    <w:spacing w:line="240" w:lineRule="auto"/>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eastAsia" w:cs="Times New Roman"/>
                      <w:color w:val="auto"/>
                      <w:sz w:val="21"/>
                      <w:szCs w:val="21"/>
                      <w:highlight w:val="none"/>
                      <w:u w:val="none" w:color="auto"/>
                      <w:lang w:val="en-US" w:eastAsia="zh-CN"/>
                    </w:rPr>
                    <w:t>7.5</w:t>
                  </w:r>
                </w:p>
              </w:tc>
            </w:tr>
            <w:tr w14:paraId="216E36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371" w:type="pct"/>
                  <w:tcBorders>
                    <w:tl2br w:val="nil"/>
                    <w:tr2bl w:val="nil"/>
                  </w:tcBorders>
                  <w:noWrap w:val="0"/>
                  <w:vAlign w:val="center"/>
                </w:tcPr>
                <w:p w14:paraId="590D9C45">
                  <w:pPr>
                    <w:tabs>
                      <w:tab w:val="left" w:pos="3000"/>
                    </w:tabs>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固体</w:t>
                  </w:r>
                </w:p>
                <w:p w14:paraId="1929AFB3">
                  <w:pPr>
                    <w:tabs>
                      <w:tab w:val="left" w:pos="3000"/>
                    </w:tabs>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废物</w:t>
                  </w:r>
                </w:p>
              </w:tc>
              <w:tc>
                <w:tcPr>
                  <w:tcW w:w="3642" w:type="pct"/>
                  <w:gridSpan w:val="3"/>
                  <w:tcBorders>
                    <w:tl2br w:val="nil"/>
                    <w:tr2bl w:val="nil"/>
                  </w:tcBorders>
                  <w:noWrap w:val="0"/>
                  <w:vAlign w:val="center"/>
                </w:tcPr>
                <w:p w14:paraId="7775807F">
                  <w:pPr>
                    <w:tabs>
                      <w:tab w:val="left" w:pos="3000"/>
                    </w:tabs>
                    <w:jc w:val="center"/>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无害化、资源化、减量化，避免对环境造成二次污染</w:t>
                  </w:r>
                </w:p>
              </w:tc>
              <w:tc>
                <w:tcPr>
                  <w:tcW w:w="985" w:type="pct"/>
                  <w:tcBorders>
                    <w:tl2br w:val="nil"/>
                    <w:tr2bl w:val="nil"/>
                  </w:tcBorders>
                  <w:noWrap w:val="0"/>
                  <w:vAlign w:val="center"/>
                </w:tcPr>
                <w:p w14:paraId="1900855E">
                  <w:pPr>
                    <w:tabs>
                      <w:tab w:val="left" w:pos="3000"/>
                    </w:tabs>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0.5</w:t>
                  </w:r>
                </w:p>
              </w:tc>
            </w:tr>
            <w:tr w14:paraId="2B9B3D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283" w:type="pct"/>
                  <w:gridSpan w:val="2"/>
                  <w:tcBorders>
                    <w:tl2br w:val="nil"/>
                    <w:tr2bl w:val="nil"/>
                  </w:tcBorders>
                  <w:noWrap w:val="0"/>
                  <w:vAlign w:val="center"/>
                </w:tcPr>
                <w:p w14:paraId="4C65735B">
                  <w:pPr>
                    <w:tabs>
                      <w:tab w:val="left" w:pos="3000"/>
                    </w:tabs>
                    <w:jc w:val="center"/>
                    <w:rPr>
                      <w:rFonts w:hint="default" w:ascii="Times New Roman" w:hAnsi="Times New Roman" w:cs="Times New Roman"/>
                      <w:color w:val="auto"/>
                      <w:sz w:val="21"/>
                      <w:szCs w:val="21"/>
                      <w:highlight w:val="none"/>
                      <w:u w:val="none" w:color="auto"/>
                      <w:lang w:eastAsia="zh-CN"/>
                    </w:rPr>
                  </w:pPr>
                  <w:r>
                    <w:rPr>
                      <w:rFonts w:hint="eastAsia" w:cs="Times New Roman"/>
                      <w:iCs/>
                      <w:color w:val="auto"/>
                      <w:sz w:val="21"/>
                      <w:szCs w:val="21"/>
                      <w:highlight w:val="none"/>
                      <w:u w:val="none"/>
                      <w:lang w:val="zh-CN"/>
                    </w:rPr>
                    <w:t>地下水、土壤</w:t>
                  </w:r>
                </w:p>
              </w:tc>
              <w:tc>
                <w:tcPr>
                  <w:tcW w:w="2046" w:type="pct"/>
                  <w:tcBorders>
                    <w:tl2br w:val="nil"/>
                    <w:tr2bl w:val="nil"/>
                  </w:tcBorders>
                  <w:noWrap w:val="0"/>
                  <w:vAlign w:val="center"/>
                </w:tcPr>
                <w:p w14:paraId="1C1289A3">
                  <w:pPr>
                    <w:tabs>
                      <w:tab w:val="left" w:pos="3000"/>
                    </w:tabs>
                    <w:jc w:val="center"/>
                    <w:rPr>
                      <w:rFonts w:hint="default" w:ascii="Times New Roman" w:hAnsi="Times New Roman" w:cs="Times New Roman"/>
                      <w:color w:val="auto"/>
                      <w:sz w:val="21"/>
                      <w:szCs w:val="21"/>
                      <w:highlight w:val="none"/>
                      <w:u w:val="none" w:color="auto"/>
                    </w:rPr>
                  </w:pPr>
                  <w:r>
                    <w:rPr>
                      <w:rFonts w:hint="eastAsia" w:cs="Times New Roman"/>
                      <w:iCs/>
                      <w:color w:val="auto"/>
                      <w:sz w:val="21"/>
                      <w:szCs w:val="21"/>
                      <w:highlight w:val="none"/>
                      <w:u w:val="none"/>
                      <w:lang w:val="en-US" w:eastAsia="zh-CN"/>
                    </w:rPr>
                    <w:t>分区防渗</w:t>
                  </w:r>
                </w:p>
              </w:tc>
              <w:tc>
                <w:tcPr>
                  <w:tcW w:w="683" w:type="pct"/>
                  <w:tcBorders>
                    <w:tl2br w:val="nil"/>
                    <w:tr2bl w:val="nil"/>
                  </w:tcBorders>
                  <w:shd w:val="clear" w:color="auto" w:fill="auto"/>
                  <w:noWrap w:val="0"/>
                  <w:vAlign w:val="center"/>
                </w:tcPr>
                <w:p w14:paraId="15936F59">
                  <w:pPr>
                    <w:tabs>
                      <w:tab w:val="left" w:pos="3000"/>
                    </w:tabs>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w:t>
                  </w:r>
                </w:p>
              </w:tc>
              <w:tc>
                <w:tcPr>
                  <w:tcW w:w="985" w:type="pct"/>
                  <w:tcBorders>
                    <w:tl2br w:val="nil"/>
                    <w:tr2bl w:val="nil"/>
                  </w:tcBorders>
                  <w:shd w:val="clear" w:color="auto" w:fill="auto"/>
                  <w:noWrap w:val="0"/>
                  <w:vAlign w:val="center"/>
                </w:tcPr>
                <w:p w14:paraId="5C189A52">
                  <w:pPr>
                    <w:tabs>
                      <w:tab w:val="left" w:pos="3000"/>
                    </w:tabs>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eastAsia" w:ascii="Times New Roman" w:hAnsi="Times New Roman" w:cs="Times New Roman"/>
                      <w:color w:val="auto"/>
                      <w:kern w:val="2"/>
                      <w:sz w:val="21"/>
                      <w:szCs w:val="21"/>
                      <w:highlight w:val="none"/>
                      <w:u w:val="none" w:color="auto"/>
                      <w:lang w:val="en-US" w:eastAsia="zh-CN" w:bidi="ar-SA"/>
                    </w:rPr>
                    <w:t>15</w:t>
                  </w:r>
                </w:p>
              </w:tc>
            </w:tr>
            <w:tr w14:paraId="74E61F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4014" w:type="pct"/>
                  <w:gridSpan w:val="4"/>
                  <w:tcBorders>
                    <w:tl2br w:val="nil"/>
                    <w:tr2bl w:val="nil"/>
                  </w:tcBorders>
                  <w:noWrap w:val="0"/>
                  <w:vAlign w:val="center"/>
                </w:tcPr>
                <w:p w14:paraId="00B560DC">
                  <w:pPr>
                    <w:tabs>
                      <w:tab w:val="left" w:pos="3000"/>
                    </w:tabs>
                    <w:jc w:val="center"/>
                    <w:rPr>
                      <w:rFonts w:hint="eastAsia" w:ascii="Times New Roman" w:hAnsi="Times New Roman" w:cs="Times New Roman"/>
                      <w:b/>
                      <w:bCs/>
                      <w:color w:val="auto"/>
                      <w:sz w:val="21"/>
                      <w:szCs w:val="21"/>
                      <w:highlight w:val="none"/>
                      <w:u w:val="none" w:color="auto"/>
                      <w:lang w:val="en-US" w:eastAsia="zh-CN"/>
                    </w:rPr>
                  </w:pPr>
                  <w:r>
                    <w:rPr>
                      <w:rFonts w:hint="eastAsia" w:ascii="Times New Roman" w:hAnsi="Times New Roman" w:cs="Times New Roman"/>
                      <w:b/>
                      <w:bCs/>
                      <w:color w:val="auto"/>
                      <w:sz w:val="21"/>
                      <w:szCs w:val="21"/>
                      <w:highlight w:val="none"/>
                      <w:u w:val="none" w:color="auto"/>
                      <w:lang w:val="en-US" w:eastAsia="zh-CN"/>
                    </w:rPr>
                    <w:t>合计</w:t>
                  </w:r>
                </w:p>
              </w:tc>
              <w:tc>
                <w:tcPr>
                  <w:tcW w:w="985" w:type="pct"/>
                  <w:tcBorders>
                    <w:tl2br w:val="nil"/>
                    <w:tr2bl w:val="nil"/>
                  </w:tcBorders>
                  <w:shd w:val="clear" w:color="auto" w:fill="auto"/>
                  <w:noWrap w:val="0"/>
                  <w:vAlign w:val="center"/>
                </w:tcPr>
                <w:p w14:paraId="14C7D711">
                  <w:pPr>
                    <w:tabs>
                      <w:tab w:val="left" w:pos="3000"/>
                    </w:tabs>
                    <w:jc w:val="center"/>
                    <w:rPr>
                      <w:rFonts w:hint="default" w:ascii="Times New Roman" w:hAnsi="Times New Roman" w:cs="Times New Roman"/>
                      <w:b/>
                      <w:bCs/>
                      <w:color w:val="auto"/>
                      <w:kern w:val="2"/>
                      <w:sz w:val="21"/>
                      <w:szCs w:val="21"/>
                      <w:highlight w:val="none"/>
                      <w:u w:val="none" w:color="auto"/>
                      <w:lang w:val="en-US" w:eastAsia="zh-CN" w:bidi="ar-SA"/>
                    </w:rPr>
                  </w:pPr>
                  <w:r>
                    <w:rPr>
                      <w:rFonts w:hint="eastAsia" w:cs="Times New Roman"/>
                      <w:b/>
                      <w:bCs/>
                      <w:color w:val="auto"/>
                      <w:kern w:val="2"/>
                      <w:sz w:val="21"/>
                      <w:szCs w:val="21"/>
                      <w:highlight w:val="none"/>
                      <w:u w:val="none" w:color="auto"/>
                      <w:lang w:val="en-US" w:eastAsia="zh-CN" w:bidi="ar-SA"/>
                    </w:rPr>
                    <w:t>63</w:t>
                  </w:r>
                </w:p>
              </w:tc>
            </w:tr>
          </w:tbl>
          <w:p w14:paraId="316E1BDB">
            <w:pPr>
              <w:adjustRightInd w:val="0"/>
              <w:snapToGrid w:val="0"/>
              <w:spacing w:line="360" w:lineRule="auto"/>
              <w:ind w:firstLine="480" w:firstLineChars="200"/>
              <w:rPr>
                <w:rFonts w:hint="eastAsia" w:cs="宋体"/>
                <w:b w:val="0"/>
                <w:bCs w:val="0"/>
                <w:color w:val="auto"/>
                <w:sz w:val="24"/>
                <w:szCs w:val="24"/>
                <w:highlight w:val="none"/>
                <w:u w:val="none" w:color="auto"/>
                <w:lang w:val="en-US" w:eastAsia="zh-CN"/>
              </w:rPr>
            </w:pPr>
          </w:p>
          <w:p w14:paraId="34985BEF">
            <w:pPr>
              <w:adjustRightInd w:val="0"/>
              <w:snapToGrid w:val="0"/>
              <w:spacing w:line="360" w:lineRule="auto"/>
              <w:ind w:firstLine="482" w:firstLineChars="200"/>
              <w:rPr>
                <w:rFonts w:hint="default" w:ascii="Times New Roman" w:hAnsi="Times New Roman" w:eastAsia="宋体" w:cs="宋体"/>
                <w:b/>
                <w:bCs/>
                <w:color w:val="auto"/>
                <w:sz w:val="24"/>
                <w:szCs w:val="24"/>
                <w:highlight w:val="none"/>
                <w:u w:val="none" w:color="auto"/>
                <w:lang w:val="en-US" w:eastAsia="zh-CN"/>
              </w:rPr>
            </w:pPr>
            <w:r>
              <w:rPr>
                <w:rFonts w:hint="eastAsia" w:cs="宋体"/>
                <w:b/>
                <w:bCs/>
                <w:color w:val="auto"/>
                <w:sz w:val="24"/>
                <w:szCs w:val="24"/>
                <w:highlight w:val="none"/>
                <w:u w:val="none" w:color="auto"/>
                <w:lang w:val="en-US" w:eastAsia="zh-CN"/>
              </w:rPr>
              <w:t>2、排污许可管理要求</w:t>
            </w:r>
          </w:p>
          <w:p w14:paraId="24C642B4">
            <w:pPr>
              <w:adjustRightInd w:val="0"/>
              <w:snapToGrid w:val="0"/>
              <w:spacing w:line="360" w:lineRule="auto"/>
              <w:ind w:firstLine="480" w:firstLineChars="200"/>
              <w:rPr>
                <w:rFonts w:hint="eastAsia" w:eastAsia="宋体" w:cs="宋体"/>
                <w:b w:val="0"/>
                <w:bCs w:val="0"/>
                <w:color w:val="auto"/>
                <w:sz w:val="24"/>
                <w:szCs w:val="24"/>
                <w:highlight w:val="green"/>
                <w:u w:val="single" w:color="auto"/>
                <w:lang w:eastAsia="zh-CN"/>
              </w:rPr>
            </w:pPr>
            <w:r>
              <w:rPr>
                <w:rFonts w:hint="default" w:ascii="Times New Roman" w:hAnsi="Times New Roman" w:eastAsia="宋体" w:cs="Times New Roman"/>
                <w:color w:val="auto"/>
                <w:kern w:val="0"/>
                <w:sz w:val="24"/>
                <w:highlight w:val="none"/>
                <w:u w:val="single" w:color="auto"/>
              </w:rPr>
              <w:t>根据《国民经济行业分类》</w:t>
            </w:r>
            <w:r>
              <w:rPr>
                <w:rFonts w:hint="eastAsia" w:ascii="Times New Roman" w:hAnsi="Times New Roman" w:eastAsia="宋体" w:cs="Times New Roman"/>
                <w:color w:val="auto"/>
                <w:kern w:val="0"/>
                <w:sz w:val="24"/>
                <w:highlight w:val="none"/>
                <w:u w:val="single" w:color="auto"/>
                <w:lang w:eastAsia="zh-CN"/>
              </w:rPr>
              <w:t>（</w:t>
            </w:r>
            <w:r>
              <w:rPr>
                <w:rFonts w:hint="default" w:ascii="Times New Roman" w:hAnsi="Times New Roman" w:eastAsia="宋体" w:cs="Times New Roman"/>
                <w:color w:val="auto"/>
                <w:kern w:val="0"/>
                <w:sz w:val="24"/>
                <w:highlight w:val="none"/>
                <w:u w:val="single" w:color="auto"/>
              </w:rPr>
              <w:t>GB/T4754-2017</w:t>
            </w:r>
            <w:r>
              <w:rPr>
                <w:rFonts w:hint="eastAsia" w:ascii="Times New Roman" w:hAnsi="Times New Roman" w:eastAsia="宋体" w:cs="Times New Roman"/>
                <w:color w:val="auto"/>
                <w:kern w:val="0"/>
                <w:sz w:val="24"/>
                <w:highlight w:val="none"/>
                <w:u w:val="single" w:color="auto"/>
                <w:lang w:eastAsia="zh-CN"/>
              </w:rPr>
              <w:t>）</w:t>
            </w:r>
            <w:r>
              <w:rPr>
                <w:rFonts w:hint="default" w:ascii="Times New Roman" w:hAnsi="Times New Roman" w:eastAsia="宋体" w:cs="Times New Roman"/>
                <w:color w:val="auto"/>
                <w:kern w:val="0"/>
                <w:sz w:val="24"/>
                <w:highlight w:val="none"/>
                <w:u w:val="single" w:color="auto"/>
              </w:rPr>
              <w:t>，本项目属于</w:t>
            </w:r>
            <w:r>
              <w:rPr>
                <w:rFonts w:hint="eastAsia" w:ascii="Times New Roman" w:hAnsi="Times New Roman" w:eastAsia="宋体" w:cs="Times New Roman"/>
                <w:color w:val="auto"/>
                <w:kern w:val="0"/>
                <w:sz w:val="24"/>
                <w:highlight w:val="none"/>
                <w:u w:val="single" w:color="auto"/>
                <w:lang w:val="en-US" w:eastAsia="zh-CN"/>
              </w:rPr>
              <w:t>C</w:t>
            </w:r>
            <w:r>
              <w:rPr>
                <w:rFonts w:hint="eastAsia" w:ascii="Times New Roman" w:hAnsi="Times New Roman" w:eastAsia="宋体" w:cs="Times New Roman"/>
                <w:color w:val="auto"/>
                <w:sz w:val="24"/>
                <w:szCs w:val="20"/>
                <w:highlight w:val="none"/>
                <w:u w:val="single" w:color="auto"/>
                <w:lang w:val="en-US" w:eastAsia="zh-CN"/>
              </w:rPr>
              <w:t>3</w:t>
            </w:r>
            <w:r>
              <w:rPr>
                <w:rFonts w:hint="eastAsia" w:eastAsia="宋体" w:cs="Times New Roman"/>
                <w:color w:val="auto"/>
                <w:sz w:val="24"/>
                <w:szCs w:val="20"/>
                <w:highlight w:val="none"/>
                <w:u w:val="single" w:color="auto"/>
                <w:lang w:val="en-US" w:eastAsia="zh-CN"/>
              </w:rPr>
              <w:t>021</w:t>
            </w:r>
            <w:r>
              <w:rPr>
                <w:rFonts w:hint="default" w:ascii="Times New Roman" w:hAnsi="Times New Roman" w:eastAsia="宋体" w:cs="Times New Roman"/>
                <w:color w:val="auto"/>
                <w:sz w:val="24"/>
                <w:szCs w:val="24"/>
                <w:highlight w:val="none"/>
                <w:u w:val="single" w:color="auto"/>
              </w:rPr>
              <w:t>水泥制品制造</w:t>
            </w:r>
            <w:r>
              <w:rPr>
                <w:rFonts w:hint="default" w:ascii="Times New Roman" w:hAnsi="Times New Roman" w:eastAsia="宋体" w:cs="Times New Roman"/>
                <w:color w:val="auto"/>
                <w:kern w:val="0"/>
                <w:sz w:val="24"/>
                <w:highlight w:val="none"/>
                <w:u w:val="single" w:color="auto"/>
              </w:rPr>
              <w:t>。</w:t>
            </w:r>
            <w:r>
              <w:rPr>
                <w:rFonts w:hint="eastAsia" w:cs="Times New Roman"/>
                <w:color w:val="auto"/>
                <w:kern w:val="0"/>
                <w:sz w:val="24"/>
                <w:highlight w:val="none"/>
                <w:u w:val="single" w:color="auto"/>
                <w:lang w:eastAsia="zh-CN"/>
              </w:rPr>
              <w:t>根据《固定污染源排污许可分类管理名录（2019年版）》中“二十五、非金属矿物制品业30”之“水泥制品制造3021”实行登记管理。</w:t>
            </w:r>
          </w:p>
          <w:p w14:paraId="698CE4FA">
            <w:pPr>
              <w:adjustRightInd w:val="0"/>
              <w:snapToGrid w:val="0"/>
              <w:spacing w:line="360" w:lineRule="auto"/>
              <w:ind w:firstLine="480" w:firstLineChars="200"/>
              <w:rPr>
                <w:rFonts w:hint="default" w:cs="宋体"/>
                <w:b w:val="0"/>
                <w:bCs w:val="0"/>
                <w:color w:val="auto"/>
                <w:sz w:val="24"/>
                <w:szCs w:val="24"/>
                <w:highlight w:val="none"/>
                <w:u w:val="single" w:color="auto"/>
                <w:lang w:val="en-US" w:eastAsia="zh-CN"/>
              </w:rPr>
            </w:pPr>
            <w:r>
              <w:rPr>
                <w:rFonts w:hint="eastAsia" w:cs="宋体"/>
                <w:b w:val="0"/>
                <w:bCs w:val="0"/>
                <w:color w:val="auto"/>
                <w:sz w:val="24"/>
                <w:szCs w:val="24"/>
                <w:highlight w:val="none"/>
                <w:u w:val="single" w:color="auto"/>
                <w:lang w:eastAsia="zh-CN"/>
              </w:rPr>
              <w:t>根据《排污许可证申请与核发技术规范 水泥工业》（HJ 847-2017），“主要排放口是指水泥窑及窑尾余热利用系统烟囱(窑尾烟囱)、冷却机烟囱窑头烟囱)，其余废气排放口均为一般排放口。”。因此本项目</w:t>
            </w:r>
            <w:r>
              <w:rPr>
                <w:rFonts w:hint="eastAsia" w:cs="宋体"/>
                <w:b w:val="0"/>
                <w:bCs w:val="0"/>
                <w:color w:val="auto"/>
                <w:sz w:val="24"/>
                <w:szCs w:val="24"/>
                <w:highlight w:val="none"/>
                <w:u w:val="single" w:color="auto"/>
                <w:lang w:val="en-US" w:eastAsia="zh-CN"/>
              </w:rPr>
              <w:t>8个</w:t>
            </w:r>
            <w:r>
              <w:rPr>
                <w:rFonts w:hint="eastAsia" w:cs="宋体"/>
                <w:b w:val="0"/>
                <w:bCs w:val="0"/>
                <w:color w:val="auto"/>
                <w:sz w:val="24"/>
                <w:szCs w:val="24"/>
                <w:highlight w:val="none"/>
                <w:u w:val="single" w:color="auto"/>
                <w:lang w:eastAsia="zh-CN"/>
              </w:rPr>
              <w:t>筒仓排气口（水泥筒仓DA001-DA006、粉煤灰筒仓DA007-DA008）、</w:t>
            </w:r>
            <w:r>
              <w:rPr>
                <w:rFonts w:hint="eastAsia" w:cs="宋体"/>
                <w:b w:val="0"/>
                <w:bCs w:val="0"/>
                <w:color w:val="auto"/>
                <w:sz w:val="24"/>
                <w:szCs w:val="24"/>
                <w:highlight w:val="none"/>
                <w:u w:val="single" w:color="auto"/>
                <w:lang w:val="en-US" w:eastAsia="zh-CN"/>
              </w:rPr>
              <w:t>2个搅拌废气排放口（DA009-DA010）均为一般排放口。</w:t>
            </w:r>
          </w:p>
          <w:p w14:paraId="3B240346">
            <w:pPr>
              <w:adjustRightInd w:val="0"/>
              <w:snapToGrid w:val="0"/>
              <w:spacing w:line="360" w:lineRule="auto"/>
              <w:ind w:firstLine="480" w:firstLineChars="200"/>
              <w:rPr>
                <w:rFonts w:hint="eastAsia" w:ascii="Times New Roman" w:hAnsi="Times New Roman" w:eastAsia="宋体" w:cs="宋体"/>
                <w:b w:val="0"/>
                <w:bCs w:val="0"/>
                <w:color w:val="auto"/>
                <w:sz w:val="24"/>
                <w:szCs w:val="24"/>
                <w:highlight w:val="none"/>
                <w:u w:val="single" w:color="auto"/>
                <w:lang w:eastAsia="zh-CN"/>
              </w:rPr>
            </w:pPr>
            <w:r>
              <w:rPr>
                <w:rFonts w:hint="eastAsia" w:cs="宋体"/>
                <w:b w:val="0"/>
                <w:bCs w:val="0"/>
                <w:color w:val="auto"/>
                <w:sz w:val="24"/>
                <w:szCs w:val="24"/>
                <w:highlight w:val="none"/>
                <w:u w:val="single" w:color="auto"/>
                <w:lang w:eastAsia="zh-CN"/>
              </w:rPr>
              <w:t>建设单位排污许可证管理类别为登记管理，企业在启动生产之前，应在全国排污许可证管理信息平台进行排污许可登记申请。</w:t>
            </w:r>
          </w:p>
          <w:p w14:paraId="6B069D79">
            <w:pPr>
              <w:adjustRightInd w:val="0"/>
              <w:snapToGrid w:val="0"/>
              <w:spacing w:line="360" w:lineRule="auto"/>
              <w:ind w:firstLine="472" w:firstLineChars="196"/>
              <w:rPr>
                <w:rFonts w:hint="eastAsia" w:ascii="Times New Roman" w:hAnsi="Times New Roman" w:eastAsia="宋体" w:cs="宋体"/>
                <w:b/>
                <w:bCs/>
                <w:color w:val="auto"/>
                <w:sz w:val="24"/>
                <w:szCs w:val="24"/>
                <w:highlight w:val="none"/>
                <w:u w:val="none" w:color="auto"/>
                <w:lang w:eastAsia="zh-CN"/>
              </w:rPr>
            </w:pPr>
            <w:r>
              <w:rPr>
                <w:rFonts w:hint="eastAsia" w:cs="宋体"/>
                <w:b/>
                <w:bCs/>
                <w:color w:val="auto"/>
                <w:sz w:val="24"/>
                <w:szCs w:val="24"/>
                <w:highlight w:val="none"/>
                <w:u w:val="none" w:color="auto"/>
                <w:lang w:val="en-US" w:eastAsia="zh-CN"/>
              </w:rPr>
              <w:t>3、</w:t>
            </w:r>
            <w:r>
              <w:rPr>
                <w:rFonts w:hint="eastAsia" w:ascii="Times New Roman" w:hAnsi="Times New Roman" w:eastAsia="宋体" w:cs="宋体"/>
                <w:b/>
                <w:bCs/>
                <w:color w:val="auto"/>
                <w:sz w:val="24"/>
                <w:szCs w:val="24"/>
                <w:highlight w:val="none"/>
                <w:u w:val="none" w:color="auto"/>
              </w:rPr>
              <w:t>三同时验收</w:t>
            </w:r>
          </w:p>
          <w:p w14:paraId="19E069C1">
            <w:pPr>
              <w:adjustRightInd w:val="0"/>
              <w:snapToGrid w:val="0"/>
              <w:spacing w:line="360" w:lineRule="auto"/>
              <w:ind w:firstLine="480" w:firstLineChars="200"/>
              <w:rPr>
                <w:rFonts w:hint="eastAsia" w:ascii="Times New Roman" w:hAnsi="Times New Roman" w:eastAsia="宋体" w:cs="宋体"/>
                <w:b w:val="0"/>
                <w:bCs w:val="0"/>
                <w:color w:val="auto"/>
                <w:sz w:val="24"/>
                <w:szCs w:val="24"/>
                <w:highlight w:val="none"/>
                <w:u w:val="none" w:color="auto"/>
                <w:lang w:eastAsia="zh-CN"/>
              </w:rPr>
            </w:pPr>
            <w:r>
              <w:rPr>
                <w:rFonts w:hint="eastAsia" w:ascii="Times New Roman" w:hAnsi="Times New Roman" w:eastAsia="宋体" w:cs="宋体"/>
                <w:b w:val="0"/>
                <w:bCs w:val="0"/>
                <w:color w:val="auto"/>
                <w:sz w:val="24"/>
                <w:szCs w:val="24"/>
                <w:highlight w:val="none"/>
                <w:u w:val="none" w:color="auto"/>
                <w:lang w:eastAsia="zh-CN"/>
              </w:rPr>
              <w:t>建设单位根据《建设项目竣工环境保护验收暂行办法》中华人民共和国环境保护部国环规环评【2017】4号要求执行验收规定。</w:t>
            </w:r>
          </w:p>
          <w:p w14:paraId="44AAE5AB">
            <w:pPr>
              <w:adjustRightInd w:val="0"/>
              <w:snapToGrid w:val="0"/>
              <w:spacing w:line="360" w:lineRule="auto"/>
              <w:ind w:firstLine="480" w:firstLineChars="200"/>
              <w:rPr>
                <w:rFonts w:hint="eastAsia" w:ascii="Times New Roman" w:hAnsi="Times New Roman" w:eastAsia="宋体" w:cs="宋体"/>
                <w:b w:val="0"/>
                <w:bCs w:val="0"/>
                <w:color w:val="auto"/>
                <w:sz w:val="24"/>
                <w:szCs w:val="24"/>
                <w:highlight w:val="none"/>
                <w:u w:val="none" w:color="auto"/>
                <w:lang w:eastAsia="zh-CN"/>
              </w:rPr>
            </w:pPr>
            <w:r>
              <w:rPr>
                <w:rFonts w:hint="eastAsia" w:ascii="Times New Roman" w:hAnsi="Times New Roman" w:eastAsia="宋体" w:cs="宋体"/>
                <w:b w:val="0"/>
                <w:bCs w:val="0"/>
                <w:color w:val="auto"/>
                <w:sz w:val="24"/>
                <w:szCs w:val="24"/>
                <w:highlight w:val="none"/>
                <w:u w:val="none" w:color="auto"/>
                <w:lang w:eastAsia="zh-CN"/>
              </w:rPr>
              <w:t>建设单位是项目竣工环境保护验收的责任主体，应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过程中弄虚作假。</w:t>
            </w:r>
          </w:p>
          <w:p w14:paraId="224778D9">
            <w:pPr>
              <w:adjustRightInd w:val="0"/>
              <w:snapToGrid w:val="0"/>
              <w:spacing w:line="360" w:lineRule="auto"/>
              <w:ind w:firstLine="480" w:firstLineChars="200"/>
              <w:rPr>
                <w:rFonts w:hint="eastAsia" w:ascii="Times New Roman" w:hAnsi="Times New Roman" w:eastAsia="宋体" w:cs="宋体"/>
                <w:b w:val="0"/>
                <w:bCs w:val="0"/>
                <w:color w:val="auto"/>
                <w:sz w:val="24"/>
                <w:szCs w:val="24"/>
                <w:highlight w:val="none"/>
                <w:u w:val="none" w:color="auto"/>
                <w:lang w:eastAsia="zh-CN"/>
              </w:rPr>
            </w:pPr>
          </w:p>
          <w:p w14:paraId="79A6A1BD">
            <w:pPr>
              <w:adjustRightInd w:val="0"/>
              <w:snapToGrid w:val="0"/>
              <w:spacing w:line="360" w:lineRule="auto"/>
              <w:ind w:firstLine="480" w:firstLineChars="200"/>
              <w:rPr>
                <w:rFonts w:hint="eastAsia" w:ascii="Times New Roman" w:hAnsi="Times New Roman" w:eastAsia="宋体" w:cs="宋体"/>
                <w:b w:val="0"/>
                <w:bCs w:val="0"/>
                <w:color w:val="auto"/>
                <w:sz w:val="24"/>
                <w:szCs w:val="24"/>
                <w:highlight w:val="none"/>
                <w:u w:val="none" w:color="auto"/>
                <w:lang w:eastAsia="zh-CN"/>
              </w:rPr>
            </w:pPr>
          </w:p>
          <w:p w14:paraId="75D2FA48">
            <w:pPr>
              <w:adjustRightInd w:val="0"/>
              <w:snapToGrid w:val="0"/>
              <w:spacing w:line="360" w:lineRule="auto"/>
              <w:ind w:firstLine="480" w:firstLineChars="200"/>
              <w:rPr>
                <w:rFonts w:hint="eastAsia" w:ascii="Times New Roman" w:hAnsi="Times New Roman" w:eastAsia="宋体" w:cs="宋体"/>
                <w:b w:val="0"/>
                <w:bCs w:val="0"/>
                <w:color w:val="auto"/>
                <w:sz w:val="24"/>
                <w:szCs w:val="24"/>
                <w:highlight w:val="none"/>
                <w:u w:val="none" w:color="auto"/>
                <w:lang w:eastAsia="zh-CN"/>
              </w:rPr>
            </w:pPr>
          </w:p>
          <w:p w14:paraId="20122996">
            <w:pPr>
              <w:adjustRightInd w:val="0"/>
              <w:snapToGrid w:val="0"/>
              <w:spacing w:line="360" w:lineRule="auto"/>
              <w:ind w:firstLine="480" w:firstLineChars="200"/>
              <w:rPr>
                <w:rFonts w:hint="eastAsia" w:ascii="Times New Roman" w:hAnsi="Times New Roman" w:eastAsia="宋体" w:cs="宋体"/>
                <w:b w:val="0"/>
                <w:bCs w:val="0"/>
                <w:color w:val="auto"/>
                <w:sz w:val="24"/>
                <w:szCs w:val="24"/>
                <w:highlight w:val="none"/>
                <w:u w:val="none" w:color="auto"/>
                <w:lang w:eastAsia="zh-CN"/>
              </w:rPr>
            </w:pPr>
          </w:p>
          <w:p w14:paraId="79369D9A">
            <w:pPr>
              <w:adjustRightInd w:val="0"/>
              <w:snapToGrid w:val="0"/>
              <w:spacing w:line="360" w:lineRule="auto"/>
              <w:ind w:firstLine="480" w:firstLineChars="200"/>
              <w:rPr>
                <w:rFonts w:hint="eastAsia" w:ascii="Times New Roman" w:hAnsi="Times New Roman" w:eastAsia="宋体" w:cs="宋体"/>
                <w:b w:val="0"/>
                <w:bCs w:val="0"/>
                <w:color w:val="auto"/>
                <w:sz w:val="24"/>
                <w:szCs w:val="24"/>
                <w:highlight w:val="none"/>
                <w:u w:val="none" w:color="auto"/>
                <w:lang w:eastAsia="zh-CN"/>
              </w:rPr>
            </w:pPr>
          </w:p>
          <w:p w14:paraId="0CAD630C">
            <w:pPr>
              <w:adjustRightInd w:val="0"/>
              <w:snapToGrid w:val="0"/>
              <w:spacing w:line="360" w:lineRule="auto"/>
              <w:rPr>
                <w:rFonts w:hint="eastAsia" w:ascii="Times New Roman" w:hAnsi="Times New Roman" w:eastAsia="宋体" w:cs="宋体"/>
                <w:b w:val="0"/>
                <w:bCs w:val="0"/>
                <w:color w:val="auto"/>
                <w:sz w:val="24"/>
                <w:szCs w:val="24"/>
                <w:highlight w:val="none"/>
                <w:u w:val="none" w:color="auto"/>
                <w:lang w:eastAsia="zh-CN"/>
              </w:rPr>
            </w:pPr>
          </w:p>
          <w:p w14:paraId="43B37780">
            <w:pPr>
              <w:adjustRightInd w:val="0"/>
              <w:snapToGrid w:val="0"/>
              <w:spacing w:line="360" w:lineRule="auto"/>
              <w:ind w:firstLine="480" w:firstLineChars="200"/>
              <w:rPr>
                <w:rFonts w:hint="eastAsia" w:ascii="Times New Roman" w:hAnsi="Times New Roman" w:eastAsia="宋体" w:cs="宋体"/>
                <w:b w:val="0"/>
                <w:bCs w:val="0"/>
                <w:color w:val="auto"/>
                <w:sz w:val="24"/>
                <w:szCs w:val="24"/>
                <w:highlight w:val="none"/>
                <w:u w:val="none" w:color="auto"/>
                <w:lang w:eastAsia="zh-CN"/>
              </w:rPr>
            </w:pPr>
          </w:p>
          <w:p w14:paraId="5B5C898C">
            <w:pPr>
              <w:adjustRightInd w:val="0"/>
              <w:snapToGrid w:val="0"/>
              <w:spacing w:line="360" w:lineRule="auto"/>
              <w:rPr>
                <w:rFonts w:hint="eastAsia" w:eastAsia="宋体"/>
                <w:color w:val="auto"/>
                <w:sz w:val="24"/>
                <w:szCs w:val="24"/>
                <w:highlight w:val="none"/>
                <w:u w:val="none" w:color="auto"/>
                <w:lang w:eastAsia="zh-CN"/>
              </w:rPr>
            </w:pPr>
          </w:p>
        </w:tc>
      </w:tr>
    </w:tbl>
    <w:p w14:paraId="23329E48">
      <w:pPr>
        <w:pStyle w:val="21"/>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outlineLvl w:val="0"/>
        <w:rPr>
          <w:rFonts w:hint="eastAsia" w:ascii="黑体" w:hAnsi="黑体" w:eastAsia="黑体" w:cs="Times New Roman"/>
          <w:snapToGrid w:val="0"/>
          <w:color w:val="auto"/>
          <w:sz w:val="30"/>
          <w:szCs w:val="30"/>
          <w:highlight w:val="none"/>
          <w:u w:val="none" w:color="auto"/>
        </w:rPr>
      </w:pPr>
      <w:r>
        <w:rPr>
          <w:snapToGrid w:val="0"/>
          <w:highlight w:val="cyan"/>
        </w:rPr>
        <w:br w:type="page"/>
      </w:r>
      <w:r>
        <w:rPr>
          <w:rFonts w:hint="eastAsia" w:ascii="黑体" w:hAnsi="黑体" w:eastAsia="黑体" w:cs="Times New Roman"/>
          <w:snapToGrid w:val="0"/>
          <w:color w:val="auto"/>
          <w:sz w:val="30"/>
          <w:szCs w:val="30"/>
          <w:highlight w:val="none"/>
          <w:u w:val="none" w:color="auto"/>
        </w:rPr>
        <w:t>六、结论</w:t>
      </w:r>
    </w:p>
    <w:tbl>
      <w:tblPr>
        <w:tblStyle w:val="2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33237B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top"/>
          </w:tcPr>
          <w:p w14:paraId="4761A4BD">
            <w:pPr>
              <w:adjustRightInd w:val="0"/>
              <w:snapToGrid w:val="0"/>
              <w:spacing w:line="360" w:lineRule="auto"/>
              <w:ind w:firstLine="480" w:firstLineChars="200"/>
              <w:rPr>
                <w:rFonts w:hint="eastAsia"/>
                <w:color w:val="auto"/>
                <w:sz w:val="24"/>
                <w:highlight w:val="none"/>
                <w:u w:val="none" w:color="auto"/>
              </w:rPr>
            </w:pPr>
            <w:r>
              <w:rPr>
                <w:rFonts w:hint="eastAsia"/>
                <w:color w:val="auto"/>
                <w:sz w:val="24"/>
                <w:highlight w:val="none"/>
                <w:u w:val="none" w:color="auto"/>
              </w:rPr>
              <w:t>本项目选址于白山市临江市桦树镇西大川村，</w:t>
            </w:r>
            <w:r>
              <w:rPr>
                <w:rFonts w:hint="eastAsia"/>
                <w:color w:val="auto"/>
                <w:sz w:val="24"/>
                <w:highlight w:val="none"/>
                <w:u w:val="none" w:color="auto"/>
                <w:lang w:val="en-US" w:eastAsia="zh-CN"/>
              </w:rPr>
              <w:t>属于</w:t>
            </w:r>
            <w:r>
              <w:rPr>
                <w:rFonts w:hint="eastAsia"/>
                <w:color w:val="auto"/>
                <w:sz w:val="24"/>
                <w:highlight w:val="none"/>
                <w:u w:val="none" w:color="auto"/>
              </w:rPr>
              <w:t>为</w:t>
            </w:r>
            <w:r>
              <w:rPr>
                <w:rFonts w:hint="default" w:ascii="Times New Roman" w:hAnsi="Times New Roman" w:eastAsia="宋体" w:cs="Times New Roman"/>
                <w:sz w:val="24"/>
                <w:szCs w:val="24"/>
                <w:highlight w:val="none"/>
                <w:lang w:eastAsia="zh-CN"/>
              </w:rPr>
              <w:t>国道漫临线（G612）分水（县界）至临江段工程MLSG01标段</w:t>
            </w:r>
            <w:r>
              <w:rPr>
                <w:rFonts w:hint="eastAsia"/>
                <w:color w:val="auto"/>
                <w:sz w:val="24"/>
                <w:highlight w:val="none"/>
                <w:u w:val="none" w:color="auto"/>
                <w:lang w:val="en-US" w:eastAsia="zh-CN"/>
              </w:rPr>
              <w:t>配套</w:t>
            </w:r>
            <w:r>
              <w:rPr>
                <w:rFonts w:hint="eastAsia"/>
                <w:color w:val="auto"/>
                <w:sz w:val="24"/>
                <w:highlight w:val="none"/>
                <w:u w:val="none" w:color="auto"/>
              </w:rPr>
              <w:t>临时</w:t>
            </w:r>
            <w:r>
              <w:rPr>
                <w:rFonts w:hint="eastAsia"/>
                <w:color w:val="auto"/>
                <w:sz w:val="24"/>
                <w:highlight w:val="none"/>
                <w:u w:val="none" w:color="auto"/>
                <w:lang w:val="en-US" w:eastAsia="zh-CN"/>
              </w:rPr>
              <w:t>混凝土搅拌站</w:t>
            </w:r>
            <w:r>
              <w:rPr>
                <w:rFonts w:hint="eastAsia"/>
                <w:color w:val="auto"/>
                <w:sz w:val="24"/>
                <w:highlight w:val="none"/>
                <w:u w:val="none" w:color="auto"/>
              </w:rPr>
              <w:t>项目，建设内容符合国家产业政策及区域</w:t>
            </w:r>
            <w:r>
              <w:rPr>
                <w:rFonts w:hint="eastAsia"/>
                <w:color w:val="auto"/>
                <w:sz w:val="24"/>
                <w:highlight w:val="none"/>
                <w:u w:val="none" w:color="auto"/>
                <w:lang w:val="en-US" w:eastAsia="zh-CN"/>
              </w:rPr>
              <w:t>生态环境分区</w:t>
            </w:r>
            <w:r>
              <w:rPr>
                <w:rFonts w:hint="eastAsia"/>
                <w:color w:val="auto"/>
                <w:sz w:val="24"/>
                <w:highlight w:val="none"/>
                <w:u w:val="none" w:color="auto"/>
              </w:rPr>
              <w:t>管控要求</w:t>
            </w:r>
            <w:r>
              <w:rPr>
                <w:rFonts w:hint="eastAsia"/>
                <w:color w:val="auto"/>
                <w:sz w:val="24"/>
                <w:highlight w:val="none"/>
                <w:u w:val="none" w:color="auto"/>
                <w:lang w:eastAsia="zh-CN"/>
              </w:rPr>
              <w:t>，</w:t>
            </w:r>
            <w:r>
              <w:rPr>
                <w:rFonts w:hint="eastAsia"/>
                <w:color w:val="auto"/>
                <w:sz w:val="24"/>
                <w:highlight w:val="none"/>
                <w:u w:val="none" w:color="auto"/>
                <w:lang w:val="en-US" w:eastAsia="zh-CN"/>
              </w:rPr>
              <w:t>已取得临时用地审批手续</w:t>
            </w:r>
            <w:r>
              <w:rPr>
                <w:rFonts w:hint="eastAsia"/>
                <w:color w:val="auto"/>
                <w:sz w:val="24"/>
                <w:highlight w:val="none"/>
                <w:u w:val="none" w:color="auto"/>
              </w:rPr>
              <w:t>。项目严格落实本报告提出的各项环保措施，确保污染物稳定达标排放，对周边环境影响较小。从生态环境保护角度分析，本项目建设可行。</w:t>
            </w:r>
          </w:p>
          <w:p w14:paraId="1844E70D">
            <w:pPr>
              <w:adjustRightInd w:val="0"/>
              <w:snapToGrid w:val="0"/>
              <w:spacing w:line="360" w:lineRule="auto"/>
              <w:ind w:firstLine="480" w:firstLineChars="200"/>
              <w:rPr>
                <w:rFonts w:hint="eastAsia"/>
                <w:color w:val="auto"/>
                <w:sz w:val="24"/>
                <w:highlight w:val="none"/>
                <w:u w:val="none" w:color="auto"/>
              </w:rPr>
            </w:pPr>
          </w:p>
          <w:p w14:paraId="54D1E9F1">
            <w:pPr>
              <w:adjustRightInd w:val="0"/>
              <w:snapToGrid w:val="0"/>
              <w:spacing w:line="360" w:lineRule="auto"/>
              <w:ind w:firstLine="480" w:firstLineChars="200"/>
              <w:rPr>
                <w:rFonts w:hint="eastAsia" w:eastAsia="宋体"/>
                <w:color w:val="auto"/>
                <w:sz w:val="24"/>
                <w:highlight w:val="none"/>
                <w:u w:val="none" w:color="auto"/>
                <w:lang w:eastAsia="zh-CN"/>
              </w:rPr>
            </w:pPr>
            <w:r>
              <w:rPr>
                <w:rFonts w:hint="eastAsia"/>
                <w:color w:val="auto"/>
                <w:sz w:val="24"/>
                <w:highlight w:val="none"/>
                <w:u w:val="none" w:color="auto"/>
                <w:lang w:eastAsia="zh-CN"/>
              </w:rPr>
              <w:t>附图：</w:t>
            </w:r>
          </w:p>
          <w:p w14:paraId="7EFFF638">
            <w:pPr>
              <w:adjustRightInd w:val="0"/>
              <w:snapToGrid w:val="0"/>
              <w:spacing w:line="360" w:lineRule="auto"/>
              <w:ind w:firstLine="480" w:firstLineChars="200"/>
              <w:rPr>
                <w:rFonts w:hint="eastAsia"/>
                <w:color w:val="auto"/>
                <w:sz w:val="24"/>
                <w:highlight w:val="none"/>
                <w:u w:val="none" w:color="auto"/>
              </w:rPr>
            </w:pPr>
            <w:r>
              <w:rPr>
                <w:rFonts w:hint="eastAsia"/>
                <w:color w:val="auto"/>
                <w:sz w:val="24"/>
                <w:highlight w:val="none"/>
                <w:u w:val="none" w:color="auto"/>
              </w:rPr>
              <w:t>附图1 建设项目地理位置示意图</w:t>
            </w:r>
          </w:p>
          <w:p w14:paraId="7CEE7F3E">
            <w:pPr>
              <w:adjustRightInd w:val="0"/>
              <w:snapToGrid w:val="0"/>
              <w:spacing w:line="360" w:lineRule="auto"/>
              <w:ind w:firstLine="480" w:firstLineChars="200"/>
              <w:rPr>
                <w:rFonts w:hint="default" w:eastAsia="宋体"/>
                <w:color w:val="auto"/>
                <w:sz w:val="24"/>
                <w:highlight w:val="none"/>
                <w:u w:val="none" w:color="auto"/>
                <w:lang w:val="en-US" w:eastAsia="zh-CN"/>
              </w:rPr>
            </w:pPr>
            <w:r>
              <w:rPr>
                <w:rFonts w:hint="eastAsia"/>
                <w:color w:val="auto"/>
                <w:sz w:val="24"/>
                <w:highlight w:val="none"/>
                <w:u w:val="none" w:color="auto"/>
                <w:lang w:eastAsia="zh-CN"/>
              </w:rPr>
              <w:t>附图</w:t>
            </w:r>
            <w:r>
              <w:rPr>
                <w:rFonts w:hint="eastAsia"/>
                <w:color w:val="auto"/>
                <w:sz w:val="24"/>
                <w:highlight w:val="none"/>
                <w:u w:val="none" w:color="auto"/>
                <w:lang w:val="en-US" w:eastAsia="zh-CN"/>
              </w:rPr>
              <w:t>2 建设项目在吉林省环境管控单元分布图中的位置</w:t>
            </w:r>
          </w:p>
          <w:p w14:paraId="3002426D">
            <w:pPr>
              <w:adjustRightInd w:val="0"/>
              <w:snapToGrid w:val="0"/>
              <w:spacing w:line="360" w:lineRule="auto"/>
              <w:ind w:firstLine="480" w:firstLineChars="200"/>
              <w:rPr>
                <w:rFonts w:hint="default" w:eastAsia="宋体"/>
                <w:color w:val="auto"/>
                <w:sz w:val="24"/>
                <w:highlight w:val="none"/>
                <w:u w:val="none" w:color="auto"/>
                <w:lang w:val="en-US" w:eastAsia="zh-CN"/>
              </w:rPr>
            </w:pPr>
            <w:r>
              <w:rPr>
                <w:rFonts w:hint="eastAsia"/>
                <w:color w:val="auto"/>
                <w:sz w:val="24"/>
                <w:highlight w:val="none"/>
                <w:u w:val="none" w:color="auto"/>
                <w:lang w:eastAsia="zh-CN"/>
              </w:rPr>
              <w:t>附图</w:t>
            </w:r>
            <w:r>
              <w:rPr>
                <w:rFonts w:hint="eastAsia"/>
                <w:color w:val="auto"/>
                <w:sz w:val="24"/>
                <w:highlight w:val="none"/>
                <w:u w:val="none" w:color="auto"/>
                <w:lang w:val="en-US" w:eastAsia="zh-CN"/>
              </w:rPr>
              <w:t>3 厂区平面布置及周围环境关系图</w:t>
            </w:r>
          </w:p>
          <w:p w14:paraId="4FD46EA0">
            <w:pPr>
              <w:adjustRightInd w:val="0"/>
              <w:snapToGrid w:val="0"/>
              <w:spacing w:line="360" w:lineRule="auto"/>
              <w:ind w:firstLine="480" w:firstLineChars="200"/>
              <w:rPr>
                <w:rFonts w:hint="default" w:eastAsia="宋体"/>
                <w:color w:val="auto"/>
                <w:sz w:val="24"/>
                <w:highlight w:val="none"/>
                <w:u w:val="none" w:color="auto"/>
                <w:lang w:val="en-US" w:eastAsia="zh-CN"/>
              </w:rPr>
            </w:pPr>
            <w:r>
              <w:rPr>
                <w:rFonts w:hint="eastAsia"/>
                <w:color w:val="auto"/>
                <w:sz w:val="24"/>
                <w:highlight w:val="none"/>
                <w:u w:val="none" w:color="auto"/>
                <w:lang w:eastAsia="zh-CN"/>
              </w:rPr>
              <w:t>附图</w:t>
            </w:r>
            <w:r>
              <w:rPr>
                <w:rFonts w:hint="eastAsia"/>
                <w:color w:val="auto"/>
                <w:sz w:val="24"/>
                <w:highlight w:val="none"/>
                <w:u w:val="none" w:color="auto"/>
                <w:lang w:val="en-US" w:eastAsia="zh-CN"/>
              </w:rPr>
              <w:t>4 环境空气监测点位图</w:t>
            </w:r>
          </w:p>
          <w:p w14:paraId="5699B7C5">
            <w:pPr>
              <w:adjustRightInd w:val="0"/>
              <w:snapToGrid w:val="0"/>
              <w:spacing w:line="360" w:lineRule="auto"/>
              <w:ind w:firstLine="480" w:firstLineChars="200"/>
              <w:rPr>
                <w:rFonts w:hint="default" w:eastAsia="宋体"/>
                <w:color w:val="auto"/>
                <w:sz w:val="24"/>
                <w:highlight w:val="none"/>
                <w:u w:val="none" w:color="auto"/>
                <w:lang w:val="en-US" w:eastAsia="zh-CN"/>
              </w:rPr>
            </w:pPr>
            <w:r>
              <w:rPr>
                <w:rFonts w:hint="eastAsia"/>
                <w:color w:val="auto"/>
                <w:sz w:val="24"/>
                <w:highlight w:val="none"/>
                <w:u w:val="none" w:color="auto"/>
                <w:lang w:eastAsia="zh-CN"/>
              </w:rPr>
              <w:t>附图</w:t>
            </w:r>
            <w:r>
              <w:rPr>
                <w:rFonts w:hint="eastAsia"/>
                <w:color w:val="auto"/>
                <w:sz w:val="24"/>
                <w:highlight w:val="none"/>
                <w:u w:val="none" w:color="auto"/>
                <w:lang w:val="en-US" w:eastAsia="zh-CN"/>
              </w:rPr>
              <w:t>5 现场踏查照片</w:t>
            </w:r>
          </w:p>
          <w:p w14:paraId="2A9E7B78">
            <w:pPr>
              <w:adjustRightInd w:val="0"/>
              <w:snapToGrid w:val="0"/>
              <w:spacing w:line="360" w:lineRule="auto"/>
              <w:ind w:firstLine="480" w:firstLineChars="200"/>
              <w:rPr>
                <w:rFonts w:hint="eastAsia" w:eastAsia="宋体"/>
                <w:color w:val="auto"/>
                <w:sz w:val="24"/>
                <w:highlight w:val="none"/>
                <w:u w:val="none" w:color="auto"/>
                <w:lang w:eastAsia="zh-CN"/>
              </w:rPr>
            </w:pPr>
            <w:r>
              <w:rPr>
                <w:rFonts w:hint="eastAsia"/>
                <w:color w:val="auto"/>
                <w:sz w:val="24"/>
                <w:highlight w:val="none"/>
                <w:u w:val="none" w:color="auto"/>
                <w:lang w:eastAsia="zh-CN"/>
              </w:rPr>
              <w:t>附件：</w:t>
            </w:r>
          </w:p>
          <w:p w14:paraId="7CD633A2">
            <w:pPr>
              <w:adjustRightInd w:val="0"/>
              <w:snapToGrid w:val="0"/>
              <w:spacing w:line="360" w:lineRule="auto"/>
              <w:ind w:firstLine="480" w:firstLineChars="200"/>
              <w:rPr>
                <w:rFonts w:hint="default" w:eastAsia="宋体"/>
                <w:color w:val="auto"/>
                <w:sz w:val="24"/>
                <w:highlight w:val="none"/>
                <w:u w:val="none" w:color="auto"/>
                <w:lang w:val="en-US" w:eastAsia="zh-CN"/>
              </w:rPr>
            </w:pPr>
            <w:r>
              <w:rPr>
                <w:rFonts w:hint="eastAsia"/>
                <w:color w:val="auto"/>
                <w:sz w:val="24"/>
                <w:highlight w:val="none"/>
                <w:u w:val="none" w:color="auto"/>
                <w:lang w:eastAsia="zh-CN"/>
              </w:rPr>
              <w:t>附件</w:t>
            </w:r>
            <w:r>
              <w:rPr>
                <w:rFonts w:hint="eastAsia"/>
                <w:color w:val="auto"/>
                <w:sz w:val="24"/>
                <w:highlight w:val="none"/>
                <w:u w:val="none" w:color="auto"/>
                <w:lang w:val="en-US" w:eastAsia="zh-CN"/>
              </w:rPr>
              <w:t>1 临时用地审批手续</w:t>
            </w:r>
          </w:p>
          <w:p w14:paraId="32D79971">
            <w:pPr>
              <w:adjustRightInd w:val="0"/>
              <w:snapToGrid w:val="0"/>
              <w:spacing w:line="360" w:lineRule="auto"/>
              <w:ind w:firstLine="480" w:firstLineChars="200"/>
              <w:rPr>
                <w:rFonts w:hint="default"/>
                <w:color w:val="auto"/>
                <w:sz w:val="24"/>
                <w:highlight w:val="none"/>
                <w:u w:val="none" w:color="auto"/>
                <w:lang w:val="en-US" w:eastAsia="zh-CN"/>
              </w:rPr>
            </w:pPr>
            <w:r>
              <w:rPr>
                <w:rFonts w:hint="eastAsia"/>
                <w:color w:val="auto"/>
                <w:sz w:val="24"/>
                <w:highlight w:val="none"/>
                <w:u w:val="none" w:color="auto"/>
                <w:lang w:eastAsia="zh-CN"/>
              </w:rPr>
              <w:t>附件</w:t>
            </w:r>
            <w:r>
              <w:rPr>
                <w:rFonts w:hint="eastAsia"/>
                <w:color w:val="auto"/>
                <w:sz w:val="24"/>
                <w:highlight w:val="none"/>
                <w:u w:val="none" w:color="auto"/>
                <w:lang w:val="en-US" w:eastAsia="zh-CN"/>
              </w:rPr>
              <w:t>2 环境空气检测报告</w:t>
            </w:r>
          </w:p>
          <w:p w14:paraId="15DC5764">
            <w:pPr>
              <w:adjustRightInd w:val="0"/>
              <w:snapToGrid w:val="0"/>
              <w:spacing w:line="360" w:lineRule="auto"/>
              <w:ind w:firstLine="480" w:firstLineChars="200"/>
              <w:rPr>
                <w:rFonts w:hint="default"/>
                <w:color w:val="auto"/>
                <w:sz w:val="24"/>
                <w:highlight w:val="none"/>
                <w:u w:val="none" w:color="auto"/>
                <w:lang w:val="en-US" w:eastAsia="zh-CN"/>
              </w:rPr>
            </w:pPr>
          </w:p>
          <w:p w14:paraId="639C2720">
            <w:pPr>
              <w:adjustRightInd w:val="0"/>
              <w:snapToGrid w:val="0"/>
              <w:spacing w:line="360" w:lineRule="auto"/>
              <w:ind w:firstLine="480" w:firstLineChars="200"/>
              <w:rPr>
                <w:rFonts w:hint="default"/>
                <w:color w:val="auto"/>
                <w:sz w:val="24"/>
                <w:highlight w:val="none"/>
                <w:u w:val="none" w:color="auto"/>
                <w:lang w:val="en-US"/>
              </w:rPr>
            </w:pPr>
          </w:p>
          <w:p w14:paraId="009A2817">
            <w:pPr>
              <w:spacing w:line="360" w:lineRule="auto"/>
              <w:ind w:firstLine="480" w:firstLineChars="200"/>
              <w:jc w:val="both"/>
              <w:rPr>
                <w:rFonts w:ascii="宋体" w:cs="宋体"/>
                <w:sz w:val="24"/>
                <w:highlight w:val="cyan"/>
              </w:rPr>
            </w:pPr>
          </w:p>
        </w:tc>
      </w:tr>
    </w:tbl>
    <w:p w14:paraId="72358762">
      <w:pPr>
        <w:rPr>
          <w:rFonts w:ascii="宋体"/>
          <w:highlight w:val="cyan"/>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64E2BD17">
      <w:pPr>
        <w:pStyle w:val="21"/>
        <w:adjustRightInd w:val="0"/>
        <w:snapToGrid w:val="0"/>
        <w:spacing w:before="0" w:beforeAutospacing="0" w:after="0" w:afterAutospacing="0" w:line="648" w:lineRule="auto"/>
        <w:outlineLvl w:val="0"/>
        <w:rPr>
          <w:rFonts w:ascii="黑体" w:hAnsi="黑体" w:eastAsia="黑体"/>
          <w:snapToGrid w:val="0"/>
          <w:sz w:val="32"/>
          <w:szCs w:val="32"/>
          <w:highlight w:val="none"/>
        </w:rPr>
      </w:pPr>
      <w:r>
        <w:rPr>
          <w:rFonts w:hint="eastAsia" w:ascii="黑体" w:hAnsi="黑体" w:eastAsia="黑体"/>
          <w:snapToGrid w:val="0"/>
          <w:sz w:val="32"/>
          <w:szCs w:val="32"/>
          <w:highlight w:val="none"/>
        </w:rPr>
        <w:t>附表</w:t>
      </w:r>
    </w:p>
    <w:p w14:paraId="43A6A0E4">
      <w:pPr>
        <w:pStyle w:val="21"/>
        <w:adjustRightInd w:val="0"/>
        <w:snapToGrid w:val="0"/>
        <w:spacing w:before="0" w:beforeAutospacing="0" w:after="0" w:afterAutospacing="0" w:line="240" w:lineRule="auto"/>
        <w:jc w:val="center"/>
        <w:outlineLvl w:val="0"/>
        <w:rPr>
          <w:rFonts w:hint="eastAsia" w:ascii="方正小标宋_GBK" w:hAnsi="黑体" w:eastAsia="方正小标宋_GBK"/>
          <w:snapToGrid w:val="0"/>
          <w:color w:val="auto"/>
          <w:sz w:val="38"/>
          <w:szCs w:val="38"/>
          <w:highlight w:val="none"/>
        </w:rPr>
      </w:pPr>
      <w:r>
        <w:rPr>
          <w:rFonts w:hint="eastAsia" w:ascii="方正小标宋_GBK" w:hAnsi="黑体" w:eastAsia="方正小标宋_GBK"/>
          <w:snapToGrid w:val="0"/>
          <w:color w:val="auto"/>
          <w:sz w:val="38"/>
          <w:szCs w:val="38"/>
          <w:highlight w:val="none"/>
        </w:rPr>
        <w:t>建设项目污染物排放量汇总表</w:t>
      </w:r>
    </w:p>
    <w:tbl>
      <w:tblPr>
        <w:tblStyle w:val="25"/>
        <w:tblW w:w="14044"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77"/>
        <w:gridCol w:w="1528"/>
        <w:gridCol w:w="1701"/>
        <w:gridCol w:w="1276"/>
        <w:gridCol w:w="1701"/>
        <w:gridCol w:w="1559"/>
        <w:gridCol w:w="1761"/>
        <w:gridCol w:w="1783"/>
        <w:gridCol w:w="1258"/>
      </w:tblGrid>
      <w:tr w14:paraId="4C2366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477" w:type="dxa"/>
            <w:tcBorders>
              <w:tl2br w:val="single" w:color="auto" w:sz="4" w:space="0"/>
            </w:tcBorders>
            <w:noWrap w:val="0"/>
            <w:tcMar>
              <w:left w:w="28" w:type="dxa"/>
              <w:right w:w="28" w:type="dxa"/>
            </w:tcMar>
            <w:vAlign w:val="center"/>
          </w:tcPr>
          <w:p w14:paraId="141FB70A">
            <w:pPr>
              <w:pStyle w:val="49"/>
              <w:spacing w:beforeLines="0" w:afterLines="0" w:line="240" w:lineRule="auto"/>
              <w:jc w:val="right"/>
              <w:rPr>
                <w:rFonts w:ascii="Times New Roman" w:eastAsia="Calibri"/>
                <w:snapToGrid w:val="0"/>
                <w:color w:val="auto"/>
                <w:spacing w:val="-6"/>
                <w:kern w:val="21"/>
                <w:sz w:val="21"/>
                <w:szCs w:val="21"/>
                <w:highlight w:val="none"/>
                <w:u w:val="none"/>
              </w:rPr>
            </w:pPr>
            <w:r>
              <w:rPr>
                <w:rFonts w:ascii="宋体" w:hAnsi="宋体" w:eastAsia="宋体" w:cs="宋体"/>
                <w:snapToGrid w:val="0"/>
                <w:color w:val="auto"/>
                <w:spacing w:val="-6"/>
                <w:kern w:val="21"/>
                <w:sz w:val="21"/>
                <w:szCs w:val="21"/>
                <w:highlight w:val="none"/>
                <w:u w:val="none"/>
              </w:rPr>
              <w:t>项目</w:t>
            </w:r>
          </w:p>
          <w:p w14:paraId="0D570E53">
            <w:pPr>
              <w:pStyle w:val="49"/>
              <w:spacing w:beforeLines="0" w:afterLines="0" w:line="240" w:lineRule="auto"/>
              <w:jc w:val="left"/>
              <w:rPr>
                <w:rFonts w:ascii="Times New Roman" w:eastAsia="Calibri"/>
                <w:snapToGrid w:val="0"/>
                <w:color w:val="auto"/>
                <w:spacing w:val="-6"/>
                <w:kern w:val="21"/>
                <w:sz w:val="21"/>
                <w:szCs w:val="21"/>
                <w:highlight w:val="none"/>
                <w:u w:val="none"/>
              </w:rPr>
            </w:pPr>
            <w:r>
              <w:rPr>
                <w:rFonts w:ascii="宋体" w:hAnsi="宋体" w:eastAsia="宋体" w:cs="宋体"/>
                <w:snapToGrid w:val="0"/>
                <w:color w:val="auto"/>
                <w:spacing w:val="-6"/>
                <w:kern w:val="21"/>
                <w:sz w:val="21"/>
                <w:szCs w:val="21"/>
                <w:highlight w:val="none"/>
                <w:u w:val="none"/>
              </w:rPr>
              <w:t>分类</w:t>
            </w:r>
          </w:p>
        </w:tc>
        <w:tc>
          <w:tcPr>
            <w:tcW w:w="1528" w:type="dxa"/>
            <w:noWrap w:val="0"/>
            <w:tcMar>
              <w:left w:w="28" w:type="dxa"/>
              <w:right w:w="28" w:type="dxa"/>
            </w:tcMar>
            <w:vAlign w:val="center"/>
          </w:tcPr>
          <w:p w14:paraId="4E9EF813">
            <w:pPr>
              <w:pStyle w:val="49"/>
              <w:spacing w:beforeLines="0" w:afterLines="0" w:line="240" w:lineRule="auto"/>
              <w:rPr>
                <w:rFonts w:ascii="Times New Roman" w:eastAsia="Calibri"/>
                <w:snapToGrid w:val="0"/>
                <w:color w:val="auto"/>
                <w:spacing w:val="-6"/>
                <w:kern w:val="21"/>
                <w:sz w:val="21"/>
                <w:szCs w:val="21"/>
                <w:highlight w:val="none"/>
                <w:u w:val="none"/>
              </w:rPr>
            </w:pPr>
            <w:r>
              <w:rPr>
                <w:rFonts w:ascii="宋体" w:hAnsi="宋体" w:eastAsia="宋体" w:cs="宋体"/>
                <w:snapToGrid w:val="0"/>
                <w:color w:val="auto"/>
                <w:spacing w:val="-6"/>
                <w:kern w:val="21"/>
                <w:sz w:val="21"/>
                <w:szCs w:val="21"/>
                <w:highlight w:val="none"/>
                <w:u w:val="none"/>
              </w:rPr>
              <w:t>污染物名称</w:t>
            </w:r>
          </w:p>
        </w:tc>
        <w:tc>
          <w:tcPr>
            <w:tcW w:w="1701" w:type="dxa"/>
            <w:noWrap w:val="0"/>
            <w:tcMar>
              <w:left w:w="28" w:type="dxa"/>
              <w:right w:w="28" w:type="dxa"/>
            </w:tcMar>
            <w:vAlign w:val="center"/>
          </w:tcPr>
          <w:p w14:paraId="47123B2E">
            <w:pPr>
              <w:pStyle w:val="49"/>
              <w:spacing w:beforeLines="0" w:afterLines="0" w:line="240" w:lineRule="auto"/>
              <w:rPr>
                <w:rFonts w:ascii="Times New Roman" w:eastAsia="Calibri"/>
                <w:snapToGrid w:val="0"/>
                <w:color w:val="auto"/>
                <w:spacing w:val="-6"/>
                <w:kern w:val="21"/>
                <w:sz w:val="21"/>
                <w:szCs w:val="21"/>
                <w:highlight w:val="none"/>
                <w:u w:val="none"/>
              </w:rPr>
            </w:pPr>
            <w:r>
              <w:rPr>
                <w:rFonts w:ascii="宋体" w:hAnsi="宋体" w:eastAsia="宋体" w:cs="宋体"/>
                <w:snapToGrid w:val="0"/>
                <w:color w:val="auto"/>
                <w:spacing w:val="-6"/>
                <w:kern w:val="21"/>
                <w:sz w:val="21"/>
                <w:szCs w:val="21"/>
                <w:highlight w:val="none"/>
                <w:u w:val="none"/>
              </w:rPr>
              <w:t>现有工程</w:t>
            </w:r>
          </w:p>
          <w:p w14:paraId="75210772">
            <w:pPr>
              <w:pStyle w:val="49"/>
              <w:spacing w:beforeLines="0" w:afterLines="0" w:line="240" w:lineRule="auto"/>
              <w:rPr>
                <w:rFonts w:ascii="Times New Roman" w:eastAsia="Calibri"/>
                <w:snapToGrid w:val="0"/>
                <w:color w:val="auto"/>
                <w:spacing w:val="-6"/>
                <w:kern w:val="21"/>
                <w:sz w:val="21"/>
                <w:szCs w:val="21"/>
                <w:highlight w:val="none"/>
                <w:u w:val="none"/>
              </w:rPr>
            </w:pPr>
            <w:r>
              <w:rPr>
                <w:rFonts w:ascii="宋体" w:hAnsi="宋体" w:eastAsia="宋体" w:cs="宋体"/>
                <w:snapToGrid w:val="0"/>
                <w:color w:val="auto"/>
                <w:spacing w:val="-6"/>
                <w:kern w:val="21"/>
                <w:sz w:val="21"/>
                <w:szCs w:val="21"/>
                <w:highlight w:val="none"/>
                <w:u w:val="none"/>
              </w:rPr>
              <w:t>排放量（固体废物产生量）</w:t>
            </w:r>
            <w:r>
              <w:rPr>
                <w:rFonts w:ascii="Times New Roman" w:eastAsia="Calibri"/>
                <w:snapToGrid w:val="0"/>
                <w:color w:val="auto"/>
                <w:spacing w:val="-6"/>
                <w:kern w:val="21"/>
                <w:sz w:val="21"/>
                <w:szCs w:val="21"/>
                <w:highlight w:val="none"/>
                <w:u w:val="none"/>
              </w:rPr>
              <w:fldChar w:fldCharType="begin"/>
            </w:r>
            <w:r>
              <w:rPr>
                <w:rFonts w:ascii="Times New Roman" w:eastAsia="Calibri"/>
                <w:snapToGrid w:val="0"/>
                <w:color w:val="auto"/>
                <w:spacing w:val="-6"/>
                <w:kern w:val="21"/>
                <w:sz w:val="21"/>
                <w:szCs w:val="21"/>
                <w:highlight w:val="none"/>
                <w:u w:val="none"/>
              </w:rPr>
              <w:instrText xml:space="preserve"> = 1 \* GB3 \* MERGEFORMAT </w:instrText>
            </w:r>
            <w:r>
              <w:rPr>
                <w:rFonts w:ascii="Times New Roman" w:eastAsia="Calibri"/>
                <w:snapToGrid w:val="0"/>
                <w:color w:val="auto"/>
                <w:spacing w:val="-6"/>
                <w:kern w:val="21"/>
                <w:sz w:val="21"/>
                <w:szCs w:val="21"/>
                <w:highlight w:val="none"/>
                <w:u w:val="none"/>
              </w:rPr>
              <w:fldChar w:fldCharType="separate"/>
            </w:r>
            <w:r>
              <w:rPr>
                <w:rFonts w:ascii="宋体" w:hAnsi="宋体" w:eastAsia="宋体" w:cs="宋体"/>
                <w:color w:val="auto"/>
                <w:kern w:val="2"/>
                <w:sz w:val="21"/>
                <w:szCs w:val="21"/>
                <w:highlight w:val="none"/>
                <w:u w:val="none"/>
              </w:rPr>
              <w:t>①</w:t>
            </w:r>
            <w:r>
              <w:rPr>
                <w:rFonts w:ascii="Times New Roman" w:eastAsia="Calibri"/>
                <w:snapToGrid w:val="0"/>
                <w:color w:val="auto"/>
                <w:spacing w:val="-6"/>
                <w:kern w:val="21"/>
                <w:sz w:val="21"/>
                <w:szCs w:val="21"/>
                <w:highlight w:val="none"/>
                <w:u w:val="none"/>
              </w:rPr>
              <w:fldChar w:fldCharType="end"/>
            </w:r>
          </w:p>
        </w:tc>
        <w:tc>
          <w:tcPr>
            <w:tcW w:w="1276" w:type="dxa"/>
            <w:noWrap w:val="0"/>
            <w:tcMar>
              <w:left w:w="28" w:type="dxa"/>
              <w:right w:w="28" w:type="dxa"/>
            </w:tcMar>
            <w:vAlign w:val="center"/>
          </w:tcPr>
          <w:p w14:paraId="4098F28F">
            <w:pPr>
              <w:pStyle w:val="49"/>
              <w:spacing w:beforeLines="0" w:afterLines="0" w:line="240" w:lineRule="auto"/>
              <w:rPr>
                <w:rFonts w:ascii="Times New Roman" w:eastAsia="Calibri"/>
                <w:snapToGrid w:val="0"/>
                <w:color w:val="auto"/>
                <w:spacing w:val="-6"/>
                <w:kern w:val="21"/>
                <w:sz w:val="21"/>
                <w:szCs w:val="21"/>
                <w:highlight w:val="none"/>
                <w:u w:val="none"/>
              </w:rPr>
            </w:pPr>
            <w:r>
              <w:rPr>
                <w:rFonts w:ascii="宋体" w:hAnsi="宋体" w:eastAsia="宋体" w:cs="宋体"/>
                <w:snapToGrid w:val="0"/>
                <w:color w:val="auto"/>
                <w:spacing w:val="-6"/>
                <w:kern w:val="21"/>
                <w:sz w:val="21"/>
                <w:szCs w:val="21"/>
                <w:highlight w:val="none"/>
                <w:u w:val="none"/>
              </w:rPr>
              <w:t>现有工程</w:t>
            </w:r>
          </w:p>
          <w:p w14:paraId="54BAAE94">
            <w:pPr>
              <w:pStyle w:val="49"/>
              <w:spacing w:beforeLines="0" w:afterLines="0" w:line="240" w:lineRule="auto"/>
              <w:rPr>
                <w:rFonts w:ascii="Times New Roman" w:eastAsia="Calibri"/>
                <w:snapToGrid w:val="0"/>
                <w:color w:val="auto"/>
                <w:spacing w:val="-6"/>
                <w:kern w:val="21"/>
                <w:sz w:val="21"/>
                <w:szCs w:val="21"/>
                <w:highlight w:val="none"/>
                <w:u w:val="none"/>
              </w:rPr>
            </w:pPr>
            <w:r>
              <w:rPr>
                <w:rFonts w:ascii="宋体" w:hAnsi="宋体" w:eastAsia="宋体" w:cs="宋体"/>
                <w:snapToGrid w:val="0"/>
                <w:color w:val="auto"/>
                <w:spacing w:val="-6"/>
                <w:kern w:val="21"/>
                <w:sz w:val="21"/>
                <w:szCs w:val="21"/>
                <w:highlight w:val="none"/>
                <w:u w:val="none"/>
              </w:rPr>
              <w:t>许可排放量</w:t>
            </w:r>
          </w:p>
          <w:p w14:paraId="77525B64">
            <w:pPr>
              <w:pStyle w:val="49"/>
              <w:spacing w:beforeLines="0" w:afterLines="0"/>
              <w:rPr>
                <w:rFonts w:ascii="Times New Roman" w:eastAsia="Calibri"/>
                <w:snapToGrid w:val="0"/>
                <w:color w:val="auto"/>
                <w:spacing w:val="-6"/>
                <w:kern w:val="21"/>
                <w:sz w:val="21"/>
                <w:szCs w:val="21"/>
                <w:highlight w:val="none"/>
                <w:u w:val="none"/>
              </w:rPr>
            </w:pPr>
            <w:r>
              <w:rPr>
                <w:rFonts w:ascii="Times New Roman" w:eastAsia="Calibri"/>
                <w:snapToGrid w:val="0"/>
                <w:color w:val="auto"/>
                <w:spacing w:val="-6"/>
                <w:kern w:val="21"/>
                <w:sz w:val="21"/>
                <w:szCs w:val="21"/>
                <w:highlight w:val="none"/>
                <w:u w:val="none"/>
              </w:rPr>
              <w:fldChar w:fldCharType="begin"/>
            </w:r>
            <w:r>
              <w:rPr>
                <w:rFonts w:ascii="Times New Roman" w:eastAsia="Calibri"/>
                <w:snapToGrid w:val="0"/>
                <w:color w:val="auto"/>
                <w:spacing w:val="-6"/>
                <w:kern w:val="21"/>
                <w:sz w:val="21"/>
                <w:szCs w:val="21"/>
                <w:highlight w:val="none"/>
                <w:u w:val="none"/>
              </w:rPr>
              <w:instrText xml:space="preserve"> = 2 \* GB3 \* MERGEFORMAT </w:instrText>
            </w:r>
            <w:r>
              <w:rPr>
                <w:rFonts w:ascii="Times New Roman" w:eastAsia="Calibri"/>
                <w:snapToGrid w:val="0"/>
                <w:color w:val="auto"/>
                <w:spacing w:val="-6"/>
                <w:kern w:val="21"/>
                <w:sz w:val="21"/>
                <w:szCs w:val="21"/>
                <w:highlight w:val="none"/>
                <w:u w:val="none"/>
              </w:rPr>
              <w:fldChar w:fldCharType="separate"/>
            </w:r>
            <w:r>
              <w:rPr>
                <w:rFonts w:ascii="宋体" w:hAnsi="宋体" w:eastAsia="宋体" w:cs="宋体"/>
                <w:snapToGrid w:val="0"/>
                <w:color w:val="auto"/>
                <w:spacing w:val="-6"/>
                <w:kern w:val="21"/>
                <w:sz w:val="21"/>
                <w:szCs w:val="21"/>
                <w:highlight w:val="none"/>
                <w:u w:val="none"/>
              </w:rPr>
              <w:t>②</w:t>
            </w:r>
            <w:r>
              <w:rPr>
                <w:rFonts w:ascii="Times New Roman" w:eastAsia="Calibri"/>
                <w:snapToGrid w:val="0"/>
                <w:color w:val="auto"/>
                <w:spacing w:val="-6"/>
                <w:kern w:val="21"/>
                <w:sz w:val="21"/>
                <w:szCs w:val="21"/>
                <w:highlight w:val="none"/>
                <w:u w:val="none"/>
              </w:rPr>
              <w:fldChar w:fldCharType="end"/>
            </w:r>
          </w:p>
        </w:tc>
        <w:tc>
          <w:tcPr>
            <w:tcW w:w="1701" w:type="dxa"/>
            <w:noWrap w:val="0"/>
            <w:tcMar>
              <w:left w:w="28" w:type="dxa"/>
              <w:right w:w="28" w:type="dxa"/>
            </w:tcMar>
            <w:vAlign w:val="center"/>
          </w:tcPr>
          <w:p w14:paraId="75BC49CA">
            <w:pPr>
              <w:pStyle w:val="49"/>
              <w:spacing w:beforeLines="0" w:afterLines="0" w:line="240" w:lineRule="auto"/>
              <w:rPr>
                <w:rFonts w:ascii="Times New Roman" w:eastAsia="Calibri"/>
                <w:snapToGrid w:val="0"/>
                <w:color w:val="auto"/>
                <w:spacing w:val="-6"/>
                <w:kern w:val="21"/>
                <w:sz w:val="21"/>
                <w:szCs w:val="21"/>
                <w:highlight w:val="none"/>
                <w:u w:val="none"/>
              </w:rPr>
            </w:pPr>
            <w:r>
              <w:rPr>
                <w:rFonts w:ascii="宋体" w:hAnsi="宋体" w:eastAsia="宋体" w:cs="宋体"/>
                <w:snapToGrid w:val="0"/>
                <w:color w:val="auto"/>
                <w:spacing w:val="-6"/>
                <w:kern w:val="21"/>
                <w:sz w:val="21"/>
                <w:szCs w:val="21"/>
                <w:highlight w:val="none"/>
                <w:u w:val="none"/>
              </w:rPr>
              <w:t>在建工程</w:t>
            </w:r>
          </w:p>
          <w:p w14:paraId="34302576">
            <w:pPr>
              <w:pStyle w:val="49"/>
              <w:spacing w:beforeLines="0" w:afterLines="0" w:line="240" w:lineRule="auto"/>
              <w:rPr>
                <w:rFonts w:ascii="Times New Roman" w:eastAsia="Calibri"/>
                <w:snapToGrid w:val="0"/>
                <w:color w:val="auto"/>
                <w:spacing w:val="-6"/>
                <w:kern w:val="21"/>
                <w:sz w:val="21"/>
                <w:szCs w:val="21"/>
                <w:highlight w:val="none"/>
                <w:u w:val="none"/>
              </w:rPr>
            </w:pPr>
            <w:r>
              <w:rPr>
                <w:rFonts w:ascii="宋体" w:hAnsi="宋体" w:eastAsia="宋体" w:cs="宋体"/>
                <w:snapToGrid w:val="0"/>
                <w:color w:val="auto"/>
                <w:spacing w:val="-6"/>
                <w:kern w:val="21"/>
                <w:sz w:val="21"/>
                <w:szCs w:val="21"/>
                <w:highlight w:val="none"/>
                <w:u w:val="none"/>
              </w:rPr>
              <w:t>排放量（固体废物产生量）</w:t>
            </w:r>
            <w:r>
              <w:rPr>
                <w:rFonts w:ascii="Times New Roman" w:eastAsia="Calibri"/>
                <w:snapToGrid w:val="0"/>
                <w:color w:val="auto"/>
                <w:spacing w:val="-6"/>
                <w:kern w:val="21"/>
                <w:sz w:val="21"/>
                <w:szCs w:val="21"/>
                <w:highlight w:val="none"/>
                <w:u w:val="none"/>
              </w:rPr>
              <w:fldChar w:fldCharType="begin"/>
            </w:r>
            <w:r>
              <w:rPr>
                <w:rFonts w:ascii="Times New Roman" w:eastAsia="Calibri"/>
                <w:snapToGrid w:val="0"/>
                <w:color w:val="auto"/>
                <w:spacing w:val="-6"/>
                <w:kern w:val="21"/>
                <w:sz w:val="21"/>
                <w:szCs w:val="21"/>
                <w:highlight w:val="none"/>
                <w:u w:val="none"/>
              </w:rPr>
              <w:instrText xml:space="preserve"> = 3 \* GB3 \* MERGEFORMAT </w:instrText>
            </w:r>
            <w:r>
              <w:rPr>
                <w:rFonts w:ascii="Times New Roman" w:eastAsia="Calibri"/>
                <w:snapToGrid w:val="0"/>
                <w:color w:val="auto"/>
                <w:spacing w:val="-6"/>
                <w:kern w:val="21"/>
                <w:sz w:val="21"/>
                <w:szCs w:val="21"/>
                <w:highlight w:val="none"/>
                <w:u w:val="none"/>
              </w:rPr>
              <w:fldChar w:fldCharType="separate"/>
            </w:r>
            <w:r>
              <w:rPr>
                <w:rFonts w:ascii="宋体" w:hAnsi="宋体" w:eastAsia="宋体" w:cs="宋体"/>
                <w:color w:val="auto"/>
                <w:kern w:val="2"/>
                <w:sz w:val="21"/>
                <w:szCs w:val="21"/>
                <w:highlight w:val="none"/>
                <w:u w:val="none"/>
              </w:rPr>
              <w:t>③</w:t>
            </w:r>
            <w:r>
              <w:rPr>
                <w:rFonts w:ascii="Times New Roman" w:eastAsia="Calibri"/>
                <w:snapToGrid w:val="0"/>
                <w:color w:val="auto"/>
                <w:spacing w:val="-6"/>
                <w:kern w:val="21"/>
                <w:sz w:val="21"/>
                <w:szCs w:val="21"/>
                <w:highlight w:val="none"/>
                <w:u w:val="none"/>
              </w:rPr>
              <w:fldChar w:fldCharType="end"/>
            </w:r>
          </w:p>
        </w:tc>
        <w:tc>
          <w:tcPr>
            <w:tcW w:w="1559" w:type="dxa"/>
            <w:noWrap w:val="0"/>
            <w:tcMar>
              <w:left w:w="28" w:type="dxa"/>
              <w:right w:w="28" w:type="dxa"/>
            </w:tcMar>
            <w:vAlign w:val="center"/>
          </w:tcPr>
          <w:p w14:paraId="20A4AF3F">
            <w:pPr>
              <w:pStyle w:val="49"/>
              <w:spacing w:beforeLines="0" w:afterLines="0" w:line="240" w:lineRule="auto"/>
              <w:rPr>
                <w:rFonts w:ascii="Times New Roman" w:eastAsia="Calibri"/>
                <w:snapToGrid w:val="0"/>
                <w:color w:val="auto"/>
                <w:spacing w:val="-6"/>
                <w:kern w:val="21"/>
                <w:sz w:val="21"/>
                <w:szCs w:val="21"/>
                <w:highlight w:val="none"/>
                <w:u w:val="none"/>
              </w:rPr>
            </w:pPr>
            <w:r>
              <w:rPr>
                <w:rFonts w:ascii="宋体" w:hAnsi="宋体" w:eastAsia="宋体" w:cs="宋体"/>
                <w:snapToGrid w:val="0"/>
                <w:color w:val="auto"/>
                <w:spacing w:val="-6"/>
                <w:kern w:val="21"/>
                <w:sz w:val="21"/>
                <w:szCs w:val="21"/>
                <w:highlight w:val="none"/>
                <w:u w:val="none"/>
              </w:rPr>
              <w:t>本项目</w:t>
            </w:r>
          </w:p>
          <w:p w14:paraId="60A9065C">
            <w:pPr>
              <w:pStyle w:val="49"/>
              <w:spacing w:beforeLines="0" w:afterLines="0" w:line="240" w:lineRule="auto"/>
              <w:rPr>
                <w:rFonts w:ascii="Times New Roman" w:eastAsia="Calibri"/>
                <w:snapToGrid w:val="0"/>
                <w:color w:val="auto"/>
                <w:spacing w:val="-6"/>
                <w:kern w:val="21"/>
                <w:sz w:val="21"/>
                <w:szCs w:val="21"/>
                <w:highlight w:val="none"/>
                <w:u w:val="none"/>
              </w:rPr>
            </w:pPr>
            <w:r>
              <w:rPr>
                <w:rFonts w:ascii="宋体" w:hAnsi="宋体" w:eastAsia="宋体" w:cs="宋体"/>
                <w:snapToGrid w:val="0"/>
                <w:color w:val="auto"/>
                <w:spacing w:val="-6"/>
                <w:kern w:val="21"/>
                <w:sz w:val="21"/>
                <w:szCs w:val="21"/>
                <w:highlight w:val="none"/>
                <w:u w:val="none"/>
              </w:rPr>
              <w:t>排放量（固体废物产生量）</w:t>
            </w:r>
            <w:r>
              <w:rPr>
                <w:rFonts w:ascii="Times New Roman" w:eastAsia="Calibri"/>
                <w:snapToGrid w:val="0"/>
                <w:color w:val="auto"/>
                <w:spacing w:val="-6"/>
                <w:kern w:val="21"/>
                <w:sz w:val="21"/>
                <w:szCs w:val="21"/>
                <w:highlight w:val="none"/>
                <w:u w:val="none"/>
              </w:rPr>
              <w:fldChar w:fldCharType="begin"/>
            </w:r>
            <w:r>
              <w:rPr>
                <w:rFonts w:ascii="Times New Roman" w:eastAsia="Calibri"/>
                <w:snapToGrid w:val="0"/>
                <w:color w:val="auto"/>
                <w:spacing w:val="-6"/>
                <w:kern w:val="21"/>
                <w:sz w:val="21"/>
                <w:szCs w:val="21"/>
                <w:highlight w:val="none"/>
                <w:u w:val="none"/>
              </w:rPr>
              <w:instrText xml:space="preserve"> = 4 \* GB3 \* MERGEFORMAT </w:instrText>
            </w:r>
            <w:r>
              <w:rPr>
                <w:rFonts w:ascii="Times New Roman" w:eastAsia="Calibri"/>
                <w:snapToGrid w:val="0"/>
                <w:color w:val="auto"/>
                <w:spacing w:val="-6"/>
                <w:kern w:val="21"/>
                <w:sz w:val="21"/>
                <w:szCs w:val="21"/>
                <w:highlight w:val="none"/>
                <w:u w:val="none"/>
              </w:rPr>
              <w:fldChar w:fldCharType="separate"/>
            </w:r>
            <w:r>
              <w:rPr>
                <w:rFonts w:ascii="宋体" w:hAnsi="宋体" w:eastAsia="宋体" w:cs="宋体"/>
                <w:color w:val="auto"/>
                <w:kern w:val="2"/>
                <w:sz w:val="21"/>
                <w:szCs w:val="21"/>
                <w:highlight w:val="none"/>
                <w:u w:val="none"/>
              </w:rPr>
              <w:t>④</w:t>
            </w:r>
            <w:r>
              <w:rPr>
                <w:rFonts w:ascii="Times New Roman" w:eastAsia="Calibri"/>
                <w:snapToGrid w:val="0"/>
                <w:color w:val="auto"/>
                <w:spacing w:val="-6"/>
                <w:kern w:val="21"/>
                <w:sz w:val="21"/>
                <w:szCs w:val="21"/>
                <w:highlight w:val="none"/>
                <w:u w:val="none"/>
              </w:rPr>
              <w:fldChar w:fldCharType="end"/>
            </w:r>
          </w:p>
        </w:tc>
        <w:tc>
          <w:tcPr>
            <w:tcW w:w="1761" w:type="dxa"/>
            <w:noWrap w:val="0"/>
            <w:tcMar>
              <w:left w:w="28" w:type="dxa"/>
              <w:right w:w="28" w:type="dxa"/>
            </w:tcMar>
            <w:vAlign w:val="center"/>
          </w:tcPr>
          <w:p w14:paraId="1F18DA90">
            <w:pPr>
              <w:pStyle w:val="49"/>
              <w:spacing w:beforeLines="0" w:afterLines="0" w:line="240" w:lineRule="auto"/>
              <w:rPr>
                <w:rFonts w:ascii="Times New Roman" w:eastAsia="Calibri"/>
                <w:snapToGrid w:val="0"/>
                <w:color w:val="auto"/>
                <w:spacing w:val="-16"/>
                <w:kern w:val="21"/>
                <w:sz w:val="21"/>
                <w:szCs w:val="21"/>
                <w:highlight w:val="none"/>
                <w:u w:val="none"/>
              </w:rPr>
            </w:pPr>
            <w:r>
              <w:rPr>
                <w:rFonts w:ascii="宋体" w:hAnsi="宋体" w:eastAsia="宋体" w:cs="宋体"/>
                <w:snapToGrid w:val="0"/>
                <w:color w:val="auto"/>
                <w:spacing w:val="-16"/>
                <w:kern w:val="21"/>
                <w:sz w:val="21"/>
                <w:szCs w:val="21"/>
                <w:highlight w:val="none"/>
                <w:u w:val="none"/>
              </w:rPr>
              <w:t>以新带老削减量</w:t>
            </w:r>
          </w:p>
          <w:p w14:paraId="2F250996">
            <w:pPr>
              <w:pStyle w:val="49"/>
              <w:spacing w:beforeLines="0" w:afterLines="0" w:line="240" w:lineRule="auto"/>
              <w:rPr>
                <w:rFonts w:ascii="Times New Roman" w:eastAsia="Calibri"/>
                <w:snapToGrid w:val="0"/>
                <w:color w:val="auto"/>
                <w:spacing w:val="-16"/>
                <w:kern w:val="21"/>
                <w:sz w:val="21"/>
                <w:szCs w:val="21"/>
                <w:highlight w:val="none"/>
                <w:u w:val="none"/>
              </w:rPr>
            </w:pPr>
            <w:r>
              <w:rPr>
                <w:rFonts w:ascii="宋体" w:hAnsi="宋体" w:eastAsia="宋体" w:cs="宋体"/>
                <w:snapToGrid w:val="0"/>
                <w:color w:val="auto"/>
                <w:spacing w:val="-16"/>
                <w:kern w:val="21"/>
                <w:sz w:val="21"/>
                <w:szCs w:val="21"/>
                <w:highlight w:val="none"/>
                <w:u w:val="none"/>
              </w:rPr>
              <w:t>（新建项目不填）</w:t>
            </w:r>
            <w:r>
              <w:rPr>
                <w:rFonts w:ascii="Times New Roman" w:eastAsia="Calibri"/>
                <w:snapToGrid w:val="0"/>
                <w:color w:val="auto"/>
                <w:spacing w:val="-16"/>
                <w:kern w:val="21"/>
                <w:sz w:val="21"/>
                <w:szCs w:val="21"/>
                <w:highlight w:val="none"/>
                <w:u w:val="none"/>
              </w:rPr>
              <w:fldChar w:fldCharType="begin"/>
            </w:r>
            <w:r>
              <w:rPr>
                <w:rFonts w:ascii="Times New Roman" w:eastAsia="Calibri"/>
                <w:snapToGrid w:val="0"/>
                <w:color w:val="auto"/>
                <w:spacing w:val="-16"/>
                <w:kern w:val="21"/>
                <w:sz w:val="21"/>
                <w:szCs w:val="21"/>
                <w:highlight w:val="none"/>
                <w:u w:val="none"/>
              </w:rPr>
              <w:instrText xml:space="preserve"> = 5 \* GB3 \* MERGEFORMAT </w:instrText>
            </w:r>
            <w:r>
              <w:rPr>
                <w:rFonts w:ascii="Times New Roman" w:eastAsia="Calibri"/>
                <w:snapToGrid w:val="0"/>
                <w:color w:val="auto"/>
                <w:spacing w:val="-16"/>
                <w:kern w:val="21"/>
                <w:sz w:val="21"/>
                <w:szCs w:val="21"/>
                <w:highlight w:val="none"/>
                <w:u w:val="none"/>
              </w:rPr>
              <w:fldChar w:fldCharType="separate"/>
            </w:r>
            <w:r>
              <w:rPr>
                <w:rFonts w:ascii="宋体" w:hAnsi="宋体" w:eastAsia="宋体" w:cs="宋体"/>
                <w:color w:val="auto"/>
                <w:kern w:val="2"/>
                <w:sz w:val="21"/>
                <w:szCs w:val="21"/>
                <w:highlight w:val="none"/>
                <w:u w:val="none"/>
              </w:rPr>
              <w:t>⑤</w:t>
            </w:r>
            <w:r>
              <w:rPr>
                <w:rFonts w:ascii="Times New Roman" w:eastAsia="Calibri"/>
                <w:snapToGrid w:val="0"/>
                <w:color w:val="auto"/>
                <w:spacing w:val="-16"/>
                <w:kern w:val="21"/>
                <w:sz w:val="21"/>
                <w:szCs w:val="21"/>
                <w:highlight w:val="none"/>
                <w:u w:val="none"/>
              </w:rPr>
              <w:fldChar w:fldCharType="end"/>
            </w:r>
          </w:p>
        </w:tc>
        <w:tc>
          <w:tcPr>
            <w:tcW w:w="1783" w:type="dxa"/>
            <w:noWrap w:val="0"/>
            <w:tcMar>
              <w:left w:w="28" w:type="dxa"/>
              <w:right w:w="28" w:type="dxa"/>
            </w:tcMar>
            <w:vAlign w:val="center"/>
          </w:tcPr>
          <w:p w14:paraId="5FD5C4FD">
            <w:pPr>
              <w:pStyle w:val="49"/>
              <w:spacing w:beforeLines="0" w:afterLines="0" w:line="240" w:lineRule="auto"/>
              <w:rPr>
                <w:rFonts w:ascii="Times New Roman" w:eastAsia="Calibri"/>
                <w:snapToGrid w:val="0"/>
                <w:color w:val="auto"/>
                <w:spacing w:val="-16"/>
                <w:kern w:val="21"/>
                <w:sz w:val="21"/>
                <w:szCs w:val="21"/>
                <w:highlight w:val="none"/>
                <w:u w:val="none"/>
              </w:rPr>
            </w:pPr>
            <w:r>
              <w:rPr>
                <w:rFonts w:ascii="宋体" w:hAnsi="宋体" w:eastAsia="宋体" w:cs="宋体"/>
                <w:snapToGrid w:val="0"/>
                <w:color w:val="auto"/>
                <w:spacing w:val="-16"/>
                <w:kern w:val="21"/>
                <w:sz w:val="21"/>
                <w:szCs w:val="21"/>
                <w:highlight w:val="none"/>
                <w:u w:val="none"/>
              </w:rPr>
              <w:t>本项目建成后</w:t>
            </w:r>
          </w:p>
          <w:p w14:paraId="6FE568D2">
            <w:pPr>
              <w:pStyle w:val="49"/>
              <w:spacing w:beforeLines="0" w:afterLines="0" w:line="240" w:lineRule="auto"/>
              <w:rPr>
                <w:rFonts w:ascii="Times New Roman" w:eastAsia="Calibri"/>
                <w:snapToGrid w:val="0"/>
                <w:color w:val="auto"/>
                <w:spacing w:val="-16"/>
                <w:kern w:val="21"/>
                <w:sz w:val="21"/>
                <w:szCs w:val="21"/>
                <w:highlight w:val="none"/>
                <w:u w:val="none"/>
              </w:rPr>
            </w:pPr>
            <w:r>
              <w:rPr>
                <w:rFonts w:ascii="宋体" w:hAnsi="宋体" w:eastAsia="宋体" w:cs="宋体"/>
                <w:snapToGrid w:val="0"/>
                <w:color w:val="auto"/>
                <w:spacing w:val="-16"/>
                <w:kern w:val="21"/>
                <w:sz w:val="21"/>
                <w:szCs w:val="21"/>
                <w:highlight w:val="none"/>
                <w:u w:val="none"/>
              </w:rPr>
              <w:t>全厂排放量（固体废物产生量）</w:t>
            </w:r>
            <w:r>
              <w:rPr>
                <w:rFonts w:ascii="Times New Roman" w:eastAsia="Calibri"/>
                <w:snapToGrid w:val="0"/>
                <w:color w:val="auto"/>
                <w:spacing w:val="-16"/>
                <w:kern w:val="21"/>
                <w:sz w:val="21"/>
                <w:szCs w:val="21"/>
                <w:highlight w:val="none"/>
                <w:u w:val="none"/>
              </w:rPr>
              <w:fldChar w:fldCharType="begin"/>
            </w:r>
            <w:r>
              <w:rPr>
                <w:rFonts w:ascii="Times New Roman" w:eastAsia="Calibri"/>
                <w:snapToGrid w:val="0"/>
                <w:color w:val="auto"/>
                <w:spacing w:val="-16"/>
                <w:kern w:val="21"/>
                <w:sz w:val="21"/>
                <w:szCs w:val="21"/>
                <w:highlight w:val="none"/>
                <w:u w:val="none"/>
              </w:rPr>
              <w:instrText xml:space="preserve"> = 6 \* GB3 \* MERGEFORMAT </w:instrText>
            </w:r>
            <w:r>
              <w:rPr>
                <w:rFonts w:ascii="Times New Roman" w:eastAsia="Calibri"/>
                <w:snapToGrid w:val="0"/>
                <w:color w:val="auto"/>
                <w:spacing w:val="-16"/>
                <w:kern w:val="21"/>
                <w:sz w:val="21"/>
                <w:szCs w:val="21"/>
                <w:highlight w:val="none"/>
                <w:u w:val="none"/>
              </w:rPr>
              <w:fldChar w:fldCharType="separate"/>
            </w:r>
            <w:r>
              <w:rPr>
                <w:rFonts w:ascii="宋体" w:hAnsi="宋体" w:eastAsia="宋体" w:cs="宋体"/>
                <w:color w:val="auto"/>
                <w:kern w:val="2"/>
                <w:sz w:val="21"/>
                <w:szCs w:val="21"/>
                <w:highlight w:val="none"/>
                <w:u w:val="none"/>
              </w:rPr>
              <w:t>⑥</w:t>
            </w:r>
            <w:r>
              <w:rPr>
                <w:rFonts w:ascii="Times New Roman" w:eastAsia="Calibri"/>
                <w:snapToGrid w:val="0"/>
                <w:color w:val="auto"/>
                <w:spacing w:val="-16"/>
                <w:kern w:val="21"/>
                <w:sz w:val="21"/>
                <w:szCs w:val="21"/>
                <w:highlight w:val="none"/>
                <w:u w:val="none"/>
              </w:rPr>
              <w:fldChar w:fldCharType="end"/>
            </w:r>
          </w:p>
        </w:tc>
        <w:tc>
          <w:tcPr>
            <w:tcW w:w="1258" w:type="dxa"/>
            <w:noWrap w:val="0"/>
            <w:tcMar>
              <w:left w:w="28" w:type="dxa"/>
              <w:right w:w="28" w:type="dxa"/>
            </w:tcMar>
            <w:vAlign w:val="center"/>
          </w:tcPr>
          <w:p w14:paraId="505D12C9">
            <w:pPr>
              <w:pStyle w:val="49"/>
              <w:spacing w:beforeLines="0" w:afterLines="0" w:line="240" w:lineRule="auto"/>
              <w:rPr>
                <w:rFonts w:ascii="Times New Roman" w:eastAsia="Calibri"/>
                <w:snapToGrid w:val="0"/>
                <w:color w:val="auto"/>
                <w:spacing w:val="-6"/>
                <w:kern w:val="21"/>
                <w:sz w:val="21"/>
                <w:szCs w:val="21"/>
                <w:highlight w:val="none"/>
                <w:u w:val="none"/>
              </w:rPr>
            </w:pPr>
            <w:r>
              <w:rPr>
                <w:rFonts w:ascii="宋体" w:hAnsi="宋体" w:eastAsia="宋体" w:cs="宋体"/>
                <w:snapToGrid w:val="0"/>
                <w:color w:val="auto"/>
                <w:spacing w:val="-6"/>
                <w:kern w:val="21"/>
                <w:sz w:val="21"/>
                <w:szCs w:val="21"/>
                <w:highlight w:val="none"/>
                <w:u w:val="none"/>
              </w:rPr>
              <w:t>变化量</w:t>
            </w:r>
          </w:p>
          <w:p w14:paraId="65C68C56">
            <w:pPr>
              <w:pStyle w:val="49"/>
              <w:spacing w:beforeLines="0" w:afterLines="0" w:line="240" w:lineRule="auto"/>
              <w:rPr>
                <w:rFonts w:ascii="Times New Roman" w:eastAsia="Calibri"/>
                <w:snapToGrid w:val="0"/>
                <w:color w:val="auto"/>
                <w:spacing w:val="-6"/>
                <w:kern w:val="21"/>
                <w:sz w:val="21"/>
                <w:szCs w:val="21"/>
                <w:highlight w:val="none"/>
                <w:u w:val="none"/>
              </w:rPr>
            </w:pPr>
            <w:r>
              <w:rPr>
                <w:rFonts w:ascii="Times New Roman" w:eastAsia="Calibri"/>
                <w:snapToGrid w:val="0"/>
                <w:color w:val="auto"/>
                <w:spacing w:val="-6"/>
                <w:kern w:val="21"/>
                <w:sz w:val="21"/>
                <w:szCs w:val="21"/>
                <w:highlight w:val="none"/>
                <w:u w:val="none"/>
              </w:rPr>
              <w:fldChar w:fldCharType="begin"/>
            </w:r>
            <w:r>
              <w:rPr>
                <w:rFonts w:ascii="Times New Roman" w:eastAsia="Calibri"/>
                <w:snapToGrid w:val="0"/>
                <w:color w:val="auto"/>
                <w:spacing w:val="-6"/>
                <w:kern w:val="21"/>
                <w:sz w:val="21"/>
                <w:szCs w:val="21"/>
                <w:highlight w:val="none"/>
                <w:u w:val="none"/>
              </w:rPr>
              <w:instrText xml:space="preserve"> = 7 \* GB3 \* MERGEFORMAT </w:instrText>
            </w:r>
            <w:r>
              <w:rPr>
                <w:rFonts w:ascii="Times New Roman" w:eastAsia="Calibri"/>
                <w:snapToGrid w:val="0"/>
                <w:color w:val="auto"/>
                <w:spacing w:val="-6"/>
                <w:kern w:val="21"/>
                <w:sz w:val="21"/>
                <w:szCs w:val="21"/>
                <w:highlight w:val="none"/>
                <w:u w:val="none"/>
              </w:rPr>
              <w:fldChar w:fldCharType="separate"/>
            </w:r>
            <w:r>
              <w:rPr>
                <w:rFonts w:ascii="宋体" w:hAnsi="宋体" w:eastAsia="宋体" w:cs="宋体"/>
                <w:color w:val="auto"/>
                <w:kern w:val="2"/>
                <w:sz w:val="21"/>
                <w:szCs w:val="21"/>
                <w:highlight w:val="none"/>
                <w:u w:val="none"/>
              </w:rPr>
              <w:t>⑦</w:t>
            </w:r>
            <w:r>
              <w:rPr>
                <w:rFonts w:ascii="Times New Roman" w:eastAsia="Calibri"/>
                <w:snapToGrid w:val="0"/>
                <w:color w:val="auto"/>
                <w:spacing w:val="-6"/>
                <w:kern w:val="21"/>
                <w:sz w:val="21"/>
                <w:szCs w:val="21"/>
                <w:highlight w:val="none"/>
                <w:u w:val="none"/>
              </w:rPr>
              <w:fldChar w:fldCharType="end"/>
            </w:r>
          </w:p>
        </w:tc>
      </w:tr>
      <w:tr w14:paraId="3C1276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477" w:type="dxa"/>
            <w:noWrap w:val="0"/>
            <w:vAlign w:val="center"/>
          </w:tcPr>
          <w:p w14:paraId="6F0814F3">
            <w:pPr>
              <w:pStyle w:val="49"/>
              <w:spacing w:beforeLines="0" w:afterLines="0" w:line="240" w:lineRule="auto"/>
              <w:rPr>
                <w:rFonts w:ascii="宋体" w:hAnsi="宋体" w:eastAsia="宋体" w:cs="宋体"/>
                <w:snapToGrid w:val="0"/>
                <w:color w:val="auto"/>
                <w:kern w:val="21"/>
                <w:sz w:val="21"/>
                <w:szCs w:val="21"/>
                <w:highlight w:val="none"/>
                <w:u w:val="none"/>
              </w:rPr>
            </w:pPr>
            <w:r>
              <w:rPr>
                <w:rFonts w:ascii="宋体" w:hAnsi="宋体" w:eastAsia="宋体" w:cs="宋体"/>
                <w:snapToGrid w:val="0"/>
                <w:color w:val="auto"/>
                <w:kern w:val="21"/>
                <w:sz w:val="21"/>
                <w:szCs w:val="21"/>
                <w:highlight w:val="none"/>
                <w:u w:val="none"/>
              </w:rPr>
              <w:t>废气</w:t>
            </w:r>
          </w:p>
        </w:tc>
        <w:tc>
          <w:tcPr>
            <w:tcW w:w="1528" w:type="dxa"/>
            <w:noWrap w:val="0"/>
            <w:vAlign w:val="center"/>
          </w:tcPr>
          <w:p w14:paraId="321D88C2">
            <w:pPr>
              <w:spacing w:line="276" w:lineRule="auto"/>
              <w:jc w:val="center"/>
              <w:rPr>
                <w:rFonts w:hint="eastAsia"/>
                <w:color w:val="auto"/>
                <w:sz w:val="21"/>
                <w:szCs w:val="21"/>
                <w:highlight w:val="none"/>
                <w:u w:val="none"/>
              </w:rPr>
            </w:pPr>
            <w:r>
              <w:rPr>
                <w:rFonts w:hint="eastAsia"/>
                <w:color w:val="auto"/>
                <w:sz w:val="21"/>
                <w:szCs w:val="21"/>
                <w:highlight w:val="none"/>
                <w:u w:val="none"/>
                <w:lang w:val="en-US" w:eastAsia="zh-CN"/>
              </w:rPr>
              <w:t>颗粒物</w:t>
            </w:r>
          </w:p>
        </w:tc>
        <w:tc>
          <w:tcPr>
            <w:tcW w:w="1701" w:type="dxa"/>
            <w:noWrap w:val="0"/>
            <w:vAlign w:val="center"/>
          </w:tcPr>
          <w:p w14:paraId="46561A5B">
            <w:pPr>
              <w:pStyle w:val="49"/>
              <w:spacing w:beforeLines="0" w:afterLines="0" w:line="240" w:lineRule="auto"/>
              <w:rPr>
                <w:rFonts w:hint="eastAsia" w:ascii="Times New Roman" w:eastAsia="宋体"/>
                <w:snapToGrid w:val="0"/>
                <w:color w:val="auto"/>
                <w:kern w:val="21"/>
                <w:sz w:val="21"/>
                <w:szCs w:val="21"/>
                <w:highlight w:val="none"/>
                <w:u w:val="none"/>
                <w:lang w:val="en-US" w:eastAsia="zh-CN"/>
              </w:rPr>
            </w:pPr>
            <w:r>
              <w:rPr>
                <w:rFonts w:hint="eastAsia" w:ascii="Times New Roman" w:eastAsia="宋体"/>
                <w:snapToGrid w:val="0"/>
                <w:color w:val="auto"/>
                <w:kern w:val="21"/>
                <w:sz w:val="21"/>
                <w:szCs w:val="21"/>
                <w:highlight w:val="none"/>
                <w:u w:val="none"/>
                <w:lang w:val="en-US" w:eastAsia="zh-CN"/>
              </w:rPr>
              <w:t>0</w:t>
            </w:r>
          </w:p>
        </w:tc>
        <w:tc>
          <w:tcPr>
            <w:tcW w:w="1276" w:type="dxa"/>
            <w:noWrap w:val="0"/>
            <w:vAlign w:val="center"/>
          </w:tcPr>
          <w:p w14:paraId="6014E7B5">
            <w:pPr>
              <w:pStyle w:val="49"/>
              <w:spacing w:beforeLines="0" w:afterLines="0" w:line="240" w:lineRule="auto"/>
              <w:rPr>
                <w:rFonts w:hint="eastAsia" w:ascii="Times New Roman" w:eastAsia="宋体"/>
                <w:snapToGrid w:val="0"/>
                <w:color w:val="auto"/>
                <w:kern w:val="21"/>
                <w:sz w:val="21"/>
                <w:szCs w:val="21"/>
                <w:highlight w:val="none"/>
                <w:u w:val="none"/>
                <w:lang w:val="en-US" w:eastAsia="zh-CN"/>
              </w:rPr>
            </w:pPr>
            <w:r>
              <w:rPr>
                <w:rFonts w:hint="eastAsia" w:ascii="Times New Roman" w:eastAsia="宋体"/>
                <w:snapToGrid w:val="0"/>
                <w:color w:val="auto"/>
                <w:kern w:val="21"/>
                <w:sz w:val="21"/>
                <w:szCs w:val="21"/>
                <w:highlight w:val="none"/>
                <w:u w:val="none"/>
                <w:lang w:val="en-US" w:eastAsia="zh-CN"/>
              </w:rPr>
              <w:t>/</w:t>
            </w:r>
          </w:p>
        </w:tc>
        <w:tc>
          <w:tcPr>
            <w:tcW w:w="1701" w:type="dxa"/>
            <w:noWrap w:val="0"/>
            <w:vAlign w:val="center"/>
          </w:tcPr>
          <w:p w14:paraId="15B61BB1">
            <w:pPr>
              <w:pStyle w:val="49"/>
              <w:spacing w:beforeLines="0" w:afterLines="0" w:line="240" w:lineRule="auto"/>
              <w:rPr>
                <w:rFonts w:ascii="Times New Roman" w:eastAsia="Calibri"/>
                <w:snapToGrid w:val="0"/>
                <w:color w:val="auto"/>
                <w:kern w:val="21"/>
                <w:sz w:val="21"/>
                <w:szCs w:val="21"/>
                <w:highlight w:val="none"/>
                <w:u w:val="none"/>
              </w:rPr>
            </w:pPr>
            <w:r>
              <w:rPr>
                <w:rFonts w:hint="eastAsia" w:ascii="Times New Roman" w:eastAsia="宋体"/>
                <w:snapToGrid w:val="0"/>
                <w:color w:val="auto"/>
                <w:kern w:val="21"/>
                <w:sz w:val="21"/>
                <w:szCs w:val="21"/>
                <w:highlight w:val="none"/>
                <w:u w:val="none"/>
                <w:lang w:val="en-US" w:eastAsia="zh-CN"/>
              </w:rPr>
              <w:t>0</w:t>
            </w:r>
          </w:p>
        </w:tc>
        <w:tc>
          <w:tcPr>
            <w:tcW w:w="1559" w:type="dxa"/>
            <w:noWrap w:val="0"/>
            <w:vAlign w:val="center"/>
          </w:tcPr>
          <w:p w14:paraId="7F98CCA6">
            <w:pPr>
              <w:adjustRightInd w:val="0"/>
              <w:snapToGrid w:val="0"/>
              <w:jc w:val="center"/>
              <w:rPr>
                <w:rFonts w:hint="default" w:eastAsia="宋体"/>
                <w:color w:val="auto"/>
                <w:sz w:val="21"/>
                <w:szCs w:val="21"/>
                <w:highlight w:val="none"/>
                <w:u w:val="none"/>
                <w:lang w:val="en-US" w:eastAsia="zh-CN"/>
              </w:rPr>
            </w:pPr>
            <w:r>
              <w:rPr>
                <w:rFonts w:hint="eastAsia"/>
                <w:color w:val="auto"/>
                <w:sz w:val="21"/>
                <w:szCs w:val="21"/>
                <w:highlight w:val="none"/>
                <w:u w:val="none"/>
                <w:lang w:val="en-US" w:eastAsia="zh-CN"/>
              </w:rPr>
              <w:t>17.182</w:t>
            </w:r>
          </w:p>
        </w:tc>
        <w:tc>
          <w:tcPr>
            <w:tcW w:w="1761" w:type="dxa"/>
            <w:noWrap w:val="0"/>
            <w:vAlign w:val="center"/>
          </w:tcPr>
          <w:p w14:paraId="6DB04685">
            <w:pPr>
              <w:spacing w:beforeLines="0" w:afterLines="0" w:line="240" w:lineRule="auto"/>
              <w:jc w:val="center"/>
              <w:rPr>
                <w:rFonts w:ascii="Times New Roman" w:eastAsia="Calibri"/>
                <w:snapToGrid w:val="0"/>
                <w:color w:val="auto"/>
                <w:kern w:val="21"/>
                <w:sz w:val="21"/>
                <w:szCs w:val="21"/>
                <w:highlight w:val="none"/>
                <w:u w:val="none"/>
              </w:rPr>
            </w:pPr>
            <w:r>
              <w:rPr>
                <w:rFonts w:hint="eastAsia" w:ascii="Times New Roman" w:eastAsia="宋体"/>
                <w:snapToGrid w:val="0"/>
                <w:color w:val="auto"/>
                <w:kern w:val="21"/>
                <w:sz w:val="21"/>
                <w:szCs w:val="21"/>
                <w:highlight w:val="none"/>
                <w:u w:val="none"/>
                <w:lang w:val="en-US" w:eastAsia="zh-CN"/>
              </w:rPr>
              <w:t>0</w:t>
            </w:r>
          </w:p>
        </w:tc>
        <w:tc>
          <w:tcPr>
            <w:tcW w:w="1783" w:type="dxa"/>
            <w:shd w:val="clear" w:color="auto" w:fill="auto"/>
            <w:noWrap w:val="0"/>
            <w:vAlign w:val="center"/>
          </w:tcPr>
          <w:p w14:paraId="58318456">
            <w:pPr>
              <w:adjustRightInd w:val="0"/>
              <w:snapToGrid w:val="0"/>
              <w:jc w:val="center"/>
              <w:rPr>
                <w:rFonts w:hint="default" w:ascii="Times New Roman" w:hAnsi="Times New Roman" w:eastAsia="宋体" w:cs="Times New Roman"/>
                <w:color w:val="auto"/>
                <w:kern w:val="2"/>
                <w:sz w:val="21"/>
                <w:szCs w:val="21"/>
                <w:highlight w:val="none"/>
                <w:u w:val="none"/>
                <w:lang w:val="en-US" w:eastAsia="zh-CN" w:bidi="ar-SA"/>
              </w:rPr>
            </w:pPr>
            <w:r>
              <w:rPr>
                <w:rFonts w:hint="eastAsia" w:cs="Times New Roman"/>
                <w:color w:val="auto"/>
                <w:kern w:val="2"/>
                <w:sz w:val="21"/>
                <w:szCs w:val="21"/>
                <w:highlight w:val="none"/>
                <w:u w:val="none"/>
                <w:lang w:val="en-US" w:eastAsia="zh-CN" w:bidi="ar-SA"/>
              </w:rPr>
              <w:t>17.182</w:t>
            </w:r>
          </w:p>
        </w:tc>
        <w:tc>
          <w:tcPr>
            <w:tcW w:w="1258" w:type="dxa"/>
            <w:shd w:val="clear" w:color="auto" w:fill="auto"/>
            <w:noWrap w:val="0"/>
            <w:vAlign w:val="center"/>
          </w:tcPr>
          <w:p w14:paraId="0CECC3E7">
            <w:pPr>
              <w:pStyle w:val="49"/>
              <w:spacing w:beforeLines="0" w:afterLines="0" w:line="240" w:lineRule="auto"/>
              <w:rPr>
                <w:rFonts w:hint="default" w:ascii="Times New Roman" w:hAnsi="Times New Roman" w:eastAsia="宋体" w:cs="Times New Roman"/>
                <w:bCs/>
                <w:snapToGrid w:val="0"/>
                <w:color w:val="auto"/>
                <w:kern w:val="21"/>
                <w:sz w:val="21"/>
                <w:szCs w:val="21"/>
                <w:highlight w:val="none"/>
                <w:u w:val="none"/>
                <w:lang w:val="en-US" w:eastAsia="zh-CN" w:bidi="ar-SA"/>
              </w:rPr>
            </w:pPr>
            <w:r>
              <w:rPr>
                <w:rFonts w:hint="eastAsia" w:ascii="Times New Roman" w:eastAsia="宋体"/>
                <w:snapToGrid w:val="0"/>
                <w:color w:val="auto"/>
                <w:kern w:val="21"/>
                <w:sz w:val="21"/>
                <w:szCs w:val="21"/>
                <w:highlight w:val="none"/>
                <w:u w:val="none"/>
                <w:lang w:val="en-US" w:eastAsia="zh-CN"/>
              </w:rPr>
              <w:t>+17.182</w:t>
            </w:r>
          </w:p>
        </w:tc>
      </w:tr>
      <w:tr w14:paraId="43CB68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 w:hRule="atLeast"/>
        </w:trPr>
        <w:tc>
          <w:tcPr>
            <w:tcW w:w="1477" w:type="dxa"/>
            <w:noWrap w:val="0"/>
            <w:vAlign w:val="center"/>
          </w:tcPr>
          <w:p w14:paraId="63549DFB">
            <w:pPr>
              <w:pStyle w:val="49"/>
              <w:spacing w:beforeLines="0" w:afterLines="0" w:line="240" w:lineRule="auto"/>
              <w:rPr>
                <w:rFonts w:ascii="Times New Roman" w:eastAsia="Calibri"/>
                <w:snapToGrid w:val="0"/>
                <w:color w:val="auto"/>
                <w:kern w:val="21"/>
                <w:sz w:val="21"/>
                <w:szCs w:val="21"/>
                <w:highlight w:val="none"/>
                <w:u w:val="none"/>
              </w:rPr>
            </w:pPr>
            <w:r>
              <w:rPr>
                <w:rFonts w:ascii="宋体" w:hAnsi="宋体" w:eastAsia="宋体" w:cs="宋体"/>
                <w:snapToGrid w:val="0"/>
                <w:color w:val="auto"/>
                <w:kern w:val="21"/>
                <w:sz w:val="21"/>
                <w:szCs w:val="21"/>
                <w:highlight w:val="none"/>
                <w:u w:val="none"/>
              </w:rPr>
              <w:t>废水</w:t>
            </w:r>
          </w:p>
        </w:tc>
        <w:tc>
          <w:tcPr>
            <w:tcW w:w="1528" w:type="dxa"/>
            <w:noWrap w:val="0"/>
            <w:vAlign w:val="center"/>
          </w:tcPr>
          <w:p w14:paraId="36EF2148">
            <w:pPr>
              <w:pStyle w:val="49"/>
              <w:spacing w:beforeLines="0" w:afterLines="0" w:line="240" w:lineRule="auto"/>
              <w:rPr>
                <w:rFonts w:ascii="Times New Roman" w:eastAsia="宋体"/>
                <w:snapToGrid w:val="0"/>
                <w:color w:val="auto"/>
                <w:kern w:val="21"/>
                <w:sz w:val="21"/>
                <w:szCs w:val="21"/>
                <w:highlight w:val="none"/>
                <w:u w:val="none"/>
              </w:rPr>
            </w:pPr>
            <w:r>
              <w:rPr>
                <w:rFonts w:hint="eastAsia" w:ascii="Times New Roman" w:hAnsi="Times New Roman" w:eastAsia="宋体" w:cs="Times New Roman"/>
                <w:b w:val="0"/>
                <w:bCs w:val="0"/>
                <w:color w:val="auto"/>
                <w:kern w:val="21"/>
                <w:sz w:val="21"/>
                <w:szCs w:val="21"/>
                <w:highlight w:val="none"/>
                <w:u w:val="none"/>
                <w:lang w:val="en-US" w:eastAsia="zh-CN"/>
              </w:rPr>
              <w:t>BOD</w:t>
            </w:r>
            <w:r>
              <w:rPr>
                <w:rFonts w:hint="eastAsia" w:ascii="Times New Roman" w:hAnsi="Times New Roman" w:eastAsia="宋体" w:cs="Times New Roman"/>
                <w:b w:val="0"/>
                <w:bCs w:val="0"/>
                <w:color w:val="auto"/>
                <w:kern w:val="21"/>
                <w:sz w:val="21"/>
                <w:szCs w:val="21"/>
                <w:highlight w:val="none"/>
                <w:u w:val="none"/>
                <w:vertAlign w:val="subscript"/>
                <w:lang w:val="en-US" w:eastAsia="zh-CN"/>
              </w:rPr>
              <w:t>5</w:t>
            </w:r>
            <w:r>
              <w:rPr>
                <w:rFonts w:hint="default" w:ascii="Times New Roman" w:hAnsi="Times New Roman" w:eastAsia="宋体" w:cs="Times New Roman"/>
                <w:b w:val="0"/>
                <w:bCs w:val="0"/>
                <w:color w:val="auto"/>
                <w:kern w:val="21"/>
                <w:sz w:val="21"/>
                <w:szCs w:val="21"/>
                <w:highlight w:val="none"/>
                <w:u w:val="none"/>
                <w:lang w:eastAsia="zh-CN"/>
              </w:rPr>
              <w:t>、</w:t>
            </w:r>
            <w:r>
              <w:rPr>
                <w:rFonts w:hint="default" w:ascii="Times New Roman" w:hAnsi="Times New Roman" w:eastAsia="宋体" w:cs="Times New Roman"/>
                <w:b w:val="0"/>
                <w:bCs w:val="0"/>
                <w:color w:val="auto"/>
                <w:kern w:val="21"/>
                <w:sz w:val="21"/>
                <w:szCs w:val="21"/>
                <w:highlight w:val="none"/>
                <w:u w:val="none"/>
              </w:rPr>
              <w:t>COD</w:t>
            </w:r>
            <w:r>
              <w:rPr>
                <w:rFonts w:hint="eastAsia" w:ascii="Times New Roman" w:hAnsi="Times New Roman" w:eastAsia="宋体" w:cs="Times New Roman"/>
                <w:b w:val="0"/>
                <w:bCs w:val="0"/>
                <w:color w:val="auto"/>
                <w:kern w:val="21"/>
                <w:sz w:val="21"/>
                <w:szCs w:val="21"/>
                <w:highlight w:val="none"/>
                <w:u w:val="none"/>
                <w:lang w:eastAsia="zh-CN"/>
              </w:rPr>
              <w:t>、</w:t>
            </w:r>
            <w:r>
              <w:rPr>
                <w:rFonts w:hint="eastAsia" w:ascii="Times New Roman" w:eastAsia="宋体" w:cs="Times New Roman"/>
                <w:b w:val="0"/>
                <w:bCs w:val="0"/>
                <w:color w:val="auto"/>
                <w:kern w:val="21"/>
                <w:sz w:val="21"/>
                <w:szCs w:val="21"/>
                <w:highlight w:val="none"/>
                <w:u w:val="none"/>
                <w:lang w:val="en-US" w:eastAsia="zh-CN"/>
              </w:rPr>
              <w:t>氨氮</w:t>
            </w:r>
            <w:r>
              <w:rPr>
                <w:rFonts w:hint="eastAsia" w:ascii="Times New Roman" w:hAnsi="Times New Roman" w:eastAsia="宋体" w:cs="Times New Roman"/>
                <w:b w:val="0"/>
                <w:bCs w:val="0"/>
                <w:color w:val="auto"/>
                <w:kern w:val="21"/>
                <w:sz w:val="21"/>
                <w:szCs w:val="21"/>
                <w:highlight w:val="none"/>
                <w:u w:val="none"/>
                <w:lang w:val="en-US" w:eastAsia="zh-CN"/>
              </w:rPr>
              <w:t>、SS</w:t>
            </w:r>
            <w:r>
              <w:rPr>
                <w:rFonts w:hint="default" w:ascii="Times New Roman" w:hAnsi="Times New Roman" w:eastAsia="宋体" w:cs="Times New Roman"/>
                <w:b w:val="0"/>
                <w:bCs w:val="0"/>
                <w:color w:val="auto"/>
                <w:kern w:val="21"/>
                <w:sz w:val="21"/>
                <w:szCs w:val="21"/>
                <w:highlight w:val="none"/>
                <w:u w:val="none"/>
              </w:rPr>
              <w:t>等</w:t>
            </w:r>
          </w:p>
        </w:tc>
        <w:tc>
          <w:tcPr>
            <w:tcW w:w="1701" w:type="dxa"/>
            <w:noWrap w:val="0"/>
            <w:vAlign w:val="center"/>
          </w:tcPr>
          <w:p w14:paraId="025E552D">
            <w:pPr>
              <w:pStyle w:val="49"/>
              <w:spacing w:beforeLines="0" w:afterLines="0" w:line="240" w:lineRule="auto"/>
              <w:rPr>
                <w:rFonts w:hint="eastAsia" w:ascii="Times New Roman" w:eastAsia="宋体"/>
                <w:snapToGrid w:val="0"/>
                <w:color w:val="auto"/>
                <w:kern w:val="21"/>
                <w:sz w:val="21"/>
                <w:szCs w:val="21"/>
                <w:highlight w:val="none"/>
                <w:u w:val="none"/>
                <w:lang w:val="en-US" w:eastAsia="zh-CN"/>
              </w:rPr>
            </w:pPr>
            <w:r>
              <w:rPr>
                <w:rFonts w:hint="eastAsia" w:ascii="Times New Roman" w:eastAsia="宋体"/>
                <w:snapToGrid w:val="0"/>
                <w:color w:val="auto"/>
                <w:kern w:val="21"/>
                <w:sz w:val="21"/>
                <w:szCs w:val="21"/>
                <w:highlight w:val="none"/>
                <w:u w:val="none"/>
                <w:lang w:val="en-US" w:eastAsia="zh-CN"/>
              </w:rPr>
              <w:t>0</w:t>
            </w:r>
          </w:p>
        </w:tc>
        <w:tc>
          <w:tcPr>
            <w:tcW w:w="1276" w:type="dxa"/>
            <w:noWrap w:val="0"/>
            <w:vAlign w:val="center"/>
          </w:tcPr>
          <w:p w14:paraId="5315E465">
            <w:pPr>
              <w:pStyle w:val="49"/>
              <w:spacing w:beforeLines="0" w:afterLines="0" w:line="240" w:lineRule="auto"/>
              <w:rPr>
                <w:rFonts w:hint="eastAsia" w:ascii="Times New Roman" w:eastAsia="宋体"/>
                <w:snapToGrid w:val="0"/>
                <w:color w:val="auto"/>
                <w:kern w:val="21"/>
                <w:sz w:val="21"/>
                <w:szCs w:val="21"/>
                <w:highlight w:val="none"/>
                <w:u w:val="none"/>
                <w:lang w:val="en-US" w:eastAsia="zh-CN"/>
              </w:rPr>
            </w:pPr>
            <w:r>
              <w:rPr>
                <w:rFonts w:hint="eastAsia" w:ascii="Times New Roman" w:eastAsia="宋体"/>
                <w:snapToGrid w:val="0"/>
                <w:color w:val="auto"/>
                <w:kern w:val="21"/>
                <w:sz w:val="21"/>
                <w:szCs w:val="21"/>
                <w:highlight w:val="none"/>
                <w:u w:val="none"/>
                <w:lang w:val="en-US" w:eastAsia="zh-CN"/>
              </w:rPr>
              <w:t>/</w:t>
            </w:r>
          </w:p>
        </w:tc>
        <w:tc>
          <w:tcPr>
            <w:tcW w:w="1701" w:type="dxa"/>
            <w:noWrap w:val="0"/>
            <w:vAlign w:val="center"/>
          </w:tcPr>
          <w:p w14:paraId="231A096C">
            <w:pPr>
              <w:pStyle w:val="49"/>
              <w:spacing w:beforeLines="0" w:afterLines="0" w:line="240" w:lineRule="auto"/>
              <w:rPr>
                <w:rFonts w:ascii="Times New Roman" w:eastAsia="Calibri"/>
                <w:snapToGrid w:val="0"/>
                <w:color w:val="auto"/>
                <w:kern w:val="21"/>
                <w:sz w:val="21"/>
                <w:szCs w:val="21"/>
                <w:highlight w:val="none"/>
                <w:u w:val="none"/>
              </w:rPr>
            </w:pPr>
            <w:r>
              <w:rPr>
                <w:rFonts w:hint="eastAsia" w:ascii="Times New Roman" w:eastAsia="宋体"/>
                <w:snapToGrid w:val="0"/>
                <w:color w:val="auto"/>
                <w:kern w:val="21"/>
                <w:sz w:val="21"/>
                <w:szCs w:val="21"/>
                <w:highlight w:val="none"/>
                <w:u w:val="none"/>
                <w:lang w:val="en-US" w:eastAsia="zh-CN"/>
              </w:rPr>
              <w:t>0</w:t>
            </w:r>
          </w:p>
        </w:tc>
        <w:tc>
          <w:tcPr>
            <w:tcW w:w="1559" w:type="dxa"/>
            <w:noWrap w:val="0"/>
            <w:vAlign w:val="center"/>
          </w:tcPr>
          <w:p w14:paraId="314644F1">
            <w:pPr>
              <w:pStyle w:val="49"/>
              <w:spacing w:beforeLines="0" w:afterLines="0" w:line="240" w:lineRule="auto"/>
              <w:rPr>
                <w:rFonts w:hint="eastAsia" w:ascii="Times New Roman" w:eastAsia="宋体"/>
                <w:snapToGrid w:val="0"/>
                <w:color w:val="auto"/>
                <w:kern w:val="21"/>
                <w:sz w:val="21"/>
                <w:szCs w:val="21"/>
                <w:highlight w:val="none"/>
                <w:u w:val="none"/>
                <w:lang w:val="en-US" w:eastAsia="zh-CN"/>
              </w:rPr>
            </w:pPr>
            <w:r>
              <w:rPr>
                <w:rFonts w:hint="eastAsia" w:ascii="Times New Roman"/>
                <w:snapToGrid w:val="0"/>
                <w:color w:val="auto"/>
                <w:kern w:val="21"/>
                <w:sz w:val="21"/>
                <w:szCs w:val="21"/>
                <w:highlight w:val="none"/>
                <w:u w:val="none"/>
                <w:lang w:val="en-US" w:eastAsia="zh-CN"/>
              </w:rPr>
              <w:t>0</w:t>
            </w:r>
          </w:p>
        </w:tc>
        <w:tc>
          <w:tcPr>
            <w:tcW w:w="1761" w:type="dxa"/>
            <w:noWrap w:val="0"/>
            <w:vAlign w:val="center"/>
          </w:tcPr>
          <w:p w14:paraId="32123B22">
            <w:pPr>
              <w:pStyle w:val="49"/>
              <w:spacing w:beforeLines="0" w:afterLines="0" w:line="240" w:lineRule="auto"/>
              <w:rPr>
                <w:rFonts w:hint="eastAsia" w:ascii="Times New Roman" w:eastAsia="宋体"/>
                <w:snapToGrid w:val="0"/>
                <w:color w:val="auto"/>
                <w:kern w:val="21"/>
                <w:sz w:val="21"/>
                <w:szCs w:val="21"/>
                <w:highlight w:val="none"/>
                <w:u w:val="none"/>
                <w:lang w:val="en-US" w:eastAsia="zh-CN"/>
              </w:rPr>
            </w:pPr>
            <w:r>
              <w:rPr>
                <w:rFonts w:hint="eastAsia" w:ascii="Times New Roman" w:eastAsia="宋体"/>
                <w:snapToGrid w:val="0"/>
                <w:color w:val="auto"/>
                <w:kern w:val="21"/>
                <w:sz w:val="21"/>
                <w:szCs w:val="21"/>
                <w:highlight w:val="none"/>
                <w:u w:val="none"/>
                <w:lang w:val="en-US" w:eastAsia="zh-CN"/>
              </w:rPr>
              <w:t>0</w:t>
            </w:r>
          </w:p>
        </w:tc>
        <w:tc>
          <w:tcPr>
            <w:tcW w:w="1783" w:type="dxa"/>
            <w:shd w:val="clear" w:color="auto" w:fill="auto"/>
            <w:noWrap w:val="0"/>
            <w:vAlign w:val="center"/>
          </w:tcPr>
          <w:p w14:paraId="6FC441EA">
            <w:pPr>
              <w:pStyle w:val="49"/>
              <w:spacing w:beforeLines="0" w:afterLines="0" w:line="240" w:lineRule="auto"/>
              <w:rPr>
                <w:rFonts w:hint="default" w:ascii="Times New Roman" w:hAnsi="Times New Roman" w:eastAsia="宋体" w:cs="Times New Roman"/>
                <w:bCs/>
                <w:snapToGrid w:val="0"/>
                <w:color w:val="auto"/>
                <w:kern w:val="21"/>
                <w:sz w:val="21"/>
                <w:szCs w:val="21"/>
                <w:highlight w:val="none"/>
                <w:u w:val="none"/>
                <w:lang w:val="en-US" w:eastAsia="zh-CN" w:bidi="ar-SA"/>
              </w:rPr>
            </w:pPr>
            <w:r>
              <w:rPr>
                <w:rFonts w:hint="eastAsia" w:ascii="Times New Roman"/>
                <w:snapToGrid w:val="0"/>
                <w:color w:val="auto"/>
                <w:kern w:val="21"/>
                <w:sz w:val="21"/>
                <w:szCs w:val="21"/>
                <w:highlight w:val="none"/>
                <w:u w:val="none"/>
                <w:lang w:val="en-US" w:eastAsia="zh-CN"/>
              </w:rPr>
              <w:t>0</w:t>
            </w:r>
          </w:p>
        </w:tc>
        <w:tc>
          <w:tcPr>
            <w:tcW w:w="1258" w:type="dxa"/>
            <w:shd w:val="clear" w:color="auto" w:fill="auto"/>
            <w:noWrap w:val="0"/>
            <w:vAlign w:val="center"/>
          </w:tcPr>
          <w:p w14:paraId="6A2B26A6">
            <w:pPr>
              <w:pStyle w:val="49"/>
              <w:spacing w:beforeLines="0" w:afterLines="0" w:line="240" w:lineRule="auto"/>
              <w:rPr>
                <w:rFonts w:hint="default" w:ascii="Times New Roman" w:hAnsi="Times New Roman" w:eastAsia="宋体" w:cs="Times New Roman"/>
                <w:bCs/>
                <w:snapToGrid w:val="0"/>
                <w:color w:val="auto"/>
                <w:kern w:val="21"/>
                <w:sz w:val="21"/>
                <w:szCs w:val="21"/>
                <w:highlight w:val="none"/>
                <w:u w:val="none"/>
                <w:lang w:val="en-US" w:eastAsia="zh-CN" w:bidi="ar-SA"/>
              </w:rPr>
            </w:pPr>
            <w:r>
              <w:rPr>
                <w:rFonts w:hint="eastAsia" w:ascii="Times New Roman" w:eastAsia="宋体"/>
                <w:snapToGrid w:val="0"/>
                <w:color w:val="auto"/>
                <w:kern w:val="21"/>
                <w:sz w:val="21"/>
                <w:szCs w:val="21"/>
                <w:highlight w:val="none"/>
                <w:u w:val="none"/>
                <w:lang w:val="en-US" w:eastAsia="zh-CN"/>
              </w:rPr>
              <w:t>/</w:t>
            </w:r>
          </w:p>
        </w:tc>
      </w:tr>
      <w:tr w14:paraId="2D41EB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477" w:type="dxa"/>
            <w:noWrap w:val="0"/>
            <w:vAlign w:val="center"/>
          </w:tcPr>
          <w:p w14:paraId="0FE708BB">
            <w:pPr>
              <w:pStyle w:val="49"/>
              <w:spacing w:beforeLines="0" w:afterLines="0" w:line="240" w:lineRule="auto"/>
              <w:rPr>
                <w:rFonts w:hint="eastAsia" w:ascii="Times New Roman" w:eastAsia="宋体"/>
                <w:snapToGrid w:val="0"/>
                <w:color w:val="auto"/>
                <w:kern w:val="21"/>
                <w:sz w:val="21"/>
                <w:szCs w:val="21"/>
                <w:highlight w:val="none"/>
                <w:u w:val="none"/>
                <w:lang w:eastAsia="zh-CN"/>
              </w:rPr>
            </w:pPr>
            <w:r>
              <w:rPr>
                <w:rFonts w:hint="eastAsia" w:ascii="Times New Roman" w:eastAsia="宋体"/>
                <w:snapToGrid w:val="0"/>
                <w:color w:val="auto"/>
                <w:kern w:val="21"/>
                <w:sz w:val="21"/>
                <w:szCs w:val="21"/>
                <w:highlight w:val="none"/>
                <w:u w:val="none"/>
                <w:lang w:eastAsia="zh-CN"/>
              </w:rPr>
              <w:t>生活垃圾</w:t>
            </w:r>
          </w:p>
        </w:tc>
        <w:tc>
          <w:tcPr>
            <w:tcW w:w="1528" w:type="dxa"/>
            <w:shd w:val="clear" w:color="auto" w:fill="auto"/>
            <w:noWrap w:val="0"/>
            <w:vAlign w:val="center"/>
          </w:tcPr>
          <w:p w14:paraId="7AD4FDE2">
            <w:pPr>
              <w:spacing w:line="276" w:lineRule="auto"/>
              <w:ind w:left="-105" w:leftChars="-50" w:right="-105" w:rightChars="-50"/>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color w:val="auto"/>
                <w:sz w:val="21"/>
                <w:szCs w:val="21"/>
                <w:highlight w:val="none"/>
                <w:u w:val="none"/>
              </w:rPr>
              <w:t>生活垃圾</w:t>
            </w:r>
          </w:p>
        </w:tc>
        <w:tc>
          <w:tcPr>
            <w:tcW w:w="1701" w:type="dxa"/>
            <w:shd w:val="clear" w:color="auto" w:fill="auto"/>
            <w:noWrap w:val="0"/>
            <w:vAlign w:val="center"/>
          </w:tcPr>
          <w:p w14:paraId="2855D3D0">
            <w:pPr>
              <w:pStyle w:val="49"/>
              <w:spacing w:beforeLines="0" w:afterLines="0" w:line="240" w:lineRule="auto"/>
              <w:rPr>
                <w:rFonts w:hint="eastAsia" w:ascii="Times New Roman" w:hAnsi="Times New Roman" w:eastAsia="宋体" w:cs="Times New Roman"/>
                <w:bCs/>
                <w:snapToGrid w:val="0"/>
                <w:color w:val="auto"/>
                <w:kern w:val="21"/>
                <w:sz w:val="21"/>
                <w:szCs w:val="21"/>
                <w:highlight w:val="none"/>
                <w:u w:val="none"/>
                <w:lang w:val="en-US" w:eastAsia="zh-CN" w:bidi="ar-SA"/>
              </w:rPr>
            </w:pPr>
            <w:r>
              <w:rPr>
                <w:rFonts w:hint="eastAsia" w:ascii="Times New Roman" w:eastAsia="宋体"/>
                <w:snapToGrid w:val="0"/>
                <w:color w:val="auto"/>
                <w:kern w:val="21"/>
                <w:sz w:val="21"/>
                <w:szCs w:val="21"/>
                <w:highlight w:val="none"/>
                <w:u w:val="none"/>
                <w:lang w:val="en-US" w:eastAsia="zh-CN"/>
              </w:rPr>
              <w:t>0</w:t>
            </w:r>
          </w:p>
        </w:tc>
        <w:tc>
          <w:tcPr>
            <w:tcW w:w="1276" w:type="dxa"/>
            <w:shd w:val="clear" w:color="auto" w:fill="auto"/>
            <w:noWrap w:val="0"/>
            <w:vAlign w:val="center"/>
          </w:tcPr>
          <w:p w14:paraId="1328A7F1">
            <w:pPr>
              <w:pStyle w:val="49"/>
              <w:spacing w:beforeLines="0" w:afterLines="0" w:line="240" w:lineRule="auto"/>
              <w:rPr>
                <w:rFonts w:hint="eastAsia" w:ascii="Times New Roman" w:hAnsi="Times New Roman" w:eastAsia="宋体" w:cs="Times New Roman"/>
                <w:bCs/>
                <w:snapToGrid w:val="0"/>
                <w:color w:val="auto"/>
                <w:kern w:val="21"/>
                <w:sz w:val="21"/>
                <w:szCs w:val="21"/>
                <w:highlight w:val="none"/>
                <w:u w:val="none"/>
                <w:lang w:val="en-US" w:eastAsia="zh-CN" w:bidi="ar-SA"/>
              </w:rPr>
            </w:pPr>
            <w:r>
              <w:rPr>
                <w:rFonts w:hint="eastAsia" w:ascii="Times New Roman" w:eastAsia="宋体"/>
                <w:snapToGrid w:val="0"/>
                <w:color w:val="auto"/>
                <w:kern w:val="21"/>
                <w:sz w:val="21"/>
                <w:szCs w:val="21"/>
                <w:highlight w:val="none"/>
                <w:u w:val="none"/>
                <w:lang w:val="en-US" w:eastAsia="zh-CN"/>
              </w:rPr>
              <w:t>/</w:t>
            </w:r>
          </w:p>
        </w:tc>
        <w:tc>
          <w:tcPr>
            <w:tcW w:w="1701" w:type="dxa"/>
            <w:shd w:val="clear" w:color="auto" w:fill="auto"/>
            <w:noWrap w:val="0"/>
            <w:vAlign w:val="center"/>
          </w:tcPr>
          <w:p w14:paraId="551F4A6F">
            <w:pPr>
              <w:pStyle w:val="49"/>
              <w:spacing w:beforeLines="0" w:afterLines="0" w:line="240" w:lineRule="auto"/>
              <w:rPr>
                <w:rFonts w:ascii="Times New Roman" w:hAnsi="Times New Roman" w:eastAsia="Calibri" w:cs="Times New Roman"/>
                <w:bCs/>
                <w:snapToGrid w:val="0"/>
                <w:color w:val="auto"/>
                <w:kern w:val="21"/>
                <w:sz w:val="21"/>
                <w:szCs w:val="21"/>
                <w:highlight w:val="none"/>
                <w:u w:val="none"/>
                <w:lang w:val="en-US" w:eastAsia="zh-CN" w:bidi="ar-SA"/>
              </w:rPr>
            </w:pPr>
            <w:r>
              <w:rPr>
                <w:rFonts w:hint="eastAsia" w:ascii="Times New Roman" w:eastAsia="宋体"/>
                <w:snapToGrid w:val="0"/>
                <w:color w:val="auto"/>
                <w:kern w:val="21"/>
                <w:sz w:val="21"/>
                <w:szCs w:val="21"/>
                <w:highlight w:val="none"/>
                <w:u w:val="none"/>
                <w:lang w:val="en-US" w:eastAsia="zh-CN"/>
              </w:rPr>
              <w:t>0</w:t>
            </w:r>
          </w:p>
        </w:tc>
        <w:tc>
          <w:tcPr>
            <w:tcW w:w="1559" w:type="dxa"/>
            <w:shd w:val="clear" w:color="auto" w:fill="auto"/>
            <w:noWrap w:val="0"/>
            <w:vAlign w:val="center"/>
          </w:tcPr>
          <w:p w14:paraId="0EFF90AA">
            <w:pPr>
              <w:adjustRightInd w:val="0"/>
              <w:snapToGrid w:val="0"/>
              <w:spacing w:line="276" w:lineRule="auto"/>
              <w:jc w:val="center"/>
              <w:rPr>
                <w:rFonts w:hint="default" w:ascii="Times New Roman" w:hAnsi="Times New Roman" w:eastAsia="宋体" w:cs="Times New Roman"/>
                <w:snapToGrid w:val="0"/>
                <w:color w:val="auto"/>
                <w:kern w:val="21"/>
                <w:sz w:val="21"/>
                <w:szCs w:val="21"/>
                <w:highlight w:val="none"/>
                <w:u w:val="none"/>
                <w:lang w:val="en-US" w:eastAsia="zh-CN" w:bidi="ar-SA"/>
              </w:rPr>
            </w:pPr>
            <w:r>
              <w:rPr>
                <w:rFonts w:hint="eastAsia"/>
                <w:snapToGrid w:val="0"/>
                <w:color w:val="auto"/>
                <w:kern w:val="21"/>
                <w:sz w:val="21"/>
                <w:szCs w:val="21"/>
                <w:highlight w:val="none"/>
                <w:u w:val="none"/>
                <w:lang w:val="en-US" w:eastAsia="zh-CN"/>
              </w:rPr>
              <w:t>3.6</w:t>
            </w:r>
          </w:p>
        </w:tc>
        <w:tc>
          <w:tcPr>
            <w:tcW w:w="1761" w:type="dxa"/>
            <w:shd w:val="clear" w:color="auto" w:fill="auto"/>
            <w:noWrap w:val="0"/>
            <w:vAlign w:val="center"/>
          </w:tcPr>
          <w:p w14:paraId="592AD7F8">
            <w:pPr>
              <w:spacing w:beforeLines="0" w:afterLines="0" w:line="240" w:lineRule="auto"/>
              <w:jc w:val="center"/>
              <w:rPr>
                <w:rFonts w:ascii="Times New Roman" w:hAnsi="Times New Roman" w:eastAsia="Calibri" w:cs="Times New Roman"/>
                <w:snapToGrid w:val="0"/>
                <w:color w:val="auto"/>
                <w:kern w:val="21"/>
                <w:sz w:val="21"/>
                <w:szCs w:val="21"/>
                <w:highlight w:val="none"/>
                <w:u w:val="none"/>
                <w:lang w:val="en-US" w:eastAsia="zh-CN" w:bidi="ar-SA"/>
              </w:rPr>
            </w:pPr>
            <w:r>
              <w:rPr>
                <w:rFonts w:hint="eastAsia" w:ascii="Times New Roman" w:eastAsia="宋体"/>
                <w:snapToGrid w:val="0"/>
                <w:color w:val="auto"/>
                <w:kern w:val="21"/>
                <w:sz w:val="21"/>
                <w:szCs w:val="21"/>
                <w:highlight w:val="none"/>
                <w:u w:val="none"/>
                <w:lang w:val="en-US" w:eastAsia="zh-CN"/>
              </w:rPr>
              <w:t>0</w:t>
            </w:r>
          </w:p>
        </w:tc>
        <w:tc>
          <w:tcPr>
            <w:tcW w:w="1783" w:type="dxa"/>
            <w:shd w:val="clear" w:color="auto" w:fill="auto"/>
            <w:noWrap w:val="0"/>
            <w:vAlign w:val="center"/>
          </w:tcPr>
          <w:p w14:paraId="051E6E19">
            <w:pPr>
              <w:adjustRightInd w:val="0"/>
              <w:snapToGrid w:val="0"/>
              <w:spacing w:line="276" w:lineRule="auto"/>
              <w:jc w:val="center"/>
              <w:rPr>
                <w:rFonts w:hint="default" w:ascii="Times New Roman" w:hAnsi="Times New Roman" w:eastAsia="宋体" w:cs="Times New Roman"/>
                <w:snapToGrid w:val="0"/>
                <w:color w:val="auto"/>
                <w:kern w:val="21"/>
                <w:sz w:val="21"/>
                <w:szCs w:val="21"/>
                <w:highlight w:val="none"/>
                <w:u w:val="none"/>
                <w:lang w:val="en-US" w:eastAsia="zh-CN" w:bidi="ar-SA"/>
              </w:rPr>
            </w:pPr>
            <w:r>
              <w:rPr>
                <w:rFonts w:hint="eastAsia"/>
                <w:snapToGrid w:val="0"/>
                <w:color w:val="auto"/>
                <w:kern w:val="21"/>
                <w:sz w:val="21"/>
                <w:szCs w:val="21"/>
                <w:highlight w:val="none"/>
                <w:u w:val="none"/>
                <w:lang w:val="en-US" w:eastAsia="zh-CN"/>
              </w:rPr>
              <w:t>3.6</w:t>
            </w:r>
          </w:p>
        </w:tc>
        <w:tc>
          <w:tcPr>
            <w:tcW w:w="1258" w:type="dxa"/>
            <w:shd w:val="clear" w:color="auto" w:fill="auto"/>
            <w:noWrap w:val="0"/>
            <w:vAlign w:val="center"/>
          </w:tcPr>
          <w:p w14:paraId="0A621022">
            <w:pPr>
              <w:pStyle w:val="49"/>
              <w:spacing w:beforeLines="0" w:afterLines="0" w:line="240" w:lineRule="auto"/>
              <w:rPr>
                <w:rFonts w:hint="default" w:ascii="Times New Roman" w:hAnsi="Times New Roman" w:eastAsia="宋体" w:cs="Times New Roman"/>
                <w:bCs/>
                <w:snapToGrid w:val="0"/>
                <w:color w:val="auto"/>
                <w:kern w:val="21"/>
                <w:sz w:val="21"/>
                <w:szCs w:val="21"/>
                <w:highlight w:val="none"/>
                <w:u w:val="none"/>
                <w:lang w:val="en-US" w:eastAsia="zh-CN" w:bidi="ar-SA"/>
              </w:rPr>
            </w:pPr>
            <w:r>
              <w:rPr>
                <w:rFonts w:hint="eastAsia" w:ascii="Times New Roman" w:eastAsia="宋体"/>
                <w:snapToGrid w:val="0"/>
                <w:color w:val="auto"/>
                <w:kern w:val="21"/>
                <w:sz w:val="21"/>
                <w:szCs w:val="21"/>
                <w:highlight w:val="none"/>
                <w:u w:val="none"/>
                <w:lang w:val="en-US" w:eastAsia="zh-CN"/>
              </w:rPr>
              <w:t>+3.6</w:t>
            </w:r>
          </w:p>
        </w:tc>
      </w:tr>
      <w:tr w14:paraId="0EB8B3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477" w:type="dxa"/>
            <w:vMerge w:val="restart"/>
            <w:noWrap w:val="0"/>
            <w:vAlign w:val="center"/>
          </w:tcPr>
          <w:p w14:paraId="1750518A">
            <w:pPr>
              <w:pStyle w:val="49"/>
              <w:spacing w:beforeLines="0" w:afterLines="0" w:line="240" w:lineRule="auto"/>
              <w:rPr>
                <w:rFonts w:ascii="Times New Roman" w:eastAsia="Calibri"/>
                <w:snapToGrid w:val="0"/>
                <w:color w:val="auto"/>
                <w:kern w:val="21"/>
                <w:sz w:val="21"/>
                <w:szCs w:val="21"/>
                <w:highlight w:val="none"/>
                <w:u w:val="none"/>
              </w:rPr>
            </w:pPr>
            <w:r>
              <w:rPr>
                <w:rFonts w:ascii="宋体" w:hAnsi="宋体" w:eastAsia="宋体" w:cs="宋体"/>
                <w:snapToGrid w:val="0"/>
                <w:color w:val="auto"/>
                <w:kern w:val="21"/>
                <w:sz w:val="21"/>
                <w:szCs w:val="21"/>
                <w:highlight w:val="none"/>
                <w:u w:val="none"/>
              </w:rPr>
              <w:t>一般工业</w:t>
            </w:r>
          </w:p>
          <w:p w14:paraId="39DC2DAF">
            <w:pPr>
              <w:pStyle w:val="49"/>
              <w:spacing w:beforeLines="0" w:afterLines="0" w:line="240" w:lineRule="auto"/>
              <w:rPr>
                <w:rFonts w:ascii="宋体" w:hAnsi="宋体" w:eastAsia="宋体" w:cs="宋体"/>
                <w:snapToGrid w:val="0"/>
                <w:color w:val="auto"/>
                <w:kern w:val="21"/>
                <w:sz w:val="21"/>
                <w:szCs w:val="21"/>
                <w:highlight w:val="none"/>
                <w:u w:val="none"/>
              </w:rPr>
            </w:pPr>
            <w:r>
              <w:rPr>
                <w:rFonts w:ascii="宋体" w:hAnsi="宋体" w:eastAsia="宋体" w:cs="宋体"/>
                <w:snapToGrid w:val="0"/>
                <w:color w:val="auto"/>
                <w:kern w:val="21"/>
                <w:sz w:val="21"/>
                <w:szCs w:val="21"/>
                <w:highlight w:val="none"/>
                <w:u w:val="none"/>
              </w:rPr>
              <w:t>固体废物</w:t>
            </w:r>
          </w:p>
        </w:tc>
        <w:tc>
          <w:tcPr>
            <w:tcW w:w="1528" w:type="dxa"/>
            <w:shd w:val="clear" w:color="auto" w:fill="auto"/>
            <w:noWrap w:val="0"/>
            <w:vAlign w:val="center"/>
          </w:tcPr>
          <w:p w14:paraId="368D45EA">
            <w:pPr>
              <w:pStyle w:val="71"/>
              <w:adjustRightInd w:val="0"/>
              <w:ind w:left="-63" w:leftChars="-30" w:right="-63" w:rightChars="-30"/>
              <w:jc w:val="center"/>
              <w:rPr>
                <w:rFonts w:hint="eastAsia" w:eastAsia="宋体"/>
                <w:color w:val="auto"/>
                <w:sz w:val="21"/>
                <w:szCs w:val="21"/>
                <w:highlight w:val="none"/>
                <w:u w:val="none"/>
                <w:lang w:eastAsia="zh-CN"/>
              </w:rPr>
            </w:pPr>
            <w:r>
              <w:rPr>
                <w:rFonts w:hint="eastAsia"/>
                <w:b w:val="0"/>
                <w:bCs w:val="0"/>
                <w:color w:val="auto"/>
                <w:sz w:val="21"/>
                <w:szCs w:val="21"/>
                <w:highlight w:val="none"/>
                <w:u w:val="none"/>
                <w:lang w:eastAsia="zh-CN"/>
              </w:rPr>
              <w:t>除尘器收集粉尘</w:t>
            </w:r>
          </w:p>
        </w:tc>
        <w:tc>
          <w:tcPr>
            <w:tcW w:w="1701" w:type="dxa"/>
            <w:shd w:val="clear" w:color="auto" w:fill="auto"/>
            <w:noWrap w:val="0"/>
            <w:vAlign w:val="center"/>
          </w:tcPr>
          <w:p w14:paraId="03A8FA16">
            <w:pPr>
              <w:pStyle w:val="49"/>
              <w:spacing w:beforeLines="0" w:afterLines="0" w:line="240" w:lineRule="auto"/>
              <w:rPr>
                <w:rFonts w:hint="eastAsia" w:ascii="Times New Roman" w:hAnsi="Times New Roman" w:eastAsia="宋体" w:cs="Times New Roman"/>
                <w:bCs/>
                <w:snapToGrid w:val="0"/>
                <w:color w:val="auto"/>
                <w:kern w:val="21"/>
                <w:sz w:val="21"/>
                <w:szCs w:val="21"/>
                <w:highlight w:val="none"/>
                <w:u w:val="none"/>
                <w:lang w:val="en-US" w:eastAsia="zh-CN" w:bidi="ar-SA"/>
              </w:rPr>
            </w:pPr>
            <w:r>
              <w:rPr>
                <w:rFonts w:hint="eastAsia" w:ascii="Times New Roman" w:eastAsia="宋体"/>
                <w:snapToGrid w:val="0"/>
                <w:color w:val="auto"/>
                <w:kern w:val="21"/>
                <w:sz w:val="21"/>
                <w:szCs w:val="21"/>
                <w:highlight w:val="none"/>
                <w:u w:val="none"/>
                <w:lang w:val="en-US" w:eastAsia="zh-CN"/>
              </w:rPr>
              <w:t>0</w:t>
            </w:r>
          </w:p>
        </w:tc>
        <w:tc>
          <w:tcPr>
            <w:tcW w:w="1276" w:type="dxa"/>
            <w:shd w:val="clear" w:color="auto" w:fill="auto"/>
            <w:noWrap w:val="0"/>
            <w:vAlign w:val="center"/>
          </w:tcPr>
          <w:p w14:paraId="348F95DB">
            <w:pPr>
              <w:pStyle w:val="49"/>
              <w:spacing w:beforeLines="0" w:afterLines="0" w:line="240" w:lineRule="auto"/>
              <w:rPr>
                <w:rFonts w:hint="eastAsia" w:ascii="Times New Roman" w:hAnsi="Times New Roman" w:eastAsia="宋体" w:cs="Times New Roman"/>
                <w:bCs/>
                <w:snapToGrid w:val="0"/>
                <w:color w:val="auto"/>
                <w:kern w:val="21"/>
                <w:sz w:val="21"/>
                <w:szCs w:val="21"/>
                <w:highlight w:val="none"/>
                <w:u w:val="none"/>
                <w:lang w:val="en-US" w:eastAsia="zh-CN" w:bidi="ar-SA"/>
              </w:rPr>
            </w:pPr>
            <w:r>
              <w:rPr>
                <w:rFonts w:hint="eastAsia" w:ascii="Times New Roman" w:eastAsia="宋体"/>
                <w:snapToGrid w:val="0"/>
                <w:color w:val="auto"/>
                <w:kern w:val="21"/>
                <w:sz w:val="21"/>
                <w:szCs w:val="21"/>
                <w:highlight w:val="none"/>
                <w:u w:val="none"/>
                <w:lang w:val="en-US" w:eastAsia="zh-CN"/>
              </w:rPr>
              <w:t>/</w:t>
            </w:r>
          </w:p>
        </w:tc>
        <w:tc>
          <w:tcPr>
            <w:tcW w:w="1701" w:type="dxa"/>
            <w:shd w:val="clear" w:color="auto" w:fill="auto"/>
            <w:noWrap w:val="0"/>
            <w:vAlign w:val="center"/>
          </w:tcPr>
          <w:p w14:paraId="1D8CE85D">
            <w:pPr>
              <w:pStyle w:val="49"/>
              <w:spacing w:beforeLines="0" w:afterLines="0" w:line="240" w:lineRule="auto"/>
              <w:rPr>
                <w:rFonts w:hint="eastAsia" w:ascii="Times New Roman" w:hAnsi="Times New Roman" w:eastAsia="Calibri" w:cs="Times New Roman"/>
                <w:bCs/>
                <w:snapToGrid w:val="0"/>
                <w:color w:val="auto"/>
                <w:kern w:val="21"/>
                <w:sz w:val="21"/>
                <w:szCs w:val="21"/>
                <w:highlight w:val="none"/>
                <w:u w:val="none"/>
                <w:lang w:val="en-US" w:eastAsia="zh-CN" w:bidi="ar-SA"/>
              </w:rPr>
            </w:pPr>
            <w:r>
              <w:rPr>
                <w:rFonts w:hint="eastAsia" w:ascii="Times New Roman" w:eastAsia="宋体"/>
                <w:snapToGrid w:val="0"/>
                <w:color w:val="auto"/>
                <w:kern w:val="21"/>
                <w:sz w:val="21"/>
                <w:szCs w:val="21"/>
                <w:highlight w:val="none"/>
                <w:u w:val="none"/>
                <w:lang w:val="en-US" w:eastAsia="zh-CN"/>
              </w:rPr>
              <w:t>0</w:t>
            </w:r>
          </w:p>
        </w:tc>
        <w:tc>
          <w:tcPr>
            <w:tcW w:w="1559" w:type="dxa"/>
            <w:shd w:val="clear" w:color="auto" w:fill="auto"/>
            <w:noWrap w:val="0"/>
            <w:vAlign w:val="center"/>
          </w:tcPr>
          <w:p w14:paraId="48AB2965">
            <w:pPr>
              <w:pStyle w:val="71"/>
              <w:adjustRightInd w:val="0"/>
              <w:ind w:left="-63" w:leftChars="-30" w:right="-63" w:rightChars="-30"/>
              <w:jc w:val="center"/>
              <w:rPr>
                <w:rFonts w:hint="default" w:ascii="Times New Roman" w:hAnsi="Times New Roman" w:eastAsia="宋体" w:cs="Times New Roman"/>
                <w:b w:val="0"/>
                <w:bCs w:val="0"/>
                <w:color w:val="auto"/>
                <w:kern w:val="2"/>
                <w:sz w:val="21"/>
                <w:szCs w:val="21"/>
                <w:highlight w:val="none"/>
                <w:u w:val="none"/>
                <w:lang w:val="en-US" w:eastAsia="zh-CN" w:bidi="ar-SA"/>
              </w:rPr>
            </w:pPr>
            <w:r>
              <w:rPr>
                <w:rFonts w:hint="eastAsia" w:cs="Times New Roman"/>
                <w:b w:val="0"/>
                <w:bCs w:val="0"/>
                <w:color w:val="auto"/>
                <w:kern w:val="2"/>
                <w:sz w:val="21"/>
                <w:szCs w:val="21"/>
                <w:highlight w:val="none"/>
                <w:u w:val="none"/>
                <w:lang w:val="en-US" w:eastAsia="zh-CN" w:bidi="ar-SA"/>
              </w:rPr>
              <w:t>89.73</w:t>
            </w:r>
          </w:p>
        </w:tc>
        <w:tc>
          <w:tcPr>
            <w:tcW w:w="1761" w:type="dxa"/>
            <w:shd w:val="clear" w:color="auto" w:fill="auto"/>
            <w:noWrap w:val="0"/>
            <w:vAlign w:val="center"/>
          </w:tcPr>
          <w:p w14:paraId="5412E3FF">
            <w:pPr>
              <w:spacing w:beforeLines="0" w:afterLines="0" w:line="240" w:lineRule="auto"/>
              <w:jc w:val="center"/>
              <w:rPr>
                <w:rFonts w:hint="eastAsia" w:ascii="Times New Roman" w:hAnsi="Times New Roman" w:eastAsia="Calibri" w:cs="Times New Roman"/>
                <w:snapToGrid w:val="0"/>
                <w:color w:val="auto"/>
                <w:kern w:val="21"/>
                <w:sz w:val="21"/>
                <w:szCs w:val="21"/>
                <w:highlight w:val="none"/>
                <w:u w:val="none"/>
                <w:lang w:val="en-US" w:eastAsia="zh-CN" w:bidi="ar-SA"/>
              </w:rPr>
            </w:pPr>
            <w:r>
              <w:rPr>
                <w:rFonts w:hint="eastAsia" w:ascii="Times New Roman" w:eastAsia="宋体"/>
                <w:snapToGrid w:val="0"/>
                <w:color w:val="auto"/>
                <w:kern w:val="21"/>
                <w:sz w:val="21"/>
                <w:szCs w:val="21"/>
                <w:highlight w:val="none"/>
                <w:u w:val="none"/>
                <w:lang w:val="en-US" w:eastAsia="zh-CN"/>
              </w:rPr>
              <w:t>0</w:t>
            </w:r>
          </w:p>
        </w:tc>
        <w:tc>
          <w:tcPr>
            <w:tcW w:w="1783" w:type="dxa"/>
            <w:shd w:val="clear" w:color="auto" w:fill="auto"/>
            <w:noWrap w:val="0"/>
            <w:vAlign w:val="center"/>
          </w:tcPr>
          <w:p w14:paraId="42FCE642">
            <w:pPr>
              <w:pStyle w:val="71"/>
              <w:adjustRightInd w:val="0"/>
              <w:ind w:left="-63" w:leftChars="-30" w:right="-63" w:rightChars="-30"/>
              <w:jc w:val="center"/>
              <w:rPr>
                <w:rFonts w:hint="eastAsia" w:ascii="Times New Roman" w:hAnsi="Times New Roman" w:eastAsia="宋体" w:cs="Times New Roman"/>
                <w:b w:val="0"/>
                <w:bCs w:val="0"/>
                <w:color w:val="auto"/>
                <w:kern w:val="2"/>
                <w:sz w:val="21"/>
                <w:szCs w:val="21"/>
                <w:highlight w:val="none"/>
                <w:u w:val="none"/>
                <w:lang w:val="en-US" w:eastAsia="zh-CN" w:bidi="ar-SA"/>
              </w:rPr>
            </w:pPr>
            <w:r>
              <w:rPr>
                <w:rFonts w:hint="eastAsia"/>
                <w:b w:val="0"/>
                <w:bCs w:val="0"/>
                <w:color w:val="auto"/>
                <w:sz w:val="21"/>
                <w:szCs w:val="21"/>
                <w:highlight w:val="none"/>
                <w:u w:val="none"/>
                <w:lang w:val="en-US" w:eastAsia="zh-CN"/>
              </w:rPr>
              <w:t>0</w:t>
            </w:r>
          </w:p>
        </w:tc>
        <w:tc>
          <w:tcPr>
            <w:tcW w:w="1258" w:type="dxa"/>
            <w:shd w:val="clear" w:color="auto" w:fill="auto"/>
            <w:noWrap w:val="0"/>
            <w:vAlign w:val="center"/>
          </w:tcPr>
          <w:p w14:paraId="1F0A54FC">
            <w:pPr>
              <w:pStyle w:val="49"/>
              <w:spacing w:beforeLines="0" w:afterLines="0" w:line="240" w:lineRule="auto"/>
              <w:rPr>
                <w:rFonts w:hint="default" w:ascii="Times New Roman" w:hAnsi="Times New Roman" w:eastAsia="宋体" w:cs="Times New Roman"/>
                <w:bCs/>
                <w:snapToGrid w:val="0"/>
                <w:color w:val="auto"/>
                <w:kern w:val="21"/>
                <w:sz w:val="21"/>
                <w:szCs w:val="21"/>
                <w:highlight w:val="none"/>
                <w:u w:val="none"/>
                <w:lang w:val="en-US" w:eastAsia="zh-CN" w:bidi="ar-SA"/>
              </w:rPr>
            </w:pPr>
            <w:r>
              <w:rPr>
                <w:rFonts w:hint="eastAsia" w:ascii="Times New Roman" w:eastAsia="宋体"/>
                <w:snapToGrid w:val="0"/>
                <w:color w:val="auto"/>
                <w:kern w:val="21"/>
                <w:sz w:val="21"/>
                <w:szCs w:val="21"/>
                <w:highlight w:val="none"/>
                <w:u w:val="none"/>
                <w:lang w:val="en-US" w:eastAsia="zh-CN"/>
              </w:rPr>
              <w:t>-89.73</w:t>
            </w:r>
          </w:p>
        </w:tc>
      </w:tr>
      <w:tr w14:paraId="65CBE3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477" w:type="dxa"/>
            <w:vMerge w:val="continue"/>
            <w:noWrap w:val="0"/>
            <w:vAlign w:val="center"/>
          </w:tcPr>
          <w:p w14:paraId="72532CF7">
            <w:pPr>
              <w:pStyle w:val="49"/>
              <w:spacing w:beforeLines="0" w:afterLines="0" w:line="240" w:lineRule="auto"/>
              <w:rPr>
                <w:rFonts w:ascii="宋体" w:hAnsi="宋体" w:eastAsia="宋体" w:cs="宋体"/>
                <w:snapToGrid w:val="0"/>
                <w:color w:val="auto"/>
                <w:kern w:val="21"/>
                <w:sz w:val="21"/>
                <w:szCs w:val="21"/>
                <w:highlight w:val="none"/>
                <w:u w:val="none"/>
              </w:rPr>
            </w:pPr>
          </w:p>
        </w:tc>
        <w:tc>
          <w:tcPr>
            <w:tcW w:w="1528" w:type="dxa"/>
            <w:shd w:val="clear" w:color="auto" w:fill="auto"/>
            <w:noWrap w:val="0"/>
            <w:vAlign w:val="center"/>
          </w:tcPr>
          <w:p w14:paraId="3B7592FF">
            <w:pPr>
              <w:pStyle w:val="71"/>
              <w:adjustRightInd w:val="0"/>
              <w:ind w:left="-63" w:leftChars="-30" w:right="-63" w:rightChars="-30"/>
              <w:jc w:val="center"/>
              <w:rPr>
                <w:rFonts w:hint="eastAsia" w:eastAsia="宋体"/>
                <w:color w:val="auto"/>
                <w:sz w:val="21"/>
                <w:szCs w:val="21"/>
                <w:highlight w:val="none"/>
                <w:u w:val="none"/>
                <w:lang w:eastAsia="zh-CN"/>
              </w:rPr>
            </w:pPr>
            <w:r>
              <w:rPr>
                <w:rFonts w:hint="eastAsia"/>
                <w:b w:val="0"/>
                <w:bCs w:val="0"/>
                <w:color w:val="auto"/>
                <w:sz w:val="21"/>
                <w:szCs w:val="21"/>
                <w:highlight w:val="none"/>
                <w:u w:val="none"/>
                <w:lang w:eastAsia="zh-CN"/>
              </w:rPr>
              <w:t>废布袋</w:t>
            </w:r>
          </w:p>
        </w:tc>
        <w:tc>
          <w:tcPr>
            <w:tcW w:w="1701" w:type="dxa"/>
            <w:shd w:val="clear" w:color="auto" w:fill="auto"/>
            <w:noWrap w:val="0"/>
            <w:vAlign w:val="center"/>
          </w:tcPr>
          <w:p w14:paraId="60D9405B">
            <w:pPr>
              <w:pStyle w:val="49"/>
              <w:spacing w:beforeLines="0" w:afterLines="0" w:line="240" w:lineRule="auto"/>
              <w:rPr>
                <w:rFonts w:hint="default" w:ascii="Times New Roman" w:eastAsia="宋体"/>
                <w:snapToGrid w:val="0"/>
                <w:color w:val="auto"/>
                <w:kern w:val="21"/>
                <w:sz w:val="21"/>
                <w:szCs w:val="21"/>
                <w:highlight w:val="none"/>
                <w:u w:val="none"/>
                <w:lang w:val="en-US" w:eastAsia="zh-CN"/>
              </w:rPr>
            </w:pPr>
            <w:r>
              <w:rPr>
                <w:rFonts w:hint="eastAsia" w:ascii="Times New Roman" w:eastAsia="宋体"/>
                <w:snapToGrid w:val="0"/>
                <w:color w:val="auto"/>
                <w:kern w:val="21"/>
                <w:sz w:val="21"/>
                <w:szCs w:val="21"/>
                <w:highlight w:val="none"/>
                <w:u w:val="none"/>
                <w:lang w:val="en-US" w:eastAsia="zh-CN"/>
              </w:rPr>
              <w:t>0</w:t>
            </w:r>
          </w:p>
        </w:tc>
        <w:tc>
          <w:tcPr>
            <w:tcW w:w="1276" w:type="dxa"/>
            <w:shd w:val="clear" w:color="auto" w:fill="auto"/>
            <w:noWrap w:val="0"/>
            <w:vAlign w:val="center"/>
          </w:tcPr>
          <w:p w14:paraId="009AA381">
            <w:pPr>
              <w:pStyle w:val="49"/>
              <w:spacing w:beforeLines="0" w:afterLines="0" w:line="240" w:lineRule="auto"/>
              <w:rPr>
                <w:rFonts w:hint="default" w:ascii="Times New Roman" w:eastAsia="宋体"/>
                <w:snapToGrid w:val="0"/>
                <w:color w:val="auto"/>
                <w:kern w:val="21"/>
                <w:sz w:val="21"/>
                <w:szCs w:val="21"/>
                <w:highlight w:val="none"/>
                <w:u w:val="none"/>
                <w:lang w:val="en-US" w:eastAsia="zh-CN"/>
              </w:rPr>
            </w:pPr>
            <w:r>
              <w:rPr>
                <w:rFonts w:hint="eastAsia" w:ascii="Times New Roman" w:eastAsia="宋体"/>
                <w:snapToGrid w:val="0"/>
                <w:color w:val="auto"/>
                <w:kern w:val="21"/>
                <w:sz w:val="21"/>
                <w:szCs w:val="21"/>
                <w:highlight w:val="none"/>
                <w:u w:val="none"/>
                <w:lang w:val="en-US" w:eastAsia="zh-CN"/>
              </w:rPr>
              <w:t>/</w:t>
            </w:r>
          </w:p>
        </w:tc>
        <w:tc>
          <w:tcPr>
            <w:tcW w:w="1701" w:type="dxa"/>
            <w:shd w:val="clear" w:color="auto" w:fill="auto"/>
            <w:noWrap w:val="0"/>
            <w:vAlign w:val="center"/>
          </w:tcPr>
          <w:p w14:paraId="5AC863A9">
            <w:pPr>
              <w:pStyle w:val="49"/>
              <w:spacing w:beforeLines="0" w:afterLines="0" w:line="240" w:lineRule="auto"/>
              <w:rPr>
                <w:rFonts w:hint="default" w:ascii="Times New Roman" w:eastAsia="宋体"/>
                <w:snapToGrid w:val="0"/>
                <w:color w:val="auto"/>
                <w:kern w:val="21"/>
                <w:sz w:val="21"/>
                <w:szCs w:val="21"/>
                <w:highlight w:val="none"/>
                <w:u w:val="none"/>
                <w:lang w:val="en-US" w:eastAsia="zh-CN"/>
              </w:rPr>
            </w:pPr>
            <w:r>
              <w:rPr>
                <w:rFonts w:hint="eastAsia" w:ascii="Times New Roman" w:eastAsia="宋体"/>
                <w:snapToGrid w:val="0"/>
                <w:color w:val="auto"/>
                <w:kern w:val="21"/>
                <w:sz w:val="21"/>
                <w:szCs w:val="21"/>
                <w:highlight w:val="none"/>
                <w:u w:val="none"/>
                <w:lang w:val="en-US" w:eastAsia="zh-CN"/>
              </w:rPr>
              <w:t>0</w:t>
            </w:r>
          </w:p>
        </w:tc>
        <w:tc>
          <w:tcPr>
            <w:tcW w:w="1559" w:type="dxa"/>
            <w:shd w:val="clear" w:color="auto" w:fill="auto"/>
            <w:noWrap w:val="0"/>
            <w:vAlign w:val="center"/>
          </w:tcPr>
          <w:p w14:paraId="59362E3B">
            <w:pPr>
              <w:pStyle w:val="71"/>
              <w:adjustRightInd w:val="0"/>
              <w:ind w:left="-63" w:leftChars="-30" w:right="-63" w:rightChars="-30"/>
              <w:jc w:val="center"/>
              <w:rPr>
                <w:rFonts w:hint="default" w:ascii="Times New Roman" w:hAnsi="Times New Roman" w:eastAsia="宋体" w:cs="Times New Roman"/>
                <w:b w:val="0"/>
                <w:bCs w:val="0"/>
                <w:color w:val="auto"/>
                <w:kern w:val="2"/>
                <w:sz w:val="21"/>
                <w:szCs w:val="21"/>
                <w:highlight w:val="none"/>
                <w:u w:val="none"/>
                <w:lang w:val="en-US" w:eastAsia="zh-CN" w:bidi="ar-SA"/>
              </w:rPr>
            </w:pPr>
            <w:r>
              <w:rPr>
                <w:rFonts w:hint="eastAsia"/>
                <w:b w:val="0"/>
                <w:bCs w:val="0"/>
                <w:color w:val="auto"/>
                <w:sz w:val="21"/>
                <w:szCs w:val="21"/>
                <w:highlight w:val="none"/>
                <w:u w:val="none"/>
                <w:lang w:val="en-US" w:eastAsia="zh-CN"/>
              </w:rPr>
              <w:t>0.03</w:t>
            </w:r>
          </w:p>
        </w:tc>
        <w:tc>
          <w:tcPr>
            <w:tcW w:w="1761" w:type="dxa"/>
            <w:shd w:val="clear" w:color="auto" w:fill="auto"/>
            <w:noWrap w:val="0"/>
            <w:vAlign w:val="center"/>
          </w:tcPr>
          <w:p w14:paraId="122056B1">
            <w:pPr>
              <w:spacing w:beforeLines="0" w:afterLines="0" w:line="240" w:lineRule="auto"/>
              <w:jc w:val="center"/>
              <w:rPr>
                <w:rFonts w:hint="default" w:ascii="Times New Roman" w:eastAsia="宋体"/>
                <w:snapToGrid w:val="0"/>
                <w:color w:val="auto"/>
                <w:kern w:val="21"/>
                <w:sz w:val="21"/>
                <w:szCs w:val="21"/>
                <w:highlight w:val="none"/>
                <w:u w:val="none"/>
                <w:lang w:val="en-US" w:eastAsia="zh-CN"/>
              </w:rPr>
            </w:pPr>
            <w:r>
              <w:rPr>
                <w:rFonts w:hint="eastAsia"/>
                <w:snapToGrid w:val="0"/>
                <w:color w:val="auto"/>
                <w:kern w:val="21"/>
                <w:sz w:val="21"/>
                <w:szCs w:val="21"/>
                <w:highlight w:val="none"/>
                <w:u w:val="none"/>
                <w:lang w:val="en-US" w:eastAsia="zh-CN"/>
              </w:rPr>
              <w:t>0</w:t>
            </w:r>
          </w:p>
        </w:tc>
        <w:tc>
          <w:tcPr>
            <w:tcW w:w="1783" w:type="dxa"/>
            <w:shd w:val="clear" w:color="auto" w:fill="auto"/>
            <w:noWrap w:val="0"/>
            <w:vAlign w:val="center"/>
          </w:tcPr>
          <w:p w14:paraId="2E257219">
            <w:pPr>
              <w:pStyle w:val="71"/>
              <w:adjustRightInd w:val="0"/>
              <w:ind w:left="-63" w:leftChars="-30" w:right="-63" w:rightChars="-30"/>
              <w:jc w:val="center"/>
              <w:rPr>
                <w:rFonts w:hint="default" w:ascii="Times New Roman" w:hAnsi="Times New Roman" w:eastAsia="宋体" w:cs="Times New Roman"/>
                <w:b w:val="0"/>
                <w:bCs w:val="0"/>
                <w:color w:val="auto"/>
                <w:kern w:val="2"/>
                <w:sz w:val="21"/>
                <w:szCs w:val="21"/>
                <w:highlight w:val="none"/>
                <w:u w:val="none"/>
                <w:lang w:val="en-US" w:eastAsia="zh-CN" w:bidi="ar-SA"/>
              </w:rPr>
            </w:pPr>
            <w:r>
              <w:rPr>
                <w:rFonts w:hint="eastAsia"/>
                <w:b w:val="0"/>
                <w:bCs w:val="0"/>
                <w:color w:val="auto"/>
                <w:sz w:val="21"/>
                <w:szCs w:val="21"/>
                <w:highlight w:val="none"/>
                <w:u w:val="none"/>
                <w:lang w:val="en-US" w:eastAsia="zh-CN"/>
              </w:rPr>
              <w:t>0.03</w:t>
            </w:r>
          </w:p>
        </w:tc>
        <w:tc>
          <w:tcPr>
            <w:tcW w:w="1258" w:type="dxa"/>
            <w:shd w:val="clear" w:color="auto" w:fill="auto"/>
            <w:noWrap w:val="0"/>
            <w:vAlign w:val="center"/>
          </w:tcPr>
          <w:p w14:paraId="35A1AF6B">
            <w:pPr>
              <w:pStyle w:val="49"/>
              <w:spacing w:beforeLines="0" w:afterLines="0" w:line="240" w:lineRule="auto"/>
              <w:rPr>
                <w:rFonts w:hint="default" w:ascii="Times New Roman" w:hAnsi="Times New Roman" w:eastAsia="宋体" w:cs="Times New Roman"/>
                <w:bCs/>
                <w:snapToGrid w:val="0"/>
                <w:color w:val="auto"/>
                <w:kern w:val="21"/>
                <w:sz w:val="21"/>
                <w:szCs w:val="21"/>
                <w:highlight w:val="none"/>
                <w:u w:val="none"/>
                <w:lang w:val="en-US" w:eastAsia="zh-CN" w:bidi="ar-SA"/>
              </w:rPr>
            </w:pPr>
            <w:r>
              <w:rPr>
                <w:rFonts w:hint="eastAsia" w:ascii="Times New Roman" w:eastAsia="宋体" w:cs="Times New Roman"/>
                <w:bCs/>
                <w:snapToGrid w:val="0"/>
                <w:color w:val="auto"/>
                <w:kern w:val="21"/>
                <w:sz w:val="21"/>
                <w:szCs w:val="21"/>
                <w:highlight w:val="none"/>
                <w:u w:val="none"/>
                <w:lang w:val="en-US" w:eastAsia="zh-CN" w:bidi="ar-SA"/>
              </w:rPr>
              <w:t>+0.3</w:t>
            </w:r>
          </w:p>
        </w:tc>
      </w:tr>
      <w:tr w14:paraId="040A39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477" w:type="dxa"/>
            <w:vMerge w:val="continue"/>
            <w:noWrap w:val="0"/>
            <w:vAlign w:val="center"/>
          </w:tcPr>
          <w:p w14:paraId="2984BB8E">
            <w:pPr>
              <w:pStyle w:val="49"/>
              <w:spacing w:beforeLines="0" w:afterLines="0" w:line="240" w:lineRule="auto"/>
              <w:rPr>
                <w:rFonts w:ascii="宋体" w:hAnsi="宋体" w:eastAsia="宋体" w:cs="宋体"/>
                <w:snapToGrid w:val="0"/>
                <w:color w:val="auto"/>
                <w:kern w:val="21"/>
                <w:sz w:val="21"/>
                <w:szCs w:val="21"/>
                <w:highlight w:val="none"/>
                <w:u w:val="none"/>
              </w:rPr>
            </w:pPr>
          </w:p>
        </w:tc>
        <w:tc>
          <w:tcPr>
            <w:tcW w:w="1528" w:type="dxa"/>
            <w:noWrap w:val="0"/>
            <w:vAlign w:val="center"/>
          </w:tcPr>
          <w:p w14:paraId="545C7A3F">
            <w:pPr>
              <w:pStyle w:val="71"/>
              <w:adjustRightInd w:val="0"/>
              <w:ind w:left="-63" w:leftChars="-30" w:right="-63" w:rightChars="-30"/>
              <w:jc w:val="center"/>
              <w:rPr>
                <w:rFonts w:hint="eastAsia" w:ascii="Times New Roman" w:hAnsi="Times New Roman" w:eastAsia="宋体" w:cs="Times New Roman"/>
                <w:color w:val="auto"/>
                <w:sz w:val="21"/>
                <w:szCs w:val="21"/>
                <w:highlight w:val="none"/>
                <w:u w:val="none"/>
                <w:lang w:val="en-US" w:eastAsia="zh-CN"/>
              </w:rPr>
            </w:pPr>
            <w:r>
              <w:rPr>
                <w:rFonts w:hint="eastAsia"/>
                <w:b w:val="0"/>
                <w:bCs w:val="0"/>
                <w:color w:val="auto"/>
                <w:sz w:val="21"/>
                <w:szCs w:val="21"/>
                <w:highlight w:val="none"/>
                <w:u w:val="none"/>
                <w:lang w:val="en-US" w:eastAsia="zh-CN"/>
              </w:rPr>
              <w:t>沉淀池沉淀物</w:t>
            </w:r>
          </w:p>
        </w:tc>
        <w:tc>
          <w:tcPr>
            <w:tcW w:w="1701" w:type="dxa"/>
            <w:shd w:val="clear" w:color="auto" w:fill="auto"/>
            <w:noWrap w:val="0"/>
            <w:vAlign w:val="center"/>
          </w:tcPr>
          <w:p w14:paraId="7BDC356A">
            <w:pPr>
              <w:pStyle w:val="49"/>
              <w:spacing w:beforeLines="0" w:afterLines="0" w:line="240" w:lineRule="auto"/>
              <w:rPr>
                <w:rFonts w:hint="eastAsia" w:ascii="Times New Roman" w:hAnsi="Times New Roman" w:eastAsia="宋体" w:cs="Times New Roman"/>
                <w:bCs/>
                <w:snapToGrid w:val="0"/>
                <w:color w:val="auto"/>
                <w:kern w:val="21"/>
                <w:sz w:val="21"/>
                <w:szCs w:val="21"/>
                <w:highlight w:val="none"/>
                <w:u w:val="none"/>
                <w:lang w:val="en-US" w:eastAsia="zh-CN" w:bidi="ar-SA"/>
              </w:rPr>
            </w:pPr>
            <w:r>
              <w:rPr>
                <w:rFonts w:hint="eastAsia" w:ascii="Times New Roman" w:eastAsia="宋体"/>
                <w:snapToGrid w:val="0"/>
                <w:color w:val="auto"/>
                <w:kern w:val="21"/>
                <w:sz w:val="21"/>
                <w:szCs w:val="21"/>
                <w:highlight w:val="none"/>
                <w:u w:val="none"/>
                <w:lang w:val="en-US" w:eastAsia="zh-CN"/>
              </w:rPr>
              <w:t>0</w:t>
            </w:r>
          </w:p>
        </w:tc>
        <w:tc>
          <w:tcPr>
            <w:tcW w:w="1276" w:type="dxa"/>
            <w:shd w:val="clear" w:color="auto" w:fill="auto"/>
            <w:noWrap w:val="0"/>
            <w:vAlign w:val="center"/>
          </w:tcPr>
          <w:p w14:paraId="059D93F3">
            <w:pPr>
              <w:pStyle w:val="49"/>
              <w:spacing w:beforeLines="0" w:afterLines="0" w:line="240" w:lineRule="auto"/>
              <w:rPr>
                <w:rFonts w:hint="eastAsia" w:ascii="Times New Roman" w:hAnsi="Times New Roman" w:eastAsia="宋体" w:cs="Times New Roman"/>
                <w:bCs/>
                <w:snapToGrid w:val="0"/>
                <w:color w:val="auto"/>
                <w:kern w:val="21"/>
                <w:sz w:val="21"/>
                <w:szCs w:val="21"/>
                <w:highlight w:val="none"/>
                <w:u w:val="none"/>
                <w:lang w:val="en-US" w:eastAsia="zh-CN" w:bidi="ar-SA"/>
              </w:rPr>
            </w:pPr>
            <w:r>
              <w:rPr>
                <w:rFonts w:hint="eastAsia" w:ascii="Times New Roman" w:eastAsia="宋体"/>
                <w:snapToGrid w:val="0"/>
                <w:color w:val="auto"/>
                <w:kern w:val="21"/>
                <w:sz w:val="21"/>
                <w:szCs w:val="21"/>
                <w:highlight w:val="none"/>
                <w:u w:val="none"/>
                <w:lang w:val="en-US" w:eastAsia="zh-CN"/>
              </w:rPr>
              <w:t>/</w:t>
            </w:r>
          </w:p>
        </w:tc>
        <w:tc>
          <w:tcPr>
            <w:tcW w:w="1701" w:type="dxa"/>
            <w:shd w:val="clear" w:color="auto" w:fill="auto"/>
            <w:noWrap w:val="0"/>
            <w:vAlign w:val="center"/>
          </w:tcPr>
          <w:p w14:paraId="365CAF43">
            <w:pPr>
              <w:pStyle w:val="49"/>
              <w:spacing w:beforeLines="0" w:afterLines="0" w:line="240" w:lineRule="auto"/>
              <w:rPr>
                <w:rFonts w:hint="eastAsia" w:ascii="Times New Roman" w:hAnsi="Times New Roman" w:eastAsia="Calibri" w:cs="Times New Roman"/>
                <w:bCs/>
                <w:snapToGrid w:val="0"/>
                <w:color w:val="auto"/>
                <w:kern w:val="21"/>
                <w:sz w:val="21"/>
                <w:szCs w:val="21"/>
                <w:highlight w:val="none"/>
                <w:u w:val="none"/>
                <w:lang w:val="en-US" w:eastAsia="zh-CN" w:bidi="ar-SA"/>
              </w:rPr>
            </w:pPr>
            <w:r>
              <w:rPr>
                <w:rFonts w:hint="eastAsia" w:ascii="Times New Roman" w:eastAsia="宋体"/>
                <w:snapToGrid w:val="0"/>
                <w:color w:val="auto"/>
                <w:kern w:val="21"/>
                <w:sz w:val="21"/>
                <w:szCs w:val="21"/>
                <w:highlight w:val="none"/>
                <w:u w:val="none"/>
                <w:lang w:val="en-US" w:eastAsia="zh-CN"/>
              </w:rPr>
              <w:t>0</w:t>
            </w:r>
          </w:p>
        </w:tc>
        <w:tc>
          <w:tcPr>
            <w:tcW w:w="1559" w:type="dxa"/>
            <w:shd w:val="clear" w:color="auto" w:fill="auto"/>
            <w:noWrap w:val="0"/>
            <w:vAlign w:val="center"/>
          </w:tcPr>
          <w:p w14:paraId="3E2B0046">
            <w:pPr>
              <w:pStyle w:val="71"/>
              <w:adjustRightInd w:val="0"/>
              <w:ind w:left="-63" w:leftChars="-30" w:right="-63" w:rightChars="-30"/>
              <w:jc w:val="center"/>
              <w:rPr>
                <w:rFonts w:hint="default" w:ascii="Times New Roman" w:hAnsi="Times New Roman" w:eastAsia="宋体" w:cs="Times New Roman"/>
                <w:snapToGrid w:val="0"/>
                <w:color w:val="auto"/>
                <w:kern w:val="21"/>
                <w:sz w:val="21"/>
                <w:szCs w:val="21"/>
                <w:highlight w:val="none"/>
                <w:u w:val="none"/>
                <w:lang w:val="en-US" w:eastAsia="zh-CN" w:bidi="ar-SA"/>
              </w:rPr>
            </w:pPr>
            <w:r>
              <w:rPr>
                <w:rFonts w:hint="eastAsia"/>
                <w:b w:val="0"/>
                <w:bCs w:val="0"/>
                <w:color w:val="auto"/>
                <w:sz w:val="21"/>
                <w:szCs w:val="21"/>
                <w:highlight w:val="none"/>
                <w:u w:val="none"/>
                <w:lang w:val="en-US" w:eastAsia="zh-CN"/>
              </w:rPr>
              <w:t>10</w:t>
            </w:r>
          </w:p>
        </w:tc>
        <w:tc>
          <w:tcPr>
            <w:tcW w:w="1761" w:type="dxa"/>
            <w:shd w:val="clear" w:color="auto" w:fill="auto"/>
            <w:noWrap w:val="0"/>
            <w:vAlign w:val="center"/>
          </w:tcPr>
          <w:p w14:paraId="16CB3EB3">
            <w:pPr>
              <w:spacing w:beforeLines="0" w:afterLines="0" w:line="240" w:lineRule="auto"/>
              <w:jc w:val="center"/>
              <w:rPr>
                <w:rFonts w:hint="eastAsia" w:ascii="Times New Roman" w:hAnsi="Times New Roman" w:eastAsia="Calibri" w:cs="Times New Roman"/>
                <w:snapToGrid w:val="0"/>
                <w:color w:val="auto"/>
                <w:kern w:val="21"/>
                <w:sz w:val="21"/>
                <w:szCs w:val="21"/>
                <w:highlight w:val="none"/>
                <w:u w:val="none"/>
                <w:lang w:val="en-US" w:eastAsia="zh-CN" w:bidi="ar-SA"/>
              </w:rPr>
            </w:pPr>
            <w:r>
              <w:rPr>
                <w:rFonts w:hint="eastAsia" w:ascii="Times New Roman" w:eastAsia="宋体"/>
                <w:snapToGrid w:val="0"/>
                <w:color w:val="auto"/>
                <w:kern w:val="21"/>
                <w:sz w:val="21"/>
                <w:szCs w:val="21"/>
                <w:highlight w:val="none"/>
                <w:u w:val="none"/>
                <w:lang w:val="en-US" w:eastAsia="zh-CN"/>
              </w:rPr>
              <w:t>0</w:t>
            </w:r>
          </w:p>
        </w:tc>
        <w:tc>
          <w:tcPr>
            <w:tcW w:w="1783" w:type="dxa"/>
            <w:shd w:val="clear" w:color="auto" w:fill="auto"/>
            <w:noWrap w:val="0"/>
            <w:vAlign w:val="center"/>
          </w:tcPr>
          <w:p w14:paraId="0742B0B6">
            <w:pPr>
              <w:adjustRightInd w:val="0"/>
              <w:snapToGrid w:val="0"/>
              <w:spacing w:line="276" w:lineRule="auto"/>
              <w:jc w:val="center"/>
              <w:rPr>
                <w:rFonts w:hint="eastAsia" w:ascii="Times New Roman" w:hAnsi="Times New Roman" w:eastAsia="宋体" w:cs="Times New Roman"/>
                <w:snapToGrid w:val="0"/>
                <w:color w:val="auto"/>
                <w:kern w:val="21"/>
                <w:sz w:val="21"/>
                <w:szCs w:val="21"/>
                <w:highlight w:val="none"/>
                <w:u w:val="none"/>
                <w:lang w:val="en-US" w:eastAsia="zh-CN" w:bidi="ar-SA"/>
              </w:rPr>
            </w:pPr>
            <w:r>
              <w:rPr>
                <w:rFonts w:hint="eastAsia"/>
                <w:snapToGrid w:val="0"/>
                <w:color w:val="auto"/>
                <w:kern w:val="21"/>
                <w:sz w:val="21"/>
                <w:szCs w:val="21"/>
                <w:highlight w:val="none"/>
                <w:u w:val="none"/>
                <w:lang w:val="en-US" w:eastAsia="zh-CN"/>
              </w:rPr>
              <w:t>10</w:t>
            </w:r>
          </w:p>
        </w:tc>
        <w:tc>
          <w:tcPr>
            <w:tcW w:w="1258" w:type="dxa"/>
            <w:shd w:val="clear" w:color="auto" w:fill="auto"/>
            <w:noWrap w:val="0"/>
            <w:vAlign w:val="center"/>
          </w:tcPr>
          <w:p w14:paraId="05DE33E3">
            <w:pPr>
              <w:pStyle w:val="49"/>
              <w:spacing w:beforeLines="0" w:afterLines="0" w:line="240" w:lineRule="auto"/>
              <w:rPr>
                <w:rFonts w:hint="default" w:ascii="Times New Roman" w:hAnsi="Times New Roman" w:eastAsia="宋体" w:cs="Times New Roman"/>
                <w:bCs/>
                <w:snapToGrid w:val="0"/>
                <w:color w:val="auto"/>
                <w:kern w:val="21"/>
                <w:sz w:val="21"/>
                <w:szCs w:val="21"/>
                <w:highlight w:val="none"/>
                <w:u w:val="none"/>
                <w:lang w:val="en-US" w:eastAsia="zh-CN" w:bidi="ar-SA"/>
              </w:rPr>
            </w:pPr>
            <w:r>
              <w:rPr>
                <w:rFonts w:hint="eastAsia" w:ascii="Times New Roman" w:eastAsia="宋体"/>
                <w:snapToGrid w:val="0"/>
                <w:color w:val="auto"/>
                <w:kern w:val="21"/>
                <w:sz w:val="21"/>
                <w:szCs w:val="21"/>
                <w:highlight w:val="none"/>
                <w:u w:val="none"/>
                <w:lang w:val="en-US" w:eastAsia="zh-CN"/>
              </w:rPr>
              <w:t>+10</w:t>
            </w:r>
          </w:p>
        </w:tc>
      </w:tr>
      <w:tr w14:paraId="60D1C0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477" w:type="dxa"/>
            <w:vMerge w:val="continue"/>
            <w:noWrap w:val="0"/>
            <w:vAlign w:val="center"/>
          </w:tcPr>
          <w:p w14:paraId="3429918D">
            <w:pPr>
              <w:pStyle w:val="49"/>
              <w:spacing w:beforeLines="0" w:afterLines="0" w:line="240" w:lineRule="auto"/>
              <w:rPr>
                <w:rFonts w:ascii="Times New Roman" w:eastAsia="Calibri"/>
                <w:snapToGrid w:val="0"/>
                <w:color w:val="auto"/>
                <w:kern w:val="21"/>
                <w:sz w:val="21"/>
                <w:szCs w:val="21"/>
                <w:highlight w:val="none"/>
                <w:u w:val="none"/>
              </w:rPr>
            </w:pPr>
          </w:p>
        </w:tc>
        <w:tc>
          <w:tcPr>
            <w:tcW w:w="1528" w:type="dxa"/>
            <w:noWrap w:val="0"/>
            <w:vAlign w:val="center"/>
          </w:tcPr>
          <w:p w14:paraId="586A3C56">
            <w:pPr>
              <w:pStyle w:val="71"/>
              <w:adjustRightInd w:val="0"/>
              <w:ind w:left="-63" w:leftChars="-30" w:right="-63" w:rightChars="-30"/>
              <w:jc w:val="center"/>
              <w:rPr>
                <w:rFonts w:hint="default" w:eastAsia="宋体"/>
                <w:color w:val="auto"/>
                <w:sz w:val="21"/>
                <w:szCs w:val="21"/>
                <w:highlight w:val="none"/>
                <w:u w:val="none"/>
                <w:lang w:val="en-US" w:eastAsia="zh-CN"/>
              </w:rPr>
            </w:pPr>
            <w:r>
              <w:rPr>
                <w:rFonts w:hint="eastAsia"/>
                <w:b w:val="0"/>
                <w:bCs w:val="0"/>
                <w:color w:val="auto"/>
                <w:sz w:val="21"/>
                <w:szCs w:val="21"/>
                <w:highlight w:val="none"/>
                <w:u w:val="none"/>
                <w:lang w:val="en-US" w:eastAsia="zh-CN"/>
              </w:rPr>
              <w:t>初期雨水收集池内沉淀污泥</w:t>
            </w:r>
          </w:p>
        </w:tc>
        <w:tc>
          <w:tcPr>
            <w:tcW w:w="1701" w:type="dxa"/>
            <w:noWrap w:val="0"/>
            <w:vAlign w:val="center"/>
          </w:tcPr>
          <w:p w14:paraId="035B2257">
            <w:pPr>
              <w:pStyle w:val="49"/>
              <w:spacing w:beforeLines="0" w:afterLines="0" w:line="240" w:lineRule="auto"/>
              <w:rPr>
                <w:rFonts w:hint="default" w:ascii="Times New Roman" w:eastAsia="宋体"/>
                <w:snapToGrid w:val="0"/>
                <w:color w:val="auto"/>
                <w:kern w:val="21"/>
                <w:sz w:val="21"/>
                <w:szCs w:val="21"/>
                <w:highlight w:val="none"/>
                <w:u w:val="none"/>
                <w:lang w:val="en-US" w:eastAsia="zh-CN"/>
              </w:rPr>
            </w:pPr>
            <w:r>
              <w:rPr>
                <w:rFonts w:hint="eastAsia" w:ascii="Times New Roman"/>
                <w:snapToGrid w:val="0"/>
                <w:color w:val="auto"/>
                <w:kern w:val="21"/>
                <w:sz w:val="21"/>
                <w:szCs w:val="21"/>
                <w:highlight w:val="none"/>
                <w:u w:val="none"/>
                <w:lang w:val="en-US" w:eastAsia="zh-CN"/>
              </w:rPr>
              <w:t>0</w:t>
            </w:r>
          </w:p>
        </w:tc>
        <w:tc>
          <w:tcPr>
            <w:tcW w:w="1276" w:type="dxa"/>
            <w:noWrap w:val="0"/>
            <w:vAlign w:val="center"/>
          </w:tcPr>
          <w:p w14:paraId="61D5DF6B">
            <w:pPr>
              <w:pStyle w:val="49"/>
              <w:spacing w:beforeLines="0" w:afterLines="0" w:line="240" w:lineRule="auto"/>
              <w:rPr>
                <w:rFonts w:hint="eastAsia" w:ascii="Times New Roman" w:eastAsia="宋体"/>
                <w:snapToGrid w:val="0"/>
                <w:color w:val="auto"/>
                <w:kern w:val="21"/>
                <w:sz w:val="21"/>
                <w:szCs w:val="21"/>
                <w:highlight w:val="none"/>
                <w:u w:val="none"/>
                <w:lang w:val="en-US" w:eastAsia="zh-CN"/>
              </w:rPr>
            </w:pPr>
            <w:r>
              <w:rPr>
                <w:rFonts w:hint="eastAsia" w:ascii="Times New Roman" w:eastAsia="宋体"/>
                <w:snapToGrid w:val="0"/>
                <w:color w:val="auto"/>
                <w:kern w:val="21"/>
                <w:sz w:val="21"/>
                <w:szCs w:val="21"/>
                <w:highlight w:val="none"/>
                <w:u w:val="none"/>
                <w:lang w:val="en-US" w:eastAsia="zh-CN"/>
              </w:rPr>
              <w:t>/</w:t>
            </w:r>
          </w:p>
        </w:tc>
        <w:tc>
          <w:tcPr>
            <w:tcW w:w="1701" w:type="dxa"/>
            <w:noWrap w:val="0"/>
            <w:vAlign w:val="center"/>
          </w:tcPr>
          <w:p w14:paraId="32C06EE1">
            <w:pPr>
              <w:pStyle w:val="49"/>
              <w:spacing w:beforeLines="0" w:afterLines="0" w:line="240" w:lineRule="auto"/>
              <w:rPr>
                <w:rFonts w:hint="eastAsia" w:ascii="Times New Roman" w:eastAsia="宋体"/>
                <w:snapToGrid w:val="0"/>
                <w:color w:val="auto"/>
                <w:kern w:val="21"/>
                <w:sz w:val="21"/>
                <w:szCs w:val="21"/>
                <w:highlight w:val="none"/>
                <w:u w:val="none"/>
                <w:lang w:val="en-US" w:eastAsia="zh-CN"/>
              </w:rPr>
            </w:pPr>
            <w:r>
              <w:rPr>
                <w:rFonts w:hint="eastAsia" w:ascii="Times New Roman" w:eastAsia="宋体"/>
                <w:snapToGrid w:val="0"/>
                <w:color w:val="auto"/>
                <w:kern w:val="21"/>
                <w:sz w:val="21"/>
                <w:szCs w:val="21"/>
                <w:highlight w:val="none"/>
                <w:u w:val="none"/>
                <w:lang w:val="en-US" w:eastAsia="zh-CN"/>
              </w:rPr>
              <w:t>0</w:t>
            </w:r>
          </w:p>
        </w:tc>
        <w:tc>
          <w:tcPr>
            <w:tcW w:w="1559" w:type="dxa"/>
            <w:noWrap w:val="0"/>
            <w:vAlign w:val="center"/>
          </w:tcPr>
          <w:p w14:paraId="72549ED8">
            <w:pPr>
              <w:pStyle w:val="71"/>
              <w:adjustRightInd w:val="0"/>
              <w:ind w:left="-63" w:leftChars="-30" w:right="-63" w:rightChars="-30"/>
              <w:jc w:val="center"/>
              <w:rPr>
                <w:rFonts w:hint="default" w:eastAsia="宋体"/>
                <w:snapToGrid w:val="0"/>
                <w:color w:val="auto"/>
                <w:kern w:val="21"/>
                <w:sz w:val="21"/>
                <w:szCs w:val="21"/>
                <w:highlight w:val="none"/>
                <w:u w:val="none"/>
                <w:lang w:val="en-US" w:eastAsia="zh-CN"/>
              </w:rPr>
            </w:pPr>
            <w:r>
              <w:rPr>
                <w:rFonts w:hint="eastAsia"/>
                <w:b w:val="0"/>
                <w:bCs w:val="0"/>
                <w:color w:val="auto"/>
                <w:sz w:val="21"/>
                <w:szCs w:val="21"/>
                <w:highlight w:val="none"/>
                <w:u w:val="none"/>
                <w:lang w:val="en-US" w:eastAsia="zh-CN"/>
              </w:rPr>
              <w:t>1</w:t>
            </w:r>
          </w:p>
        </w:tc>
        <w:tc>
          <w:tcPr>
            <w:tcW w:w="1761" w:type="dxa"/>
            <w:noWrap w:val="0"/>
            <w:vAlign w:val="center"/>
          </w:tcPr>
          <w:p w14:paraId="21B5E8FA">
            <w:pPr>
              <w:spacing w:beforeLines="0" w:afterLines="0" w:line="240" w:lineRule="auto"/>
              <w:jc w:val="center"/>
              <w:rPr>
                <w:rFonts w:hint="default" w:ascii="Times New Roman" w:eastAsia="宋体"/>
                <w:snapToGrid w:val="0"/>
                <w:color w:val="auto"/>
                <w:kern w:val="21"/>
                <w:sz w:val="21"/>
                <w:szCs w:val="21"/>
                <w:highlight w:val="none"/>
                <w:u w:val="none"/>
                <w:lang w:val="en-US" w:eastAsia="zh-CN"/>
              </w:rPr>
            </w:pPr>
            <w:r>
              <w:rPr>
                <w:rFonts w:hint="eastAsia"/>
                <w:snapToGrid w:val="0"/>
                <w:color w:val="auto"/>
                <w:kern w:val="21"/>
                <w:sz w:val="21"/>
                <w:szCs w:val="21"/>
                <w:highlight w:val="none"/>
                <w:u w:val="none"/>
                <w:lang w:val="en-US" w:eastAsia="zh-CN"/>
              </w:rPr>
              <w:t>0</w:t>
            </w:r>
          </w:p>
        </w:tc>
        <w:tc>
          <w:tcPr>
            <w:tcW w:w="1783" w:type="dxa"/>
            <w:shd w:val="clear" w:color="auto" w:fill="auto"/>
            <w:noWrap w:val="0"/>
            <w:vAlign w:val="center"/>
          </w:tcPr>
          <w:p w14:paraId="53C9D2B7">
            <w:pPr>
              <w:adjustRightInd w:val="0"/>
              <w:snapToGrid w:val="0"/>
              <w:spacing w:line="276" w:lineRule="auto"/>
              <w:jc w:val="center"/>
              <w:rPr>
                <w:rFonts w:hint="default" w:ascii="Times New Roman" w:hAnsi="Times New Roman" w:eastAsia="宋体" w:cs="Times New Roman"/>
                <w:snapToGrid w:val="0"/>
                <w:color w:val="auto"/>
                <w:kern w:val="21"/>
                <w:sz w:val="21"/>
                <w:szCs w:val="21"/>
                <w:highlight w:val="none"/>
                <w:u w:val="none"/>
                <w:lang w:val="en-US" w:eastAsia="zh-CN" w:bidi="ar-SA"/>
              </w:rPr>
            </w:pPr>
            <w:r>
              <w:rPr>
                <w:rFonts w:hint="eastAsia"/>
                <w:snapToGrid w:val="0"/>
                <w:color w:val="auto"/>
                <w:kern w:val="21"/>
                <w:sz w:val="21"/>
                <w:szCs w:val="21"/>
                <w:highlight w:val="none"/>
                <w:u w:val="none"/>
                <w:lang w:val="en-US" w:eastAsia="zh-CN"/>
              </w:rPr>
              <w:t>1</w:t>
            </w:r>
          </w:p>
        </w:tc>
        <w:tc>
          <w:tcPr>
            <w:tcW w:w="1258" w:type="dxa"/>
            <w:shd w:val="clear" w:color="auto" w:fill="auto"/>
            <w:noWrap w:val="0"/>
            <w:vAlign w:val="center"/>
          </w:tcPr>
          <w:p w14:paraId="426B68AB">
            <w:pPr>
              <w:pStyle w:val="49"/>
              <w:spacing w:beforeLines="0" w:afterLines="0" w:line="240" w:lineRule="auto"/>
              <w:rPr>
                <w:rFonts w:hint="default" w:ascii="Times New Roman" w:hAnsi="Times New Roman" w:eastAsia="宋体" w:cs="Times New Roman"/>
                <w:bCs/>
                <w:snapToGrid w:val="0"/>
                <w:color w:val="auto"/>
                <w:kern w:val="21"/>
                <w:sz w:val="21"/>
                <w:szCs w:val="21"/>
                <w:highlight w:val="none"/>
                <w:u w:val="none"/>
                <w:lang w:val="en-US" w:eastAsia="zh-CN" w:bidi="ar-SA"/>
              </w:rPr>
            </w:pPr>
            <w:r>
              <w:rPr>
                <w:rFonts w:hint="eastAsia" w:ascii="Times New Roman" w:eastAsia="宋体"/>
                <w:snapToGrid w:val="0"/>
                <w:color w:val="auto"/>
                <w:kern w:val="21"/>
                <w:sz w:val="21"/>
                <w:szCs w:val="21"/>
                <w:highlight w:val="none"/>
                <w:u w:val="none"/>
                <w:lang w:val="en-US" w:eastAsia="zh-CN"/>
              </w:rPr>
              <w:t>+1</w:t>
            </w:r>
          </w:p>
        </w:tc>
      </w:tr>
      <w:tr w14:paraId="21C6BA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477" w:type="dxa"/>
            <w:vMerge w:val="continue"/>
            <w:noWrap w:val="0"/>
            <w:vAlign w:val="center"/>
          </w:tcPr>
          <w:p w14:paraId="460DE5ED">
            <w:pPr>
              <w:pStyle w:val="49"/>
              <w:spacing w:beforeLines="0" w:afterLines="0" w:line="240" w:lineRule="auto"/>
              <w:rPr>
                <w:rFonts w:ascii="Times New Roman" w:eastAsia="Calibri"/>
                <w:snapToGrid w:val="0"/>
                <w:color w:val="auto"/>
                <w:kern w:val="21"/>
                <w:sz w:val="21"/>
                <w:szCs w:val="21"/>
                <w:highlight w:val="none"/>
                <w:u w:val="none"/>
              </w:rPr>
            </w:pPr>
          </w:p>
        </w:tc>
        <w:tc>
          <w:tcPr>
            <w:tcW w:w="1528" w:type="dxa"/>
            <w:noWrap w:val="0"/>
            <w:vAlign w:val="center"/>
          </w:tcPr>
          <w:p w14:paraId="678F29D4">
            <w:pPr>
              <w:pStyle w:val="71"/>
              <w:adjustRightInd w:val="0"/>
              <w:ind w:left="-63" w:leftChars="-30" w:right="-63" w:rightChars="-30"/>
              <w:jc w:val="center"/>
              <w:rPr>
                <w:rFonts w:hint="eastAsia"/>
                <w:color w:val="auto"/>
                <w:sz w:val="21"/>
                <w:szCs w:val="21"/>
                <w:highlight w:val="none"/>
                <w:u w:val="single"/>
                <w:lang w:val="en-US" w:eastAsia="zh-CN"/>
              </w:rPr>
            </w:pPr>
            <w:r>
              <w:rPr>
                <w:rFonts w:hint="eastAsia"/>
                <w:b w:val="0"/>
                <w:bCs w:val="0"/>
                <w:color w:val="auto"/>
                <w:sz w:val="21"/>
                <w:szCs w:val="21"/>
                <w:highlight w:val="none"/>
                <w:u w:val="single"/>
                <w:lang w:val="en-US" w:eastAsia="zh-CN"/>
              </w:rPr>
              <w:t>化验室废试样</w:t>
            </w:r>
          </w:p>
        </w:tc>
        <w:tc>
          <w:tcPr>
            <w:tcW w:w="1701" w:type="dxa"/>
            <w:noWrap w:val="0"/>
            <w:vAlign w:val="center"/>
          </w:tcPr>
          <w:p w14:paraId="6CD7829F">
            <w:pPr>
              <w:pStyle w:val="49"/>
              <w:spacing w:beforeLines="0" w:afterLines="0" w:line="240" w:lineRule="auto"/>
              <w:rPr>
                <w:rFonts w:hint="default" w:ascii="Times New Roman"/>
                <w:snapToGrid w:val="0"/>
                <w:color w:val="auto"/>
                <w:kern w:val="21"/>
                <w:sz w:val="21"/>
                <w:szCs w:val="21"/>
                <w:highlight w:val="none"/>
                <w:u w:val="single"/>
                <w:lang w:val="en-US" w:eastAsia="zh-CN"/>
              </w:rPr>
            </w:pPr>
            <w:r>
              <w:rPr>
                <w:rFonts w:hint="eastAsia" w:ascii="Times New Roman"/>
                <w:snapToGrid w:val="0"/>
                <w:color w:val="auto"/>
                <w:kern w:val="21"/>
                <w:sz w:val="21"/>
                <w:szCs w:val="21"/>
                <w:highlight w:val="none"/>
                <w:u w:val="single"/>
                <w:lang w:val="en-US" w:eastAsia="zh-CN"/>
              </w:rPr>
              <w:t>0</w:t>
            </w:r>
          </w:p>
        </w:tc>
        <w:tc>
          <w:tcPr>
            <w:tcW w:w="1276" w:type="dxa"/>
            <w:noWrap w:val="0"/>
            <w:vAlign w:val="center"/>
          </w:tcPr>
          <w:p w14:paraId="208585E4">
            <w:pPr>
              <w:pStyle w:val="49"/>
              <w:spacing w:beforeLines="0" w:afterLines="0" w:line="240" w:lineRule="auto"/>
              <w:rPr>
                <w:rFonts w:hint="default" w:ascii="Times New Roman" w:eastAsia="宋体"/>
                <w:snapToGrid w:val="0"/>
                <w:color w:val="auto"/>
                <w:kern w:val="21"/>
                <w:sz w:val="21"/>
                <w:szCs w:val="21"/>
                <w:highlight w:val="none"/>
                <w:u w:val="single"/>
                <w:lang w:val="en-US" w:eastAsia="zh-CN"/>
              </w:rPr>
            </w:pPr>
            <w:r>
              <w:rPr>
                <w:rFonts w:hint="eastAsia" w:ascii="Times New Roman" w:eastAsia="宋体"/>
                <w:snapToGrid w:val="0"/>
                <w:color w:val="auto"/>
                <w:kern w:val="21"/>
                <w:sz w:val="21"/>
                <w:szCs w:val="21"/>
                <w:highlight w:val="none"/>
                <w:u w:val="single"/>
                <w:lang w:val="en-US" w:eastAsia="zh-CN"/>
              </w:rPr>
              <w:t>/</w:t>
            </w:r>
          </w:p>
        </w:tc>
        <w:tc>
          <w:tcPr>
            <w:tcW w:w="1701" w:type="dxa"/>
            <w:noWrap w:val="0"/>
            <w:vAlign w:val="center"/>
          </w:tcPr>
          <w:p w14:paraId="746C9FD3">
            <w:pPr>
              <w:pStyle w:val="49"/>
              <w:spacing w:beforeLines="0" w:afterLines="0" w:line="240" w:lineRule="auto"/>
              <w:rPr>
                <w:rFonts w:hint="default" w:ascii="Times New Roman" w:eastAsia="宋体"/>
                <w:snapToGrid w:val="0"/>
                <w:color w:val="auto"/>
                <w:kern w:val="21"/>
                <w:sz w:val="21"/>
                <w:szCs w:val="21"/>
                <w:highlight w:val="none"/>
                <w:u w:val="single"/>
                <w:lang w:val="en-US" w:eastAsia="zh-CN"/>
              </w:rPr>
            </w:pPr>
            <w:r>
              <w:rPr>
                <w:rFonts w:hint="eastAsia" w:ascii="Times New Roman" w:eastAsia="宋体"/>
                <w:snapToGrid w:val="0"/>
                <w:color w:val="auto"/>
                <w:kern w:val="21"/>
                <w:sz w:val="21"/>
                <w:szCs w:val="21"/>
                <w:highlight w:val="none"/>
                <w:u w:val="single"/>
                <w:lang w:val="en-US" w:eastAsia="zh-CN"/>
              </w:rPr>
              <w:t>0</w:t>
            </w:r>
          </w:p>
        </w:tc>
        <w:tc>
          <w:tcPr>
            <w:tcW w:w="1559" w:type="dxa"/>
            <w:noWrap w:val="0"/>
            <w:vAlign w:val="center"/>
          </w:tcPr>
          <w:p w14:paraId="420EA5AA">
            <w:pPr>
              <w:pStyle w:val="71"/>
              <w:adjustRightInd w:val="0"/>
              <w:ind w:left="-63" w:leftChars="-30" w:right="-63" w:rightChars="-30"/>
              <w:jc w:val="center"/>
              <w:rPr>
                <w:rFonts w:hint="default"/>
                <w:snapToGrid w:val="0"/>
                <w:color w:val="auto"/>
                <w:kern w:val="21"/>
                <w:sz w:val="21"/>
                <w:szCs w:val="21"/>
                <w:highlight w:val="none"/>
                <w:u w:val="single"/>
                <w:lang w:val="en-US" w:eastAsia="zh-CN"/>
              </w:rPr>
            </w:pPr>
            <w:r>
              <w:rPr>
                <w:rFonts w:hint="eastAsia"/>
                <w:b w:val="0"/>
                <w:bCs w:val="0"/>
                <w:color w:val="auto"/>
                <w:sz w:val="21"/>
                <w:szCs w:val="21"/>
                <w:highlight w:val="none"/>
                <w:u w:val="single"/>
                <w:lang w:val="en-US" w:eastAsia="zh-CN"/>
              </w:rPr>
              <w:t>3.399</w:t>
            </w:r>
          </w:p>
        </w:tc>
        <w:tc>
          <w:tcPr>
            <w:tcW w:w="1761" w:type="dxa"/>
            <w:noWrap w:val="0"/>
            <w:vAlign w:val="center"/>
          </w:tcPr>
          <w:p w14:paraId="24AE7691">
            <w:pPr>
              <w:spacing w:beforeLines="0" w:afterLines="0" w:line="240" w:lineRule="auto"/>
              <w:jc w:val="center"/>
              <w:rPr>
                <w:rFonts w:hint="default"/>
                <w:snapToGrid w:val="0"/>
                <w:color w:val="auto"/>
                <w:kern w:val="21"/>
                <w:sz w:val="21"/>
                <w:szCs w:val="21"/>
                <w:highlight w:val="none"/>
                <w:u w:val="single"/>
                <w:lang w:val="en-US" w:eastAsia="zh-CN"/>
              </w:rPr>
            </w:pPr>
            <w:r>
              <w:rPr>
                <w:rFonts w:hint="eastAsia"/>
                <w:snapToGrid w:val="0"/>
                <w:color w:val="auto"/>
                <w:kern w:val="21"/>
                <w:sz w:val="21"/>
                <w:szCs w:val="21"/>
                <w:highlight w:val="none"/>
                <w:u w:val="single"/>
                <w:lang w:val="en-US" w:eastAsia="zh-CN"/>
              </w:rPr>
              <w:t>0</w:t>
            </w:r>
          </w:p>
        </w:tc>
        <w:tc>
          <w:tcPr>
            <w:tcW w:w="1783" w:type="dxa"/>
            <w:shd w:val="clear" w:color="auto" w:fill="auto"/>
            <w:noWrap w:val="0"/>
            <w:vAlign w:val="center"/>
          </w:tcPr>
          <w:p w14:paraId="4570717F">
            <w:pPr>
              <w:adjustRightInd w:val="0"/>
              <w:snapToGrid w:val="0"/>
              <w:spacing w:line="276" w:lineRule="auto"/>
              <w:jc w:val="center"/>
              <w:rPr>
                <w:rFonts w:hint="default"/>
                <w:snapToGrid w:val="0"/>
                <w:color w:val="auto"/>
                <w:kern w:val="21"/>
                <w:sz w:val="21"/>
                <w:szCs w:val="21"/>
                <w:highlight w:val="none"/>
                <w:u w:val="single"/>
                <w:lang w:val="en-US" w:eastAsia="zh-CN"/>
              </w:rPr>
            </w:pPr>
            <w:r>
              <w:rPr>
                <w:rFonts w:hint="eastAsia"/>
                <w:snapToGrid w:val="0"/>
                <w:color w:val="auto"/>
                <w:kern w:val="21"/>
                <w:sz w:val="21"/>
                <w:szCs w:val="21"/>
                <w:highlight w:val="none"/>
                <w:u w:val="single"/>
                <w:lang w:val="en-US" w:eastAsia="zh-CN"/>
              </w:rPr>
              <w:t>3.399</w:t>
            </w:r>
          </w:p>
        </w:tc>
        <w:tc>
          <w:tcPr>
            <w:tcW w:w="1258" w:type="dxa"/>
            <w:shd w:val="clear" w:color="auto" w:fill="auto"/>
            <w:noWrap w:val="0"/>
            <w:vAlign w:val="center"/>
          </w:tcPr>
          <w:p w14:paraId="21886A5E">
            <w:pPr>
              <w:pStyle w:val="49"/>
              <w:spacing w:beforeLines="0" w:afterLines="0" w:line="240" w:lineRule="auto"/>
              <w:rPr>
                <w:rFonts w:hint="default" w:ascii="Times New Roman" w:eastAsia="宋体"/>
                <w:snapToGrid w:val="0"/>
                <w:color w:val="auto"/>
                <w:kern w:val="21"/>
                <w:sz w:val="21"/>
                <w:szCs w:val="21"/>
                <w:highlight w:val="none"/>
                <w:u w:val="single"/>
                <w:lang w:val="en-US" w:eastAsia="zh-CN"/>
              </w:rPr>
            </w:pPr>
            <w:r>
              <w:rPr>
                <w:rFonts w:hint="eastAsia" w:ascii="Times New Roman" w:eastAsia="宋体"/>
                <w:snapToGrid w:val="0"/>
                <w:color w:val="auto"/>
                <w:kern w:val="21"/>
                <w:sz w:val="21"/>
                <w:szCs w:val="21"/>
                <w:highlight w:val="none"/>
                <w:u w:val="single"/>
                <w:lang w:val="en-US" w:eastAsia="zh-CN"/>
              </w:rPr>
              <w:t>+3.399</w:t>
            </w:r>
          </w:p>
        </w:tc>
      </w:tr>
      <w:tr w14:paraId="7E85D1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477" w:type="dxa"/>
            <w:vMerge w:val="continue"/>
            <w:noWrap w:val="0"/>
            <w:vAlign w:val="center"/>
          </w:tcPr>
          <w:p w14:paraId="40B7B68D">
            <w:pPr>
              <w:pStyle w:val="49"/>
              <w:spacing w:beforeLines="0" w:afterLines="0" w:line="240" w:lineRule="auto"/>
              <w:rPr>
                <w:rFonts w:ascii="Times New Roman" w:eastAsia="Calibri"/>
                <w:snapToGrid w:val="0"/>
                <w:color w:val="auto"/>
                <w:kern w:val="21"/>
                <w:sz w:val="21"/>
                <w:szCs w:val="21"/>
                <w:highlight w:val="none"/>
                <w:u w:val="none"/>
              </w:rPr>
            </w:pPr>
          </w:p>
        </w:tc>
        <w:tc>
          <w:tcPr>
            <w:tcW w:w="1528" w:type="dxa"/>
            <w:noWrap w:val="0"/>
            <w:vAlign w:val="center"/>
          </w:tcPr>
          <w:p w14:paraId="16BA8CD1">
            <w:pPr>
              <w:pStyle w:val="71"/>
              <w:adjustRightInd w:val="0"/>
              <w:ind w:left="-63" w:leftChars="-30" w:right="-63" w:rightChars="-30"/>
              <w:jc w:val="center"/>
              <w:rPr>
                <w:rFonts w:hint="eastAsia"/>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混凝土类建筑垃圾</w:t>
            </w:r>
          </w:p>
        </w:tc>
        <w:tc>
          <w:tcPr>
            <w:tcW w:w="1701" w:type="dxa"/>
            <w:noWrap w:val="0"/>
            <w:vAlign w:val="center"/>
          </w:tcPr>
          <w:p w14:paraId="55FE2206">
            <w:pPr>
              <w:pStyle w:val="49"/>
              <w:spacing w:beforeLines="0" w:afterLines="0" w:line="240" w:lineRule="auto"/>
              <w:rPr>
                <w:rFonts w:hint="default" w:ascii="Times New Roman"/>
                <w:snapToGrid w:val="0"/>
                <w:color w:val="auto"/>
                <w:kern w:val="21"/>
                <w:sz w:val="21"/>
                <w:szCs w:val="21"/>
                <w:highlight w:val="none"/>
                <w:u w:val="single"/>
                <w:lang w:val="en-US" w:eastAsia="zh-CN"/>
              </w:rPr>
            </w:pPr>
            <w:r>
              <w:rPr>
                <w:rFonts w:hint="eastAsia" w:ascii="Times New Roman"/>
                <w:snapToGrid w:val="0"/>
                <w:color w:val="auto"/>
                <w:kern w:val="21"/>
                <w:sz w:val="21"/>
                <w:szCs w:val="21"/>
                <w:highlight w:val="none"/>
                <w:u w:val="single"/>
                <w:lang w:val="en-US" w:eastAsia="zh-CN"/>
              </w:rPr>
              <w:t>0</w:t>
            </w:r>
          </w:p>
        </w:tc>
        <w:tc>
          <w:tcPr>
            <w:tcW w:w="1276" w:type="dxa"/>
            <w:noWrap w:val="0"/>
            <w:vAlign w:val="center"/>
          </w:tcPr>
          <w:p w14:paraId="76ABB995">
            <w:pPr>
              <w:pStyle w:val="49"/>
              <w:spacing w:beforeLines="0" w:afterLines="0" w:line="240" w:lineRule="auto"/>
              <w:rPr>
                <w:rFonts w:hint="default" w:ascii="Times New Roman" w:eastAsia="宋体"/>
                <w:snapToGrid w:val="0"/>
                <w:color w:val="auto"/>
                <w:kern w:val="21"/>
                <w:sz w:val="21"/>
                <w:szCs w:val="21"/>
                <w:highlight w:val="none"/>
                <w:u w:val="single"/>
                <w:lang w:val="en-US" w:eastAsia="zh-CN"/>
              </w:rPr>
            </w:pPr>
            <w:r>
              <w:rPr>
                <w:rFonts w:hint="eastAsia" w:ascii="Times New Roman" w:eastAsia="宋体"/>
                <w:snapToGrid w:val="0"/>
                <w:color w:val="auto"/>
                <w:kern w:val="21"/>
                <w:sz w:val="21"/>
                <w:szCs w:val="21"/>
                <w:highlight w:val="none"/>
                <w:u w:val="single"/>
                <w:lang w:val="en-US" w:eastAsia="zh-CN"/>
              </w:rPr>
              <w:t>/</w:t>
            </w:r>
          </w:p>
        </w:tc>
        <w:tc>
          <w:tcPr>
            <w:tcW w:w="1701" w:type="dxa"/>
            <w:noWrap w:val="0"/>
            <w:vAlign w:val="center"/>
          </w:tcPr>
          <w:p w14:paraId="5D3B275A">
            <w:pPr>
              <w:pStyle w:val="49"/>
              <w:spacing w:beforeLines="0" w:afterLines="0" w:line="240" w:lineRule="auto"/>
              <w:rPr>
                <w:rFonts w:hint="default" w:ascii="Times New Roman" w:eastAsia="宋体"/>
                <w:snapToGrid w:val="0"/>
                <w:color w:val="auto"/>
                <w:kern w:val="21"/>
                <w:sz w:val="21"/>
                <w:szCs w:val="21"/>
                <w:highlight w:val="none"/>
                <w:u w:val="single"/>
                <w:lang w:val="en-US" w:eastAsia="zh-CN"/>
              </w:rPr>
            </w:pPr>
            <w:r>
              <w:rPr>
                <w:rFonts w:hint="eastAsia" w:ascii="Times New Roman" w:eastAsia="宋体"/>
                <w:snapToGrid w:val="0"/>
                <w:color w:val="auto"/>
                <w:kern w:val="21"/>
                <w:sz w:val="21"/>
                <w:szCs w:val="21"/>
                <w:highlight w:val="none"/>
                <w:u w:val="single"/>
                <w:lang w:val="en-US" w:eastAsia="zh-CN"/>
              </w:rPr>
              <w:t>0</w:t>
            </w:r>
          </w:p>
        </w:tc>
        <w:tc>
          <w:tcPr>
            <w:tcW w:w="1559" w:type="dxa"/>
            <w:noWrap w:val="0"/>
            <w:vAlign w:val="center"/>
          </w:tcPr>
          <w:p w14:paraId="64856FE7">
            <w:pPr>
              <w:pStyle w:val="71"/>
              <w:adjustRightInd w:val="0"/>
              <w:ind w:left="-63" w:leftChars="-30" w:right="-63" w:rightChars="-30"/>
              <w:jc w:val="center"/>
              <w:rPr>
                <w:rFonts w:hint="eastAsia"/>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3811.5</w:t>
            </w:r>
          </w:p>
        </w:tc>
        <w:tc>
          <w:tcPr>
            <w:tcW w:w="1761" w:type="dxa"/>
            <w:noWrap w:val="0"/>
            <w:vAlign w:val="center"/>
          </w:tcPr>
          <w:p w14:paraId="3752308D">
            <w:pPr>
              <w:spacing w:beforeLines="0" w:afterLines="0" w:line="240" w:lineRule="auto"/>
              <w:jc w:val="center"/>
              <w:rPr>
                <w:rFonts w:hint="default"/>
                <w:snapToGrid w:val="0"/>
                <w:color w:val="auto"/>
                <w:kern w:val="21"/>
                <w:sz w:val="21"/>
                <w:szCs w:val="21"/>
                <w:highlight w:val="none"/>
                <w:u w:val="single"/>
                <w:lang w:val="en-US" w:eastAsia="zh-CN"/>
              </w:rPr>
            </w:pPr>
            <w:r>
              <w:rPr>
                <w:rFonts w:hint="eastAsia"/>
                <w:snapToGrid w:val="0"/>
                <w:color w:val="auto"/>
                <w:kern w:val="21"/>
                <w:sz w:val="21"/>
                <w:szCs w:val="21"/>
                <w:highlight w:val="none"/>
                <w:u w:val="single"/>
                <w:lang w:val="en-US" w:eastAsia="zh-CN"/>
              </w:rPr>
              <w:t>0</w:t>
            </w:r>
          </w:p>
        </w:tc>
        <w:tc>
          <w:tcPr>
            <w:tcW w:w="1783" w:type="dxa"/>
            <w:shd w:val="clear" w:color="auto" w:fill="auto"/>
            <w:noWrap w:val="0"/>
            <w:vAlign w:val="center"/>
          </w:tcPr>
          <w:p w14:paraId="5F512B5E">
            <w:pPr>
              <w:pStyle w:val="71"/>
              <w:adjustRightInd w:val="0"/>
              <w:ind w:left="-63" w:leftChars="-30" w:right="-63" w:rightChars="-30"/>
              <w:jc w:val="center"/>
              <w:rPr>
                <w:rFonts w:hint="eastAsia"/>
                <w:snapToGrid w:val="0"/>
                <w:color w:val="auto"/>
                <w:kern w:val="21"/>
                <w:sz w:val="21"/>
                <w:szCs w:val="21"/>
                <w:highlight w:val="none"/>
                <w:u w:val="single"/>
                <w:lang w:val="en-US" w:eastAsia="zh-CN"/>
              </w:rPr>
            </w:pPr>
            <w:r>
              <w:rPr>
                <w:rFonts w:hint="eastAsia"/>
                <w:b w:val="0"/>
                <w:bCs w:val="0"/>
                <w:color w:val="auto"/>
                <w:sz w:val="21"/>
                <w:szCs w:val="21"/>
                <w:highlight w:val="none"/>
                <w:u w:val="single"/>
                <w:lang w:val="en-US" w:eastAsia="zh-CN"/>
              </w:rPr>
              <w:t>3811.5</w:t>
            </w:r>
          </w:p>
        </w:tc>
        <w:tc>
          <w:tcPr>
            <w:tcW w:w="1258" w:type="dxa"/>
            <w:shd w:val="clear" w:color="auto" w:fill="auto"/>
            <w:noWrap w:val="0"/>
            <w:vAlign w:val="center"/>
          </w:tcPr>
          <w:p w14:paraId="28289B4E">
            <w:pPr>
              <w:pStyle w:val="71"/>
              <w:adjustRightInd w:val="0"/>
              <w:ind w:left="-63" w:leftChars="-30" w:right="-63" w:rightChars="-30"/>
              <w:jc w:val="center"/>
              <w:rPr>
                <w:rFonts w:hint="eastAsia" w:ascii="Times New Roman" w:eastAsia="宋体"/>
                <w:snapToGrid w:val="0"/>
                <w:color w:val="auto"/>
                <w:kern w:val="21"/>
                <w:sz w:val="21"/>
                <w:szCs w:val="21"/>
                <w:highlight w:val="none"/>
                <w:u w:val="single"/>
                <w:lang w:val="en-US" w:eastAsia="zh-CN"/>
              </w:rPr>
            </w:pPr>
            <w:r>
              <w:rPr>
                <w:rFonts w:hint="eastAsia"/>
                <w:b w:val="0"/>
                <w:bCs w:val="0"/>
                <w:color w:val="auto"/>
                <w:sz w:val="21"/>
                <w:szCs w:val="21"/>
                <w:highlight w:val="none"/>
                <w:u w:val="single"/>
                <w:lang w:val="en-US" w:eastAsia="zh-CN"/>
              </w:rPr>
              <w:t>+3811.5</w:t>
            </w:r>
          </w:p>
        </w:tc>
      </w:tr>
      <w:tr w14:paraId="78826E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477" w:type="dxa"/>
            <w:vMerge w:val="continue"/>
            <w:noWrap w:val="0"/>
            <w:vAlign w:val="center"/>
          </w:tcPr>
          <w:p w14:paraId="04E329E8">
            <w:pPr>
              <w:pStyle w:val="49"/>
              <w:spacing w:beforeLines="0" w:afterLines="0" w:line="240" w:lineRule="auto"/>
              <w:rPr>
                <w:rFonts w:ascii="Times New Roman" w:eastAsia="Calibri"/>
                <w:snapToGrid w:val="0"/>
                <w:color w:val="auto"/>
                <w:kern w:val="21"/>
                <w:sz w:val="21"/>
                <w:szCs w:val="21"/>
                <w:highlight w:val="none"/>
                <w:u w:val="none"/>
              </w:rPr>
            </w:pPr>
          </w:p>
        </w:tc>
        <w:tc>
          <w:tcPr>
            <w:tcW w:w="1528" w:type="dxa"/>
            <w:noWrap w:val="0"/>
            <w:vAlign w:val="center"/>
          </w:tcPr>
          <w:p w14:paraId="4820E2A6">
            <w:pPr>
              <w:pStyle w:val="71"/>
              <w:adjustRightInd w:val="0"/>
              <w:ind w:left="-63" w:leftChars="-30" w:right="-63" w:rightChars="-30"/>
              <w:jc w:val="center"/>
              <w:rPr>
                <w:rFonts w:hint="eastAsia"/>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金属类拆除废物</w:t>
            </w:r>
          </w:p>
        </w:tc>
        <w:tc>
          <w:tcPr>
            <w:tcW w:w="1701" w:type="dxa"/>
            <w:noWrap w:val="0"/>
            <w:vAlign w:val="center"/>
          </w:tcPr>
          <w:p w14:paraId="67D04CA6">
            <w:pPr>
              <w:pStyle w:val="49"/>
              <w:spacing w:beforeLines="0" w:afterLines="0" w:line="240" w:lineRule="auto"/>
              <w:rPr>
                <w:rFonts w:hint="default" w:ascii="Times New Roman"/>
                <w:snapToGrid w:val="0"/>
                <w:color w:val="auto"/>
                <w:kern w:val="21"/>
                <w:sz w:val="21"/>
                <w:szCs w:val="21"/>
                <w:highlight w:val="none"/>
                <w:u w:val="single"/>
                <w:lang w:val="en-US" w:eastAsia="zh-CN"/>
              </w:rPr>
            </w:pPr>
            <w:r>
              <w:rPr>
                <w:rFonts w:hint="eastAsia" w:ascii="Times New Roman"/>
                <w:snapToGrid w:val="0"/>
                <w:color w:val="auto"/>
                <w:kern w:val="21"/>
                <w:sz w:val="21"/>
                <w:szCs w:val="21"/>
                <w:highlight w:val="none"/>
                <w:u w:val="single"/>
                <w:lang w:val="en-US" w:eastAsia="zh-CN"/>
              </w:rPr>
              <w:t>0</w:t>
            </w:r>
          </w:p>
        </w:tc>
        <w:tc>
          <w:tcPr>
            <w:tcW w:w="1276" w:type="dxa"/>
            <w:noWrap w:val="0"/>
            <w:vAlign w:val="center"/>
          </w:tcPr>
          <w:p w14:paraId="0EFC69C4">
            <w:pPr>
              <w:pStyle w:val="49"/>
              <w:spacing w:beforeLines="0" w:afterLines="0" w:line="240" w:lineRule="auto"/>
              <w:rPr>
                <w:rFonts w:hint="default" w:ascii="Times New Roman" w:eastAsia="宋体"/>
                <w:snapToGrid w:val="0"/>
                <w:color w:val="auto"/>
                <w:kern w:val="21"/>
                <w:sz w:val="21"/>
                <w:szCs w:val="21"/>
                <w:highlight w:val="none"/>
                <w:u w:val="single"/>
                <w:lang w:val="en-US" w:eastAsia="zh-CN"/>
              </w:rPr>
            </w:pPr>
            <w:r>
              <w:rPr>
                <w:rFonts w:hint="eastAsia" w:ascii="Times New Roman" w:eastAsia="宋体"/>
                <w:snapToGrid w:val="0"/>
                <w:color w:val="auto"/>
                <w:kern w:val="21"/>
                <w:sz w:val="21"/>
                <w:szCs w:val="21"/>
                <w:highlight w:val="none"/>
                <w:u w:val="single"/>
                <w:lang w:val="en-US" w:eastAsia="zh-CN"/>
              </w:rPr>
              <w:t>/</w:t>
            </w:r>
          </w:p>
        </w:tc>
        <w:tc>
          <w:tcPr>
            <w:tcW w:w="1701" w:type="dxa"/>
            <w:noWrap w:val="0"/>
            <w:vAlign w:val="center"/>
          </w:tcPr>
          <w:p w14:paraId="0B153341">
            <w:pPr>
              <w:pStyle w:val="49"/>
              <w:spacing w:beforeLines="0" w:afterLines="0" w:line="240" w:lineRule="auto"/>
              <w:rPr>
                <w:rFonts w:hint="default" w:ascii="Times New Roman" w:eastAsia="宋体"/>
                <w:snapToGrid w:val="0"/>
                <w:color w:val="auto"/>
                <w:kern w:val="21"/>
                <w:sz w:val="21"/>
                <w:szCs w:val="21"/>
                <w:highlight w:val="none"/>
                <w:u w:val="single"/>
                <w:lang w:val="en-US" w:eastAsia="zh-CN"/>
              </w:rPr>
            </w:pPr>
            <w:r>
              <w:rPr>
                <w:rFonts w:hint="eastAsia" w:ascii="Times New Roman" w:eastAsia="宋体"/>
                <w:snapToGrid w:val="0"/>
                <w:color w:val="auto"/>
                <w:kern w:val="21"/>
                <w:sz w:val="21"/>
                <w:szCs w:val="21"/>
                <w:highlight w:val="none"/>
                <w:u w:val="single"/>
                <w:lang w:val="en-US" w:eastAsia="zh-CN"/>
              </w:rPr>
              <w:t>0</w:t>
            </w:r>
          </w:p>
        </w:tc>
        <w:tc>
          <w:tcPr>
            <w:tcW w:w="1559" w:type="dxa"/>
            <w:noWrap w:val="0"/>
            <w:vAlign w:val="center"/>
          </w:tcPr>
          <w:p w14:paraId="1072F441">
            <w:pPr>
              <w:pStyle w:val="71"/>
              <w:adjustRightInd w:val="0"/>
              <w:ind w:left="-63" w:leftChars="-30" w:right="-63" w:rightChars="-30"/>
              <w:jc w:val="center"/>
              <w:rPr>
                <w:rFonts w:hint="eastAsia"/>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268.3</w:t>
            </w:r>
          </w:p>
        </w:tc>
        <w:tc>
          <w:tcPr>
            <w:tcW w:w="1761" w:type="dxa"/>
            <w:noWrap w:val="0"/>
            <w:vAlign w:val="center"/>
          </w:tcPr>
          <w:p w14:paraId="386371D8">
            <w:pPr>
              <w:spacing w:beforeLines="0" w:afterLines="0" w:line="240" w:lineRule="auto"/>
              <w:jc w:val="center"/>
              <w:rPr>
                <w:rFonts w:hint="default"/>
                <w:snapToGrid w:val="0"/>
                <w:color w:val="auto"/>
                <w:kern w:val="21"/>
                <w:sz w:val="21"/>
                <w:szCs w:val="21"/>
                <w:highlight w:val="none"/>
                <w:u w:val="single"/>
                <w:lang w:val="en-US" w:eastAsia="zh-CN"/>
              </w:rPr>
            </w:pPr>
            <w:r>
              <w:rPr>
                <w:rFonts w:hint="eastAsia"/>
                <w:snapToGrid w:val="0"/>
                <w:color w:val="auto"/>
                <w:kern w:val="21"/>
                <w:sz w:val="21"/>
                <w:szCs w:val="21"/>
                <w:highlight w:val="none"/>
                <w:u w:val="single"/>
                <w:lang w:val="en-US" w:eastAsia="zh-CN"/>
              </w:rPr>
              <w:t>0</w:t>
            </w:r>
          </w:p>
        </w:tc>
        <w:tc>
          <w:tcPr>
            <w:tcW w:w="1783" w:type="dxa"/>
            <w:shd w:val="clear" w:color="auto" w:fill="auto"/>
            <w:noWrap w:val="0"/>
            <w:vAlign w:val="center"/>
          </w:tcPr>
          <w:p w14:paraId="6601F49C">
            <w:pPr>
              <w:pStyle w:val="71"/>
              <w:adjustRightInd w:val="0"/>
              <w:ind w:left="-63" w:leftChars="-30" w:right="-63" w:rightChars="-30"/>
              <w:jc w:val="center"/>
              <w:rPr>
                <w:rFonts w:hint="eastAsia"/>
                <w:snapToGrid w:val="0"/>
                <w:color w:val="auto"/>
                <w:kern w:val="21"/>
                <w:sz w:val="21"/>
                <w:szCs w:val="21"/>
                <w:highlight w:val="none"/>
                <w:u w:val="single"/>
                <w:lang w:val="en-US" w:eastAsia="zh-CN"/>
              </w:rPr>
            </w:pPr>
            <w:r>
              <w:rPr>
                <w:rFonts w:hint="eastAsia"/>
                <w:b w:val="0"/>
                <w:bCs w:val="0"/>
                <w:color w:val="auto"/>
                <w:sz w:val="21"/>
                <w:szCs w:val="21"/>
                <w:highlight w:val="none"/>
                <w:u w:val="single"/>
                <w:lang w:val="en-US" w:eastAsia="zh-CN"/>
              </w:rPr>
              <w:t>268.3</w:t>
            </w:r>
          </w:p>
        </w:tc>
        <w:tc>
          <w:tcPr>
            <w:tcW w:w="1258" w:type="dxa"/>
            <w:shd w:val="clear" w:color="auto" w:fill="auto"/>
            <w:noWrap w:val="0"/>
            <w:vAlign w:val="center"/>
          </w:tcPr>
          <w:p w14:paraId="15249155">
            <w:pPr>
              <w:pStyle w:val="71"/>
              <w:adjustRightInd w:val="0"/>
              <w:ind w:left="-63" w:leftChars="-30" w:right="-63" w:rightChars="-30"/>
              <w:jc w:val="center"/>
              <w:rPr>
                <w:rFonts w:hint="eastAsia" w:ascii="Times New Roman" w:eastAsia="宋体"/>
                <w:snapToGrid w:val="0"/>
                <w:color w:val="auto"/>
                <w:kern w:val="21"/>
                <w:sz w:val="21"/>
                <w:szCs w:val="21"/>
                <w:highlight w:val="none"/>
                <w:u w:val="single"/>
                <w:lang w:val="en-US" w:eastAsia="zh-CN"/>
              </w:rPr>
            </w:pPr>
            <w:r>
              <w:rPr>
                <w:rFonts w:hint="eastAsia"/>
                <w:b w:val="0"/>
                <w:bCs w:val="0"/>
                <w:color w:val="auto"/>
                <w:sz w:val="21"/>
                <w:szCs w:val="21"/>
                <w:highlight w:val="none"/>
                <w:u w:val="single"/>
                <w:lang w:val="en-US" w:eastAsia="zh-CN"/>
              </w:rPr>
              <w:t>+268.3</w:t>
            </w:r>
          </w:p>
        </w:tc>
      </w:tr>
      <w:tr w14:paraId="1C082B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477" w:type="dxa"/>
            <w:vMerge w:val="continue"/>
            <w:noWrap w:val="0"/>
            <w:vAlign w:val="center"/>
          </w:tcPr>
          <w:p w14:paraId="556575DF">
            <w:pPr>
              <w:pStyle w:val="49"/>
              <w:spacing w:beforeLines="0" w:afterLines="0" w:line="240" w:lineRule="auto"/>
              <w:rPr>
                <w:rFonts w:ascii="Times New Roman" w:eastAsia="Calibri"/>
                <w:snapToGrid w:val="0"/>
                <w:color w:val="auto"/>
                <w:kern w:val="21"/>
                <w:sz w:val="21"/>
                <w:szCs w:val="21"/>
                <w:highlight w:val="none"/>
                <w:u w:val="none"/>
              </w:rPr>
            </w:pPr>
          </w:p>
        </w:tc>
        <w:tc>
          <w:tcPr>
            <w:tcW w:w="1528" w:type="dxa"/>
            <w:noWrap w:val="0"/>
            <w:vAlign w:val="center"/>
          </w:tcPr>
          <w:p w14:paraId="49C91E91">
            <w:pPr>
              <w:pStyle w:val="71"/>
              <w:adjustRightInd w:val="0"/>
              <w:ind w:left="-63" w:leftChars="-30" w:right="-63" w:rightChars="-30"/>
              <w:jc w:val="center"/>
              <w:rPr>
                <w:rFonts w:hint="eastAsia"/>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残留生产物料类废物</w:t>
            </w:r>
          </w:p>
        </w:tc>
        <w:tc>
          <w:tcPr>
            <w:tcW w:w="1701" w:type="dxa"/>
            <w:noWrap w:val="0"/>
            <w:vAlign w:val="center"/>
          </w:tcPr>
          <w:p w14:paraId="58E4EF55">
            <w:pPr>
              <w:pStyle w:val="49"/>
              <w:spacing w:beforeLines="0" w:afterLines="0" w:line="240" w:lineRule="auto"/>
              <w:rPr>
                <w:rFonts w:hint="default" w:ascii="Times New Roman"/>
                <w:snapToGrid w:val="0"/>
                <w:color w:val="auto"/>
                <w:kern w:val="21"/>
                <w:sz w:val="21"/>
                <w:szCs w:val="21"/>
                <w:highlight w:val="none"/>
                <w:u w:val="single"/>
                <w:lang w:val="en-US" w:eastAsia="zh-CN"/>
              </w:rPr>
            </w:pPr>
            <w:r>
              <w:rPr>
                <w:rFonts w:hint="eastAsia" w:ascii="Times New Roman"/>
                <w:snapToGrid w:val="0"/>
                <w:color w:val="auto"/>
                <w:kern w:val="21"/>
                <w:sz w:val="21"/>
                <w:szCs w:val="21"/>
                <w:highlight w:val="none"/>
                <w:u w:val="single"/>
                <w:lang w:val="en-US" w:eastAsia="zh-CN"/>
              </w:rPr>
              <w:t>0</w:t>
            </w:r>
          </w:p>
        </w:tc>
        <w:tc>
          <w:tcPr>
            <w:tcW w:w="1276" w:type="dxa"/>
            <w:noWrap w:val="0"/>
            <w:vAlign w:val="center"/>
          </w:tcPr>
          <w:p w14:paraId="1C3A1DC8">
            <w:pPr>
              <w:pStyle w:val="49"/>
              <w:spacing w:beforeLines="0" w:afterLines="0" w:line="240" w:lineRule="auto"/>
              <w:rPr>
                <w:rFonts w:hint="default" w:ascii="Times New Roman" w:eastAsia="宋体"/>
                <w:snapToGrid w:val="0"/>
                <w:color w:val="auto"/>
                <w:kern w:val="21"/>
                <w:sz w:val="21"/>
                <w:szCs w:val="21"/>
                <w:highlight w:val="none"/>
                <w:u w:val="single"/>
                <w:lang w:val="en-US" w:eastAsia="zh-CN"/>
              </w:rPr>
            </w:pPr>
            <w:r>
              <w:rPr>
                <w:rFonts w:hint="eastAsia" w:ascii="Times New Roman" w:eastAsia="宋体"/>
                <w:snapToGrid w:val="0"/>
                <w:color w:val="auto"/>
                <w:kern w:val="21"/>
                <w:sz w:val="21"/>
                <w:szCs w:val="21"/>
                <w:highlight w:val="none"/>
                <w:u w:val="single"/>
                <w:lang w:val="en-US" w:eastAsia="zh-CN"/>
              </w:rPr>
              <w:t>/</w:t>
            </w:r>
          </w:p>
        </w:tc>
        <w:tc>
          <w:tcPr>
            <w:tcW w:w="1701" w:type="dxa"/>
            <w:noWrap w:val="0"/>
            <w:vAlign w:val="center"/>
          </w:tcPr>
          <w:p w14:paraId="1BD76431">
            <w:pPr>
              <w:pStyle w:val="49"/>
              <w:spacing w:beforeLines="0" w:afterLines="0" w:line="240" w:lineRule="auto"/>
              <w:rPr>
                <w:rFonts w:hint="default" w:ascii="Times New Roman" w:eastAsia="宋体"/>
                <w:snapToGrid w:val="0"/>
                <w:color w:val="auto"/>
                <w:kern w:val="21"/>
                <w:sz w:val="21"/>
                <w:szCs w:val="21"/>
                <w:highlight w:val="none"/>
                <w:u w:val="single"/>
                <w:lang w:val="en-US" w:eastAsia="zh-CN"/>
              </w:rPr>
            </w:pPr>
            <w:r>
              <w:rPr>
                <w:rFonts w:hint="eastAsia" w:ascii="Times New Roman" w:eastAsia="宋体"/>
                <w:snapToGrid w:val="0"/>
                <w:color w:val="auto"/>
                <w:kern w:val="21"/>
                <w:sz w:val="21"/>
                <w:szCs w:val="21"/>
                <w:highlight w:val="none"/>
                <w:u w:val="single"/>
                <w:lang w:val="en-US" w:eastAsia="zh-CN"/>
              </w:rPr>
              <w:t>0</w:t>
            </w:r>
          </w:p>
        </w:tc>
        <w:tc>
          <w:tcPr>
            <w:tcW w:w="1559" w:type="dxa"/>
            <w:noWrap w:val="0"/>
            <w:vAlign w:val="center"/>
          </w:tcPr>
          <w:p w14:paraId="1BF0D19F">
            <w:pPr>
              <w:pStyle w:val="71"/>
              <w:adjustRightInd w:val="0"/>
              <w:ind w:left="-63" w:leftChars="-30" w:right="-63" w:rightChars="-30"/>
              <w:jc w:val="center"/>
              <w:rPr>
                <w:rFonts w:hint="eastAsia"/>
                <w:b w:val="0"/>
                <w:bCs w:val="0"/>
                <w:color w:val="auto"/>
                <w:sz w:val="21"/>
                <w:szCs w:val="21"/>
                <w:highlight w:val="none"/>
                <w:u w:val="single"/>
                <w:lang w:val="en-US" w:eastAsia="zh-CN"/>
              </w:rPr>
            </w:pPr>
            <w:r>
              <w:rPr>
                <w:rFonts w:hint="eastAsia"/>
                <w:b w:val="0"/>
                <w:bCs w:val="0"/>
                <w:color w:val="auto"/>
                <w:sz w:val="21"/>
                <w:szCs w:val="21"/>
                <w:highlight w:val="none"/>
                <w:u w:val="single"/>
                <w:lang w:val="en-US" w:eastAsia="zh-CN"/>
              </w:rPr>
              <w:t>15</w:t>
            </w:r>
          </w:p>
        </w:tc>
        <w:tc>
          <w:tcPr>
            <w:tcW w:w="1761" w:type="dxa"/>
            <w:noWrap w:val="0"/>
            <w:vAlign w:val="center"/>
          </w:tcPr>
          <w:p w14:paraId="28B6D0F5">
            <w:pPr>
              <w:spacing w:beforeLines="0" w:afterLines="0" w:line="240" w:lineRule="auto"/>
              <w:jc w:val="center"/>
              <w:rPr>
                <w:rFonts w:hint="default"/>
                <w:snapToGrid w:val="0"/>
                <w:color w:val="auto"/>
                <w:kern w:val="21"/>
                <w:sz w:val="21"/>
                <w:szCs w:val="21"/>
                <w:highlight w:val="none"/>
                <w:u w:val="single"/>
                <w:lang w:val="en-US" w:eastAsia="zh-CN"/>
              </w:rPr>
            </w:pPr>
            <w:r>
              <w:rPr>
                <w:rFonts w:hint="eastAsia"/>
                <w:snapToGrid w:val="0"/>
                <w:color w:val="auto"/>
                <w:kern w:val="21"/>
                <w:sz w:val="21"/>
                <w:szCs w:val="21"/>
                <w:highlight w:val="none"/>
                <w:u w:val="single"/>
                <w:lang w:val="en-US" w:eastAsia="zh-CN"/>
              </w:rPr>
              <w:t>0</w:t>
            </w:r>
          </w:p>
        </w:tc>
        <w:tc>
          <w:tcPr>
            <w:tcW w:w="1783" w:type="dxa"/>
            <w:shd w:val="clear" w:color="auto" w:fill="auto"/>
            <w:noWrap w:val="0"/>
            <w:vAlign w:val="center"/>
          </w:tcPr>
          <w:p w14:paraId="564EA65B">
            <w:pPr>
              <w:pStyle w:val="71"/>
              <w:adjustRightInd w:val="0"/>
              <w:ind w:left="-63" w:leftChars="-30" w:right="-63" w:rightChars="-30"/>
              <w:jc w:val="center"/>
              <w:rPr>
                <w:rFonts w:hint="eastAsia"/>
                <w:snapToGrid w:val="0"/>
                <w:color w:val="auto"/>
                <w:kern w:val="21"/>
                <w:sz w:val="21"/>
                <w:szCs w:val="21"/>
                <w:highlight w:val="none"/>
                <w:u w:val="single"/>
                <w:lang w:val="en-US" w:eastAsia="zh-CN"/>
              </w:rPr>
            </w:pPr>
            <w:r>
              <w:rPr>
                <w:rFonts w:hint="eastAsia"/>
                <w:b w:val="0"/>
                <w:bCs w:val="0"/>
                <w:color w:val="auto"/>
                <w:sz w:val="21"/>
                <w:szCs w:val="21"/>
                <w:highlight w:val="none"/>
                <w:u w:val="single"/>
                <w:lang w:val="en-US" w:eastAsia="zh-CN"/>
              </w:rPr>
              <w:t>15</w:t>
            </w:r>
          </w:p>
        </w:tc>
        <w:tc>
          <w:tcPr>
            <w:tcW w:w="1258" w:type="dxa"/>
            <w:shd w:val="clear" w:color="auto" w:fill="auto"/>
            <w:noWrap w:val="0"/>
            <w:vAlign w:val="center"/>
          </w:tcPr>
          <w:p w14:paraId="2C4DB375">
            <w:pPr>
              <w:pStyle w:val="71"/>
              <w:adjustRightInd w:val="0"/>
              <w:ind w:left="-63" w:leftChars="-30" w:right="-63" w:rightChars="-30"/>
              <w:jc w:val="center"/>
              <w:rPr>
                <w:rFonts w:hint="eastAsia" w:ascii="Times New Roman" w:eastAsia="宋体"/>
                <w:snapToGrid w:val="0"/>
                <w:color w:val="auto"/>
                <w:kern w:val="21"/>
                <w:sz w:val="21"/>
                <w:szCs w:val="21"/>
                <w:highlight w:val="none"/>
                <w:u w:val="single"/>
                <w:lang w:val="en-US" w:eastAsia="zh-CN"/>
              </w:rPr>
            </w:pPr>
            <w:r>
              <w:rPr>
                <w:rFonts w:hint="eastAsia"/>
                <w:b w:val="0"/>
                <w:bCs w:val="0"/>
                <w:color w:val="auto"/>
                <w:sz w:val="21"/>
                <w:szCs w:val="21"/>
                <w:highlight w:val="none"/>
                <w:u w:val="single"/>
                <w:lang w:val="en-US" w:eastAsia="zh-CN"/>
              </w:rPr>
              <w:t>+15</w:t>
            </w:r>
          </w:p>
        </w:tc>
      </w:tr>
    </w:tbl>
    <w:p w14:paraId="28981970">
      <w:pPr>
        <w:pStyle w:val="49"/>
        <w:spacing w:before="192" w:beforeLines="80" w:after="24"/>
        <w:jc w:val="left"/>
        <w:rPr>
          <w:rFonts w:hint="eastAsia" w:eastAsia="宋体"/>
          <w:lang w:eastAsia="zh-CN"/>
        </w:rPr>
        <w:sectPr>
          <w:footerReference r:id="rId5" w:type="default"/>
          <w:pgSz w:w="16838" w:h="11906" w:orient="landscape"/>
          <w:pgMar w:top="1531" w:right="1701" w:bottom="1531" w:left="1701" w:header="851" w:footer="850" w:gutter="0"/>
          <w:paperSrc/>
          <w:pgBorders>
            <w:top w:val="none" w:sz="0" w:space="0"/>
            <w:left w:val="none" w:sz="0" w:space="0"/>
            <w:bottom w:val="none" w:sz="0" w:space="0"/>
            <w:right w:val="none" w:sz="0" w:space="0"/>
          </w:pgBorders>
          <w:cols w:space="0" w:num="1"/>
          <w:rtlGutter w:val="0"/>
          <w:docGrid w:linePitch="312" w:charSpace="0"/>
        </w:sectPr>
      </w:pPr>
      <w:r>
        <w:rPr>
          <w:rFonts w:hAnsi="宋体"/>
          <w:snapToGrid w:val="0"/>
          <w:color w:val="auto"/>
          <w:kern w:val="21"/>
          <w:szCs w:val="21"/>
          <w:highlight w:val="none"/>
        </w:rPr>
        <w:t>注：</w:t>
      </w:r>
      <w:r>
        <w:rPr>
          <w:rFonts w:hAnsi="宋体"/>
          <w:snapToGrid w:val="0"/>
          <w:color w:val="auto"/>
          <w:spacing w:val="-16"/>
          <w:kern w:val="21"/>
          <w:szCs w:val="21"/>
          <w:highlight w:val="none"/>
        </w:rPr>
        <w:fldChar w:fldCharType="begin"/>
      </w:r>
      <w:r>
        <w:rPr>
          <w:rFonts w:hAnsi="宋体"/>
          <w:snapToGrid w:val="0"/>
          <w:color w:val="auto"/>
          <w:spacing w:val="-16"/>
          <w:kern w:val="21"/>
          <w:szCs w:val="21"/>
          <w:highlight w:val="none"/>
        </w:rPr>
        <w:instrText xml:space="preserve"> = 6 \* GB3 \* MERGEFORMAT </w:instrText>
      </w:r>
      <w:r>
        <w:rPr>
          <w:rFonts w:hAnsi="宋体"/>
          <w:snapToGrid w:val="0"/>
          <w:color w:val="auto"/>
          <w:spacing w:val="-16"/>
          <w:kern w:val="21"/>
          <w:szCs w:val="21"/>
          <w:highlight w:val="none"/>
        </w:rPr>
        <w:fldChar w:fldCharType="separate"/>
      </w:r>
      <w:r>
        <w:rPr>
          <w:rFonts w:hint="eastAsia" w:hAnsi="宋体"/>
          <w:color w:val="auto"/>
          <w:szCs w:val="21"/>
          <w:highlight w:val="none"/>
        </w:rPr>
        <w:t>⑥</w:t>
      </w:r>
      <w:r>
        <w:rPr>
          <w:rFonts w:hAnsi="宋体"/>
          <w:snapToGrid w:val="0"/>
          <w:color w:val="auto"/>
          <w:spacing w:val="-16"/>
          <w:kern w:val="21"/>
          <w:szCs w:val="21"/>
          <w:highlight w:val="none"/>
        </w:rPr>
        <w:fldChar w:fldCharType="end"/>
      </w:r>
      <w:r>
        <w:rPr>
          <w:rFonts w:hAnsi="宋体"/>
          <w:snapToGrid w:val="0"/>
          <w:color w:val="auto"/>
          <w:spacing w:val="-16"/>
          <w:kern w:val="21"/>
          <w:szCs w:val="21"/>
          <w:highlight w:val="none"/>
        </w:rPr>
        <w:t>=</w:t>
      </w:r>
      <w:r>
        <w:rPr>
          <w:rFonts w:hAnsi="宋体"/>
          <w:snapToGrid w:val="0"/>
          <w:color w:val="auto"/>
          <w:spacing w:val="-6"/>
          <w:kern w:val="21"/>
          <w:szCs w:val="21"/>
          <w:highlight w:val="none"/>
        </w:rPr>
        <w:fldChar w:fldCharType="begin"/>
      </w:r>
      <w:r>
        <w:rPr>
          <w:rFonts w:hAnsi="宋体"/>
          <w:snapToGrid w:val="0"/>
          <w:color w:val="auto"/>
          <w:spacing w:val="-6"/>
          <w:kern w:val="21"/>
          <w:szCs w:val="21"/>
          <w:highlight w:val="none"/>
        </w:rPr>
        <w:instrText xml:space="preserve"> = 1 \* GB3 \* MERGEFORMAT </w:instrText>
      </w:r>
      <w:r>
        <w:rPr>
          <w:rFonts w:hAnsi="宋体"/>
          <w:snapToGrid w:val="0"/>
          <w:color w:val="auto"/>
          <w:spacing w:val="-6"/>
          <w:kern w:val="21"/>
          <w:szCs w:val="21"/>
          <w:highlight w:val="none"/>
        </w:rPr>
        <w:fldChar w:fldCharType="separate"/>
      </w:r>
      <w:r>
        <w:rPr>
          <w:rFonts w:hint="eastAsia" w:hAnsi="宋体"/>
          <w:color w:val="auto"/>
          <w:szCs w:val="21"/>
          <w:highlight w:val="none"/>
        </w:rPr>
        <w:t>①</w:t>
      </w:r>
      <w:r>
        <w:rPr>
          <w:rFonts w:hAnsi="宋体"/>
          <w:snapToGrid w:val="0"/>
          <w:color w:val="auto"/>
          <w:spacing w:val="-6"/>
          <w:kern w:val="21"/>
          <w:szCs w:val="21"/>
          <w:highlight w:val="none"/>
        </w:rPr>
        <w:fldChar w:fldCharType="end"/>
      </w:r>
      <w:r>
        <w:rPr>
          <w:rFonts w:hAnsi="宋体"/>
          <w:snapToGrid w:val="0"/>
          <w:color w:val="auto"/>
          <w:spacing w:val="-6"/>
          <w:kern w:val="21"/>
          <w:szCs w:val="21"/>
          <w:highlight w:val="none"/>
        </w:rPr>
        <w:t>+</w:t>
      </w:r>
      <w:r>
        <w:rPr>
          <w:rFonts w:hAnsi="宋体"/>
          <w:snapToGrid w:val="0"/>
          <w:color w:val="auto"/>
          <w:spacing w:val="-6"/>
          <w:kern w:val="21"/>
          <w:szCs w:val="21"/>
          <w:highlight w:val="none"/>
        </w:rPr>
        <w:fldChar w:fldCharType="begin"/>
      </w:r>
      <w:r>
        <w:rPr>
          <w:rFonts w:hAnsi="宋体"/>
          <w:snapToGrid w:val="0"/>
          <w:color w:val="auto"/>
          <w:spacing w:val="-6"/>
          <w:kern w:val="21"/>
          <w:szCs w:val="21"/>
          <w:highlight w:val="none"/>
        </w:rPr>
        <w:instrText xml:space="preserve"> = 3 \* GB3 \* MERGEFORMAT </w:instrText>
      </w:r>
      <w:r>
        <w:rPr>
          <w:rFonts w:hAnsi="宋体"/>
          <w:snapToGrid w:val="0"/>
          <w:color w:val="auto"/>
          <w:spacing w:val="-6"/>
          <w:kern w:val="21"/>
          <w:szCs w:val="21"/>
          <w:highlight w:val="none"/>
        </w:rPr>
        <w:fldChar w:fldCharType="separate"/>
      </w:r>
      <w:r>
        <w:rPr>
          <w:rFonts w:hint="eastAsia" w:hAnsi="宋体"/>
          <w:color w:val="auto"/>
          <w:szCs w:val="21"/>
          <w:highlight w:val="none"/>
        </w:rPr>
        <w:t>③</w:t>
      </w:r>
      <w:r>
        <w:rPr>
          <w:rFonts w:hAnsi="宋体"/>
          <w:snapToGrid w:val="0"/>
          <w:color w:val="auto"/>
          <w:spacing w:val="-6"/>
          <w:kern w:val="21"/>
          <w:szCs w:val="21"/>
          <w:highlight w:val="none"/>
        </w:rPr>
        <w:fldChar w:fldCharType="end"/>
      </w:r>
      <w:r>
        <w:rPr>
          <w:rFonts w:hAnsi="宋体"/>
          <w:snapToGrid w:val="0"/>
          <w:color w:val="auto"/>
          <w:spacing w:val="-6"/>
          <w:kern w:val="21"/>
          <w:szCs w:val="21"/>
          <w:highlight w:val="none"/>
        </w:rPr>
        <w:t>+</w:t>
      </w:r>
      <w:r>
        <w:rPr>
          <w:rFonts w:hAnsi="宋体"/>
          <w:snapToGrid w:val="0"/>
          <w:color w:val="auto"/>
          <w:spacing w:val="-6"/>
          <w:kern w:val="21"/>
          <w:szCs w:val="21"/>
          <w:highlight w:val="none"/>
        </w:rPr>
        <w:fldChar w:fldCharType="begin"/>
      </w:r>
      <w:r>
        <w:rPr>
          <w:rFonts w:hAnsi="宋体"/>
          <w:snapToGrid w:val="0"/>
          <w:color w:val="auto"/>
          <w:spacing w:val="-6"/>
          <w:kern w:val="21"/>
          <w:szCs w:val="21"/>
          <w:highlight w:val="none"/>
        </w:rPr>
        <w:instrText xml:space="preserve"> = 4 \* GB3 \* MERGEFORMAT </w:instrText>
      </w:r>
      <w:r>
        <w:rPr>
          <w:rFonts w:hAnsi="宋体"/>
          <w:snapToGrid w:val="0"/>
          <w:color w:val="auto"/>
          <w:spacing w:val="-6"/>
          <w:kern w:val="21"/>
          <w:szCs w:val="21"/>
          <w:highlight w:val="none"/>
        </w:rPr>
        <w:fldChar w:fldCharType="separate"/>
      </w:r>
      <w:r>
        <w:rPr>
          <w:rFonts w:hint="eastAsia" w:hAnsi="宋体"/>
          <w:color w:val="auto"/>
          <w:szCs w:val="21"/>
          <w:highlight w:val="none"/>
        </w:rPr>
        <w:t>④</w:t>
      </w:r>
      <w:r>
        <w:rPr>
          <w:rFonts w:hAnsi="宋体"/>
          <w:snapToGrid w:val="0"/>
          <w:color w:val="auto"/>
          <w:spacing w:val="-6"/>
          <w:kern w:val="21"/>
          <w:szCs w:val="21"/>
          <w:highlight w:val="none"/>
        </w:rPr>
        <w:fldChar w:fldCharType="end"/>
      </w:r>
      <w:r>
        <w:rPr>
          <w:rFonts w:hAnsi="宋体"/>
          <w:snapToGrid w:val="0"/>
          <w:color w:val="auto"/>
          <w:spacing w:val="-6"/>
          <w:kern w:val="21"/>
          <w:szCs w:val="21"/>
          <w:highlight w:val="none"/>
        </w:rPr>
        <w:t>-</w:t>
      </w:r>
      <w:r>
        <w:rPr>
          <w:rFonts w:hAnsi="宋体"/>
          <w:snapToGrid w:val="0"/>
          <w:color w:val="auto"/>
          <w:spacing w:val="-16"/>
          <w:kern w:val="21"/>
          <w:szCs w:val="21"/>
          <w:highlight w:val="none"/>
        </w:rPr>
        <w:fldChar w:fldCharType="begin"/>
      </w:r>
      <w:r>
        <w:rPr>
          <w:rFonts w:hAnsi="宋体"/>
          <w:snapToGrid w:val="0"/>
          <w:color w:val="auto"/>
          <w:spacing w:val="-16"/>
          <w:kern w:val="21"/>
          <w:szCs w:val="21"/>
          <w:highlight w:val="none"/>
        </w:rPr>
        <w:instrText xml:space="preserve"> = 5 \* GB3 \* MERGEFORMAT </w:instrText>
      </w:r>
      <w:r>
        <w:rPr>
          <w:rFonts w:hAnsi="宋体"/>
          <w:snapToGrid w:val="0"/>
          <w:color w:val="auto"/>
          <w:spacing w:val="-16"/>
          <w:kern w:val="21"/>
          <w:szCs w:val="21"/>
          <w:highlight w:val="none"/>
        </w:rPr>
        <w:fldChar w:fldCharType="separate"/>
      </w:r>
      <w:r>
        <w:rPr>
          <w:rFonts w:hint="eastAsia" w:hAnsi="宋体"/>
          <w:color w:val="auto"/>
          <w:szCs w:val="21"/>
          <w:highlight w:val="none"/>
        </w:rPr>
        <w:t>⑤</w:t>
      </w:r>
      <w:r>
        <w:rPr>
          <w:rFonts w:hAnsi="宋体"/>
          <w:snapToGrid w:val="0"/>
          <w:color w:val="auto"/>
          <w:spacing w:val="-16"/>
          <w:kern w:val="21"/>
          <w:szCs w:val="21"/>
          <w:highlight w:val="none"/>
        </w:rPr>
        <w:fldChar w:fldCharType="end"/>
      </w:r>
      <w:r>
        <w:rPr>
          <w:rFonts w:hAnsi="宋体"/>
          <w:snapToGrid w:val="0"/>
          <w:color w:val="auto"/>
          <w:spacing w:val="-16"/>
          <w:kern w:val="21"/>
          <w:szCs w:val="21"/>
          <w:highlight w:val="none"/>
        </w:rPr>
        <w:t>；</w:t>
      </w:r>
      <w:r>
        <w:rPr>
          <w:rFonts w:hAnsi="宋体"/>
          <w:snapToGrid w:val="0"/>
          <w:color w:val="auto"/>
          <w:spacing w:val="-6"/>
          <w:kern w:val="21"/>
          <w:szCs w:val="21"/>
          <w:highlight w:val="none"/>
        </w:rPr>
        <w:fldChar w:fldCharType="begin"/>
      </w:r>
      <w:r>
        <w:rPr>
          <w:rFonts w:hAnsi="宋体"/>
          <w:snapToGrid w:val="0"/>
          <w:color w:val="auto"/>
          <w:spacing w:val="-6"/>
          <w:kern w:val="21"/>
          <w:szCs w:val="21"/>
          <w:highlight w:val="none"/>
        </w:rPr>
        <w:instrText xml:space="preserve"> = 7 \* GB3 \* MERGEFORMAT </w:instrText>
      </w:r>
      <w:r>
        <w:rPr>
          <w:rFonts w:hAnsi="宋体"/>
          <w:snapToGrid w:val="0"/>
          <w:color w:val="auto"/>
          <w:spacing w:val="-6"/>
          <w:kern w:val="21"/>
          <w:szCs w:val="21"/>
          <w:highlight w:val="none"/>
        </w:rPr>
        <w:fldChar w:fldCharType="separate"/>
      </w:r>
      <w:r>
        <w:rPr>
          <w:rFonts w:hint="eastAsia" w:hAnsi="宋体"/>
          <w:color w:val="auto"/>
          <w:szCs w:val="21"/>
          <w:highlight w:val="none"/>
        </w:rPr>
        <w:t>⑦</w:t>
      </w:r>
      <w:r>
        <w:rPr>
          <w:rFonts w:hAnsi="宋体"/>
          <w:snapToGrid w:val="0"/>
          <w:color w:val="auto"/>
          <w:spacing w:val="-6"/>
          <w:kern w:val="21"/>
          <w:szCs w:val="21"/>
          <w:highlight w:val="none"/>
        </w:rPr>
        <w:fldChar w:fldCharType="end"/>
      </w:r>
      <w:r>
        <w:rPr>
          <w:rFonts w:hAnsi="宋体"/>
          <w:snapToGrid w:val="0"/>
          <w:color w:val="auto"/>
          <w:spacing w:val="-6"/>
          <w:kern w:val="21"/>
          <w:szCs w:val="21"/>
          <w:highlight w:val="none"/>
        </w:rPr>
        <w:t>=</w:t>
      </w:r>
      <w:r>
        <w:rPr>
          <w:rFonts w:hAnsi="宋体"/>
          <w:snapToGrid w:val="0"/>
          <w:color w:val="auto"/>
          <w:spacing w:val="-16"/>
          <w:kern w:val="21"/>
          <w:szCs w:val="21"/>
          <w:highlight w:val="none"/>
        </w:rPr>
        <w:fldChar w:fldCharType="begin"/>
      </w:r>
      <w:r>
        <w:rPr>
          <w:rFonts w:hAnsi="宋体"/>
          <w:snapToGrid w:val="0"/>
          <w:color w:val="auto"/>
          <w:spacing w:val="-16"/>
          <w:kern w:val="21"/>
          <w:szCs w:val="21"/>
          <w:highlight w:val="none"/>
        </w:rPr>
        <w:instrText xml:space="preserve"> = 6 \* GB3 \* MERGEFORMAT </w:instrText>
      </w:r>
      <w:r>
        <w:rPr>
          <w:rFonts w:hAnsi="宋体"/>
          <w:snapToGrid w:val="0"/>
          <w:color w:val="auto"/>
          <w:spacing w:val="-16"/>
          <w:kern w:val="21"/>
          <w:szCs w:val="21"/>
          <w:highlight w:val="none"/>
        </w:rPr>
        <w:fldChar w:fldCharType="separate"/>
      </w:r>
      <w:r>
        <w:rPr>
          <w:rFonts w:hint="eastAsia" w:hAnsi="宋体"/>
          <w:color w:val="auto"/>
          <w:szCs w:val="21"/>
          <w:highlight w:val="none"/>
        </w:rPr>
        <w:t>⑥</w:t>
      </w:r>
      <w:r>
        <w:rPr>
          <w:rFonts w:hAnsi="宋体"/>
          <w:snapToGrid w:val="0"/>
          <w:color w:val="auto"/>
          <w:spacing w:val="-16"/>
          <w:kern w:val="21"/>
          <w:szCs w:val="21"/>
          <w:highlight w:val="none"/>
        </w:rPr>
        <w:fldChar w:fldCharType="end"/>
      </w:r>
      <w:r>
        <w:rPr>
          <w:rFonts w:hAnsi="宋体"/>
          <w:snapToGrid w:val="0"/>
          <w:color w:val="auto"/>
          <w:spacing w:val="-16"/>
          <w:kern w:val="21"/>
          <w:szCs w:val="21"/>
          <w:highlight w:val="none"/>
        </w:rPr>
        <w:t>-</w:t>
      </w:r>
      <w:r>
        <w:rPr>
          <w:rFonts w:hAnsi="宋体"/>
          <w:snapToGrid w:val="0"/>
          <w:color w:val="auto"/>
          <w:spacing w:val="-6"/>
          <w:kern w:val="21"/>
          <w:szCs w:val="21"/>
          <w:highlight w:val="none"/>
        </w:rPr>
        <w:fldChar w:fldCharType="begin"/>
      </w:r>
      <w:r>
        <w:rPr>
          <w:rFonts w:hAnsi="宋体"/>
          <w:snapToGrid w:val="0"/>
          <w:color w:val="auto"/>
          <w:spacing w:val="-6"/>
          <w:kern w:val="21"/>
          <w:szCs w:val="21"/>
          <w:highlight w:val="none"/>
        </w:rPr>
        <w:instrText xml:space="preserve"> = 1 \* GB3 \* MERGEFORMAT </w:instrText>
      </w:r>
      <w:r>
        <w:rPr>
          <w:rFonts w:hAnsi="宋体"/>
          <w:snapToGrid w:val="0"/>
          <w:color w:val="auto"/>
          <w:spacing w:val="-6"/>
          <w:kern w:val="21"/>
          <w:szCs w:val="21"/>
          <w:highlight w:val="none"/>
        </w:rPr>
        <w:fldChar w:fldCharType="separate"/>
      </w:r>
      <w:r>
        <w:rPr>
          <w:rFonts w:hint="eastAsia" w:hAnsi="宋体"/>
          <w:color w:val="auto"/>
          <w:szCs w:val="21"/>
          <w:highlight w:val="none"/>
        </w:rPr>
        <w:t>①</w:t>
      </w:r>
      <w:r>
        <w:rPr>
          <w:rFonts w:hAnsi="宋体"/>
          <w:snapToGrid w:val="0"/>
          <w:color w:val="auto"/>
          <w:spacing w:val="-6"/>
          <w:kern w:val="21"/>
          <w:szCs w:val="21"/>
          <w:highlight w:val="none"/>
        </w:rPr>
        <w:fldChar w:fldCharType="end"/>
      </w:r>
    </w:p>
    <w:p w14:paraId="57EF824B">
      <w:pPr>
        <w:jc w:val="both"/>
        <w:rPr>
          <w:rFonts w:hint="eastAsia"/>
          <w:lang w:eastAsia="zh-CN"/>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3CE3B4C8">
      <w:pPr>
        <w:pStyle w:val="2"/>
        <w:ind w:left="0" w:leftChars="0" w:firstLine="0" w:firstLineChars="0"/>
        <w:jc w:val="both"/>
        <w:rPr>
          <w:rFonts w:hint="eastAsia"/>
          <w:lang w:eastAsia="zh-CN"/>
        </w:rPr>
      </w:pPr>
      <w:bookmarkStart w:id="15" w:name="_GoBack"/>
      <w:bookmarkEnd w:id="15"/>
    </w:p>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宋三简体">
    <w:altName w:val="方正书宋_GBK"/>
    <w:panose1 w:val="02010601030101010101"/>
    <w:charset w:val="86"/>
    <w:family w:val="auto"/>
    <w:pitch w:val="default"/>
    <w:sig w:usb0="00000000" w:usb1="00000000" w:usb2="00000010" w:usb3="00000000" w:csb0="00040000" w:csb1="00000000"/>
  </w:font>
  <w:font w:name="国标宋体-超大字符集扩">
    <w:panose1 w:val="000005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方正小标宋_GBK">
    <w:panose1 w:val="02000000000000000000"/>
    <w:charset w:val="86"/>
    <w:family w:val="script"/>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新宋体">
    <w:altName w:val="方正书宋_GBK"/>
    <w:panose1 w:val="02010609030101010101"/>
    <w:charset w:val="86"/>
    <w:family w:val="auto"/>
    <w:pitch w:val="default"/>
    <w:sig w:usb0="00000000" w:usb1="0000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AFA5C">
    <w:pPr>
      <w:pStyle w:val="1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1A7B4">
    <w:pPr>
      <w:pStyle w:val="16"/>
      <w:framePr w:wrap="around" w:vAnchor="text" w:hAnchor="margin" w:xAlign="outside" w:y="1"/>
      <w:rPr>
        <w:rStyle w:val="29"/>
        <w:rFonts w:ascii="宋体" w:hAnsi="宋体"/>
        <w:sz w:val="28"/>
        <w:szCs w:val="28"/>
      </w:rPr>
    </w:pPr>
    <w:r>
      <w:rPr>
        <w:rStyle w:val="29"/>
        <w:rFonts w:hint="eastAsia" w:ascii="宋体" w:hAnsi="宋体"/>
        <w:sz w:val="28"/>
        <w:szCs w:val="28"/>
      </w:rPr>
      <w:t>—</w:t>
    </w:r>
    <w:r>
      <w:rPr>
        <w:rStyle w:val="29"/>
        <w:rFonts w:hint="eastAsia" w:ascii="宋体" w:hAnsi="宋体"/>
        <w:sz w:val="20"/>
      </w:rPr>
      <w:t xml:space="preserve">  </w:t>
    </w:r>
    <w:r>
      <w:rPr>
        <w:rStyle w:val="29"/>
        <w:rFonts w:ascii="宋体" w:hAnsi="宋体"/>
        <w:sz w:val="26"/>
        <w:szCs w:val="26"/>
      </w:rPr>
      <w:fldChar w:fldCharType="begin"/>
    </w:r>
    <w:r>
      <w:rPr>
        <w:rStyle w:val="29"/>
        <w:rFonts w:ascii="宋体" w:hAnsi="宋体"/>
        <w:sz w:val="26"/>
        <w:szCs w:val="26"/>
      </w:rPr>
      <w:instrText xml:space="preserve">PAGE  </w:instrText>
    </w:r>
    <w:r>
      <w:rPr>
        <w:rStyle w:val="29"/>
        <w:rFonts w:ascii="宋体" w:hAnsi="宋体"/>
        <w:sz w:val="26"/>
        <w:szCs w:val="26"/>
      </w:rPr>
      <w:fldChar w:fldCharType="separate"/>
    </w:r>
    <w:r>
      <w:rPr>
        <w:rStyle w:val="29"/>
        <w:rFonts w:ascii="宋体" w:hAnsi="宋体"/>
        <w:sz w:val="26"/>
        <w:szCs w:val="26"/>
      </w:rPr>
      <w:t>9</w:t>
    </w:r>
    <w:r>
      <w:rPr>
        <w:rStyle w:val="29"/>
        <w:rFonts w:ascii="宋体" w:hAnsi="宋体"/>
        <w:sz w:val="26"/>
        <w:szCs w:val="26"/>
      </w:rPr>
      <w:fldChar w:fldCharType="end"/>
    </w:r>
    <w:r>
      <w:rPr>
        <w:rStyle w:val="29"/>
        <w:rFonts w:hint="eastAsia" w:ascii="宋体" w:hAnsi="宋体"/>
        <w:sz w:val="20"/>
      </w:rPr>
      <w:t xml:space="preserve">  </w:t>
    </w:r>
    <w:r>
      <w:rPr>
        <w:rStyle w:val="29"/>
        <w:rFonts w:hint="eastAsia" w:ascii="宋体" w:hAnsi="宋体"/>
        <w:sz w:val="28"/>
        <w:szCs w:val="28"/>
      </w:rPr>
      <w:t>—</w:t>
    </w:r>
  </w:p>
  <w:p w14:paraId="6BC70BEB">
    <w:pPr>
      <w:pStyle w:val="16"/>
      <w:ind w:right="360" w:firstLine="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69317">
    <w:pPr>
      <w:pStyle w:val="16"/>
      <w:framePr w:wrap="around" w:vAnchor="text" w:hAnchor="margin" w:xAlign="outside" w:y="1"/>
      <w:rPr>
        <w:rStyle w:val="29"/>
        <w:rFonts w:ascii="宋体" w:hAnsi="宋体"/>
        <w:sz w:val="28"/>
        <w:szCs w:val="28"/>
      </w:rPr>
    </w:pPr>
    <w:r>
      <w:rPr>
        <w:rStyle w:val="29"/>
        <w:rFonts w:hint="eastAsia" w:ascii="宋体" w:hAnsi="宋体"/>
        <w:sz w:val="28"/>
        <w:szCs w:val="28"/>
      </w:rPr>
      <w:t>—</w:t>
    </w:r>
    <w:r>
      <w:rPr>
        <w:rStyle w:val="29"/>
        <w:rFonts w:hint="eastAsia" w:ascii="宋体" w:hAnsi="宋体"/>
        <w:sz w:val="20"/>
      </w:rPr>
      <w:t xml:space="preserve">  </w:t>
    </w:r>
    <w:r>
      <w:rPr>
        <w:rStyle w:val="29"/>
        <w:rFonts w:ascii="宋体" w:hAnsi="宋体"/>
        <w:sz w:val="26"/>
        <w:szCs w:val="26"/>
      </w:rPr>
      <w:fldChar w:fldCharType="begin"/>
    </w:r>
    <w:r>
      <w:rPr>
        <w:rStyle w:val="29"/>
        <w:rFonts w:ascii="宋体" w:hAnsi="宋体"/>
        <w:sz w:val="26"/>
        <w:szCs w:val="26"/>
      </w:rPr>
      <w:instrText xml:space="preserve">PAGE  </w:instrText>
    </w:r>
    <w:r>
      <w:rPr>
        <w:rStyle w:val="29"/>
        <w:rFonts w:ascii="宋体" w:hAnsi="宋体"/>
        <w:sz w:val="26"/>
        <w:szCs w:val="26"/>
      </w:rPr>
      <w:fldChar w:fldCharType="separate"/>
    </w:r>
    <w:r>
      <w:rPr>
        <w:rStyle w:val="29"/>
        <w:rFonts w:ascii="宋体" w:hAnsi="宋体"/>
        <w:sz w:val="26"/>
        <w:szCs w:val="26"/>
      </w:rPr>
      <w:t>11</w:t>
    </w:r>
    <w:r>
      <w:rPr>
        <w:rStyle w:val="29"/>
        <w:rFonts w:ascii="宋体" w:hAnsi="宋体"/>
        <w:sz w:val="26"/>
        <w:szCs w:val="26"/>
      </w:rPr>
      <w:fldChar w:fldCharType="end"/>
    </w:r>
    <w:r>
      <w:rPr>
        <w:rStyle w:val="29"/>
        <w:rFonts w:hint="eastAsia" w:ascii="宋体" w:hAnsi="宋体"/>
        <w:sz w:val="20"/>
      </w:rPr>
      <w:t xml:space="preserve">  </w:t>
    </w:r>
    <w:r>
      <w:rPr>
        <w:rStyle w:val="29"/>
        <w:rFonts w:hint="eastAsia" w:ascii="宋体" w:hAnsi="宋体"/>
        <w:sz w:val="28"/>
        <w:szCs w:val="28"/>
      </w:rPr>
      <w:t>—</w:t>
    </w:r>
  </w:p>
  <w:p w14:paraId="67F06532">
    <w:pPr>
      <w:pStyle w:val="16"/>
      <w:ind w:right="360" w:firstLine="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DE030F"/>
    <w:multiLevelType w:val="singleLevel"/>
    <w:tmpl w:val="88DE030F"/>
    <w:lvl w:ilvl="0" w:tentative="0">
      <w:start w:val="1"/>
      <w:numFmt w:val="bullet"/>
      <w:pStyle w:val="64"/>
      <w:lvlText w:val=""/>
      <w:lvlJc w:val="left"/>
      <w:pPr>
        <w:tabs>
          <w:tab w:val="left" w:pos="2040"/>
        </w:tabs>
        <w:ind w:left="2040" w:hanging="360"/>
      </w:pPr>
      <w:rPr>
        <w:rFonts w:hint="default" w:ascii="Wingdings" w:hAnsi="Wingdings"/>
      </w:rPr>
    </w:lvl>
  </w:abstractNum>
  <w:abstractNum w:abstractNumId="1">
    <w:nsid w:val="BA343ED9"/>
    <w:multiLevelType w:val="multilevel"/>
    <w:tmpl w:val="BA343ED9"/>
    <w:lvl w:ilvl="0" w:tentative="0">
      <w:start w:val="1"/>
      <w:numFmt w:val="decimal"/>
      <w:lvlText w:val="%1、"/>
      <w:lvlJc w:val="left"/>
      <w:pPr>
        <w:ind w:left="432" w:hanging="432"/>
      </w:pPr>
      <w:rPr>
        <w:rFonts w:hint="default" w:ascii="宋体" w:hAnsi="宋体" w:eastAsia="宋体" w:cs="Times New Roman"/>
      </w:rPr>
    </w:lvl>
    <w:lvl w:ilvl="1" w:tentative="0">
      <w:start w:val="1"/>
      <w:numFmt w:val="decimal"/>
      <w:lvlText w:val="%1.%2"/>
      <w:lvlJc w:val="left"/>
      <w:pPr>
        <w:ind w:left="575" w:hanging="575"/>
      </w:pPr>
      <w:rPr>
        <w:rFonts w:hint="default" w:ascii="Times New Roman" w:hAnsi="Times New Roman" w:eastAsia="仿宋" w:cs="宋体"/>
      </w:rPr>
    </w:lvl>
    <w:lvl w:ilvl="2" w:tentative="0">
      <w:start w:val="1"/>
      <w:numFmt w:val="decimal"/>
      <w:pStyle w:val="5"/>
      <w:suff w:val="space"/>
      <w:lvlText w:val="%1.%2.%3 "/>
      <w:lvlJc w:val="left"/>
      <w:pPr>
        <w:tabs>
          <w:tab w:val="left" w:pos="0"/>
        </w:tabs>
        <w:ind w:left="2400" w:hanging="720"/>
      </w:pPr>
      <w:rPr>
        <w:rFonts w:hint="default" w:ascii="Times New Roman" w:hAnsi="Times New Roman" w:eastAsia="仿宋" w:cs="宋体"/>
      </w:rPr>
    </w:lvl>
    <w:lvl w:ilvl="3" w:tentative="0">
      <w:start w:val="1"/>
      <w:numFmt w:val="decimal"/>
      <w:lvlText w:val="%1.%2.%3.%4"/>
      <w:lvlJc w:val="left"/>
      <w:pPr>
        <w:ind w:left="1344" w:hanging="864"/>
      </w:pPr>
      <w:rPr>
        <w:rFonts w:hint="default" w:ascii="Times New Roman" w:hAnsi="Times New Roman" w:eastAsia="仿宋" w:cs="宋体"/>
      </w:rPr>
    </w:lvl>
    <w:lvl w:ilvl="4" w:tentative="0">
      <w:start w:val="1"/>
      <w:numFmt w:val="decimal"/>
      <w:lvlText w:val="%1.%2.%3.%4.%5"/>
      <w:lvlJc w:val="left"/>
      <w:pPr>
        <w:ind w:left="1008" w:hanging="1008"/>
      </w:pPr>
      <w:rPr>
        <w:rFonts w:hint="default" w:ascii="Times New Roman" w:hAnsi="Times New Roman" w:eastAsia="仿宋" w:cs="宋体"/>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2">
    <w:nsid w:val="D3F03CAD"/>
    <w:multiLevelType w:val="multilevel"/>
    <w:tmpl w:val="D3F03CAD"/>
    <w:lvl w:ilvl="0" w:tentative="0">
      <w:start w:val="1"/>
      <w:numFmt w:val="decimal"/>
      <w:lvlText w:val="%1、"/>
      <w:lvlJc w:val="left"/>
      <w:pPr>
        <w:ind w:left="432" w:hanging="432"/>
      </w:pPr>
      <w:rPr>
        <w:rFonts w:hint="default" w:ascii="宋体" w:hAnsi="宋体" w:eastAsia="宋体" w:cs="Times New Roman"/>
      </w:rPr>
    </w:lvl>
    <w:lvl w:ilvl="1" w:tentative="0">
      <w:start w:val="1"/>
      <w:numFmt w:val="decimal"/>
      <w:pStyle w:val="4"/>
      <w:lvlText w:val="%1.%2"/>
      <w:lvlJc w:val="left"/>
      <w:pPr>
        <w:ind w:left="575" w:hanging="575"/>
      </w:pPr>
      <w:rPr>
        <w:rFonts w:hint="default" w:ascii="Times New Roman" w:hAnsi="Times New Roman" w:eastAsia="仿宋" w:cs="宋体"/>
      </w:rPr>
    </w:lvl>
    <w:lvl w:ilvl="2" w:tentative="0">
      <w:start w:val="1"/>
      <w:numFmt w:val="decimal"/>
      <w:suff w:val="space"/>
      <w:lvlText w:val="%1.%2.%3 "/>
      <w:lvlJc w:val="left"/>
      <w:pPr>
        <w:tabs>
          <w:tab w:val="left" w:pos="0"/>
        </w:tabs>
        <w:ind w:left="2400" w:hanging="720"/>
      </w:pPr>
      <w:rPr>
        <w:rFonts w:hint="default" w:ascii="Times New Roman" w:hAnsi="Times New Roman" w:eastAsia="仿宋" w:cs="宋体"/>
      </w:rPr>
    </w:lvl>
    <w:lvl w:ilvl="3" w:tentative="0">
      <w:start w:val="1"/>
      <w:numFmt w:val="decimal"/>
      <w:lvlText w:val="%1.%2.%3.%4"/>
      <w:lvlJc w:val="left"/>
      <w:pPr>
        <w:ind w:left="1344" w:hanging="864"/>
      </w:pPr>
      <w:rPr>
        <w:rFonts w:hint="default" w:ascii="Times New Roman" w:hAnsi="Times New Roman" w:eastAsia="仿宋" w:cs="宋体"/>
      </w:rPr>
    </w:lvl>
    <w:lvl w:ilvl="4" w:tentative="0">
      <w:start w:val="1"/>
      <w:numFmt w:val="decimal"/>
      <w:lvlText w:val="%1.%2.%3.%4.%5"/>
      <w:lvlJc w:val="left"/>
      <w:pPr>
        <w:ind w:left="1008" w:hanging="1008"/>
      </w:pPr>
      <w:rPr>
        <w:rFonts w:hint="default" w:ascii="Times New Roman" w:hAnsi="Times New Roman" w:eastAsia="仿宋" w:cs="宋体"/>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3">
    <w:nsid w:val="63C60C0D"/>
    <w:multiLevelType w:val="multilevel"/>
    <w:tmpl w:val="63C60C0D"/>
    <w:lvl w:ilvl="0" w:tentative="0">
      <w:start w:val="1"/>
      <w:numFmt w:val="decimal"/>
      <w:pStyle w:val="72"/>
      <w:suff w:val="space"/>
      <w:lvlText w:val="表%1  "/>
      <w:lvlJc w:val="left"/>
      <w:pPr>
        <w:tabs>
          <w:tab w:val="left" w:pos="0"/>
        </w:tabs>
        <w:ind w:left="6102" w:hanging="432"/>
      </w:pPr>
      <w:rPr>
        <w:rFonts w:hint="default" w:ascii="Times New Roman" w:hAnsi="Times New Roman" w:eastAsia="宋体" w:cs="Times New Roman"/>
        <w:b/>
        <w:bCs/>
        <w:i w:val="0"/>
        <w:iCs w:val="0"/>
        <w:caps w:val="0"/>
        <w:smallCaps w:val="0"/>
        <w:strike w:val="0"/>
        <w:dstrike w:val="0"/>
        <w:vanish w:val="0"/>
        <w:color w:val="000000"/>
        <w:spacing w:val="0"/>
        <w:w w:val="100"/>
        <w:kern w:val="0"/>
        <w:position w:val="0"/>
        <w:sz w:val="24"/>
        <w:szCs w:val="24"/>
        <w:u w:val="none"/>
        <w:shd w:val="clear" w:color="auto" w:fill="auto"/>
        <w:vertAlign w:val="baseline"/>
      </w:rPr>
    </w:lvl>
    <w:lvl w:ilvl="1" w:tentative="0">
      <w:start w:val="1"/>
      <w:numFmt w:val="decimal"/>
      <w:suff w:val="space"/>
      <w:lvlText w:val="%1.%2"/>
      <w:lvlJc w:val="left"/>
      <w:pPr>
        <w:ind w:left="3936" w:hanging="576"/>
      </w:pPr>
      <w:rPr>
        <w:rFonts w:hint="default"/>
      </w:rPr>
    </w:lvl>
    <w:lvl w:ilvl="2" w:tentative="0">
      <w:start w:val="1"/>
      <w:numFmt w:val="decimal"/>
      <w:suff w:val="space"/>
      <w:lvlText w:val="%1.%2.%3"/>
      <w:lvlJc w:val="left"/>
      <w:pPr>
        <w:ind w:left="4506" w:hanging="720"/>
      </w:pPr>
      <w:rPr>
        <w:rFonts w:hint="default" w:ascii="Times New Roman" w:hAnsi="Times New Roman" w:eastAsia="宋体" w:cs="Arial"/>
      </w:rPr>
    </w:lvl>
    <w:lvl w:ilvl="3" w:tentative="0">
      <w:start w:val="1"/>
      <w:numFmt w:val="decimal"/>
      <w:suff w:val="space"/>
      <w:lvlText w:val="%1.%2.%3.%4"/>
      <w:lvlJc w:val="left"/>
      <w:pPr>
        <w:ind w:left="4791" w:hanging="864"/>
      </w:pPr>
      <w:rPr>
        <w:rFonts w:hint="default"/>
        <w:spacing w:val="-20"/>
      </w:rPr>
    </w:lvl>
    <w:lvl w:ilvl="4" w:tentative="0">
      <w:start w:val="1"/>
      <w:numFmt w:val="decimal"/>
      <w:lvlText w:val="%1.%2.%3.%4.%5"/>
      <w:lvlJc w:val="left"/>
      <w:pPr>
        <w:ind w:left="4368" w:hanging="1008"/>
      </w:pPr>
      <w:rPr>
        <w:rFonts w:hint="eastAsia"/>
      </w:rPr>
    </w:lvl>
    <w:lvl w:ilvl="5" w:tentative="0">
      <w:start w:val="1"/>
      <w:numFmt w:val="decimal"/>
      <w:lvlText w:val="%1.%2.%3.%4.%5.%6"/>
      <w:lvlJc w:val="left"/>
      <w:pPr>
        <w:ind w:left="4512" w:hanging="1152"/>
      </w:pPr>
      <w:rPr>
        <w:rFonts w:hint="eastAsia"/>
      </w:rPr>
    </w:lvl>
    <w:lvl w:ilvl="6" w:tentative="0">
      <w:start w:val="1"/>
      <w:numFmt w:val="decimal"/>
      <w:lvlText w:val="%1.%2.%3.%4.%5.%6.%7"/>
      <w:lvlJc w:val="left"/>
      <w:pPr>
        <w:ind w:left="4656" w:hanging="1296"/>
      </w:pPr>
      <w:rPr>
        <w:rFonts w:hint="eastAsia"/>
      </w:rPr>
    </w:lvl>
    <w:lvl w:ilvl="7" w:tentative="0">
      <w:start w:val="1"/>
      <w:numFmt w:val="decimal"/>
      <w:lvlText w:val="%1.%2.%3.%4.%5.%6.%7.%8"/>
      <w:lvlJc w:val="left"/>
      <w:pPr>
        <w:ind w:left="4800" w:hanging="1440"/>
      </w:pPr>
      <w:rPr>
        <w:rFonts w:hint="eastAsia"/>
      </w:rPr>
    </w:lvl>
    <w:lvl w:ilvl="8" w:tentative="0">
      <w:start w:val="1"/>
      <w:numFmt w:val="decimal"/>
      <w:lvlText w:val="%1.%2.%3.%4.%5.%6.%7.%8.%9"/>
      <w:lvlJc w:val="left"/>
      <w:pPr>
        <w:ind w:left="4944" w:hanging="1584"/>
      </w:pPr>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xNTBhOGQ0MDRmMTNjNDZjNWVhMmYzN2ExZGQ3ODYifQ=="/>
  </w:docVars>
  <w:rsids>
    <w:rsidRoot w:val="00A14947"/>
    <w:rsid w:val="000060B3"/>
    <w:rsid w:val="0004364B"/>
    <w:rsid w:val="00061B1F"/>
    <w:rsid w:val="00063340"/>
    <w:rsid w:val="000733C4"/>
    <w:rsid w:val="00074783"/>
    <w:rsid w:val="0008070B"/>
    <w:rsid w:val="000810AC"/>
    <w:rsid w:val="00081A02"/>
    <w:rsid w:val="00082231"/>
    <w:rsid w:val="00092D38"/>
    <w:rsid w:val="0009377B"/>
    <w:rsid w:val="000A20C9"/>
    <w:rsid w:val="000B058F"/>
    <w:rsid w:val="000B4467"/>
    <w:rsid w:val="000B4DB9"/>
    <w:rsid w:val="000C09AC"/>
    <w:rsid w:val="000C1FF9"/>
    <w:rsid w:val="000C767F"/>
    <w:rsid w:val="000D5A44"/>
    <w:rsid w:val="000E3ED2"/>
    <w:rsid w:val="00131F42"/>
    <w:rsid w:val="001357F1"/>
    <w:rsid w:val="00140FA8"/>
    <w:rsid w:val="00142FEB"/>
    <w:rsid w:val="00143A2D"/>
    <w:rsid w:val="00145A41"/>
    <w:rsid w:val="00151675"/>
    <w:rsid w:val="00157435"/>
    <w:rsid w:val="0017504D"/>
    <w:rsid w:val="0017671A"/>
    <w:rsid w:val="00177422"/>
    <w:rsid w:val="0018100F"/>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301978"/>
    <w:rsid w:val="0030332C"/>
    <w:rsid w:val="003051C2"/>
    <w:rsid w:val="00312296"/>
    <w:rsid w:val="00314F0E"/>
    <w:rsid w:val="00321D8E"/>
    <w:rsid w:val="00325928"/>
    <w:rsid w:val="00332863"/>
    <w:rsid w:val="003357D8"/>
    <w:rsid w:val="0033684D"/>
    <w:rsid w:val="00337B42"/>
    <w:rsid w:val="00341B42"/>
    <w:rsid w:val="0034348F"/>
    <w:rsid w:val="003550AC"/>
    <w:rsid w:val="00356653"/>
    <w:rsid w:val="0035743F"/>
    <w:rsid w:val="00357BE2"/>
    <w:rsid w:val="0036170C"/>
    <w:rsid w:val="00366E0F"/>
    <w:rsid w:val="00381A72"/>
    <w:rsid w:val="00384676"/>
    <w:rsid w:val="00390857"/>
    <w:rsid w:val="003A4BF3"/>
    <w:rsid w:val="003B420D"/>
    <w:rsid w:val="003C6C16"/>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84B9B"/>
    <w:rsid w:val="004855F6"/>
    <w:rsid w:val="0048661E"/>
    <w:rsid w:val="00494670"/>
    <w:rsid w:val="004A3823"/>
    <w:rsid w:val="004E616D"/>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32922"/>
    <w:rsid w:val="007402CA"/>
    <w:rsid w:val="0075162E"/>
    <w:rsid w:val="00754034"/>
    <w:rsid w:val="00755623"/>
    <w:rsid w:val="00756556"/>
    <w:rsid w:val="007618C4"/>
    <w:rsid w:val="00767980"/>
    <w:rsid w:val="00770B19"/>
    <w:rsid w:val="00773916"/>
    <w:rsid w:val="0077463F"/>
    <w:rsid w:val="00782F3A"/>
    <w:rsid w:val="007836EA"/>
    <w:rsid w:val="00784CDA"/>
    <w:rsid w:val="007906C4"/>
    <w:rsid w:val="007940EA"/>
    <w:rsid w:val="007967E8"/>
    <w:rsid w:val="007A2170"/>
    <w:rsid w:val="007A22BF"/>
    <w:rsid w:val="007A3323"/>
    <w:rsid w:val="007B72B8"/>
    <w:rsid w:val="007B7A58"/>
    <w:rsid w:val="007C21B5"/>
    <w:rsid w:val="007E4BD2"/>
    <w:rsid w:val="00801393"/>
    <w:rsid w:val="00802F88"/>
    <w:rsid w:val="0081293E"/>
    <w:rsid w:val="00815465"/>
    <w:rsid w:val="00817E9A"/>
    <w:rsid w:val="0083050D"/>
    <w:rsid w:val="008306BD"/>
    <w:rsid w:val="00831A80"/>
    <w:rsid w:val="00833743"/>
    <w:rsid w:val="008340A4"/>
    <w:rsid w:val="0087135F"/>
    <w:rsid w:val="0087167F"/>
    <w:rsid w:val="00872D94"/>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4154D"/>
    <w:rsid w:val="0095155F"/>
    <w:rsid w:val="00954429"/>
    <w:rsid w:val="009563CE"/>
    <w:rsid w:val="00963E68"/>
    <w:rsid w:val="00976328"/>
    <w:rsid w:val="0097680D"/>
    <w:rsid w:val="00982438"/>
    <w:rsid w:val="0098404C"/>
    <w:rsid w:val="00985283"/>
    <w:rsid w:val="00995992"/>
    <w:rsid w:val="009A03E5"/>
    <w:rsid w:val="009A0F3B"/>
    <w:rsid w:val="009A1BB4"/>
    <w:rsid w:val="009A2628"/>
    <w:rsid w:val="009A3200"/>
    <w:rsid w:val="009B0897"/>
    <w:rsid w:val="009B36E9"/>
    <w:rsid w:val="009B7BD9"/>
    <w:rsid w:val="009C7DD5"/>
    <w:rsid w:val="009E227D"/>
    <w:rsid w:val="009E5019"/>
    <w:rsid w:val="00A04F1B"/>
    <w:rsid w:val="00A0501B"/>
    <w:rsid w:val="00A14947"/>
    <w:rsid w:val="00A32A83"/>
    <w:rsid w:val="00A368DB"/>
    <w:rsid w:val="00A423AA"/>
    <w:rsid w:val="00A53EC6"/>
    <w:rsid w:val="00A55C0F"/>
    <w:rsid w:val="00A67D58"/>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C489B"/>
    <w:rsid w:val="00CC664D"/>
    <w:rsid w:val="00CD2BCD"/>
    <w:rsid w:val="00CD3A4C"/>
    <w:rsid w:val="00CE10E9"/>
    <w:rsid w:val="00CE2910"/>
    <w:rsid w:val="00CE5393"/>
    <w:rsid w:val="00CF36BE"/>
    <w:rsid w:val="00CF6000"/>
    <w:rsid w:val="00D003F3"/>
    <w:rsid w:val="00D0364F"/>
    <w:rsid w:val="00D06834"/>
    <w:rsid w:val="00D308ED"/>
    <w:rsid w:val="00D36D86"/>
    <w:rsid w:val="00D428AA"/>
    <w:rsid w:val="00D50A34"/>
    <w:rsid w:val="00D53EFA"/>
    <w:rsid w:val="00D743B5"/>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656A"/>
    <w:rsid w:val="00E412D0"/>
    <w:rsid w:val="00E56322"/>
    <w:rsid w:val="00E60982"/>
    <w:rsid w:val="00E62C62"/>
    <w:rsid w:val="00E654C1"/>
    <w:rsid w:val="00E65D97"/>
    <w:rsid w:val="00E72A5A"/>
    <w:rsid w:val="00E73354"/>
    <w:rsid w:val="00E817F6"/>
    <w:rsid w:val="00E9242D"/>
    <w:rsid w:val="00EB1C0E"/>
    <w:rsid w:val="00EB5255"/>
    <w:rsid w:val="00EB5C47"/>
    <w:rsid w:val="00ED0639"/>
    <w:rsid w:val="00ED425A"/>
    <w:rsid w:val="00EF4755"/>
    <w:rsid w:val="00EF7135"/>
    <w:rsid w:val="00F027DB"/>
    <w:rsid w:val="00F14A7A"/>
    <w:rsid w:val="00F22985"/>
    <w:rsid w:val="00F3383E"/>
    <w:rsid w:val="00F465A7"/>
    <w:rsid w:val="00F50B7C"/>
    <w:rsid w:val="00F550E6"/>
    <w:rsid w:val="00F74345"/>
    <w:rsid w:val="00F80A0A"/>
    <w:rsid w:val="00F82B19"/>
    <w:rsid w:val="00F9212D"/>
    <w:rsid w:val="00F965DA"/>
    <w:rsid w:val="00FA406A"/>
    <w:rsid w:val="00FB503A"/>
    <w:rsid w:val="00FB516C"/>
    <w:rsid w:val="00FD0236"/>
    <w:rsid w:val="00FD18F4"/>
    <w:rsid w:val="00FD54DB"/>
    <w:rsid w:val="00FD619F"/>
    <w:rsid w:val="010569BB"/>
    <w:rsid w:val="010613AE"/>
    <w:rsid w:val="01094653"/>
    <w:rsid w:val="01255120"/>
    <w:rsid w:val="01290C26"/>
    <w:rsid w:val="01290F7E"/>
    <w:rsid w:val="015514B2"/>
    <w:rsid w:val="015D1E09"/>
    <w:rsid w:val="01636D07"/>
    <w:rsid w:val="01822573"/>
    <w:rsid w:val="019860E9"/>
    <w:rsid w:val="01A7022B"/>
    <w:rsid w:val="01A95AA3"/>
    <w:rsid w:val="01D136A9"/>
    <w:rsid w:val="023E5043"/>
    <w:rsid w:val="02446DD2"/>
    <w:rsid w:val="02663C42"/>
    <w:rsid w:val="02671BD1"/>
    <w:rsid w:val="02697903"/>
    <w:rsid w:val="028D5DB7"/>
    <w:rsid w:val="02920B5A"/>
    <w:rsid w:val="0295277A"/>
    <w:rsid w:val="02BF77F6"/>
    <w:rsid w:val="02CD2C4F"/>
    <w:rsid w:val="02DA30E7"/>
    <w:rsid w:val="02F96569"/>
    <w:rsid w:val="0306581E"/>
    <w:rsid w:val="03261624"/>
    <w:rsid w:val="03550A7E"/>
    <w:rsid w:val="03800D34"/>
    <w:rsid w:val="0397607D"/>
    <w:rsid w:val="03A367D0"/>
    <w:rsid w:val="03AA7192"/>
    <w:rsid w:val="03BC5198"/>
    <w:rsid w:val="03E219EE"/>
    <w:rsid w:val="03E811F5"/>
    <w:rsid w:val="03EA7B21"/>
    <w:rsid w:val="03F77F39"/>
    <w:rsid w:val="04070238"/>
    <w:rsid w:val="040F3E66"/>
    <w:rsid w:val="04115E30"/>
    <w:rsid w:val="043919FD"/>
    <w:rsid w:val="043C4055"/>
    <w:rsid w:val="04587485"/>
    <w:rsid w:val="047A5783"/>
    <w:rsid w:val="048F18DC"/>
    <w:rsid w:val="04AB6BDD"/>
    <w:rsid w:val="04B700E5"/>
    <w:rsid w:val="04B844FD"/>
    <w:rsid w:val="04BC223F"/>
    <w:rsid w:val="04BF57BC"/>
    <w:rsid w:val="04C028D5"/>
    <w:rsid w:val="04CC57D8"/>
    <w:rsid w:val="04DF1A8A"/>
    <w:rsid w:val="04DF7CDC"/>
    <w:rsid w:val="04FB1BE1"/>
    <w:rsid w:val="0517487A"/>
    <w:rsid w:val="051A0D14"/>
    <w:rsid w:val="052469E0"/>
    <w:rsid w:val="053C79FF"/>
    <w:rsid w:val="053E0EA6"/>
    <w:rsid w:val="053E7845"/>
    <w:rsid w:val="056337F9"/>
    <w:rsid w:val="05895F0D"/>
    <w:rsid w:val="058F45E8"/>
    <w:rsid w:val="05A71182"/>
    <w:rsid w:val="05B339D9"/>
    <w:rsid w:val="05B64EE1"/>
    <w:rsid w:val="05C10C2D"/>
    <w:rsid w:val="05CF1AFF"/>
    <w:rsid w:val="05F83EAE"/>
    <w:rsid w:val="06135E8F"/>
    <w:rsid w:val="063D4CBA"/>
    <w:rsid w:val="063E7D85"/>
    <w:rsid w:val="06445916"/>
    <w:rsid w:val="064A387B"/>
    <w:rsid w:val="0664493D"/>
    <w:rsid w:val="06852909"/>
    <w:rsid w:val="069778EF"/>
    <w:rsid w:val="06A13DFD"/>
    <w:rsid w:val="06D21D6E"/>
    <w:rsid w:val="07061F74"/>
    <w:rsid w:val="070E6657"/>
    <w:rsid w:val="07293586"/>
    <w:rsid w:val="07295285"/>
    <w:rsid w:val="07391F00"/>
    <w:rsid w:val="07487DBA"/>
    <w:rsid w:val="07636392"/>
    <w:rsid w:val="07762B7A"/>
    <w:rsid w:val="07770C56"/>
    <w:rsid w:val="077C69D1"/>
    <w:rsid w:val="07A86AAB"/>
    <w:rsid w:val="07F13FAE"/>
    <w:rsid w:val="083245C7"/>
    <w:rsid w:val="083B16CD"/>
    <w:rsid w:val="08585CEB"/>
    <w:rsid w:val="087E0BBD"/>
    <w:rsid w:val="0891490D"/>
    <w:rsid w:val="08975873"/>
    <w:rsid w:val="089F7953"/>
    <w:rsid w:val="08A41020"/>
    <w:rsid w:val="08A65B8C"/>
    <w:rsid w:val="08B22867"/>
    <w:rsid w:val="08C44FA5"/>
    <w:rsid w:val="091A7535"/>
    <w:rsid w:val="091F73DA"/>
    <w:rsid w:val="092217DD"/>
    <w:rsid w:val="09225932"/>
    <w:rsid w:val="092A6EDD"/>
    <w:rsid w:val="093223D0"/>
    <w:rsid w:val="09323212"/>
    <w:rsid w:val="093876D2"/>
    <w:rsid w:val="093A7294"/>
    <w:rsid w:val="095962AF"/>
    <w:rsid w:val="095A5B83"/>
    <w:rsid w:val="097F1E8C"/>
    <w:rsid w:val="099C619C"/>
    <w:rsid w:val="09A60DC8"/>
    <w:rsid w:val="09B72FD5"/>
    <w:rsid w:val="09C946BD"/>
    <w:rsid w:val="09E0252C"/>
    <w:rsid w:val="0A1931C5"/>
    <w:rsid w:val="0A263993"/>
    <w:rsid w:val="0A2C17A5"/>
    <w:rsid w:val="0A2D3AC2"/>
    <w:rsid w:val="0A726EFC"/>
    <w:rsid w:val="0A735F3E"/>
    <w:rsid w:val="0AA16D63"/>
    <w:rsid w:val="0AA755DF"/>
    <w:rsid w:val="0AB17A25"/>
    <w:rsid w:val="0AE53626"/>
    <w:rsid w:val="0AFD0EBC"/>
    <w:rsid w:val="0B120D44"/>
    <w:rsid w:val="0B297F03"/>
    <w:rsid w:val="0B2A12DF"/>
    <w:rsid w:val="0B6131F9"/>
    <w:rsid w:val="0B6D686E"/>
    <w:rsid w:val="0B8D66E4"/>
    <w:rsid w:val="0BD27BF6"/>
    <w:rsid w:val="0BE34556"/>
    <w:rsid w:val="0BEC2BDA"/>
    <w:rsid w:val="0BF4406D"/>
    <w:rsid w:val="0C12796D"/>
    <w:rsid w:val="0C1E7BF8"/>
    <w:rsid w:val="0C332F42"/>
    <w:rsid w:val="0C3A5C6D"/>
    <w:rsid w:val="0C3B3C7D"/>
    <w:rsid w:val="0C3E353A"/>
    <w:rsid w:val="0C5615D1"/>
    <w:rsid w:val="0C6D108C"/>
    <w:rsid w:val="0C7956F4"/>
    <w:rsid w:val="0C796C68"/>
    <w:rsid w:val="0C8C0749"/>
    <w:rsid w:val="0CA710DF"/>
    <w:rsid w:val="0CAB2EAE"/>
    <w:rsid w:val="0CC55DDF"/>
    <w:rsid w:val="0CC7352F"/>
    <w:rsid w:val="0CD455FA"/>
    <w:rsid w:val="0CEF2A86"/>
    <w:rsid w:val="0CF167FE"/>
    <w:rsid w:val="0CF307C8"/>
    <w:rsid w:val="0CF84031"/>
    <w:rsid w:val="0D0C188A"/>
    <w:rsid w:val="0D3D7C96"/>
    <w:rsid w:val="0D442DD2"/>
    <w:rsid w:val="0D621C7D"/>
    <w:rsid w:val="0D6C6250"/>
    <w:rsid w:val="0D7A11E1"/>
    <w:rsid w:val="0D9A6FA7"/>
    <w:rsid w:val="0D9C49BC"/>
    <w:rsid w:val="0D9D0734"/>
    <w:rsid w:val="0D9D24E2"/>
    <w:rsid w:val="0DBD4932"/>
    <w:rsid w:val="0DC42165"/>
    <w:rsid w:val="0DD35576"/>
    <w:rsid w:val="0DD71C3F"/>
    <w:rsid w:val="0DDE2E9E"/>
    <w:rsid w:val="0DE86B8F"/>
    <w:rsid w:val="0DF35375"/>
    <w:rsid w:val="0DF82C6A"/>
    <w:rsid w:val="0E344BF5"/>
    <w:rsid w:val="0E3F3599"/>
    <w:rsid w:val="0E4E1931"/>
    <w:rsid w:val="0E63372C"/>
    <w:rsid w:val="0E660607"/>
    <w:rsid w:val="0E73034D"/>
    <w:rsid w:val="0E7B2ECC"/>
    <w:rsid w:val="0E87566C"/>
    <w:rsid w:val="0EAB2129"/>
    <w:rsid w:val="0EB21FBD"/>
    <w:rsid w:val="0EB75826"/>
    <w:rsid w:val="0EC87A33"/>
    <w:rsid w:val="0ED4462A"/>
    <w:rsid w:val="0EE626FA"/>
    <w:rsid w:val="0EE7238E"/>
    <w:rsid w:val="0F0A1DF9"/>
    <w:rsid w:val="0F0E3698"/>
    <w:rsid w:val="0F13775A"/>
    <w:rsid w:val="0F2403D1"/>
    <w:rsid w:val="0F344E27"/>
    <w:rsid w:val="0F5341AC"/>
    <w:rsid w:val="0F5F45FE"/>
    <w:rsid w:val="0F6239E3"/>
    <w:rsid w:val="0F6E2388"/>
    <w:rsid w:val="0F6F7CEE"/>
    <w:rsid w:val="0F707EAE"/>
    <w:rsid w:val="0F7554C5"/>
    <w:rsid w:val="0F7A0F22"/>
    <w:rsid w:val="0F7F6343"/>
    <w:rsid w:val="0F8359E9"/>
    <w:rsid w:val="0F837278"/>
    <w:rsid w:val="0F946D68"/>
    <w:rsid w:val="0F955E06"/>
    <w:rsid w:val="0F9A112B"/>
    <w:rsid w:val="0FB51D65"/>
    <w:rsid w:val="0FCC2AAA"/>
    <w:rsid w:val="0FCF7BC5"/>
    <w:rsid w:val="0FD0094D"/>
    <w:rsid w:val="0FE4089C"/>
    <w:rsid w:val="10005D5C"/>
    <w:rsid w:val="100E1475"/>
    <w:rsid w:val="104135F9"/>
    <w:rsid w:val="10684CE2"/>
    <w:rsid w:val="106D2F64"/>
    <w:rsid w:val="10771710"/>
    <w:rsid w:val="107C6D27"/>
    <w:rsid w:val="10A30526"/>
    <w:rsid w:val="10A51DDA"/>
    <w:rsid w:val="10B63710"/>
    <w:rsid w:val="10DC56FA"/>
    <w:rsid w:val="10F10820"/>
    <w:rsid w:val="10FC4772"/>
    <w:rsid w:val="111C2F7A"/>
    <w:rsid w:val="11252F1A"/>
    <w:rsid w:val="11356CD5"/>
    <w:rsid w:val="11515ABE"/>
    <w:rsid w:val="11665CA1"/>
    <w:rsid w:val="117055D1"/>
    <w:rsid w:val="11750ABD"/>
    <w:rsid w:val="11885AEC"/>
    <w:rsid w:val="118B5473"/>
    <w:rsid w:val="118C0983"/>
    <w:rsid w:val="1190336D"/>
    <w:rsid w:val="119500A0"/>
    <w:rsid w:val="119D412E"/>
    <w:rsid w:val="11DE546D"/>
    <w:rsid w:val="11DF5B87"/>
    <w:rsid w:val="11EB607C"/>
    <w:rsid w:val="12131C8E"/>
    <w:rsid w:val="1216361C"/>
    <w:rsid w:val="12192A7F"/>
    <w:rsid w:val="123553DF"/>
    <w:rsid w:val="125437F5"/>
    <w:rsid w:val="125A6BF4"/>
    <w:rsid w:val="125C50FB"/>
    <w:rsid w:val="126922A8"/>
    <w:rsid w:val="127A7296"/>
    <w:rsid w:val="128B4FAF"/>
    <w:rsid w:val="12950A7E"/>
    <w:rsid w:val="12B44007"/>
    <w:rsid w:val="12B80FCE"/>
    <w:rsid w:val="12DC7A15"/>
    <w:rsid w:val="12DE784D"/>
    <w:rsid w:val="13042D1A"/>
    <w:rsid w:val="130C4392"/>
    <w:rsid w:val="130C4642"/>
    <w:rsid w:val="13217712"/>
    <w:rsid w:val="13246FD7"/>
    <w:rsid w:val="13467824"/>
    <w:rsid w:val="13794251"/>
    <w:rsid w:val="137D5290"/>
    <w:rsid w:val="13951726"/>
    <w:rsid w:val="139B3968"/>
    <w:rsid w:val="139F7F2B"/>
    <w:rsid w:val="13B07DFB"/>
    <w:rsid w:val="13B62550"/>
    <w:rsid w:val="13BB1914"/>
    <w:rsid w:val="13BB6320"/>
    <w:rsid w:val="13BD38DE"/>
    <w:rsid w:val="13C277AD"/>
    <w:rsid w:val="13E939FC"/>
    <w:rsid w:val="13ED5118"/>
    <w:rsid w:val="13F56BD4"/>
    <w:rsid w:val="13F641B2"/>
    <w:rsid w:val="14091C4C"/>
    <w:rsid w:val="141C7E60"/>
    <w:rsid w:val="141F36D1"/>
    <w:rsid w:val="14396509"/>
    <w:rsid w:val="143C0CA7"/>
    <w:rsid w:val="143C409A"/>
    <w:rsid w:val="14551D69"/>
    <w:rsid w:val="14787805"/>
    <w:rsid w:val="148443FC"/>
    <w:rsid w:val="14877FF9"/>
    <w:rsid w:val="148D648C"/>
    <w:rsid w:val="149504BA"/>
    <w:rsid w:val="14CC1CBB"/>
    <w:rsid w:val="14D26F15"/>
    <w:rsid w:val="14DD2C3C"/>
    <w:rsid w:val="14DE53F9"/>
    <w:rsid w:val="14DF145A"/>
    <w:rsid w:val="14EF3F6B"/>
    <w:rsid w:val="14F016F6"/>
    <w:rsid w:val="153B0F5F"/>
    <w:rsid w:val="154305BC"/>
    <w:rsid w:val="15612611"/>
    <w:rsid w:val="15AE34DE"/>
    <w:rsid w:val="15C56A7A"/>
    <w:rsid w:val="15E769F0"/>
    <w:rsid w:val="15F03EF5"/>
    <w:rsid w:val="15F50D1A"/>
    <w:rsid w:val="15F65F77"/>
    <w:rsid w:val="16087E1D"/>
    <w:rsid w:val="160E0421"/>
    <w:rsid w:val="161C0D90"/>
    <w:rsid w:val="16280BC9"/>
    <w:rsid w:val="1638114C"/>
    <w:rsid w:val="16731DD4"/>
    <w:rsid w:val="16742266"/>
    <w:rsid w:val="16772F40"/>
    <w:rsid w:val="168441F2"/>
    <w:rsid w:val="169054FB"/>
    <w:rsid w:val="169E73EA"/>
    <w:rsid w:val="16C531D6"/>
    <w:rsid w:val="16FD761E"/>
    <w:rsid w:val="16FE3FF2"/>
    <w:rsid w:val="17046984"/>
    <w:rsid w:val="1706617A"/>
    <w:rsid w:val="172F68A1"/>
    <w:rsid w:val="17361246"/>
    <w:rsid w:val="17451C21"/>
    <w:rsid w:val="17530646"/>
    <w:rsid w:val="176015D1"/>
    <w:rsid w:val="17701D14"/>
    <w:rsid w:val="17735226"/>
    <w:rsid w:val="17914727"/>
    <w:rsid w:val="179356B0"/>
    <w:rsid w:val="17AF0923"/>
    <w:rsid w:val="17BE7C25"/>
    <w:rsid w:val="17E063AA"/>
    <w:rsid w:val="17EE050A"/>
    <w:rsid w:val="180513B0"/>
    <w:rsid w:val="18115979"/>
    <w:rsid w:val="18626802"/>
    <w:rsid w:val="18736C61"/>
    <w:rsid w:val="188E09E6"/>
    <w:rsid w:val="189F624C"/>
    <w:rsid w:val="18B613D9"/>
    <w:rsid w:val="18CE3A45"/>
    <w:rsid w:val="18DA45EA"/>
    <w:rsid w:val="19116E77"/>
    <w:rsid w:val="193E7F56"/>
    <w:rsid w:val="19443165"/>
    <w:rsid w:val="19570331"/>
    <w:rsid w:val="19617762"/>
    <w:rsid w:val="196D1903"/>
    <w:rsid w:val="199B3EA9"/>
    <w:rsid w:val="199C02DC"/>
    <w:rsid w:val="19C01A32"/>
    <w:rsid w:val="19C72ED7"/>
    <w:rsid w:val="19DC7860"/>
    <w:rsid w:val="1A1C66C0"/>
    <w:rsid w:val="1A1F5E07"/>
    <w:rsid w:val="1A383DEA"/>
    <w:rsid w:val="1A42393B"/>
    <w:rsid w:val="1A7620CB"/>
    <w:rsid w:val="1AA13AFA"/>
    <w:rsid w:val="1AAD45DE"/>
    <w:rsid w:val="1AC45552"/>
    <w:rsid w:val="1AC92A69"/>
    <w:rsid w:val="1AD301C7"/>
    <w:rsid w:val="1AD35795"/>
    <w:rsid w:val="1AFA3167"/>
    <w:rsid w:val="1AFF47DC"/>
    <w:rsid w:val="1B046F80"/>
    <w:rsid w:val="1B06316F"/>
    <w:rsid w:val="1B071A62"/>
    <w:rsid w:val="1B0E2C71"/>
    <w:rsid w:val="1B3267B5"/>
    <w:rsid w:val="1B373F76"/>
    <w:rsid w:val="1B40161D"/>
    <w:rsid w:val="1B441859"/>
    <w:rsid w:val="1B53648A"/>
    <w:rsid w:val="1B544B28"/>
    <w:rsid w:val="1B5F3824"/>
    <w:rsid w:val="1B6606B1"/>
    <w:rsid w:val="1B8151F1"/>
    <w:rsid w:val="1B950F86"/>
    <w:rsid w:val="1BD619E1"/>
    <w:rsid w:val="1BF34341"/>
    <w:rsid w:val="1BF9747E"/>
    <w:rsid w:val="1BFA408B"/>
    <w:rsid w:val="1C1F1057"/>
    <w:rsid w:val="1C2C33AF"/>
    <w:rsid w:val="1C356329"/>
    <w:rsid w:val="1C5E7925"/>
    <w:rsid w:val="1C6C5EA1"/>
    <w:rsid w:val="1CCB49AB"/>
    <w:rsid w:val="1CFD070F"/>
    <w:rsid w:val="1D063C00"/>
    <w:rsid w:val="1D2052C1"/>
    <w:rsid w:val="1D2F75FB"/>
    <w:rsid w:val="1D437108"/>
    <w:rsid w:val="1D5C3464"/>
    <w:rsid w:val="1D5F6196"/>
    <w:rsid w:val="1D6132A5"/>
    <w:rsid w:val="1D734ADD"/>
    <w:rsid w:val="1D7E30FD"/>
    <w:rsid w:val="1D8334A3"/>
    <w:rsid w:val="1D840FC9"/>
    <w:rsid w:val="1D8E56D5"/>
    <w:rsid w:val="1D951428"/>
    <w:rsid w:val="1DC92705"/>
    <w:rsid w:val="1DC93146"/>
    <w:rsid w:val="1DD91315"/>
    <w:rsid w:val="1DF4614E"/>
    <w:rsid w:val="1E325779"/>
    <w:rsid w:val="1E4569AA"/>
    <w:rsid w:val="1E522E75"/>
    <w:rsid w:val="1E5239AE"/>
    <w:rsid w:val="1E5B7F7C"/>
    <w:rsid w:val="1E5C28CF"/>
    <w:rsid w:val="1E6C2189"/>
    <w:rsid w:val="1E7A43DA"/>
    <w:rsid w:val="1E945C91"/>
    <w:rsid w:val="1ED95739"/>
    <w:rsid w:val="1EEA12FF"/>
    <w:rsid w:val="1F070103"/>
    <w:rsid w:val="1F1D16D5"/>
    <w:rsid w:val="1F281DCF"/>
    <w:rsid w:val="1F3F164B"/>
    <w:rsid w:val="1F78690B"/>
    <w:rsid w:val="1F7C1F1B"/>
    <w:rsid w:val="1F7C647C"/>
    <w:rsid w:val="1F833E1D"/>
    <w:rsid w:val="1F841754"/>
    <w:rsid w:val="1F9A0F77"/>
    <w:rsid w:val="1FB64B0E"/>
    <w:rsid w:val="1FB72576"/>
    <w:rsid w:val="1FBB33C8"/>
    <w:rsid w:val="1FD53463"/>
    <w:rsid w:val="1FE7539E"/>
    <w:rsid w:val="1FE83A91"/>
    <w:rsid w:val="1FEC17CF"/>
    <w:rsid w:val="20146634"/>
    <w:rsid w:val="20671BE0"/>
    <w:rsid w:val="20823EE5"/>
    <w:rsid w:val="208D63E6"/>
    <w:rsid w:val="20963CB8"/>
    <w:rsid w:val="20A13AD8"/>
    <w:rsid w:val="20A15D31"/>
    <w:rsid w:val="20A35C0A"/>
    <w:rsid w:val="20A81A1B"/>
    <w:rsid w:val="20B07FB6"/>
    <w:rsid w:val="20B646FB"/>
    <w:rsid w:val="20E64474"/>
    <w:rsid w:val="20F6042F"/>
    <w:rsid w:val="210C37AF"/>
    <w:rsid w:val="21134B3E"/>
    <w:rsid w:val="211855A1"/>
    <w:rsid w:val="21325C72"/>
    <w:rsid w:val="213B74B1"/>
    <w:rsid w:val="213C4961"/>
    <w:rsid w:val="21486EDD"/>
    <w:rsid w:val="215A2310"/>
    <w:rsid w:val="2160284E"/>
    <w:rsid w:val="216C7A31"/>
    <w:rsid w:val="218D48F0"/>
    <w:rsid w:val="219914E7"/>
    <w:rsid w:val="21A244F3"/>
    <w:rsid w:val="21B80C1E"/>
    <w:rsid w:val="21DE318A"/>
    <w:rsid w:val="21EF5B80"/>
    <w:rsid w:val="22224AD9"/>
    <w:rsid w:val="2230342E"/>
    <w:rsid w:val="22313234"/>
    <w:rsid w:val="224240E4"/>
    <w:rsid w:val="224D11D6"/>
    <w:rsid w:val="22562288"/>
    <w:rsid w:val="22576990"/>
    <w:rsid w:val="22592A24"/>
    <w:rsid w:val="22603FEC"/>
    <w:rsid w:val="226C5BEF"/>
    <w:rsid w:val="226D5959"/>
    <w:rsid w:val="22A939AB"/>
    <w:rsid w:val="22DA60FF"/>
    <w:rsid w:val="22DF56C1"/>
    <w:rsid w:val="22E70030"/>
    <w:rsid w:val="22F47480"/>
    <w:rsid w:val="230D7BEE"/>
    <w:rsid w:val="231921B3"/>
    <w:rsid w:val="233A1319"/>
    <w:rsid w:val="235976EC"/>
    <w:rsid w:val="2379286D"/>
    <w:rsid w:val="23902475"/>
    <w:rsid w:val="239302FA"/>
    <w:rsid w:val="23BF7609"/>
    <w:rsid w:val="23C70504"/>
    <w:rsid w:val="23D4764B"/>
    <w:rsid w:val="23DE1C48"/>
    <w:rsid w:val="23F06802"/>
    <w:rsid w:val="23FC7B0B"/>
    <w:rsid w:val="240210CD"/>
    <w:rsid w:val="240F5A90"/>
    <w:rsid w:val="2413315A"/>
    <w:rsid w:val="241A61E3"/>
    <w:rsid w:val="244D65B8"/>
    <w:rsid w:val="2450311A"/>
    <w:rsid w:val="24517A0D"/>
    <w:rsid w:val="24526729"/>
    <w:rsid w:val="246F4781"/>
    <w:rsid w:val="24795D6D"/>
    <w:rsid w:val="249661B1"/>
    <w:rsid w:val="24AC1323"/>
    <w:rsid w:val="24AF7273"/>
    <w:rsid w:val="24BB1774"/>
    <w:rsid w:val="24BF09F7"/>
    <w:rsid w:val="24C04FDC"/>
    <w:rsid w:val="24D11A91"/>
    <w:rsid w:val="25102EC3"/>
    <w:rsid w:val="251A6B46"/>
    <w:rsid w:val="252D53FE"/>
    <w:rsid w:val="25317C88"/>
    <w:rsid w:val="25565941"/>
    <w:rsid w:val="25721BFE"/>
    <w:rsid w:val="258A547D"/>
    <w:rsid w:val="258B383C"/>
    <w:rsid w:val="25965D3D"/>
    <w:rsid w:val="25A450EF"/>
    <w:rsid w:val="25A8590A"/>
    <w:rsid w:val="25DA3E7C"/>
    <w:rsid w:val="25E01565"/>
    <w:rsid w:val="25E44CFA"/>
    <w:rsid w:val="25E76599"/>
    <w:rsid w:val="25EC2D81"/>
    <w:rsid w:val="25F72C80"/>
    <w:rsid w:val="2604714B"/>
    <w:rsid w:val="261467A0"/>
    <w:rsid w:val="26303E31"/>
    <w:rsid w:val="26360F68"/>
    <w:rsid w:val="26393298"/>
    <w:rsid w:val="264659B5"/>
    <w:rsid w:val="264C30D3"/>
    <w:rsid w:val="265B7951"/>
    <w:rsid w:val="26600825"/>
    <w:rsid w:val="2667722A"/>
    <w:rsid w:val="2668592C"/>
    <w:rsid w:val="2677792E"/>
    <w:rsid w:val="26817DE2"/>
    <w:rsid w:val="268B0052"/>
    <w:rsid w:val="2691754F"/>
    <w:rsid w:val="26A329C6"/>
    <w:rsid w:val="26CA2142"/>
    <w:rsid w:val="26D905D7"/>
    <w:rsid w:val="273B094A"/>
    <w:rsid w:val="273C0DAD"/>
    <w:rsid w:val="274176DD"/>
    <w:rsid w:val="274912B9"/>
    <w:rsid w:val="27615DC2"/>
    <w:rsid w:val="27644345"/>
    <w:rsid w:val="277057A2"/>
    <w:rsid w:val="27706BF2"/>
    <w:rsid w:val="278060D3"/>
    <w:rsid w:val="27847288"/>
    <w:rsid w:val="27C070A1"/>
    <w:rsid w:val="27F76F67"/>
    <w:rsid w:val="281149BF"/>
    <w:rsid w:val="28472493"/>
    <w:rsid w:val="285A12A4"/>
    <w:rsid w:val="287265EE"/>
    <w:rsid w:val="287C746C"/>
    <w:rsid w:val="287F5F8E"/>
    <w:rsid w:val="28A36AFF"/>
    <w:rsid w:val="28A45311"/>
    <w:rsid w:val="28D70B46"/>
    <w:rsid w:val="28DE3C83"/>
    <w:rsid w:val="290A5904"/>
    <w:rsid w:val="290F02E0"/>
    <w:rsid w:val="29206EB8"/>
    <w:rsid w:val="29233D8C"/>
    <w:rsid w:val="29345F99"/>
    <w:rsid w:val="2939541D"/>
    <w:rsid w:val="294E3480"/>
    <w:rsid w:val="294E6008"/>
    <w:rsid w:val="295108F9"/>
    <w:rsid w:val="29595666"/>
    <w:rsid w:val="2968164F"/>
    <w:rsid w:val="296C5733"/>
    <w:rsid w:val="29874881"/>
    <w:rsid w:val="299747E3"/>
    <w:rsid w:val="29AD620E"/>
    <w:rsid w:val="29C87580"/>
    <w:rsid w:val="29E325E0"/>
    <w:rsid w:val="29ED6C5C"/>
    <w:rsid w:val="2A0B48B8"/>
    <w:rsid w:val="2A2953D2"/>
    <w:rsid w:val="2A2D23CB"/>
    <w:rsid w:val="2A353D77"/>
    <w:rsid w:val="2A44045E"/>
    <w:rsid w:val="2A452503"/>
    <w:rsid w:val="2A554575"/>
    <w:rsid w:val="2A56543D"/>
    <w:rsid w:val="2A68414C"/>
    <w:rsid w:val="2A7C7BF7"/>
    <w:rsid w:val="2A8A6E5F"/>
    <w:rsid w:val="2A9C22E7"/>
    <w:rsid w:val="2A9E13F0"/>
    <w:rsid w:val="2AA11403"/>
    <w:rsid w:val="2AEB7200"/>
    <w:rsid w:val="2B14398C"/>
    <w:rsid w:val="2B166589"/>
    <w:rsid w:val="2B5E72FD"/>
    <w:rsid w:val="2B6568DD"/>
    <w:rsid w:val="2B773770"/>
    <w:rsid w:val="2B824FF2"/>
    <w:rsid w:val="2BA936A8"/>
    <w:rsid w:val="2BC27F72"/>
    <w:rsid w:val="2BCE6F93"/>
    <w:rsid w:val="2BDF21EC"/>
    <w:rsid w:val="2BED788C"/>
    <w:rsid w:val="2BEE242F"/>
    <w:rsid w:val="2BF47386"/>
    <w:rsid w:val="2BFB4B4C"/>
    <w:rsid w:val="2BFD08C4"/>
    <w:rsid w:val="2C041C52"/>
    <w:rsid w:val="2C112457"/>
    <w:rsid w:val="2C136339"/>
    <w:rsid w:val="2C315A5A"/>
    <w:rsid w:val="2C475FE3"/>
    <w:rsid w:val="2C4B1C25"/>
    <w:rsid w:val="2C5428A4"/>
    <w:rsid w:val="2C5F50DB"/>
    <w:rsid w:val="2C60124A"/>
    <w:rsid w:val="2C7D1A05"/>
    <w:rsid w:val="2C82701B"/>
    <w:rsid w:val="2C862667"/>
    <w:rsid w:val="2CEF0F73"/>
    <w:rsid w:val="2CF55A3F"/>
    <w:rsid w:val="2D047A30"/>
    <w:rsid w:val="2D281971"/>
    <w:rsid w:val="2D2B1E42"/>
    <w:rsid w:val="2D2F7E73"/>
    <w:rsid w:val="2D524C40"/>
    <w:rsid w:val="2D5409B8"/>
    <w:rsid w:val="2D564730"/>
    <w:rsid w:val="2D783662"/>
    <w:rsid w:val="2D917516"/>
    <w:rsid w:val="2D99286E"/>
    <w:rsid w:val="2D9E56F5"/>
    <w:rsid w:val="2DA90D03"/>
    <w:rsid w:val="2DBA01FC"/>
    <w:rsid w:val="2DC378EB"/>
    <w:rsid w:val="2DD24E04"/>
    <w:rsid w:val="2DEF248E"/>
    <w:rsid w:val="2E020414"/>
    <w:rsid w:val="2E4346F5"/>
    <w:rsid w:val="2E444FC9"/>
    <w:rsid w:val="2E551123"/>
    <w:rsid w:val="2E652F0D"/>
    <w:rsid w:val="2E666BF4"/>
    <w:rsid w:val="2E667F96"/>
    <w:rsid w:val="2E806395"/>
    <w:rsid w:val="2E8226AB"/>
    <w:rsid w:val="2E880E77"/>
    <w:rsid w:val="2E9301BA"/>
    <w:rsid w:val="2EA43279"/>
    <w:rsid w:val="2EB8389C"/>
    <w:rsid w:val="2EE336AE"/>
    <w:rsid w:val="2EEE2746"/>
    <w:rsid w:val="2EF014AF"/>
    <w:rsid w:val="2EFC0F11"/>
    <w:rsid w:val="2F0B154A"/>
    <w:rsid w:val="2F2C3498"/>
    <w:rsid w:val="2F3F2FA2"/>
    <w:rsid w:val="2F725125"/>
    <w:rsid w:val="2F822586"/>
    <w:rsid w:val="2F8B77D7"/>
    <w:rsid w:val="2F9B0B20"/>
    <w:rsid w:val="2FA229D6"/>
    <w:rsid w:val="2FA84FEB"/>
    <w:rsid w:val="2FBB6ACC"/>
    <w:rsid w:val="2FD065E6"/>
    <w:rsid w:val="2FD96870"/>
    <w:rsid w:val="2FEF2ACF"/>
    <w:rsid w:val="2FF7387C"/>
    <w:rsid w:val="30075E17"/>
    <w:rsid w:val="3022068C"/>
    <w:rsid w:val="30301A4C"/>
    <w:rsid w:val="30415B28"/>
    <w:rsid w:val="30580BC9"/>
    <w:rsid w:val="305E146C"/>
    <w:rsid w:val="30A9726C"/>
    <w:rsid w:val="30C65728"/>
    <w:rsid w:val="30C978F2"/>
    <w:rsid w:val="30FC3D2A"/>
    <w:rsid w:val="310E0365"/>
    <w:rsid w:val="3110013A"/>
    <w:rsid w:val="311E2ED7"/>
    <w:rsid w:val="31200E6A"/>
    <w:rsid w:val="312723CB"/>
    <w:rsid w:val="31306953"/>
    <w:rsid w:val="313B4368"/>
    <w:rsid w:val="314A1D01"/>
    <w:rsid w:val="314C0871"/>
    <w:rsid w:val="314E571E"/>
    <w:rsid w:val="315619EE"/>
    <w:rsid w:val="3157541A"/>
    <w:rsid w:val="315C449C"/>
    <w:rsid w:val="31687D65"/>
    <w:rsid w:val="31736D64"/>
    <w:rsid w:val="31800856"/>
    <w:rsid w:val="31905D36"/>
    <w:rsid w:val="31945827"/>
    <w:rsid w:val="31A517E2"/>
    <w:rsid w:val="31A6555A"/>
    <w:rsid w:val="31B82709"/>
    <w:rsid w:val="31D05482"/>
    <w:rsid w:val="31D24707"/>
    <w:rsid w:val="31DB3455"/>
    <w:rsid w:val="31E00383"/>
    <w:rsid w:val="31FE0EF2"/>
    <w:rsid w:val="321F6AD4"/>
    <w:rsid w:val="32400B34"/>
    <w:rsid w:val="324F5BF1"/>
    <w:rsid w:val="32770709"/>
    <w:rsid w:val="327D450D"/>
    <w:rsid w:val="328C29A2"/>
    <w:rsid w:val="328E671A"/>
    <w:rsid w:val="32911D66"/>
    <w:rsid w:val="329E6876"/>
    <w:rsid w:val="32AA4EA7"/>
    <w:rsid w:val="32B22BB0"/>
    <w:rsid w:val="32CA2AD7"/>
    <w:rsid w:val="33015626"/>
    <w:rsid w:val="3307027A"/>
    <w:rsid w:val="332F1577"/>
    <w:rsid w:val="332F6941"/>
    <w:rsid w:val="333015F2"/>
    <w:rsid w:val="334B6320"/>
    <w:rsid w:val="334E7C57"/>
    <w:rsid w:val="335F75C4"/>
    <w:rsid w:val="33883B0D"/>
    <w:rsid w:val="338A626B"/>
    <w:rsid w:val="33997124"/>
    <w:rsid w:val="339A4C4A"/>
    <w:rsid w:val="33C10429"/>
    <w:rsid w:val="33C543BD"/>
    <w:rsid w:val="33D934D4"/>
    <w:rsid w:val="33FE2F6A"/>
    <w:rsid w:val="34030A42"/>
    <w:rsid w:val="340E07E5"/>
    <w:rsid w:val="341E587B"/>
    <w:rsid w:val="34235BF7"/>
    <w:rsid w:val="3439166F"/>
    <w:rsid w:val="345474EF"/>
    <w:rsid w:val="34693D49"/>
    <w:rsid w:val="34824787"/>
    <w:rsid w:val="34CB5A03"/>
    <w:rsid w:val="34EE16F2"/>
    <w:rsid w:val="34F33242"/>
    <w:rsid w:val="35156C7E"/>
    <w:rsid w:val="351728F1"/>
    <w:rsid w:val="351C6656"/>
    <w:rsid w:val="352D1338"/>
    <w:rsid w:val="353251AA"/>
    <w:rsid w:val="35523A2F"/>
    <w:rsid w:val="358C5FA8"/>
    <w:rsid w:val="358E07DF"/>
    <w:rsid w:val="359027A9"/>
    <w:rsid w:val="35A149B6"/>
    <w:rsid w:val="35BE4538"/>
    <w:rsid w:val="35C15DF1"/>
    <w:rsid w:val="35E84393"/>
    <w:rsid w:val="35EB0E3B"/>
    <w:rsid w:val="35EF6872"/>
    <w:rsid w:val="35F42D38"/>
    <w:rsid w:val="360337E4"/>
    <w:rsid w:val="36074A7F"/>
    <w:rsid w:val="360A4309"/>
    <w:rsid w:val="36147991"/>
    <w:rsid w:val="361A45A4"/>
    <w:rsid w:val="36211653"/>
    <w:rsid w:val="362D1063"/>
    <w:rsid w:val="362F4A3A"/>
    <w:rsid w:val="363F7524"/>
    <w:rsid w:val="364E2639"/>
    <w:rsid w:val="364F7F6E"/>
    <w:rsid w:val="365A355D"/>
    <w:rsid w:val="36657792"/>
    <w:rsid w:val="368D6CE8"/>
    <w:rsid w:val="36923549"/>
    <w:rsid w:val="36B61F9B"/>
    <w:rsid w:val="36B75FBF"/>
    <w:rsid w:val="36BD0C45"/>
    <w:rsid w:val="36CA3A99"/>
    <w:rsid w:val="36D00FFA"/>
    <w:rsid w:val="36D36DF1"/>
    <w:rsid w:val="36D85994"/>
    <w:rsid w:val="36F570EA"/>
    <w:rsid w:val="37135440"/>
    <w:rsid w:val="371B241B"/>
    <w:rsid w:val="37257DC7"/>
    <w:rsid w:val="37362EDC"/>
    <w:rsid w:val="376B3BDC"/>
    <w:rsid w:val="378325C5"/>
    <w:rsid w:val="378C0D4E"/>
    <w:rsid w:val="37906A90"/>
    <w:rsid w:val="37A67BEE"/>
    <w:rsid w:val="37B00EE0"/>
    <w:rsid w:val="37B248FD"/>
    <w:rsid w:val="37E00298"/>
    <w:rsid w:val="37ED4490"/>
    <w:rsid w:val="38044D88"/>
    <w:rsid w:val="380626B1"/>
    <w:rsid w:val="3821322D"/>
    <w:rsid w:val="38333A05"/>
    <w:rsid w:val="388A20A7"/>
    <w:rsid w:val="38910D12"/>
    <w:rsid w:val="38995F6A"/>
    <w:rsid w:val="38AA5A19"/>
    <w:rsid w:val="38B302F9"/>
    <w:rsid w:val="38B810AA"/>
    <w:rsid w:val="38BA2058"/>
    <w:rsid w:val="38CA5FD2"/>
    <w:rsid w:val="38D806EF"/>
    <w:rsid w:val="38F117B0"/>
    <w:rsid w:val="38F12CD3"/>
    <w:rsid w:val="38F372D7"/>
    <w:rsid w:val="38F74B54"/>
    <w:rsid w:val="38F94775"/>
    <w:rsid w:val="38FB3B53"/>
    <w:rsid w:val="392971ED"/>
    <w:rsid w:val="392D7775"/>
    <w:rsid w:val="39325651"/>
    <w:rsid w:val="39355B41"/>
    <w:rsid w:val="39365415"/>
    <w:rsid w:val="397834A0"/>
    <w:rsid w:val="398B2E8F"/>
    <w:rsid w:val="39980C40"/>
    <w:rsid w:val="399D36E6"/>
    <w:rsid w:val="39AB5E03"/>
    <w:rsid w:val="39BE1D8D"/>
    <w:rsid w:val="39F82064"/>
    <w:rsid w:val="3A092B2A"/>
    <w:rsid w:val="3A137505"/>
    <w:rsid w:val="3A2F07E2"/>
    <w:rsid w:val="3A3251F9"/>
    <w:rsid w:val="3A5340CE"/>
    <w:rsid w:val="3A5E69D2"/>
    <w:rsid w:val="3A872856"/>
    <w:rsid w:val="3A9120B3"/>
    <w:rsid w:val="3A9C74FA"/>
    <w:rsid w:val="3AF5052A"/>
    <w:rsid w:val="3AF7527B"/>
    <w:rsid w:val="3B06788C"/>
    <w:rsid w:val="3B0C60CF"/>
    <w:rsid w:val="3B1C5040"/>
    <w:rsid w:val="3B3763D1"/>
    <w:rsid w:val="3B3D0CDD"/>
    <w:rsid w:val="3B516334"/>
    <w:rsid w:val="3B5B751B"/>
    <w:rsid w:val="3B6E533A"/>
    <w:rsid w:val="3B781D15"/>
    <w:rsid w:val="3B822B94"/>
    <w:rsid w:val="3B9C472F"/>
    <w:rsid w:val="3BC1190E"/>
    <w:rsid w:val="3BC15DB8"/>
    <w:rsid w:val="3BD46CE9"/>
    <w:rsid w:val="3BFF5F92"/>
    <w:rsid w:val="3C074E47"/>
    <w:rsid w:val="3C16330F"/>
    <w:rsid w:val="3C1A6364"/>
    <w:rsid w:val="3C242530"/>
    <w:rsid w:val="3C2B322B"/>
    <w:rsid w:val="3C2F6E1E"/>
    <w:rsid w:val="3C3519B4"/>
    <w:rsid w:val="3C4F64BA"/>
    <w:rsid w:val="3C6348C7"/>
    <w:rsid w:val="3C6509BF"/>
    <w:rsid w:val="3C6C78D8"/>
    <w:rsid w:val="3C90308E"/>
    <w:rsid w:val="3CA37012"/>
    <w:rsid w:val="3CA54D8C"/>
    <w:rsid w:val="3CAD7649"/>
    <w:rsid w:val="3CBD0327"/>
    <w:rsid w:val="3CD11D42"/>
    <w:rsid w:val="3CDA245A"/>
    <w:rsid w:val="3CE6634A"/>
    <w:rsid w:val="3D031C6B"/>
    <w:rsid w:val="3D1E06B7"/>
    <w:rsid w:val="3D4E71D1"/>
    <w:rsid w:val="3D6E7757"/>
    <w:rsid w:val="3D876CD5"/>
    <w:rsid w:val="3DAC6046"/>
    <w:rsid w:val="3DB4423A"/>
    <w:rsid w:val="3DB8289D"/>
    <w:rsid w:val="3DB878CA"/>
    <w:rsid w:val="3DC618C7"/>
    <w:rsid w:val="3DFB2BEA"/>
    <w:rsid w:val="3E0B6E71"/>
    <w:rsid w:val="3E104487"/>
    <w:rsid w:val="3E151A9D"/>
    <w:rsid w:val="3E3363C7"/>
    <w:rsid w:val="3E497999"/>
    <w:rsid w:val="3E5F0F6A"/>
    <w:rsid w:val="3E622493"/>
    <w:rsid w:val="3E721583"/>
    <w:rsid w:val="3E7A7172"/>
    <w:rsid w:val="3E815E94"/>
    <w:rsid w:val="3E953E00"/>
    <w:rsid w:val="3EA90437"/>
    <w:rsid w:val="3EBD7BD3"/>
    <w:rsid w:val="3ED5122D"/>
    <w:rsid w:val="3ED92ACB"/>
    <w:rsid w:val="3EDA0523"/>
    <w:rsid w:val="3EF7710B"/>
    <w:rsid w:val="3F012022"/>
    <w:rsid w:val="3F125FDD"/>
    <w:rsid w:val="3F13427B"/>
    <w:rsid w:val="3F152584"/>
    <w:rsid w:val="3F1733B4"/>
    <w:rsid w:val="3F283A52"/>
    <w:rsid w:val="3F2D2E17"/>
    <w:rsid w:val="3F44662B"/>
    <w:rsid w:val="3F4A7E6C"/>
    <w:rsid w:val="3F5D194E"/>
    <w:rsid w:val="3F60143E"/>
    <w:rsid w:val="3F7410E3"/>
    <w:rsid w:val="3FA550A3"/>
    <w:rsid w:val="3FC2231F"/>
    <w:rsid w:val="3FC419CD"/>
    <w:rsid w:val="3FCA3E4D"/>
    <w:rsid w:val="3FD04ECF"/>
    <w:rsid w:val="3FEB190D"/>
    <w:rsid w:val="3FF12096"/>
    <w:rsid w:val="400A4E00"/>
    <w:rsid w:val="402E5098"/>
    <w:rsid w:val="40300E10"/>
    <w:rsid w:val="40347B91"/>
    <w:rsid w:val="403A795B"/>
    <w:rsid w:val="403B1563"/>
    <w:rsid w:val="405014B2"/>
    <w:rsid w:val="40512B35"/>
    <w:rsid w:val="40580367"/>
    <w:rsid w:val="4070745F"/>
    <w:rsid w:val="407135B4"/>
    <w:rsid w:val="407A6407"/>
    <w:rsid w:val="408A49C4"/>
    <w:rsid w:val="408F760C"/>
    <w:rsid w:val="40A20BE6"/>
    <w:rsid w:val="40A25573"/>
    <w:rsid w:val="40B25CC9"/>
    <w:rsid w:val="40C17CBA"/>
    <w:rsid w:val="40F12077"/>
    <w:rsid w:val="40F402D6"/>
    <w:rsid w:val="4124398E"/>
    <w:rsid w:val="412D5350"/>
    <w:rsid w:val="414F3518"/>
    <w:rsid w:val="415723CD"/>
    <w:rsid w:val="41636FC4"/>
    <w:rsid w:val="416F5968"/>
    <w:rsid w:val="417A4EF6"/>
    <w:rsid w:val="417D58F7"/>
    <w:rsid w:val="4185310F"/>
    <w:rsid w:val="4194717D"/>
    <w:rsid w:val="41A225FB"/>
    <w:rsid w:val="41AA68AB"/>
    <w:rsid w:val="41ED7771"/>
    <w:rsid w:val="41F61BE6"/>
    <w:rsid w:val="41FB71FC"/>
    <w:rsid w:val="4200449D"/>
    <w:rsid w:val="420166A1"/>
    <w:rsid w:val="42023D60"/>
    <w:rsid w:val="421767B3"/>
    <w:rsid w:val="421B789E"/>
    <w:rsid w:val="422229DB"/>
    <w:rsid w:val="423A3BCC"/>
    <w:rsid w:val="423E7B4A"/>
    <w:rsid w:val="42497F67"/>
    <w:rsid w:val="424E57D2"/>
    <w:rsid w:val="425144BA"/>
    <w:rsid w:val="42521512"/>
    <w:rsid w:val="42585E4B"/>
    <w:rsid w:val="426B4382"/>
    <w:rsid w:val="42890CAC"/>
    <w:rsid w:val="42925DB2"/>
    <w:rsid w:val="42B26C49"/>
    <w:rsid w:val="42B3339C"/>
    <w:rsid w:val="42B8554C"/>
    <w:rsid w:val="42D31F27"/>
    <w:rsid w:val="42DC7A59"/>
    <w:rsid w:val="42DF08CC"/>
    <w:rsid w:val="42F62A10"/>
    <w:rsid w:val="43002ED1"/>
    <w:rsid w:val="430640AA"/>
    <w:rsid w:val="431A68BE"/>
    <w:rsid w:val="433A6FE6"/>
    <w:rsid w:val="43452E25"/>
    <w:rsid w:val="43480868"/>
    <w:rsid w:val="4350713C"/>
    <w:rsid w:val="436653E0"/>
    <w:rsid w:val="437B6846"/>
    <w:rsid w:val="43851473"/>
    <w:rsid w:val="4386057F"/>
    <w:rsid w:val="438C37D8"/>
    <w:rsid w:val="439E3F57"/>
    <w:rsid w:val="43C4431A"/>
    <w:rsid w:val="43C9668D"/>
    <w:rsid w:val="43D32954"/>
    <w:rsid w:val="43F403A7"/>
    <w:rsid w:val="4407632C"/>
    <w:rsid w:val="440920A4"/>
    <w:rsid w:val="442B11A3"/>
    <w:rsid w:val="445B7548"/>
    <w:rsid w:val="44693A30"/>
    <w:rsid w:val="44827761"/>
    <w:rsid w:val="44863AA4"/>
    <w:rsid w:val="448B4867"/>
    <w:rsid w:val="44961E91"/>
    <w:rsid w:val="44A25232"/>
    <w:rsid w:val="44B951CC"/>
    <w:rsid w:val="44CD14E0"/>
    <w:rsid w:val="44D24FDB"/>
    <w:rsid w:val="44F20B0B"/>
    <w:rsid w:val="44F52628"/>
    <w:rsid w:val="45012D7B"/>
    <w:rsid w:val="450562E2"/>
    <w:rsid w:val="45084337"/>
    <w:rsid w:val="45126D36"/>
    <w:rsid w:val="4513089B"/>
    <w:rsid w:val="45214FD6"/>
    <w:rsid w:val="452151CC"/>
    <w:rsid w:val="452E5F4C"/>
    <w:rsid w:val="455E0543"/>
    <w:rsid w:val="45612018"/>
    <w:rsid w:val="457F1EF2"/>
    <w:rsid w:val="45857508"/>
    <w:rsid w:val="458946E9"/>
    <w:rsid w:val="45A47C0E"/>
    <w:rsid w:val="45AB0A76"/>
    <w:rsid w:val="45C1250B"/>
    <w:rsid w:val="45DA7DB5"/>
    <w:rsid w:val="45F356E8"/>
    <w:rsid w:val="46001CC0"/>
    <w:rsid w:val="46101D34"/>
    <w:rsid w:val="46187E50"/>
    <w:rsid w:val="462140AB"/>
    <w:rsid w:val="46275F28"/>
    <w:rsid w:val="46284E65"/>
    <w:rsid w:val="4640090D"/>
    <w:rsid w:val="46577FD6"/>
    <w:rsid w:val="4669507C"/>
    <w:rsid w:val="4674757D"/>
    <w:rsid w:val="4691727A"/>
    <w:rsid w:val="46A95163"/>
    <w:rsid w:val="46B8390E"/>
    <w:rsid w:val="46D955A7"/>
    <w:rsid w:val="46F661E4"/>
    <w:rsid w:val="47133957"/>
    <w:rsid w:val="47285831"/>
    <w:rsid w:val="47404880"/>
    <w:rsid w:val="47552BAB"/>
    <w:rsid w:val="475A3A64"/>
    <w:rsid w:val="4783216D"/>
    <w:rsid w:val="478D4D9A"/>
    <w:rsid w:val="47A07E0C"/>
    <w:rsid w:val="47AB54F0"/>
    <w:rsid w:val="47AB6FCE"/>
    <w:rsid w:val="47AD0F98"/>
    <w:rsid w:val="47BB36B5"/>
    <w:rsid w:val="47D507E1"/>
    <w:rsid w:val="47D76015"/>
    <w:rsid w:val="47DF6CDD"/>
    <w:rsid w:val="480F57AF"/>
    <w:rsid w:val="483E7E42"/>
    <w:rsid w:val="48427933"/>
    <w:rsid w:val="4855661E"/>
    <w:rsid w:val="4860600B"/>
    <w:rsid w:val="4870272E"/>
    <w:rsid w:val="487B1097"/>
    <w:rsid w:val="4880045B"/>
    <w:rsid w:val="48A6795E"/>
    <w:rsid w:val="48AC2FFE"/>
    <w:rsid w:val="48B45470"/>
    <w:rsid w:val="48CB3DCC"/>
    <w:rsid w:val="48E72288"/>
    <w:rsid w:val="48FF75D2"/>
    <w:rsid w:val="490B1629"/>
    <w:rsid w:val="49235BC9"/>
    <w:rsid w:val="49255A17"/>
    <w:rsid w:val="49276B29"/>
    <w:rsid w:val="492E7EB7"/>
    <w:rsid w:val="495530D2"/>
    <w:rsid w:val="495B6BCE"/>
    <w:rsid w:val="496F29A9"/>
    <w:rsid w:val="497A134E"/>
    <w:rsid w:val="49A50DA8"/>
    <w:rsid w:val="49DC7715"/>
    <w:rsid w:val="49E50EBD"/>
    <w:rsid w:val="49E568FA"/>
    <w:rsid w:val="49E669E4"/>
    <w:rsid w:val="49F93EBB"/>
    <w:rsid w:val="4A023139"/>
    <w:rsid w:val="4A091676"/>
    <w:rsid w:val="4A383C0C"/>
    <w:rsid w:val="4A4E6A63"/>
    <w:rsid w:val="4A631ECC"/>
    <w:rsid w:val="4A655B5A"/>
    <w:rsid w:val="4A6C513B"/>
    <w:rsid w:val="4A7B576F"/>
    <w:rsid w:val="4AAA5C63"/>
    <w:rsid w:val="4AB23A41"/>
    <w:rsid w:val="4AC705C3"/>
    <w:rsid w:val="4AE16784"/>
    <w:rsid w:val="4AF561A9"/>
    <w:rsid w:val="4B025A2E"/>
    <w:rsid w:val="4B614574"/>
    <w:rsid w:val="4B702839"/>
    <w:rsid w:val="4B775437"/>
    <w:rsid w:val="4B833ACF"/>
    <w:rsid w:val="4B8D7117"/>
    <w:rsid w:val="4BBB5305"/>
    <w:rsid w:val="4BC35D95"/>
    <w:rsid w:val="4BE56F53"/>
    <w:rsid w:val="4BEF10FE"/>
    <w:rsid w:val="4C0A4C0B"/>
    <w:rsid w:val="4C2511CC"/>
    <w:rsid w:val="4C351901"/>
    <w:rsid w:val="4C3752D5"/>
    <w:rsid w:val="4C4A0649"/>
    <w:rsid w:val="4C6663B8"/>
    <w:rsid w:val="4C6D519A"/>
    <w:rsid w:val="4C7E5ECA"/>
    <w:rsid w:val="4C876AA5"/>
    <w:rsid w:val="4C8A2C90"/>
    <w:rsid w:val="4CA010CC"/>
    <w:rsid w:val="4CAF22F3"/>
    <w:rsid w:val="4CBB2F66"/>
    <w:rsid w:val="4CEC60BF"/>
    <w:rsid w:val="4D0E00FB"/>
    <w:rsid w:val="4D176606"/>
    <w:rsid w:val="4D3F2693"/>
    <w:rsid w:val="4D40640B"/>
    <w:rsid w:val="4D453663"/>
    <w:rsid w:val="4D493511"/>
    <w:rsid w:val="4D4B40AD"/>
    <w:rsid w:val="4D562FEC"/>
    <w:rsid w:val="4D686A82"/>
    <w:rsid w:val="4D695962"/>
    <w:rsid w:val="4D725BA8"/>
    <w:rsid w:val="4D866514"/>
    <w:rsid w:val="4D9041B3"/>
    <w:rsid w:val="4D9E1AAF"/>
    <w:rsid w:val="4DA31884"/>
    <w:rsid w:val="4DB06F7F"/>
    <w:rsid w:val="4DB27309"/>
    <w:rsid w:val="4DBC25E2"/>
    <w:rsid w:val="4DC40DEA"/>
    <w:rsid w:val="4DE6537B"/>
    <w:rsid w:val="4DEC4FB0"/>
    <w:rsid w:val="4DED58E0"/>
    <w:rsid w:val="4DF80A94"/>
    <w:rsid w:val="4E075D8A"/>
    <w:rsid w:val="4E141D71"/>
    <w:rsid w:val="4E1C6E78"/>
    <w:rsid w:val="4E2C0BBB"/>
    <w:rsid w:val="4E45017D"/>
    <w:rsid w:val="4E5B79A0"/>
    <w:rsid w:val="4E604FB7"/>
    <w:rsid w:val="4E6378CC"/>
    <w:rsid w:val="4E807407"/>
    <w:rsid w:val="4E9927C2"/>
    <w:rsid w:val="4E994E15"/>
    <w:rsid w:val="4EA529C9"/>
    <w:rsid w:val="4EAB1DFB"/>
    <w:rsid w:val="4EAC09E0"/>
    <w:rsid w:val="4EC00FAD"/>
    <w:rsid w:val="4ECF3EEA"/>
    <w:rsid w:val="4EEA00C3"/>
    <w:rsid w:val="4EEF1E97"/>
    <w:rsid w:val="4F0A496E"/>
    <w:rsid w:val="4F1749C6"/>
    <w:rsid w:val="4F1E6598"/>
    <w:rsid w:val="4F2117B1"/>
    <w:rsid w:val="4F443F90"/>
    <w:rsid w:val="4F48318F"/>
    <w:rsid w:val="4F5222C9"/>
    <w:rsid w:val="4F5A7B8B"/>
    <w:rsid w:val="4F6B59C1"/>
    <w:rsid w:val="4F743BD9"/>
    <w:rsid w:val="4F9843DC"/>
    <w:rsid w:val="4FC1207E"/>
    <w:rsid w:val="4FC62A8C"/>
    <w:rsid w:val="4FCD042A"/>
    <w:rsid w:val="4FE20F0D"/>
    <w:rsid w:val="4FE51552"/>
    <w:rsid w:val="4FFE1298"/>
    <w:rsid w:val="502D711A"/>
    <w:rsid w:val="50454464"/>
    <w:rsid w:val="50504C4B"/>
    <w:rsid w:val="50505EC7"/>
    <w:rsid w:val="50615016"/>
    <w:rsid w:val="50641288"/>
    <w:rsid w:val="50700DB5"/>
    <w:rsid w:val="507C59AC"/>
    <w:rsid w:val="509C6E7C"/>
    <w:rsid w:val="50AF14D1"/>
    <w:rsid w:val="50CB623F"/>
    <w:rsid w:val="50CD0A99"/>
    <w:rsid w:val="50E715D1"/>
    <w:rsid w:val="50FC1AD1"/>
    <w:rsid w:val="510065DD"/>
    <w:rsid w:val="51053BA8"/>
    <w:rsid w:val="51095DCA"/>
    <w:rsid w:val="512247A5"/>
    <w:rsid w:val="51275918"/>
    <w:rsid w:val="512A365A"/>
    <w:rsid w:val="512F0C70"/>
    <w:rsid w:val="513403C7"/>
    <w:rsid w:val="51385D77"/>
    <w:rsid w:val="51491D32"/>
    <w:rsid w:val="5149499E"/>
    <w:rsid w:val="51586419"/>
    <w:rsid w:val="5162104E"/>
    <w:rsid w:val="516415A6"/>
    <w:rsid w:val="516516C4"/>
    <w:rsid w:val="51694182"/>
    <w:rsid w:val="51894824"/>
    <w:rsid w:val="518E5C56"/>
    <w:rsid w:val="51A71627"/>
    <w:rsid w:val="51BB7195"/>
    <w:rsid w:val="51BC1602"/>
    <w:rsid w:val="51C66964"/>
    <w:rsid w:val="51DD691E"/>
    <w:rsid w:val="51EE75DB"/>
    <w:rsid w:val="51FF4AE6"/>
    <w:rsid w:val="52383B54"/>
    <w:rsid w:val="523B0D32"/>
    <w:rsid w:val="523E3395"/>
    <w:rsid w:val="52402727"/>
    <w:rsid w:val="525A213B"/>
    <w:rsid w:val="5263104F"/>
    <w:rsid w:val="52833D9E"/>
    <w:rsid w:val="529369ED"/>
    <w:rsid w:val="52940917"/>
    <w:rsid w:val="52AC36FC"/>
    <w:rsid w:val="52B86E31"/>
    <w:rsid w:val="52FE4D9E"/>
    <w:rsid w:val="530C5752"/>
    <w:rsid w:val="53110B06"/>
    <w:rsid w:val="53312A7E"/>
    <w:rsid w:val="534F4FAB"/>
    <w:rsid w:val="53647C0D"/>
    <w:rsid w:val="536F00DD"/>
    <w:rsid w:val="53755970"/>
    <w:rsid w:val="53762B86"/>
    <w:rsid w:val="53795E99"/>
    <w:rsid w:val="53797911"/>
    <w:rsid w:val="53874D93"/>
    <w:rsid w:val="53A039CC"/>
    <w:rsid w:val="53A1505A"/>
    <w:rsid w:val="53BB19B4"/>
    <w:rsid w:val="53C77D9E"/>
    <w:rsid w:val="53CE4770"/>
    <w:rsid w:val="53D37FD9"/>
    <w:rsid w:val="54040192"/>
    <w:rsid w:val="54063E08"/>
    <w:rsid w:val="54143355"/>
    <w:rsid w:val="541F2B19"/>
    <w:rsid w:val="54324CFF"/>
    <w:rsid w:val="54330A77"/>
    <w:rsid w:val="543437E8"/>
    <w:rsid w:val="54484523"/>
    <w:rsid w:val="54520EFE"/>
    <w:rsid w:val="545C1D7C"/>
    <w:rsid w:val="54713FE8"/>
    <w:rsid w:val="547A48F8"/>
    <w:rsid w:val="54A43723"/>
    <w:rsid w:val="54A656ED"/>
    <w:rsid w:val="54AD082A"/>
    <w:rsid w:val="54BF1612"/>
    <w:rsid w:val="54C53DC5"/>
    <w:rsid w:val="54CC5154"/>
    <w:rsid w:val="54E65AEA"/>
    <w:rsid w:val="54ED50CA"/>
    <w:rsid w:val="54F73313"/>
    <w:rsid w:val="54F80955"/>
    <w:rsid w:val="550B5550"/>
    <w:rsid w:val="55142657"/>
    <w:rsid w:val="55277D5F"/>
    <w:rsid w:val="552E3BD8"/>
    <w:rsid w:val="555022BB"/>
    <w:rsid w:val="555170A7"/>
    <w:rsid w:val="556101D6"/>
    <w:rsid w:val="556E7FB9"/>
    <w:rsid w:val="557B5277"/>
    <w:rsid w:val="558108A6"/>
    <w:rsid w:val="5585116B"/>
    <w:rsid w:val="55872E29"/>
    <w:rsid w:val="5587536D"/>
    <w:rsid w:val="559B174B"/>
    <w:rsid w:val="55A25EB5"/>
    <w:rsid w:val="55C0121A"/>
    <w:rsid w:val="55C0633B"/>
    <w:rsid w:val="55CE0CF4"/>
    <w:rsid w:val="55CE7630"/>
    <w:rsid w:val="55DF0EB7"/>
    <w:rsid w:val="55E02B50"/>
    <w:rsid w:val="55E95892"/>
    <w:rsid w:val="560C1580"/>
    <w:rsid w:val="564E5B90"/>
    <w:rsid w:val="56521689"/>
    <w:rsid w:val="567809C3"/>
    <w:rsid w:val="567D422C"/>
    <w:rsid w:val="56AA47B0"/>
    <w:rsid w:val="56B22A9C"/>
    <w:rsid w:val="56E532E7"/>
    <w:rsid w:val="57044B1F"/>
    <w:rsid w:val="57066FEA"/>
    <w:rsid w:val="57266671"/>
    <w:rsid w:val="572A4F61"/>
    <w:rsid w:val="572A7F10"/>
    <w:rsid w:val="573C40E7"/>
    <w:rsid w:val="574A2360"/>
    <w:rsid w:val="57545446"/>
    <w:rsid w:val="576176AA"/>
    <w:rsid w:val="57723665"/>
    <w:rsid w:val="577D420C"/>
    <w:rsid w:val="578D077E"/>
    <w:rsid w:val="57B72A76"/>
    <w:rsid w:val="57C3426C"/>
    <w:rsid w:val="57CE1F93"/>
    <w:rsid w:val="57DA53F5"/>
    <w:rsid w:val="57E427B4"/>
    <w:rsid w:val="580C319C"/>
    <w:rsid w:val="58112E7E"/>
    <w:rsid w:val="5814471C"/>
    <w:rsid w:val="58337298"/>
    <w:rsid w:val="583956E1"/>
    <w:rsid w:val="583B1553"/>
    <w:rsid w:val="585500D6"/>
    <w:rsid w:val="58562F86"/>
    <w:rsid w:val="588743D1"/>
    <w:rsid w:val="5887701A"/>
    <w:rsid w:val="58953AAF"/>
    <w:rsid w:val="58977827"/>
    <w:rsid w:val="5954396A"/>
    <w:rsid w:val="59594ADC"/>
    <w:rsid w:val="595F0805"/>
    <w:rsid w:val="59657925"/>
    <w:rsid w:val="598633F7"/>
    <w:rsid w:val="59B175F9"/>
    <w:rsid w:val="59C0439F"/>
    <w:rsid w:val="59C7413C"/>
    <w:rsid w:val="59CF119B"/>
    <w:rsid w:val="5A154E97"/>
    <w:rsid w:val="5A24535C"/>
    <w:rsid w:val="5A284604"/>
    <w:rsid w:val="5A551748"/>
    <w:rsid w:val="5A6D6C90"/>
    <w:rsid w:val="5A6E6344"/>
    <w:rsid w:val="5A731BCE"/>
    <w:rsid w:val="5A955FE8"/>
    <w:rsid w:val="5AAB580B"/>
    <w:rsid w:val="5AAC3332"/>
    <w:rsid w:val="5AAC50E0"/>
    <w:rsid w:val="5AB67D0C"/>
    <w:rsid w:val="5ABA3CA0"/>
    <w:rsid w:val="5ABE2233"/>
    <w:rsid w:val="5ABE78FA"/>
    <w:rsid w:val="5ADE0739"/>
    <w:rsid w:val="5AF2343A"/>
    <w:rsid w:val="5AF429FD"/>
    <w:rsid w:val="5AFF3461"/>
    <w:rsid w:val="5B04316E"/>
    <w:rsid w:val="5B152C85"/>
    <w:rsid w:val="5B1553A6"/>
    <w:rsid w:val="5B157129"/>
    <w:rsid w:val="5B17005C"/>
    <w:rsid w:val="5B1E2376"/>
    <w:rsid w:val="5B4517BC"/>
    <w:rsid w:val="5B757CF2"/>
    <w:rsid w:val="5B767BC7"/>
    <w:rsid w:val="5B7F5FF8"/>
    <w:rsid w:val="5B8E6DC8"/>
    <w:rsid w:val="5B935A8E"/>
    <w:rsid w:val="5BA94302"/>
    <w:rsid w:val="5BC86507"/>
    <w:rsid w:val="5BDA678F"/>
    <w:rsid w:val="5BDF5D95"/>
    <w:rsid w:val="5BE222C4"/>
    <w:rsid w:val="5BFE7528"/>
    <w:rsid w:val="5C1E5D9F"/>
    <w:rsid w:val="5C45068A"/>
    <w:rsid w:val="5C513E1C"/>
    <w:rsid w:val="5C5958C8"/>
    <w:rsid w:val="5C751FF2"/>
    <w:rsid w:val="5CA50038"/>
    <w:rsid w:val="5CA51BAA"/>
    <w:rsid w:val="5CAE4CAF"/>
    <w:rsid w:val="5CBF734C"/>
    <w:rsid w:val="5CCE2685"/>
    <w:rsid w:val="5CE047AB"/>
    <w:rsid w:val="5CE7432B"/>
    <w:rsid w:val="5CFC234E"/>
    <w:rsid w:val="5D101956"/>
    <w:rsid w:val="5D2D69AC"/>
    <w:rsid w:val="5D3C0A1B"/>
    <w:rsid w:val="5D55380D"/>
    <w:rsid w:val="5D912C50"/>
    <w:rsid w:val="5D9E51B4"/>
    <w:rsid w:val="5DA14CA4"/>
    <w:rsid w:val="5DA84284"/>
    <w:rsid w:val="5DAE3D5E"/>
    <w:rsid w:val="5DC664B8"/>
    <w:rsid w:val="5DCB1D21"/>
    <w:rsid w:val="5DD60DF1"/>
    <w:rsid w:val="5DF60DB8"/>
    <w:rsid w:val="5E053485"/>
    <w:rsid w:val="5E190A27"/>
    <w:rsid w:val="5E2467F1"/>
    <w:rsid w:val="5E325730"/>
    <w:rsid w:val="5E443FAD"/>
    <w:rsid w:val="5E496B74"/>
    <w:rsid w:val="5E4F64AE"/>
    <w:rsid w:val="5E5B1C06"/>
    <w:rsid w:val="5E79177D"/>
    <w:rsid w:val="5E7E6D93"/>
    <w:rsid w:val="5E802B0B"/>
    <w:rsid w:val="5E9C4600"/>
    <w:rsid w:val="5EA52572"/>
    <w:rsid w:val="5EC35E4E"/>
    <w:rsid w:val="5ED645AC"/>
    <w:rsid w:val="5EDB3860"/>
    <w:rsid w:val="5EE17A4E"/>
    <w:rsid w:val="5EE233A8"/>
    <w:rsid w:val="5EE66E12"/>
    <w:rsid w:val="5F04373C"/>
    <w:rsid w:val="5F0B4ACB"/>
    <w:rsid w:val="5F0D0843"/>
    <w:rsid w:val="5F165EC3"/>
    <w:rsid w:val="5F1A2B43"/>
    <w:rsid w:val="5F264979"/>
    <w:rsid w:val="5F3071DF"/>
    <w:rsid w:val="5F3153C8"/>
    <w:rsid w:val="5F4355E2"/>
    <w:rsid w:val="5F5A335C"/>
    <w:rsid w:val="5F824661"/>
    <w:rsid w:val="5F8605F5"/>
    <w:rsid w:val="5FA840C8"/>
    <w:rsid w:val="5FB837BB"/>
    <w:rsid w:val="5FDD1F3F"/>
    <w:rsid w:val="5FEB003C"/>
    <w:rsid w:val="5FF336BD"/>
    <w:rsid w:val="60196D73"/>
    <w:rsid w:val="601E25DC"/>
    <w:rsid w:val="602F410D"/>
    <w:rsid w:val="603B318E"/>
    <w:rsid w:val="60410ACC"/>
    <w:rsid w:val="604C539B"/>
    <w:rsid w:val="60624BBE"/>
    <w:rsid w:val="60640A3E"/>
    <w:rsid w:val="606C718A"/>
    <w:rsid w:val="608A3BE5"/>
    <w:rsid w:val="60BB2ED0"/>
    <w:rsid w:val="60CC405A"/>
    <w:rsid w:val="60D90BAB"/>
    <w:rsid w:val="612B1454"/>
    <w:rsid w:val="61650242"/>
    <w:rsid w:val="617821BF"/>
    <w:rsid w:val="61840B64"/>
    <w:rsid w:val="61B85B3A"/>
    <w:rsid w:val="61BD341C"/>
    <w:rsid w:val="61DC63FD"/>
    <w:rsid w:val="61DE15B3"/>
    <w:rsid w:val="61E215D8"/>
    <w:rsid w:val="61EC175E"/>
    <w:rsid w:val="61F53810"/>
    <w:rsid w:val="621B3775"/>
    <w:rsid w:val="62364782"/>
    <w:rsid w:val="623C121D"/>
    <w:rsid w:val="623F6839"/>
    <w:rsid w:val="62422092"/>
    <w:rsid w:val="62455CE7"/>
    <w:rsid w:val="624A085E"/>
    <w:rsid w:val="625A6BDD"/>
    <w:rsid w:val="625D29E9"/>
    <w:rsid w:val="629152E7"/>
    <w:rsid w:val="62944DD7"/>
    <w:rsid w:val="62B27BEF"/>
    <w:rsid w:val="62BC37D2"/>
    <w:rsid w:val="62D93A21"/>
    <w:rsid w:val="62F615EE"/>
    <w:rsid w:val="62FA20CA"/>
    <w:rsid w:val="63073C66"/>
    <w:rsid w:val="631101D6"/>
    <w:rsid w:val="631141FF"/>
    <w:rsid w:val="633A597E"/>
    <w:rsid w:val="634E4F86"/>
    <w:rsid w:val="635D341B"/>
    <w:rsid w:val="63756320"/>
    <w:rsid w:val="638C5281"/>
    <w:rsid w:val="6394356A"/>
    <w:rsid w:val="639A2FF9"/>
    <w:rsid w:val="63A159FD"/>
    <w:rsid w:val="63B70D7D"/>
    <w:rsid w:val="63C24F56"/>
    <w:rsid w:val="63C61B2C"/>
    <w:rsid w:val="63D40BE9"/>
    <w:rsid w:val="640D3093"/>
    <w:rsid w:val="64102431"/>
    <w:rsid w:val="642D0164"/>
    <w:rsid w:val="644D348F"/>
    <w:rsid w:val="646C600B"/>
    <w:rsid w:val="647C43B1"/>
    <w:rsid w:val="647E189B"/>
    <w:rsid w:val="648F3AA8"/>
    <w:rsid w:val="649C7F73"/>
    <w:rsid w:val="64A5243A"/>
    <w:rsid w:val="64A958BA"/>
    <w:rsid w:val="64B96F1B"/>
    <w:rsid w:val="64C03C61"/>
    <w:rsid w:val="64CA2D32"/>
    <w:rsid w:val="64F531DE"/>
    <w:rsid w:val="64F642EB"/>
    <w:rsid w:val="64FD4EB5"/>
    <w:rsid w:val="65090757"/>
    <w:rsid w:val="651F73F4"/>
    <w:rsid w:val="65373578"/>
    <w:rsid w:val="654143E6"/>
    <w:rsid w:val="65442AE4"/>
    <w:rsid w:val="65605834"/>
    <w:rsid w:val="65672FDC"/>
    <w:rsid w:val="657B13F8"/>
    <w:rsid w:val="658C4C1C"/>
    <w:rsid w:val="65C4125C"/>
    <w:rsid w:val="65D5373C"/>
    <w:rsid w:val="65EC0A86"/>
    <w:rsid w:val="663A5CF9"/>
    <w:rsid w:val="665D5938"/>
    <w:rsid w:val="66611682"/>
    <w:rsid w:val="667F7DB1"/>
    <w:rsid w:val="668E4F07"/>
    <w:rsid w:val="669F393A"/>
    <w:rsid w:val="66BB3A5B"/>
    <w:rsid w:val="66C0619B"/>
    <w:rsid w:val="66EF6A80"/>
    <w:rsid w:val="670A5615"/>
    <w:rsid w:val="671A2FAC"/>
    <w:rsid w:val="671C5B08"/>
    <w:rsid w:val="671F124A"/>
    <w:rsid w:val="674F3E22"/>
    <w:rsid w:val="676E7D45"/>
    <w:rsid w:val="67732727"/>
    <w:rsid w:val="677845EB"/>
    <w:rsid w:val="677A33C6"/>
    <w:rsid w:val="677D0530"/>
    <w:rsid w:val="67AE693B"/>
    <w:rsid w:val="67D0065F"/>
    <w:rsid w:val="67DB0DB2"/>
    <w:rsid w:val="67DF75A1"/>
    <w:rsid w:val="67F971AD"/>
    <w:rsid w:val="67FC76A6"/>
    <w:rsid w:val="680F0716"/>
    <w:rsid w:val="68144385"/>
    <w:rsid w:val="681E586F"/>
    <w:rsid w:val="681F6961"/>
    <w:rsid w:val="68273FF7"/>
    <w:rsid w:val="685F7C35"/>
    <w:rsid w:val="68610A2F"/>
    <w:rsid w:val="68805514"/>
    <w:rsid w:val="688D36E5"/>
    <w:rsid w:val="68B0223F"/>
    <w:rsid w:val="68BC5088"/>
    <w:rsid w:val="68C53F3C"/>
    <w:rsid w:val="68EA5751"/>
    <w:rsid w:val="68F16ADF"/>
    <w:rsid w:val="69052F6C"/>
    <w:rsid w:val="690579C7"/>
    <w:rsid w:val="69316E2F"/>
    <w:rsid w:val="694E2071"/>
    <w:rsid w:val="69730B3F"/>
    <w:rsid w:val="69766163"/>
    <w:rsid w:val="69793CC5"/>
    <w:rsid w:val="697A3B33"/>
    <w:rsid w:val="697F058F"/>
    <w:rsid w:val="69824BCF"/>
    <w:rsid w:val="6984294B"/>
    <w:rsid w:val="698711F2"/>
    <w:rsid w:val="69961435"/>
    <w:rsid w:val="699B552D"/>
    <w:rsid w:val="69AA3132"/>
    <w:rsid w:val="69C67F6C"/>
    <w:rsid w:val="69CC4E56"/>
    <w:rsid w:val="69D41F5D"/>
    <w:rsid w:val="69D44760"/>
    <w:rsid w:val="69FF347E"/>
    <w:rsid w:val="6A220F1A"/>
    <w:rsid w:val="6A2353BE"/>
    <w:rsid w:val="6A2A5E71"/>
    <w:rsid w:val="6A2B4273"/>
    <w:rsid w:val="6A3658CC"/>
    <w:rsid w:val="6A372C18"/>
    <w:rsid w:val="6A401B02"/>
    <w:rsid w:val="6A520EC7"/>
    <w:rsid w:val="6A843983"/>
    <w:rsid w:val="6A94006A"/>
    <w:rsid w:val="6AA238E2"/>
    <w:rsid w:val="6AAC30B7"/>
    <w:rsid w:val="6ADC7CCC"/>
    <w:rsid w:val="6AE10DD5"/>
    <w:rsid w:val="6AEA5C29"/>
    <w:rsid w:val="6AF87E20"/>
    <w:rsid w:val="6B0A3E88"/>
    <w:rsid w:val="6B275FB9"/>
    <w:rsid w:val="6B322639"/>
    <w:rsid w:val="6B380D69"/>
    <w:rsid w:val="6B4750DC"/>
    <w:rsid w:val="6B481FF8"/>
    <w:rsid w:val="6B5C677E"/>
    <w:rsid w:val="6B60619E"/>
    <w:rsid w:val="6B671BCE"/>
    <w:rsid w:val="6B6F63E1"/>
    <w:rsid w:val="6B883B2D"/>
    <w:rsid w:val="6B98777E"/>
    <w:rsid w:val="6B9C01C8"/>
    <w:rsid w:val="6BAE5D03"/>
    <w:rsid w:val="6BBD539F"/>
    <w:rsid w:val="6BC87862"/>
    <w:rsid w:val="6C081755"/>
    <w:rsid w:val="6C1D03D0"/>
    <w:rsid w:val="6C224890"/>
    <w:rsid w:val="6C237A83"/>
    <w:rsid w:val="6C3F109E"/>
    <w:rsid w:val="6C4273D6"/>
    <w:rsid w:val="6C44786E"/>
    <w:rsid w:val="6C494E84"/>
    <w:rsid w:val="6C636C38"/>
    <w:rsid w:val="6C7A6DEC"/>
    <w:rsid w:val="6CAB169B"/>
    <w:rsid w:val="6CB342AF"/>
    <w:rsid w:val="6CE16E6B"/>
    <w:rsid w:val="6D1E2C9E"/>
    <w:rsid w:val="6D201BB4"/>
    <w:rsid w:val="6D2F407A"/>
    <w:rsid w:val="6D3871BB"/>
    <w:rsid w:val="6D770664"/>
    <w:rsid w:val="6D7F746A"/>
    <w:rsid w:val="6D8B6DD7"/>
    <w:rsid w:val="6D8F68C7"/>
    <w:rsid w:val="6DAD4F9F"/>
    <w:rsid w:val="6DB34098"/>
    <w:rsid w:val="6DB545B6"/>
    <w:rsid w:val="6DE02FB4"/>
    <w:rsid w:val="6DE611E8"/>
    <w:rsid w:val="6DF34CD9"/>
    <w:rsid w:val="6E055C01"/>
    <w:rsid w:val="6E192634"/>
    <w:rsid w:val="6E413283"/>
    <w:rsid w:val="6E4678CD"/>
    <w:rsid w:val="6E514CED"/>
    <w:rsid w:val="6EAD6321"/>
    <w:rsid w:val="6EB563D5"/>
    <w:rsid w:val="6EBC431B"/>
    <w:rsid w:val="6EC32CCC"/>
    <w:rsid w:val="6EC3312E"/>
    <w:rsid w:val="6ED92677"/>
    <w:rsid w:val="6F225983"/>
    <w:rsid w:val="6F2F210F"/>
    <w:rsid w:val="6F347726"/>
    <w:rsid w:val="6F400589"/>
    <w:rsid w:val="6F4A764A"/>
    <w:rsid w:val="6F5E29F5"/>
    <w:rsid w:val="6F5F03D4"/>
    <w:rsid w:val="6F992483"/>
    <w:rsid w:val="6FBE7937"/>
    <w:rsid w:val="6FE529E1"/>
    <w:rsid w:val="6FEE6726"/>
    <w:rsid w:val="6FFC5590"/>
    <w:rsid w:val="6FFD43CC"/>
    <w:rsid w:val="70117A67"/>
    <w:rsid w:val="702A26D0"/>
    <w:rsid w:val="70346664"/>
    <w:rsid w:val="70453BB5"/>
    <w:rsid w:val="704D7FE5"/>
    <w:rsid w:val="7064228D"/>
    <w:rsid w:val="706D1DD0"/>
    <w:rsid w:val="70804F95"/>
    <w:rsid w:val="7082146C"/>
    <w:rsid w:val="7084648B"/>
    <w:rsid w:val="70856B87"/>
    <w:rsid w:val="708C3591"/>
    <w:rsid w:val="70AA5C52"/>
    <w:rsid w:val="70B56644"/>
    <w:rsid w:val="70C04FE9"/>
    <w:rsid w:val="70C41F7F"/>
    <w:rsid w:val="70D527EE"/>
    <w:rsid w:val="70F44F53"/>
    <w:rsid w:val="70FD4426"/>
    <w:rsid w:val="7100647C"/>
    <w:rsid w:val="71096990"/>
    <w:rsid w:val="710A7D82"/>
    <w:rsid w:val="710B2708"/>
    <w:rsid w:val="71123A97"/>
    <w:rsid w:val="71324139"/>
    <w:rsid w:val="71327C95"/>
    <w:rsid w:val="714B7833"/>
    <w:rsid w:val="715220E5"/>
    <w:rsid w:val="715807E3"/>
    <w:rsid w:val="715B5300"/>
    <w:rsid w:val="71900E5F"/>
    <w:rsid w:val="71950224"/>
    <w:rsid w:val="71B206D8"/>
    <w:rsid w:val="71BF1547"/>
    <w:rsid w:val="71D27F8A"/>
    <w:rsid w:val="71D56E90"/>
    <w:rsid w:val="71F92C75"/>
    <w:rsid w:val="7202642B"/>
    <w:rsid w:val="7206241B"/>
    <w:rsid w:val="72281098"/>
    <w:rsid w:val="722F0678"/>
    <w:rsid w:val="723764DA"/>
    <w:rsid w:val="72435ED2"/>
    <w:rsid w:val="725400DF"/>
    <w:rsid w:val="72553024"/>
    <w:rsid w:val="72710C91"/>
    <w:rsid w:val="728269FA"/>
    <w:rsid w:val="728A58AF"/>
    <w:rsid w:val="72987FCC"/>
    <w:rsid w:val="72D56C9B"/>
    <w:rsid w:val="72FA446E"/>
    <w:rsid w:val="73122968"/>
    <w:rsid w:val="731F5D5E"/>
    <w:rsid w:val="73291E52"/>
    <w:rsid w:val="73425AD5"/>
    <w:rsid w:val="734B3290"/>
    <w:rsid w:val="7363508A"/>
    <w:rsid w:val="73697BBA"/>
    <w:rsid w:val="73722F12"/>
    <w:rsid w:val="737E3665"/>
    <w:rsid w:val="73B11254"/>
    <w:rsid w:val="73BC6D60"/>
    <w:rsid w:val="73C51AD5"/>
    <w:rsid w:val="73CC7F1D"/>
    <w:rsid w:val="73E07E7C"/>
    <w:rsid w:val="73FB4CB6"/>
    <w:rsid w:val="740A024C"/>
    <w:rsid w:val="7416564C"/>
    <w:rsid w:val="741E6BF6"/>
    <w:rsid w:val="741E793C"/>
    <w:rsid w:val="74210D9D"/>
    <w:rsid w:val="74236324"/>
    <w:rsid w:val="743401C8"/>
    <w:rsid w:val="743B1556"/>
    <w:rsid w:val="743E59EF"/>
    <w:rsid w:val="74455F31"/>
    <w:rsid w:val="745E3944"/>
    <w:rsid w:val="747D6C54"/>
    <w:rsid w:val="74895730"/>
    <w:rsid w:val="748A29CC"/>
    <w:rsid w:val="748A4EA4"/>
    <w:rsid w:val="749E5641"/>
    <w:rsid w:val="749F1AE5"/>
    <w:rsid w:val="749F55EB"/>
    <w:rsid w:val="74DA3A60"/>
    <w:rsid w:val="74DD220C"/>
    <w:rsid w:val="74F75C98"/>
    <w:rsid w:val="75041948"/>
    <w:rsid w:val="75114065"/>
    <w:rsid w:val="75175B20"/>
    <w:rsid w:val="75192500"/>
    <w:rsid w:val="75241FEA"/>
    <w:rsid w:val="7545775C"/>
    <w:rsid w:val="75783DED"/>
    <w:rsid w:val="758B30E4"/>
    <w:rsid w:val="75952EE8"/>
    <w:rsid w:val="75AA6994"/>
    <w:rsid w:val="75BF3AC1"/>
    <w:rsid w:val="75CB1A9A"/>
    <w:rsid w:val="75CF73CC"/>
    <w:rsid w:val="75D74C84"/>
    <w:rsid w:val="75E31EA6"/>
    <w:rsid w:val="75EB18CD"/>
    <w:rsid w:val="75ED6880"/>
    <w:rsid w:val="75F37AA8"/>
    <w:rsid w:val="760A030B"/>
    <w:rsid w:val="760A5684"/>
    <w:rsid w:val="76124201"/>
    <w:rsid w:val="761402B1"/>
    <w:rsid w:val="76195E75"/>
    <w:rsid w:val="76254230"/>
    <w:rsid w:val="7635099D"/>
    <w:rsid w:val="763A0087"/>
    <w:rsid w:val="763B6CD4"/>
    <w:rsid w:val="764D505D"/>
    <w:rsid w:val="76674745"/>
    <w:rsid w:val="76676633"/>
    <w:rsid w:val="768B0A84"/>
    <w:rsid w:val="76941DB2"/>
    <w:rsid w:val="76A84CD5"/>
    <w:rsid w:val="76B104AE"/>
    <w:rsid w:val="76B16A0C"/>
    <w:rsid w:val="76ED6663"/>
    <w:rsid w:val="76F854DD"/>
    <w:rsid w:val="76FD0D45"/>
    <w:rsid w:val="770F32A2"/>
    <w:rsid w:val="77165DBC"/>
    <w:rsid w:val="771F2069"/>
    <w:rsid w:val="772462D2"/>
    <w:rsid w:val="775B09E1"/>
    <w:rsid w:val="776D5ECB"/>
    <w:rsid w:val="77753BCB"/>
    <w:rsid w:val="77753D8F"/>
    <w:rsid w:val="77762421"/>
    <w:rsid w:val="77892449"/>
    <w:rsid w:val="77B56B1F"/>
    <w:rsid w:val="77FF1415"/>
    <w:rsid w:val="78021FF7"/>
    <w:rsid w:val="780E12E6"/>
    <w:rsid w:val="780F09F4"/>
    <w:rsid w:val="7819395D"/>
    <w:rsid w:val="782E3B07"/>
    <w:rsid w:val="784046DB"/>
    <w:rsid w:val="785B5D23"/>
    <w:rsid w:val="786443A8"/>
    <w:rsid w:val="786C7F30"/>
    <w:rsid w:val="78830BDE"/>
    <w:rsid w:val="788F1AD5"/>
    <w:rsid w:val="789D62EF"/>
    <w:rsid w:val="78A90480"/>
    <w:rsid w:val="78AA55EB"/>
    <w:rsid w:val="78C20C10"/>
    <w:rsid w:val="78D2453A"/>
    <w:rsid w:val="78EB3E8D"/>
    <w:rsid w:val="78F912C0"/>
    <w:rsid w:val="79153CF6"/>
    <w:rsid w:val="79257D62"/>
    <w:rsid w:val="79294073"/>
    <w:rsid w:val="792E03F6"/>
    <w:rsid w:val="7931157B"/>
    <w:rsid w:val="793928F1"/>
    <w:rsid w:val="7973709D"/>
    <w:rsid w:val="797F1EE5"/>
    <w:rsid w:val="798C6C5F"/>
    <w:rsid w:val="799F662B"/>
    <w:rsid w:val="79CD595E"/>
    <w:rsid w:val="79DD5F14"/>
    <w:rsid w:val="79ED50A1"/>
    <w:rsid w:val="79EF64B4"/>
    <w:rsid w:val="79F14F58"/>
    <w:rsid w:val="79FE123F"/>
    <w:rsid w:val="7A124B07"/>
    <w:rsid w:val="7A2B7977"/>
    <w:rsid w:val="7A364017"/>
    <w:rsid w:val="7A6449BB"/>
    <w:rsid w:val="7A6A66F1"/>
    <w:rsid w:val="7A761CCB"/>
    <w:rsid w:val="7A8265E1"/>
    <w:rsid w:val="7AAC0AB8"/>
    <w:rsid w:val="7AD61FD9"/>
    <w:rsid w:val="7B023B5E"/>
    <w:rsid w:val="7B0579F4"/>
    <w:rsid w:val="7B2E3BC3"/>
    <w:rsid w:val="7B4B2990"/>
    <w:rsid w:val="7B632266"/>
    <w:rsid w:val="7B686D42"/>
    <w:rsid w:val="7B8220B7"/>
    <w:rsid w:val="7B841746"/>
    <w:rsid w:val="7BA619AB"/>
    <w:rsid w:val="7BA7680B"/>
    <w:rsid w:val="7BBCDF99"/>
    <w:rsid w:val="7BFD3595"/>
    <w:rsid w:val="7C142DB9"/>
    <w:rsid w:val="7C5E3A7A"/>
    <w:rsid w:val="7C661524"/>
    <w:rsid w:val="7C6C5AC7"/>
    <w:rsid w:val="7C6F1179"/>
    <w:rsid w:val="7C6F7D55"/>
    <w:rsid w:val="7C9B5040"/>
    <w:rsid w:val="7CB75805"/>
    <w:rsid w:val="7CC6544B"/>
    <w:rsid w:val="7CDA3A4F"/>
    <w:rsid w:val="7CE64029"/>
    <w:rsid w:val="7D0239FF"/>
    <w:rsid w:val="7D084B43"/>
    <w:rsid w:val="7D0A7855"/>
    <w:rsid w:val="7D0C1CE2"/>
    <w:rsid w:val="7D281D4F"/>
    <w:rsid w:val="7D3905FD"/>
    <w:rsid w:val="7D3E3E65"/>
    <w:rsid w:val="7D4266DB"/>
    <w:rsid w:val="7D480840"/>
    <w:rsid w:val="7D580892"/>
    <w:rsid w:val="7D5D42EC"/>
    <w:rsid w:val="7D5E40CD"/>
    <w:rsid w:val="7D851DEF"/>
    <w:rsid w:val="7D9E0CD0"/>
    <w:rsid w:val="7DB008BF"/>
    <w:rsid w:val="7DC86E40"/>
    <w:rsid w:val="7DCD56F2"/>
    <w:rsid w:val="7DFA5FDE"/>
    <w:rsid w:val="7E05211B"/>
    <w:rsid w:val="7E0568B0"/>
    <w:rsid w:val="7E237C07"/>
    <w:rsid w:val="7E2C7CF9"/>
    <w:rsid w:val="7E3037AE"/>
    <w:rsid w:val="7E3D0C7E"/>
    <w:rsid w:val="7E5D76A5"/>
    <w:rsid w:val="7E7F64E4"/>
    <w:rsid w:val="7E851D4C"/>
    <w:rsid w:val="7EB75C7D"/>
    <w:rsid w:val="7EB77A2B"/>
    <w:rsid w:val="7EC76812"/>
    <w:rsid w:val="7ED72300"/>
    <w:rsid w:val="7EDB7BBE"/>
    <w:rsid w:val="7EF90889"/>
    <w:rsid w:val="7EF96296"/>
    <w:rsid w:val="7EFD0CAB"/>
    <w:rsid w:val="7F001CE7"/>
    <w:rsid w:val="7F01511E"/>
    <w:rsid w:val="7F08297D"/>
    <w:rsid w:val="7F2A644F"/>
    <w:rsid w:val="7F5369AF"/>
    <w:rsid w:val="7F5B2AAD"/>
    <w:rsid w:val="7F6C6A68"/>
    <w:rsid w:val="7F9229B1"/>
    <w:rsid w:val="7F967F89"/>
    <w:rsid w:val="7FA04963"/>
    <w:rsid w:val="7FA84C63"/>
    <w:rsid w:val="7FA97CBC"/>
    <w:rsid w:val="7FAE0E2E"/>
    <w:rsid w:val="7FC543CA"/>
    <w:rsid w:val="7FCC1B10"/>
    <w:rsid w:val="7FE47E50"/>
    <w:rsid w:val="7FF64583"/>
    <w:rsid w:val="7FF8381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39" w:semiHidden="0" w:name="toc 1" w:locked="1"/>
    <w:lsdException w:qFormat="1" w:unhideWhenUsed="0" w:uiPriority="39"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nhideWhenUsed="0" w:uiPriority="0" w:semiHidden="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qFormat="1" w:unhideWhenUsed="0" w:uiPriority="99"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qFormat="1" w:unhideWhenUsed="0" w:uiPriority="0" w:semiHidden="0" w:name="Body Text Indent 2" w:locked="1"/>
    <w:lsdException w:unhideWhenUsed="0" w:uiPriority="0" w:semiHidden="0" w:name="Body Text Indent 3" w:locked="1"/>
    <w:lsdException w:unhideWhenUsed="0" w:uiPriority="0" w:semiHidden="0" w:name="Block Text" w:locked="1"/>
    <w:lsdException w:qFormat="1" w:unhideWhenUsed="0" w:uiPriority="99"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4">
    <w:name w:val="heading 2"/>
    <w:basedOn w:val="1"/>
    <w:next w:val="1"/>
    <w:semiHidden/>
    <w:unhideWhenUsed/>
    <w:qFormat/>
    <w:locked/>
    <w:uiPriority w:val="0"/>
    <w:pPr>
      <w:keepNext/>
      <w:keepLines/>
      <w:numPr>
        <w:ilvl w:val="1"/>
        <w:numId w:val="1"/>
      </w:numPr>
      <w:spacing w:line="413" w:lineRule="auto"/>
      <w:ind w:left="575" w:hanging="575" w:firstLineChars="0"/>
      <w:outlineLvl w:val="1"/>
    </w:pPr>
    <w:rPr>
      <w:rFonts w:ascii="Times New Roman" w:hAnsi="Times New Roman" w:eastAsia="仿宋" w:cstheme="minorBidi"/>
      <w:b/>
      <w:sz w:val="32"/>
      <w:szCs w:val="24"/>
    </w:rPr>
  </w:style>
  <w:style w:type="paragraph" w:styleId="5">
    <w:name w:val="heading 3"/>
    <w:basedOn w:val="1"/>
    <w:next w:val="1"/>
    <w:semiHidden/>
    <w:unhideWhenUsed/>
    <w:qFormat/>
    <w:locked/>
    <w:uiPriority w:val="0"/>
    <w:pPr>
      <w:keepNext/>
      <w:keepLines/>
      <w:numPr>
        <w:ilvl w:val="2"/>
        <w:numId w:val="2"/>
      </w:numPr>
      <w:tabs>
        <w:tab w:val="left" w:pos="420"/>
        <w:tab w:val="clear" w:pos="0"/>
      </w:tabs>
      <w:spacing w:line="413" w:lineRule="auto"/>
      <w:ind w:left="2400" w:hanging="720" w:firstLineChars="0"/>
      <w:outlineLvl w:val="2"/>
    </w:pPr>
    <w:rPr>
      <w:rFonts w:ascii="Times New Roman" w:hAnsi="Times New Roman" w:eastAsia="仿宋" w:cstheme="minorBidi"/>
      <w:b/>
      <w:sz w:val="28"/>
      <w:szCs w:val="24"/>
    </w:rPr>
  </w:style>
  <w:style w:type="character" w:default="1" w:styleId="27">
    <w:name w:val="Default Paragraph Font"/>
    <w:semiHidden/>
    <w:qFormat/>
    <w:uiPriority w:val="0"/>
  </w:style>
  <w:style w:type="table" w:default="1" w:styleId="25">
    <w:name w:val="Normal Table"/>
    <w:autoRedefine/>
    <w:semiHidden/>
    <w:qFormat/>
    <w:uiPriority w:val="0"/>
    <w:tblPr>
      <w:tblCellMar>
        <w:top w:w="0" w:type="dxa"/>
        <w:left w:w="108" w:type="dxa"/>
        <w:bottom w:w="0" w:type="dxa"/>
        <w:right w:w="108" w:type="dxa"/>
      </w:tblCellMar>
    </w:tblPr>
  </w:style>
  <w:style w:type="paragraph" w:styleId="2">
    <w:name w:val="toc 2"/>
    <w:basedOn w:val="1"/>
    <w:next w:val="1"/>
    <w:autoRedefine/>
    <w:qFormat/>
    <w:locked/>
    <w:uiPriority w:val="39"/>
    <w:pPr>
      <w:ind w:left="210"/>
      <w:jc w:val="left"/>
    </w:pPr>
    <w:rPr>
      <w:smallCaps/>
      <w:sz w:val="20"/>
    </w:rPr>
  </w:style>
  <w:style w:type="paragraph" w:styleId="6">
    <w:name w:val="Normal Indent"/>
    <w:basedOn w:val="1"/>
    <w:qFormat/>
    <w:locked/>
    <w:uiPriority w:val="0"/>
    <w:pPr>
      <w:spacing w:line="500" w:lineRule="exact"/>
      <w:ind w:firstLine="480"/>
    </w:pPr>
    <w:rPr>
      <w:rFonts w:ascii="宋体" w:hAnsi="宋体"/>
    </w:rPr>
  </w:style>
  <w:style w:type="paragraph" w:styleId="7">
    <w:name w:val="caption"/>
    <w:basedOn w:val="1"/>
    <w:next w:val="1"/>
    <w:autoRedefine/>
    <w:qFormat/>
    <w:locked/>
    <w:uiPriority w:val="0"/>
    <w:pPr>
      <w:widowControl w:val="0"/>
      <w:tabs>
        <w:tab w:val="center" w:pos="10467"/>
        <w:tab w:val="left" w:pos="13095"/>
      </w:tabs>
      <w:spacing w:beforeLines="25" w:afterLines="25"/>
      <w:jc w:val="center"/>
    </w:pPr>
    <w:rPr>
      <w:rFonts w:ascii="Arial" w:hAnsi="Arial" w:eastAsia="宋体" w:cs="Times New Roman"/>
      <w:b/>
      <w:kern w:val="0"/>
      <w:sz w:val="24"/>
      <w:szCs w:val="20"/>
    </w:rPr>
  </w:style>
  <w:style w:type="paragraph" w:styleId="8">
    <w:name w:val="annotation text"/>
    <w:basedOn w:val="1"/>
    <w:link w:val="37"/>
    <w:autoRedefine/>
    <w:semiHidden/>
    <w:qFormat/>
    <w:uiPriority w:val="0"/>
    <w:pPr>
      <w:jc w:val="left"/>
    </w:pPr>
    <w:rPr>
      <w:kern w:val="0"/>
      <w:sz w:val="24"/>
      <w:szCs w:val="20"/>
    </w:rPr>
  </w:style>
  <w:style w:type="paragraph" w:styleId="9">
    <w:name w:val="Body Text"/>
    <w:basedOn w:val="1"/>
    <w:link w:val="38"/>
    <w:autoRedefine/>
    <w:qFormat/>
    <w:uiPriority w:val="0"/>
    <w:pPr>
      <w:widowControl/>
      <w:snapToGrid w:val="0"/>
      <w:spacing w:before="60" w:after="160" w:line="259" w:lineRule="auto"/>
      <w:ind w:right="113"/>
    </w:pPr>
    <w:rPr>
      <w:kern w:val="0"/>
      <w:sz w:val="18"/>
      <w:szCs w:val="20"/>
    </w:rPr>
  </w:style>
  <w:style w:type="paragraph" w:styleId="10">
    <w:name w:val="Body Text Indent"/>
    <w:basedOn w:val="1"/>
    <w:link w:val="39"/>
    <w:autoRedefine/>
    <w:qFormat/>
    <w:uiPriority w:val="0"/>
    <w:pPr>
      <w:spacing w:after="120"/>
      <w:ind w:left="420" w:leftChars="200"/>
    </w:pPr>
    <w:rPr>
      <w:kern w:val="0"/>
      <w:sz w:val="24"/>
      <w:szCs w:val="20"/>
    </w:rPr>
  </w:style>
  <w:style w:type="paragraph" w:styleId="11">
    <w:name w:val="Plain Text"/>
    <w:basedOn w:val="1"/>
    <w:next w:val="12"/>
    <w:autoRedefine/>
    <w:qFormat/>
    <w:locked/>
    <w:uiPriority w:val="0"/>
    <w:pPr>
      <w:widowControl/>
      <w:spacing w:before="100" w:beforeAutospacing="1" w:after="100" w:afterAutospacing="1"/>
      <w:jc w:val="left"/>
    </w:pPr>
    <w:rPr>
      <w:rFonts w:ascii="宋体" w:hAnsi="宋体"/>
      <w:kern w:val="0"/>
      <w:sz w:val="24"/>
    </w:rPr>
  </w:style>
  <w:style w:type="paragraph" w:styleId="12">
    <w:name w:val="toc 1"/>
    <w:basedOn w:val="1"/>
    <w:next w:val="1"/>
    <w:qFormat/>
    <w:locked/>
    <w:uiPriority w:val="39"/>
    <w:pPr>
      <w:tabs>
        <w:tab w:val="right" w:leader="dot" w:pos="8435"/>
        <w:tab w:val="right" w:leader="dot" w:pos="8466"/>
        <w:tab w:val="right" w:leader="dot" w:pos="8949"/>
      </w:tabs>
      <w:jc w:val="left"/>
    </w:pPr>
    <w:rPr>
      <w:bCs/>
      <w:caps/>
      <w:kern w:val="44"/>
      <w:sz w:val="28"/>
      <w:szCs w:val="28"/>
    </w:rPr>
  </w:style>
  <w:style w:type="paragraph" w:styleId="13">
    <w:name w:val="Date"/>
    <w:basedOn w:val="1"/>
    <w:next w:val="1"/>
    <w:link w:val="40"/>
    <w:autoRedefine/>
    <w:qFormat/>
    <w:uiPriority w:val="0"/>
    <w:pPr>
      <w:ind w:left="100" w:leftChars="2500"/>
    </w:pPr>
    <w:rPr>
      <w:kern w:val="0"/>
      <w:sz w:val="24"/>
      <w:szCs w:val="20"/>
    </w:rPr>
  </w:style>
  <w:style w:type="paragraph" w:styleId="14">
    <w:name w:val="Body Text Indent 2"/>
    <w:basedOn w:val="1"/>
    <w:next w:val="1"/>
    <w:autoRedefine/>
    <w:qFormat/>
    <w:locked/>
    <w:uiPriority w:val="0"/>
    <w:pPr>
      <w:adjustRightInd w:val="0"/>
      <w:snapToGrid w:val="0"/>
      <w:spacing w:line="360" w:lineRule="auto"/>
      <w:ind w:firstLine="1944" w:firstLineChars="1080"/>
    </w:pPr>
    <w:rPr>
      <w:sz w:val="18"/>
    </w:rPr>
  </w:style>
  <w:style w:type="paragraph" w:styleId="15">
    <w:name w:val="Balloon Text"/>
    <w:basedOn w:val="1"/>
    <w:link w:val="41"/>
    <w:autoRedefine/>
    <w:semiHidden/>
    <w:qFormat/>
    <w:uiPriority w:val="0"/>
    <w:rPr>
      <w:kern w:val="0"/>
      <w:sz w:val="18"/>
      <w:szCs w:val="20"/>
    </w:rPr>
  </w:style>
  <w:style w:type="paragraph" w:styleId="16">
    <w:name w:val="footer"/>
    <w:basedOn w:val="1"/>
    <w:link w:val="42"/>
    <w:autoRedefine/>
    <w:qFormat/>
    <w:uiPriority w:val="99"/>
    <w:pPr>
      <w:tabs>
        <w:tab w:val="center" w:pos="4153"/>
        <w:tab w:val="right" w:pos="8306"/>
      </w:tabs>
      <w:snapToGrid w:val="0"/>
      <w:jc w:val="left"/>
    </w:pPr>
    <w:rPr>
      <w:kern w:val="0"/>
      <w:sz w:val="18"/>
      <w:szCs w:val="20"/>
    </w:rPr>
  </w:style>
  <w:style w:type="paragraph" w:styleId="17">
    <w:name w:val="header"/>
    <w:basedOn w:val="1"/>
    <w:next w:val="18"/>
    <w:link w:val="43"/>
    <w:autoRedefine/>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18">
    <w:name w:val="样式5"/>
    <w:basedOn w:val="6"/>
    <w:qFormat/>
    <w:uiPriority w:val="0"/>
    <w:pPr>
      <w:snapToGrid w:val="0"/>
      <w:spacing w:line="360" w:lineRule="auto"/>
      <w:ind w:firstLine="510"/>
    </w:pPr>
    <w:rPr>
      <w:sz w:val="24"/>
    </w:rPr>
  </w:style>
  <w:style w:type="paragraph" w:styleId="19">
    <w:name w:val="List"/>
    <w:basedOn w:val="1"/>
    <w:autoRedefine/>
    <w:qFormat/>
    <w:locked/>
    <w:uiPriority w:val="0"/>
    <w:pPr>
      <w:spacing w:line="360" w:lineRule="auto"/>
    </w:pPr>
    <w:rPr>
      <w:sz w:val="24"/>
      <w:szCs w:val="20"/>
    </w:rPr>
  </w:style>
  <w:style w:type="paragraph" w:styleId="20">
    <w:name w:val="Message Header"/>
    <w:basedOn w:val="1"/>
    <w:qFormat/>
    <w:locked/>
    <w:uiPriority w:val="99"/>
    <w:pPr>
      <w:widowControl/>
      <w:pBdr>
        <w:top w:val="single" w:color="auto" w:sz="6" w:space="1"/>
        <w:left w:val="single" w:color="auto" w:sz="6" w:space="1"/>
        <w:bottom w:val="single" w:color="auto" w:sz="6" w:space="1"/>
        <w:right w:val="single" w:color="auto" w:sz="6" w:space="1"/>
      </w:pBdr>
      <w:shd w:val="pct20" w:color="auto" w:fill="auto"/>
      <w:spacing w:line="520" w:lineRule="exact"/>
      <w:ind w:left="1080" w:leftChars="500" w:hanging="1080" w:hangingChars="500"/>
    </w:pPr>
    <w:rPr>
      <w:rFonts w:ascii="Arial" w:hAnsi="Arial"/>
      <w:bCs/>
      <w:szCs w:val="24"/>
    </w:rPr>
  </w:style>
  <w:style w:type="paragraph" w:styleId="21">
    <w:name w:val="Normal (Web)"/>
    <w:basedOn w:val="1"/>
    <w:next w:val="1"/>
    <w:link w:val="44"/>
    <w:autoRedefine/>
    <w:qFormat/>
    <w:uiPriority w:val="0"/>
    <w:pPr>
      <w:widowControl/>
      <w:spacing w:before="100" w:beforeAutospacing="1" w:after="100" w:afterAutospacing="1"/>
      <w:jc w:val="left"/>
    </w:pPr>
    <w:rPr>
      <w:rFonts w:ascii="宋体" w:hAnsi="宋体"/>
      <w:kern w:val="0"/>
      <w:sz w:val="24"/>
      <w:szCs w:val="20"/>
    </w:rPr>
  </w:style>
  <w:style w:type="paragraph" w:styleId="22">
    <w:name w:val="annotation subject"/>
    <w:basedOn w:val="8"/>
    <w:next w:val="8"/>
    <w:link w:val="45"/>
    <w:autoRedefine/>
    <w:semiHidden/>
    <w:qFormat/>
    <w:uiPriority w:val="0"/>
    <w:rPr>
      <w:b/>
      <w:sz w:val="24"/>
      <w:szCs w:val="20"/>
    </w:rPr>
  </w:style>
  <w:style w:type="paragraph" w:styleId="23">
    <w:name w:val="Body Text First Indent"/>
    <w:basedOn w:val="9"/>
    <w:qFormat/>
    <w:locked/>
    <w:uiPriority w:val="0"/>
    <w:pPr>
      <w:spacing w:after="120" w:line="240" w:lineRule="auto"/>
      <w:ind w:firstLine="420" w:firstLineChars="100"/>
    </w:pPr>
    <w:rPr>
      <w:rFonts w:ascii="Times New Roman" w:eastAsia="宋体"/>
      <w:sz w:val="21"/>
    </w:rPr>
  </w:style>
  <w:style w:type="paragraph" w:styleId="24">
    <w:name w:val="Body Text First Indent 2"/>
    <w:basedOn w:val="10"/>
    <w:next w:val="23"/>
    <w:qFormat/>
    <w:locked/>
    <w:uiPriority w:val="0"/>
    <w:pPr>
      <w:spacing w:after="120" w:line="240" w:lineRule="auto"/>
      <w:ind w:left="420" w:firstLine="420"/>
    </w:pPr>
    <w:rPr>
      <w:sz w:val="21"/>
    </w:rPr>
  </w:style>
  <w:style w:type="table" w:styleId="26">
    <w:name w:val="Table Grid"/>
    <w:basedOn w:val="25"/>
    <w:autoRedefine/>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locked/>
    <w:uiPriority w:val="0"/>
    <w:rPr>
      <w:b/>
    </w:rPr>
  </w:style>
  <w:style w:type="character" w:styleId="29">
    <w:name w:val="page number"/>
    <w:basedOn w:val="27"/>
    <w:autoRedefine/>
    <w:qFormat/>
    <w:locked/>
    <w:uiPriority w:val="0"/>
  </w:style>
  <w:style w:type="character" w:styleId="30">
    <w:name w:val="Hyperlink"/>
    <w:autoRedefine/>
    <w:qFormat/>
    <w:locked/>
    <w:uiPriority w:val="99"/>
    <w:rPr>
      <w:color w:val="136EC2"/>
      <w:u w:val="single"/>
    </w:rPr>
  </w:style>
  <w:style w:type="character" w:styleId="31">
    <w:name w:val="annotation reference"/>
    <w:autoRedefine/>
    <w:semiHidden/>
    <w:qFormat/>
    <w:uiPriority w:val="0"/>
    <w:rPr>
      <w:sz w:val="21"/>
    </w:rPr>
  </w:style>
  <w:style w:type="paragraph" w:customStyle="1" w:styleId="32">
    <w:name w:val="样式 正文11 + 首行缩进:  2 字符"/>
    <w:basedOn w:val="33"/>
    <w:autoRedefine/>
    <w:qFormat/>
    <w:uiPriority w:val="0"/>
    <w:pPr>
      <w:spacing w:line="500" w:lineRule="exact"/>
      <w:ind w:firstLine="560" w:firstLineChars="200"/>
    </w:pPr>
    <w:rPr>
      <w:rFonts w:ascii="宋体" w:hAnsi="宋体" w:cs="宋体"/>
      <w:color w:val="FF0000"/>
      <w:sz w:val="28"/>
      <w:szCs w:val="20"/>
    </w:rPr>
  </w:style>
  <w:style w:type="paragraph" w:customStyle="1" w:styleId="33">
    <w:name w:val="O.K.1"/>
    <w:basedOn w:val="4"/>
    <w:qFormat/>
    <w:uiPriority w:val="0"/>
    <w:pPr>
      <w:ind w:firstLine="482"/>
    </w:pPr>
  </w:style>
  <w:style w:type="paragraph" w:customStyle="1" w:styleId="34">
    <w:name w:val="列出段落1"/>
    <w:basedOn w:val="1"/>
    <w:autoRedefine/>
    <w:qFormat/>
    <w:uiPriority w:val="99"/>
    <w:pPr>
      <w:widowControl/>
      <w:ind w:firstLine="420" w:firstLineChars="200"/>
    </w:pPr>
    <w:rPr>
      <w:rFonts w:ascii="Calibri" w:hAnsi="Calibri"/>
      <w:szCs w:val="20"/>
    </w:rPr>
  </w:style>
  <w:style w:type="paragraph" w:customStyle="1" w:styleId="35">
    <w:name w:val="Default"/>
    <w:basedOn w:val="36"/>
    <w:autoRedefine/>
    <w:qFormat/>
    <w:uiPriority w:val="0"/>
    <w:pPr>
      <w:widowControl w:val="0"/>
      <w:autoSpaceDE w:val="0"/>
      <w:autoSpaceDN w:val="0"/>
      <w:adjustRightInd w:val="0"/>
    </w:pPr>
    <w:rPr>
      <w:rFonts w:ascii="仿宋_GB2312" w:eastAsia="仿宋_GB2312" w:cs="仿宋_GB2312"/>
      <w:color w:val="000000"/>
      <w:sz w:val="24"/>
      <w:szCs w:val="24"/>
      <w:lang w:val="en-US" w:eastAsia="zh-CN" w:bidi="ar-SA"/>
    </w:rPr>
  </w:style>
  <w:style w:type="paragraph" w:customStyle="1" w:styleId="36">
    <w:name w:val="纯文本1"/>
    <w:basedOn w:val="1"/>
    <w:autoRedefine/>
    <w:qFormat/>
    <w:uiPriority w:val="0"/>
    <w:pPr>
      <w:adjustRightInd w:val="0"/>
    </w:pPr>
    <w:rPr>
      <w:rFonts w:ascii="宋体" w:hAnsi="Courier New"/>
      <w:szCs w:val="20"/>
    </w:rPr>
  </w:style>
  <w:style w:type="character" w:customStyle="1" w:styleId="37">
    <w:name w:val="批注文字 Char"/>
    <w:link w:val="8"/>
    <w:autoRedefine/>
    <w:qFormat/>
    <w:locked/>
    <w:uiPriority w:val="0"/>
    <w:rPr>
      <w:rFonts w:ascii="Times New Roman" w:hAnsi="Times New Roman" w:eastAsia="宋体"/>
      <w:sz w:val="24"/>
    </w:rPr>
  </w:style>
  <w:style w:type="character" w:customStyle="1" w:styleId="38">
    <w:name w:val="正文文本 Char"/>
    <w:link w:val="9"/>
    <w:autoRedefine/>
    <w:qFormat/>
    <w:locked/>
    <w:uiPriority w:val="0"/>
    <w:rPr>
      <w:sz w:val="18"/>
    </w:rPr>
  </w:style>
  <w:style w:type="character" w:customStyle="1" w:styleId="39">
    <w:name w:val="正文文本缩进 Char"/>
    <w:link w:val="10"/>
    <w:autoRedefine/>
    <w:semiHidden/>
    <w:qFormat/>
    <w:locked/>
    <w:uiPriority w:val="0"/>
    <w:rPr>
      <w:rFonts w:ascii="Times New Roman" w:hAnsi="Times New Roman" w:eastAsia="宋体"/>
      <w:sz w:val="24"/>
    </w:rPr>
  </w:style>
  <w:style w:type="character" w:customStyle="1" w:styleId="40">
    <w:name w:val="日期 Char"/>
    <w:link w:val="13"/>
    <w:autoRedefine/>
    <w:qFormat/>
    <w:locked/>
    <w:uiPriority w:val="0"/>
    <w:rPr>
      <w:rFonts w:ascii="Times New Roman" w:hAnsi="Times New Roman" w:eastAsia="宋体"/>
      <w:sz w:val="24"/>
    </w:rPr>
  </w:style>
  <w:style w:type="character" w:customStyle="1" w:styleId="41">
    <w:name w:val="批注框文本 Char"/>
    <w:link w:val="15"/>
    <w:autoRedefine/>
    <w:semiHidden/>
    <w:qFormat/>
    <w:locked/>
    <w:uiPriority w:val="0"/>
    <w:rPr>
      <w:rFonts w:ascii="Times New Roman" w:hAnsi="Times New Roman" w:eastAsia="宋体"/>
      <w:sz w:val="18"/>
    </w:rPr>
  </w:style>
  <w:style w:type="character" w:customStyle="1" w:styleId="42">
    <w:name w:val="页脚 Char"/>
    <w:link w:val="16"/>
    <w:autoRedefine/>
    <w:qFormat/>
    <w:locked/>
    <w:uiPriority w:val="99"/>
    <w:rPr>
      <w:sz w:val="18"/>
    </w:rPr>
  </w:style>
  <w:style w:type="character" w:customStyle="1" w:styleId="43">
    <w:name w:val="页眉 Char"/>
    <w:link w:val="17"/>
    <w:autoRedefine/>
    <w:qFormat/>
    <w:locked/>
    <w:uiPriority w:val="0"/>
    <w:rPr>
      <w:sz w:val="18"/>
    </w:rPr>
  </w:style>
  <w:style w:type="character" w:customStyle="1" w:styleId="44">
    <w:name w:val="普通(网站) Char"/>
    <w:link w:val="21"/>
    <w:autoRedefine/>
    <w:qFormat/>
    <w:locked/>
    <w:uiPriority w:val="0"/>
    <w:rPr>
      <w:rFonts w:ascii="宋体" w:hAnsi="宋体" w:eastAsia="宋体"/>
      <w:sz w:val="24"/>
    </w:rPr>
  </w:style>
  <w:style w:type="character" w:customStyle="1" w:styleId="45">
    <w:name w:val="批注主题 Char"/>
    <w:link w:val="22"/>
    <w:autoRedefine/>
    <w:semiHidden/>
    <w:qFormat/>
    <w:locked/>
    <w:uiPriority w:val="0"/>
    <w:rPr>
      <w:rFonts w:ascii="Times New Roman" w:hAnsi="Times New Roman" w:eastAsia="宋体"/>
      <w:b/>
      <w:kern w:val="2"/>
      <w:sz w:val="24"/>
    </w:rPr>
  </w:style>
  <w:style w:type="character" w:customStyle="1" w:styleId="46">
    <w:name w:val="页脚 字符"/>
    <w:basedOn w:val="27"/>
    <w:autoRedefine/>
    <w:qFormat/>
    <w:uiPriority w:val="99"/>
  </w:style>
  <w:style w:type="character" w:customStyle="1" w:styleId="47">
    <w:name w:val="正文文本 字符1"/>
    <w:autoRedefine/>
    <w:semiHidden/>
    <w:qFormat/>
    <w:uiPriority w:val="0"/>
    <w:rPr>
      <w:rFonts w:ascii="Times New Roman" w:hAnsi="Times New Roman" w:eastAsia="宋体"/>
      <w:sz w:val="24"/>
    </w:rPr>
  </w:style>
  <w:style w:type="character" w:customStyle="1" w:styleId="48">
    <w:name w:val="表格 Char"/>
    <w:link w:val="49"/>
    <w:autoRedefine/>
    <w:qFormat/>
    <w:locked/>
    <w:uiPriority w:val="0"/>
    <w:rPr>
      <w:rFonts w:ascii="宋体"/>
      <w:sz w:val="21"/>
    </w:rPr>
  </w:style>
  <w:style w:type="paragraph" w:customStyle="1" w:styleId="49">
    <w:name w:val="表格"/>
    <w:basedOn w:val="50"/>
    <w:next w:val="1"/>
    <w:link w:val="48"/>
    <w:autoRedefine/>
    <w:qFormat/>
    <w:uiPriority w:val="0"/>
    <w:pPr>
      <w:adjustRightInd w:val="0"/>
      <w:snapToGrid w:val="0"/>
      <w:spacing w:beforeLines="10" w:afterLines="10" w:line="259" w:lineRule="auto"/>
      <w:jc w:val="center"/>
    </w:pPr>
    <w:rPr>
      <w:rFonts w:ascii="宋体"/>
      <w:kern w:val="0"/>
      <w:szCs w:val="20"/>
    </w:rPr>
  </w:style>
  <w:style w:type="paragraph" w:customStyle="1" w:styleId="50">
    <w:name w:val="表格格式"/>
    <w:basedOn w:val="1"/>
    <w:qFormat/>
    <w:uiPriority w:val="99"/>
    <w:rPr>
      <w:rFonts w:ascii="仿宋_GB2312" w:hAnsi="Times New Roman" w:eastAsia="仿宋_GB2312"/>
      <w:bCs/>
      <w:color w:val="000000"/>
      <w:sz w:val="21"/>
      <w:szCs w:val="21"/>
      <w:lang w:eastAsia="zh-CN"/>
    </w:rPr>
  </w:style>
  <w:style w:type="character" w:customStyle="1" w:styleId="51">
    <w:name w:val="日期 字符"/>
    <w:autoRedefine/>
    <w:semiHidden/>
    <w:qFormat/>
    <w:uiPriority w:val="0"/>
    <w:rPr>
      <w:rFonts w:ascii="Times New Roman" w:hAnsi="Times New Roman" w:eastAsia="宋体"/>
      <w:sz w:val="24"/>
    </w:rPr>
  </w:style>
  <w:style w:type="character" w:customStyle="1" w:styleId="52">
    <w:name w:val="批注文字 字符1"/>
    <w:autoRedefine/>
    <w:semiHidden/>
    <w:qFormat/>
    <w:uiPriority w:val="0"/>
    <w:rPr>
      <w:rFonts w:ascii="Times New Roman" w:hAnsi="Times New Roman" w:eastAsia="宋体"/>
      <w:sz w:val="24"/>
    </w:rPr>
  </w:style>
  <w:style w:type="paragraph" w:customStyle="1" w:styleId="53">
    <w:name w:val="正文_1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4">
    <w:name w:val="普通(网站)2"/>
    <w:basedOn w:val="1"/>
    <w:autoRedefine/>
    <w:qFormat/>
    <w:uiPriority w:val="0"/>
    <w:pPr>
      <w:widowControl/>
      <w:spacing w:before="100" w:beforeAutospacing="1" w:after="100" w:afterAutospacing="1"/>
      <w:jc w:val="left"/>
    </w:pPr>
    <w:rPr>
      <w:rFonts w:ascii="宋体" w:hAnsi="宋体"/>
      <w:sz w:val="24"/>
      <w:szCs w:val="20"/>
    </w:rPr>
  </w:style>
  <w:style w:type="paragraph" w:customStyle="1" w:styleId="55">
    <w:name w:val="表标题"/>
    <w:basedOn w:val="7"/>
    <w:autoRedefine/>
    <w:qFormat/>
    <w:uiPriority w:val="0"/>
    <w:pPr>
      <w:widowControl/>
      <w:spacing w:line="0" w:lineRule="atLeast"/>
      <w:jc w:val="center"/>
    </w:pPr>
    <w:rPr>
      <w:rFonts w:ascii="Times New Roman" w:hAnsi="Times New Roman" w:eastAsia="宋体"/>
      <w:color w:val="000000"/>
      <w:kern w:val="0"/>
      <w:szCs w:val="21"/>
      <w:u w:val="single" w:color="000000"/>
    </w:rPr>
  </w:style>
  <w:style w:type="character" w:customStyle="1" w:styleId="56">
    <w:name w:val="font01"/>
    <w:basedOn w:val="27"/>
    <w:autoRedefine/>
    <w:qFormat/>
    <w:uiPriority w:val="0"/>
    <w:rPr>
      <w:rFonts w:hint="eastAsia" w:ascii="宋体" w:hAnsi="宋体" w:eastAsia="宋体" w:cs="宋体"/>
      <w:color w:val="000000"/>
      <w:sz w:val="21"/>
      <w:szCs w:val="21"/>
      <w:u w:val="none"/>
    </w:rPr>
  </w:style>
  <w:style w:type="paragraph" w:customStyle="1" w:styleId="57">
    <w:name w:val="表内5S"/>
    <w:basedOn w:val="1"/>
    <w:autoRedefine/>
    <w:qFormat/>
    <w:uiPriority w:val="0"/>
    <w:pPr>
      <w:spacing w:line="300" w:lineRule="atLeast"/>
      <w:ind w:firstLine="0" w:firstLineChars="0"/>
      <w:jc w:val="center"/>
    </w:pPr>
    <w:rPr>
      <w:rFonts w:eastAsia="方正宋三简体"/>
      <w:sz w:val="21"/>
      <w:szCs w:val="20"/>
    </w:rPr>
  </w:style>
  <w:style w:type="paragraph" w:customStyle="1" w:styleId="58">
    <w:name w:val="Re-正文"/>
    <w:basedOn w:val="1"/>
    <w:autoRedefine/>
    <w:qFormat/>
    <w:uiPriority w:val="3"/>
    <w:pPr>
      <w:spacing w:line="360" w:lineRule="auto"/>
      <w:ind w:firstLine="200" w:firstLineChars="200"/>
    </w:pPr>
    <w:rPr>
      <w:kern w:val="0"/>
      <w:sz w:val="24"/>
      <w:szCs w:val="24"/>
    </w:rPr>
  </w:style>
  <w:style w:type="paragraph" w:customStyle="1" w:styleId="59">
    <w:name w:val="管业正文"/>
    <w:basedOn w:val="1"/>
    <w:autoRedefine/>
    <w:qFormat/>
    <w:uiPriority w:val="0"/>
    <w:pPr>
      <w:spacing w:line="360" w:lineRule="auto"/>
      <w:ind w:firstLine="480" w:firstLineChars="200"/>
    </w:pPr>
    <w:rPr>
      <w:rFonts w:ascii="宋体" w:hAnsi="宋体"/>
      <w:szCs w:val="24"/>
    </w:rPr>
  </w:style>
  <w:style w:type="paragraph" w:customStyle="1" w:styleId="60">
    <w:name w:val="环保表头"/>
    <w:autoRedefine/>
    <w:unhideWhenUsed/>
    <w:qFormat/>
    <w:uiPriority w:val="0"/>
    <w:pPr>
      <w:adjustRightInd w:val="0"/>
      <w:snapToGrid w:val="0"/>
      <w:jc w:val="center"/>
    </w:pPr>
    <w:rPr>
      <w:rFonts w:ascii="Times New Roman" w:hAnsi="Times New Roman" w:eastAsia="仿宋" w:cs="Times New Roman"/>
      <w:b/>
      <w:sz w:val="24"/>
      <w:szCs w:val="22"/>
      <w:lang w:val="en-US" w:eastAsia="zh-CN" w:bidi="ar-SA"/>
    </w:rPr>
  </w:style>
  <w:style w:type="character" w:customStyle="1" w:styleId="61">
    <w:name w:val="font21"/>
    <w:autoRedefine/>
    <w:qFormat/>
    <w:uiPriority w:val="0"/>
    <w:rPr>
      <w:rFonts w:hint="default" w:ascii="Times New Roman" w:hAnsi="Times New Roman" w:cs="Times New Roman"/>
      <w:color w:val="000000"/>
      <w:sz w:val="21"/>
      <w:szCs w:val="21"/>
      <w:u w:val="none"/>
    </w:rPr>
  </w:style>
  <w:style w:type="paragraph" w:customStyle="1" w:styleId="62">
    <w:name w:val="样式 博士论文标题2 + 段前: 0.2 行 段后: 0.2 行"/>
    <w:basedOn w:val="1"/>
    <w:autoRedefine/>
    <w:qFormat/>
    <w:uiPriority w:val="0"/>
    <w:pPr>
      <w:widowControl/>
      <w:spacing w:before="20" w:beforeLines="20" w:after="20" w:afterLines="20"/>
      <w:jc w:val="left"/>
    </w:pPr>
    <w:rPr>
      <w:rFonts w:ascii="宋体" w:hAnsi="宋体" w:eastAsia="黑体" w:cs="宋体"/>
      <w:kern w:val="0"/>
      <w:sz w:val="28"/>
      <w:szCs w:val="28"/>
    </w:rPr>
  </w:style>
  <w:style w:type="paragraph" w:customStyle="1" w:styleId="63">
    <w:name w:val="【正文】"/>
    <w:basedOn w:val="1"/>
    <w:next w:val="20"/>
    <w:autoRedefine/>
    <w:qFormat/>
    <w:uiPriority w:val="0"/>
    <w:pPr>
      <w:spacing w:line="480" w:lineRule="exact"/>
      <w:ind w:firstLine="200" w:firstLineChars="200"/>
    </w:pPr>
    <w:rPr>
      <w:sz w:val="28"/>
    </w:rPr>
  </w:style>
  <w:style w:type="paragraph" w:customStyle="1" w:styleId="64">
    <w:name w:val="bgb表头"/>
    <w:basedOn w:val="1"/>
    <w:next w:val="1"/>
    <w:autoRedefine/>
    <w:qFormat/>
    <w:uiPriority w:val="0"/>
    <w:pPr>
      <w:numPr>
        <w:ilvl w:val="0"/>
        <w:numId w:val="3"/>
      </w:numPr>
      <w:adjustRightInd w:val="0"/>
      <w:snapToGrid w:val="0"/>
      <w:ind w:left="0" w:firstLine="0"/>
      <w:contextualSpacing/>
      <w:jc w:val="center"/>
    </w:pPr>
    <w:rPr>
      <w:color w:val="000000"/>
      <w:kern w:val="0"/>
      <w:szCs w:val="21"/>
    </w:rPr>
  </w:style>
  <w:style w:type="paragraph" w:customStyle="1" w:styleId="65">
    <w:name w:val="【表中文字】"/>
    <w:basedOn w:val="1"/>
    <w:autoRedefine/>
    <w:qFormat/>
    <w:uiPriority w:val="0"/>
    <w:pPr>
      <w:jc w:val="center"/>
    </w:pPr>
  </w:style>
  <w:style w:type="character" w:customStyle="1" w:styleId="66">
    <w:name w:val="font31"/>
    <w:autoRedefine/>
    <w:qFormat/>
    <w:uiPriority w:val="0"/>
    <w:rPr>
      <w:rFonts w:hint="eastAsia" w:ascii="宋体" w:hAnsi="宋体" w:eastAsia="宋体" w:cs="宋体"/>
      <w:color w:val="000000"/>
      <w:sz w:val="20"/>
      <w:szCs w:val="20"/>
      <w:u w:val="none"/>
      <w:vertAlign w:val="superscript"/>
    </w:rPr>
  </w:style>
  <w:style w:type="character" w:customStyle="1" w:styleId="67">
    <w:name w:val="font11"/>
    <w:autoRedefine/>
    <w:qFormat/>
    <w:uiPriority w:val="0"/>
    <w:rPr>
      <w:rFonts w:hint="eastAsia" w:ascii="宋体" w:hAnsi="宋体" w:eastAsia="宋体" w:cs="宋体"/>
      <w:color w:val="000000"/>
      <w:sz w:val="20"/>
      <w:szCs w:val="20"/>
      <w:u w:val="none"/>
    </w:rPr>
  </w:style>
  <w:style w:type="paragraph" w:customStyle="1" w:styleId="68">
    <w:name w:val="表内标题2"/>
    <w:basedOn w:val="1"/>
    <w:autoRedefine/>
    <w:qFormat/>
    <w:uiPriority w:val="0"/>
    <w:pPr>
      <w:numPr>
        <w:ilvl w:val="0"/>
        <w:numId w:val="0"/>
      </w:numPr>
      <w:ind w:firstLine="0" w:firstLineChars="0"/>
    </w:pPr>
    <w:rPr>
      <w:rFonts w:ascii="Times New Roman" w:hAnsi="Times New Roman" w:eastAsia="宋体"/>
      <w:b/>
      <w:sz w:val="28"/>
    </w:rPr>
  </w:style>
  <w:style w:type="paragraph" w:customStyle="1" w:styleId="69">
    <w:name w:val="pa-17"/>
    <w:basedOn w:val="1"/>
    <w:autoRedefine/>
    <w:qFormat/>
    <w:uiPriority w:val="0"/>
    <w:pPr>
      <w:widowControl/>
      <w:spacing w:before="150" w:after="150"/>
      <w:jc w:val="left"/>
    </w:pPr>
    <w:rPr>
      <w:rFonts w:ascii="宋体" w:hAnsi="宋体" w:cs="宋体"/>
      <w:kern w:val="0"/>
      <w:sz w:val="24"/>
      <w:szCs w:val="24"/>
    </w:rPr>
  </w:style>
  <w:style w:type="paragraph" w:customStyle="1" w:styleId="70">
    <w:name w:val="博士论文正文"/>
    <w:basedOn w:val="1"/>
    <w:autoRedefine/>
    <w:qFormat/>
    <w:uiPriority w:val="0"/>
    <w:pPr>
      <w:snapToGrid w:val="0"/>
      <w:spacing w:beforeLines="20" w:afterLines="20" w:line="360" w:lineRule="auto"/>
      <w:ind w:firstLine="200" w:firstLineChars="200"/>
    </w:pPr>
    <w:rPr>
      <w:sz w:val="24"/>
    </w:rPr>
  </w:style>
  <w:style w:type="paragraph" w:customStyle="1" w:styleId="71">
    <w:name w:val="0正文"/>
    <w:basedOn w:val="1"/>
    <w:autoRedefine/>
    <w:qFormat/>
    <w:uiPriority w:val="99"/>
    <w:pPr>
      <w:jc w:val="left"/>
    </w:pPr>
    <w:rPr>
      <w:color w:val="0000FF"/>
      <w:sz w:val="24"/>
    </w:rPr>
  </w:style>
  <w:style w:type="paragraph" w:customStyle="1" w:styleId="72">
    <w:name w:val="表头"/>
    <w:basedOn w:val="73"/>
    <w:next w:val="1"/>
    <w:autoRedefine/>
    <w:qFormat/>
    <w:uiPriority w:val="0"/>
    <w:pPr>
      <w:numPr>
        <w:ilvl w:val="0"/>
        <w:numId w:val="4"/>
      </w:numPr>
      <w:spacing w:line="240" w:lineRule="auto"/>
      <w:ind w:left="0" w:firstLine="0" w:firstLineChars="0"/>
      <w:jc w:val="center"/>
    </w:pPr>
    <w:rPr>
      <w:rFonts w:ascii="Times New Roman" w:hAnsi="Times New Roman" w:eastAsia="宋体" w:cs="Times New Roman"/>
      <w:b/>
      <w:bCs/>
      <w:sz w:val="24"/>
      <w:szCs w:val="24"/>
    </w:rPr>
  </w:style>
  <w:style w:type="paragraph" w:customStyle="1" w:styleId="73">
    <w:name w:val="内容"/>
    <w:basedOn w:val="1"/>
    <w:qFormat/>
    <w:uiPriority w:val="0"/>
    <w:pPr>
      <w:spacing w:line="360" w:lineRule="auto"/>
      <w:ind w:firstLine="454"/>
    </w:pPr>
    <w:rPr>
      <w:sz w:val="24"/>
    </w:rPr>
  </w:style>
  <w:style w:type="paragraph" w:customStyle="1" w:styleId="74">
    <w:name w:val="表格后"/>
    <w:basedOn w:val="1"/>
    <w:qFormat/>
    <w:uiPriority w:val="0"/>
    <w:pPr>
      <w:spacing w:line="240" w:lineRule="auto"/>
      <w:ind w:firstLine="482" w:firstLineChars="200"/>
    </w:pPr>
    <w:rPr>
      <w:rFonts w:ascii="Times New Roman" w:hAnsi="Times New Roman" w:eastAsia="宋体"/>
      <w:b/>
      <w:snapToGrid w:val="0"/>
      <w:color w:val="auto"/>
      <w:kern w:val="0"/>
      <w:sz w:val="18"/>
      <w:szCs w:val="28"/>
    </w:rPr>
  </w:style>
  <w:style w:type="table" w:customStyle="1" w:styleId="75">
    <w:name w:val="表格式4"/>
    <w:basedOn w:val="25"/>
    <w:qFormat/>
    <w:uiPriority w:val="59"/>
    <w:pPr>
      <w:widowControl w:val="0"/>
      <w:spacing w:before="120" w:after="120" w:line="360" w:lineRule="exact"/>
      <w:ind w:firstLine="482"/>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6">
    <w:name w:val="晓丹"/>
    <w:basedOn w:val="23"/>
    <w:qFormat/>
    <w:uiPriority w:val="0"/>
    <w:pPr>
      <w:adjustRightInd w:val="0"/>
      <w:snapToGrid w:val="0"/>
      <w:spacing w:after="0" w:line="360" w:lineRule="auto"/>
      <w:ind w:firstLine="200" w:firstLineChars="200"/>
      <w:textAlignment w:val="baseline"/>
    </w:pPr>
    <w:rPr>
      <w:rFonts w:ascii="宋体" w:hAnsi="宋体"/>
      <w:color w:val="000000"/>
      <w:spacing w:val="6"/>
      <w:kern w:val="0"/>
      <w:sz w:val="24"/>
    </w:rPr>
  </w:style>
  <w:style w:type="paragraph" w:customStyle="1" w:styleId="77">
    <w:name w:val="表格（窄）"/>
    <w:basedOn w:val="1"/>
    <w:qFormat/>
    <w:uiPriority w:val="0"/>
    <w:pPr>
      <w:jc w:val="center"/>
    </w:pPr>
    <w:rPr>
      <w:kern w:val="0"/>
      <w:szCs w:val="21"/>
    </w:rPr>
  </w:style>
  <w:style w:type="paragraph" w:customStyle="1" w:styleId="78">
    <w:name w:val="表格-文字（陈小米）"/>
    <w:basedOn w:val="1"/>
    <w:next w:val="1"/>
    <w:qFormat/>
    <w:uiPriority w:val="0"/>
    <w:pPr>
      <w:spacing w:line="240" w:lineRule="auto"/>
      <w:ind w:firstLine="0" w:firstLineChars="0"/>
      <w:jc w:val="center"/>
    </w:pPr>
    <w:rPr>
      <w:sz w:val="21"/>
    </w:rPr>
  </w:style>
  <w:style w:type="paragraph" w:customStyle="1" w:styleId="79">
    <w:name w:val="表格后（陈小米）"/>
    <w:basedOn w:val="1"/>
    <w:qFormat/>
    <w:uiPriority w:val="0"/>
    <w:pPr>
      <w:spacing w:line="240" w:lineRule="auto"/>
      <w:ind w:firstLine="0" w:firstLineChars="0"/>
    </w:pPr>
    <w:rPr>
      <w:b/>
      <w:sz w:val="18"/>
    </w:rPr>
  </w:style>
  <w:style w:type="paragraph" w:customStyle="1" w:styleId="80">
    <w:name w:val="Table Paragraph"/>
    <w:basedOn w:val="1"/>
    <w:qFormat/>
    <w:uiPriority w:val="1"/>
    <w:pPr>
      <w:jc w:val="left"/>
    </w:pPr>
    <w:rPr>
      <w:rFonts w:ascii="Calibri" w:hAnsi="Calibri" w:eastAsia="等线"/>
      <w:kern w:val="0"/>
      <w:sz w:val="22"/>
      <w:szCs w:val="22"/>
      <w:lang w:eastAsia="en-US"/>
    </w:rPr>
  </w:style>
  <w:style w:type="paragraph" w:customStyle="1" w:styleId="81">
    <w:name w:val="环保表内字（五号）"/>
    <w:basedOn w:val="1"/>
    <w:qFormat/>
    <w:uiPriority w:val="0"/>
    <w:pPr>
      <w:adjustRightInd w:val="0"/>
      <w:snapToGrid w:val="0"/>
      <w:spacing w:line="0" w:lineRule="atLeast"/>
      <w:jc w:val="center"/>
    </w:pPr>
    <w:rPr>
      <w:snapToGrid w:val="0"/>
      <w:kern w:val="0"/>
      <w:szCs w:val="21"/>
    </w:rPr>
  </w:style>
  <w:style w:type="paragraph" w:customStyle="1" w:styleId="82">
    <w:name w:val="基地正文"/>
    <w:basedOn w:val="1"/>
    <w:qFormat/>
    <w:uiPriority w:val="0"/>
    <w:pPr>
      <w:ind w:firstLine="425" w:firstLineChars="177"/>
    </w:pPr>
    <w:rPr>
      <w:rFonts w:ascii="宋体" w:hAnsi="宋体"/>
      <w:color w:val="000000"/>
      <w:szCs w:val="21"/>
    </w:rPr>
  </w:style>
  <w:style w:type="paragraph" w:customStyle="1" w:styleId="83">
    <w:name w:val="表格标题"/>
    <w:basedOn w:val="1"/>
    <w:next w:val="1"/>
    <w:qFormat/>
    <w:uiPriority w:val="0"/>
    <w:pPr>
      <w:adjustRightInd w:val="0"/>
      <w:snapToGrid w:val="0"/>
      <w:ind w:firstLine="422" w:firstLineChars="200"/>
      <w:jc w:val="center"/>
    </w:pPr>
    <w:rPr>
      <w:rFonts w:ascii="宋体" w:hAnsi="宋体" w:cs="宋体"/>
      <w:b/>
      <w:bCs/>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w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2.png"/><Relationship Id="rId23" Type="http://schemas.openxmlformats.org/officeDocument/2006/relationships/image" Target="media/image11.wmf"/><Relationship Id="rId22" Type="http://schemas.openxmlformats.org/officeDocument/2006/relationships/oleObject" Target="embeddings/oleObject6.bin"/><Relationship Id="rId21" Type="http://schemas.openxmlformats.org/officeDocument/2006/relationships/image" Target="media/image10.wmf"/><Relationship Id="rId20" Type="http://schemas.openxmlformats.org/officeDocument/2006/relationships/oleObject" Target="embeddings/oleObject5.bin"/><Relationship Id="rId2" Type="http://schemas.openxmlformats.org/officeDocument/2006/relationships/settings" Target="settings.xml"/><Relationship Id="rId19" Type="http://schemas.openxmlformats.org/officeDocument/2006/relationships/image" Target="media/image9.wmf"/><Relationship Id="rId18" Type="http://schemas.openxmlformats.org/officeDocument/2006/relationships/oleObject" Target="embeddings/oleObject4.bin"/><Relationship Id="rId17" Type="http://schemas.openxmlformats.org/officeDocument/2006/relationships/image" Target="media/image8.wmf"/><Relationship Id="rId16" Type="http://schemas.openxmlformats.org/officeDocument/2006/relationships/oleObject" Target="embeddings/oleObject3.bin"/><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wmf"/><Relationship Id="rId12" Type="http://schemas.openxmlformats.org/officeDocument/2006/relationships/oleObject" Target="embeddings/oleObject2.bin"/><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HBJ-TS-FM-017/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83</Pages>
  <Words>7981</Words>
  <Characters>9011</Characters>
  <Lines>13</Lines>
  <Paragraphs>3</Paragraphs>
  <TotalTime>36</TotalTime>
  <ScaleCrop>false</ScaleCrop>
  <LinksUpToDate>false</LinksUpToDate>
  <CharactersWithSpaces>9104</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2020-12-24T17:29:00Z</dcterms:created>
  <dc:creator>lhj</dc:creator>
  <cp:lastModifiedBy>守望幸福145248</cp:lastModifiedBy>
  <cp:lastPrinted>2020-12-29T18:43:00Z</cp:lastPrinted>
  <dcterms:modified xsi:type="dcterms:W3CDTF">2026-08-04T10:38:15Z</dcterms:modified>
  <dc:title>附件2</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341B07B40A8E4C6A8A86CBAB6D6C4272_13</vt:lpwstr>
  </property>
  <property fmtid="{D5CDD505-2E9C-101B-9397-08002B2CF9AE}" pid="4" name="KSOTemplateDocerSaveRecord">
    <vt:lpwstr>eyJoZGlkIjoiYTE3ZDUyZmVhMGFjMzYzZWQ3ZmM5MGJlMDE3YjVhMzgiLCJ1c2VySWQiOiI4OTk5NTczNjAifQ==</vt:lpwstr>
  </property>
</Properties>
</file>