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DC849">
      <w:pPr>
        <w:rPr>
          <w:rFonts w:hint="eastAsia" w:ascii="仿宋_GB2312" w:hAnsi="仿宋_GB2312" w:eastAsia="仿宋_GB2312" w:cs="仿宋_GB2312"/>
          <w:sz w:val="36"/>
          <w:szCs w:val="36"/>
          <w:lang w:val="en-US" w:eastAsia="zh-CN"/>
        </w:rPr>
      </w:pPr>
    </w:p>
    <w:p w14:paraId="0E7EA8F4">
      <w:pPr>
        <w:rPr>
          <w:rFonts w:ascii="仿宋_GB2312" w:hAnsi="仿宋_GB2312" w:eastAsia="仿宋_GB2312" w:cs="仿宋_GB2312"/>
          <w:sz w:val="36"/>
          <w:szCs w:val="36"/>
        </w:rPr>
      </w:pPr>
    </w:p>
    <w:p w14:paraId="771CED2B">
      <w:pPr>
        <w:rPr>
          <w:rFonts w:ascii="仿宋_GB2312" w:hAnsi="仿宋_GB2312" w:eastAsia="仿宋_GB2312" w:cs="仿宋_GB2312"/>
          <w:sz w:val="36"/>
          <w:szCs w:val="36"/>
        </w:rPr>
      </w:pPr>
    </w:p>
    <w:p w14:paraId="18DB686A">
      <w:pPr>
        <w:rPr>
          <w:rFonts w:ascii="仿宋_GB2312" w:hAnsi="仿宋_GB2312" w:eastAsia="仿宋_GB2312" w:cs="仿宋_GB2312"/>
          <w:sz w:val="36"/>
          <w:szCs w:val="36"/>
        </w:rPr>
      </w:pPr>
    </w:p>
    <w:p w14:paraId="2B059368">
      <w:pPr>
        <w:rPr>
          <w:rFonts w:hint="eastAsia" w:ascii="仿宋_GB2312" w:hAnsi="仿宋_GB2312" w:eastAsia="仿宋_GB2312" w:cs="仿宋_GB2312"/>
          <w:sz w:val="36"/>
          <w:szCs w:val="36"/>
        </w:rPr>
      </w:pPr>
    </w:p>
    <w:p w14:paraId="3FE5B8DD">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14:paraId="4F90820F">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59C236A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ascii="华文仿宋" w:hAnsi="华文仿宋" w:eastAsia="华文仿宋" w:cs="华文仿宋"/>
          <w:color w:val="000000"/>
          <w:kern w:val="44"/>
          <w:sz w:val="44"/>
          <w:szCs w:val="44"/>
        </w:rPr>
      </w:pPr>
    </w:p>
    <w:p w14:paraId="19784623">
      <w:pPr>
        <w:jc w:val="center"/>
        <w:rPr>
          <w:rFonts w:eastAsia="仿宋"/>
          <w:sz w:val="52"/>
          <w:szCs w:val="52"/>
        </w:rPr>
      </w:pPr>
    </w:p>
    <w:p w14:paraId="65224510">
      <w:pPr>
        <w:ind w:firstLine="1040"/>
        <w:rPr>
          <w:rFonts w:eastAsia="仿宋"/>
          <w:sz w:val="44"/>
          <w:szCs w:val="44"/>
        </w:rPr>
      </w:pPr>
    </w:p>
    <w:p w14:paraId="182D7433">
      <w:pPr>
        <w:ind w:firstLine="1040"/>
        <w:rPr>
          <w:rFonts w:eastAsia="仿宋"/>
          <w:sz w:val="44"/>
          <w:szCs w:val="44"/>
        </w:rPr>
      </w:pPr>
    </w:p>
    <w:p w14:paraId="7CD67A6F">
      <w:pPr>
        <w:ind w:firstLine="1040"/>
        <w:rPr>
          <w:rFonts w:eastAsia="仿宋"/>
          <w:sz w:val="44"/>
          <w:szCs w:val="44"/>
        </w:rPr>
      </w:pPr>
    </w:p>
    <w:p w14:paraId="4F1C7621">
      <w:pPr>
        <w:ind w:firstLine="1040"/>
        <w:rPr>
          <w:rFonts w:eastAsia="仿宋"/>
          <w:sz w:val="44"/>
          <w:szCs w:val="44"/>
        </w:rPr>
      </w:pPr>
    </w:p>
    <w:p w14:paraId="0A740539">
      <w:pPr>
        <w:adjustRightInd w:val="0"/>
        <w:snapToGrid w:val="0"/>
        <w:spacing w:line="288" w:lineRule="auto"/>
        <w:ind w:firstLine="1040"/>
        <w:rPr>
          <w:rFonts w:hint="default" w:ascii="仿宋_GB2312" w:hAnsi="Times New Roman" w:eastAsia="仿宋_GB2312" w:cs="Times New Roman"/>
          <w:sz w:val="36"/>
          <w:szCs w:val="36"/>
          <w:u w:val="single"/>
          <w:lang w:val="en-US" w:eastAsia="zh-CN"/>
        </w:rPr>
      </w:pPr>
      <w:r>
        <w:rPr>
          <w:rFonts w:hint="eastAsia" w:ascii="仿宋_GB2312" w:eastAsia="仿宋_GB2312"/>
          <w:sz w:val="36"/>
          <w:szCs w:val="36"/>
        </w:rPr>
        <w:t>项目名称：</w:t>
      </w:r>
      <w:r>
        <w:rPr>
          <w:rFonts w:hint="eastAsia" w:ascii="仿宋_GB2312" w:eastAsia="仿宋_GB2312" w:cs="Times New Roman"/>
          <w:sz w:val="36"/>
          <w:szCs w:val="36"/>
          <w:u w:val="single"/>
          <w:lang w:eastAsia="zh-CN"/>
        </w:rPr>
        <w:t>白山市诚斌建筑材料有限公司临江分公司混凝土生产项目</w:t>
      </w:r>
      <w:r>
        <w:rPr>
          <w:rFonts w:hint="eastAsia" w:ascii="仿宋_GB2312" w:eastAsia="仿宋_GB2312" w:cs="Times New Roman"/>
          <w:sz w:val="36"/>
          <w:szCs w:val="36"/>
          <w:u w:val="single"/>
          <w:lang w:val="en-US" w:eastAsia="zh-CN"/>
        </w:rPr>
        <w:t xml:space="preserve">                             </w:t>
      </w:r>
    </w:p>
    <w:p w14:paraId="1D126CB0">
      <w:pPr>
        <w:adjustRightInd w:val="0"/>
        <w:snapToGrid w:val="0"/>
        <w:spacing w:line="288" w:lineRule="auto"/>
        <w:ind w:firstLine="1040"/>
        <w:rPr>
          <w:rFonts w:hint="default" w:ascii="仿宋_GB2312" w:eastAsia="仿宋_GB2312"/>
          <w:sz w:val="36"/>
          <w:szCs w:val="36"/>
          <w:u w:val="single"/>
          <w:lang w:val="en-US" w:eastAsia="zh-CN"/>
        </w:rPr>
      </w:pPr>
      <w:r>
        <w:rPr>
          <w:rFonts w:hint="eastAsia" w:ascii="仿宋_GB2312" w:eastAsia="仿宋_GB2312"/>
          <w:sz w:val="36"/>
          <w:szCs w:val="36"/>
        </w:rPr>
        <w:t>建设单位（盖章）：</w:t>
      </w:r>
      <w:r>
        <w:rPr>
          <w:rFonts w:hint="eastAsia" w:ascii="仿宋_GB2312" w:eastAsia="仿宋_GB2312" w:cs="Times New Roman"/>
          <w:sz w:val="36"/>
          <w:szCs w:val="36"/>
          <w:u w:val="single"/>
          <w:lang w:eastAsia="zh-CN"/>
        </w:rPr>
        <w:t>白山市诚斌建筑材料有限公司临江分公司</w:t>
      </w:r>
      <w:r>
        <w:rPr>
          <w:rFonts w:hint="eastAsia" w:ascii="仿宋_GB2312" w:eastAsia="仿宋_GB2312" w:cs="Times New Roman"/>
          <w:sz w:val="36"/>
          <w:szCs w:val="36"/>
          <w:u w:val="single"/>
          <w:lang w:val="en-US" w:eastAsia="zh-CN"/>
        </w:rPr>
        <w:t xml:space="preserve">                                        </w:t>
      </w:r>
    </w:p>
    <w:p w14:paraId="6479F2C6">
      <w:pPr>
        <w:adjustRightInd w:val="0"/>
        <w:snapToGrid w:val="0"/>
        <w:spacing w:line="288" w:lineRule="auto"/>
        <w:ind w:firstLine="1040"/>
        <w:rPr>
          <w:rFonts w:hint="eastAsia" w:ascii="仿宋_GB2312" w:hAnsi="Times New Roman" w:eastAsia="仿宋_GB2312" w:cs="Times New Roman"/>
          <w:sz w:val="36"/>
          <w:szCs w:val="36"/>
          <w:u w:val="single"/>
          <w:lang w:val="en-US" w:eastAsia="zh-CN"/>
        </w:rPr>
      </w:pPr>
      <w:r>
        <w:rPr>
          <w:rFonts w:hint="eastAsia" w:ascii="仿宋_GB2312" w:eastAsia="仿宋_GB2312"/>
          <w:sz w:val="36"/>
          <w:szCs w:val="36"/>
        </w:rPr>
        <w:t>编制日期：</w:t>
      </w:r>
      <w:r>
        <w:rPr>
          <w:rFonts w:hint="eastAsia" w:ascii="仿宋_GB2312" w:hAnsi="Times New Roman" w:eastAsia="仿宋_GB2312" w:cs="Times New Roman"/>
          <w:sz w:val="36"/>
          <w:szCs w:val="36"/>
          <w:u w:val="single"/>
          <w:lang w:val="en-US" w:eastAsia="zh-CN"/>
        </w:rPr>
        <w:t xml:space="preserve">         </w:t>
      </w:r>
      <w:r>
        <w:rPr>
          <w:rFonts w:hint="default" w:ascii="仿宋_GB2312" w:hAnsi="Times New Roman" w:eastAsia="仿宋_GB2312" w:cs="Times New Roman"/>
          <w:sz w:val="36"/>
          <w:szCs w:val="36"/>
          <w:u w:val="single"/>
          <w:lang w:val="en-US" w:eastAsia="zh-CN"/>
        </w:rPr>
        <w:t xml:space="preserve"> </w:t>
      </w:r>
      <w:r>
        <w:rPr>
          <w:rFonts w:hint="eastAsia" w:ascii="仿宋_GB2312" w:eastAsia="仿宋_GB2312" w:cs="Times New Roman"/>
          <w:sz w:val="36"/>
          <w:szCs w:val="36"/>
          <w:u w:val="single"/>
          <w:lang w:val="en-US" w:eastAsia="zh-CN"/>
        </w:rPr>
        <w:t xml:space="preserve"> </w:t>
      </w:r>
      <w:r>
        <w:rPr>
          <w:rFonts w:hint="default" w:ascii="Times New Roman" w:hAnsi="Times New Roman" w:eastAsia="仿宋_GB2312" w:cs="Times New Roman"/>
          <w:sz w:val="36"/>
          <w:szCs w:val="36"/>
          <w:u w:val="single"/>
          <w:lang w:val="en-US" w:eastAsia="zh-CN"/>
        </w:rPr>
        <w:t>202</w:t>
      </w:r>
      <w:r>
        <w:rPr>
          <w:rFonts w:hint="eastAsia" w:eastAsia="仿宋_GB2312" w:cs="Times New Roman"/>
          <w:sz w:val="36"/>
          <w:szCs w:val="36"/>
          <w:u w:val="single"/>
          <w:lang w:val="en-US" w:eastAsia="zh-CN"/>
        </w:rPr>
        <w:t>6年4月</w:t>
      </w:r>
      <w:r>
        <w:rPr>
          <w:rFonts w:hint="default" w:ascii="仿宋_GB2312" w:hAnsi="Times New Roman" w:eastAsia="仿宋_GB2312" w:cs="Times New Roman"/>
          <w:sz w:val="36"/>
          <w:szCs w:val="36"/>
          <w:u w:val="single"/>
          <w:lang w:val="en-US" w:eastAsia="zh-CN"/>
        </w:rPr>
        <w:t xml:space="preserve"> </w:t>
      </w:r>
      <w:r>
        <w:rPr>
          <w:rFonts w:hint="eastAsia" w:ascii="仿宋_GB2312" w:hAnsi="Times New Roman" w:eastAsia="仿宋_GB2312" w:cs="Times New Roman"/>
          <w:sz w:val="36"/>
          <w:szCs w:val="36"/>
          <w:u w:val="single"/>
          <w:lang w:val="en-US" w:eastAsia="zh-CN"/>
        </w:rPr>
        <w:t xml:space="preserve">             </w:t>
      </w:r>
    </w:p>
    <w:p w14:paraId="15F7AB6B">
      <w:pPr>
        <w:adjustRightInd w:val="0"/>
        <w:snapToGrid w:val="0"/>
        <w:spacing w:line="288" w:lineRule="auto"/>
        <w:ind w:firstLine="1040"/>
        <w:rPr>
          <w:rFonts w:ascii="仿宋_GB2312" w:eastAsia="仿宋_GB2312"/>
          <w:sz w:val="36"/>
          <w:szCs w:val="36"/>
          <w:u w:val="single"/>
        </w:rPr>
      </w:pPr>
      <w:bookmarkStart w:id="0" w:name="_Hlk57884087"/>
    </w:p>
    <w:p w14:paraId="3E21AED2">
      <w:pPr>
        <w:adjustRightInd w:val="0"/>
        <w:snapToGrid w:val="0"/>
        <w:spacing w:line="288" w:lineRule="auto"/>
        <w:ind w:firstLine="1040"/>
        <w:rPr>
          <w:rFonts w:ascii="仿宋_GB2312" w:eastAsia="仿宋_GB2312"/>
          <w:sz w:val="36"/>
          <w:szCs w:val="36"/>
        </w:rPr>
      </w:pPr>
    </w:p>
    <w:p w14:paraId="1DB534EB">
      <w:pPr>
        <w:adjustRightInd w:val="0"/>
        <w:snapToGrid w:val="0"/>
        <w:spacing w:line="288" w:lineRule="auto"/>
        <w:ind w:firstLine="1040"/>
        <w:rPr>
          <w:rFonts w:ascii="仿宋_GB2312" w:eastAsia="仿宋_GB2312"/>
          <w:sz w:val="36"/>
          <w:szCs w:val="36"/>
        </w:rPr>
      </w:pPr>
    </w:p>
    <w:p w14:paraId="360561A6">
      <w:pPr>
        <w:adjustRightInd w:val="0"/>
        <w:snapToGrid w:val="0"/>
        <w:spacing w:line="288" w:lineRule="auto"/>
        <w:rPr>
          <w:rFonts w:hint="eastAsia" w:ascii="仿宋_GB2312" w:eastAsia="仿宋_GB2312"/>
          <w:sz w:val="36"/>
          <w:szCs w:val="36"/>
        </w:rPr>
      </w:pPr>
    </w:p>
    <w:bookmarkEnd w:id="0"/>
    <w:p w14:paraId="44344D96">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14:paraId="5513E19F">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2FCEE0E5">
      <w:pPr>
        <w:pStyle w:val="18"/>
        <w:spacing w:line="240" w:lineRule="auto"/>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9"/>
        <w:gridCol w:w="1393"/>
        <w:gridCol w:w="2093"/>
        <w:gridCol w:w="1756"/>
        <w:gridCol w:w="2639"/>
      </w:tblGrid>
      <w:tr w14:paraId="29BA1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2ACD9AE3">
            <w:pPr>
              <w:adjustRightInd w:val="0"/>
              <w:snapToGrid w:val="0"/>
              <w:jc w:val="center"/>
              <w:rPr>
                <w:rFonts w:ascii="宋体" w:hAnsi="宋体" w:cs="宋体"/>
                <w:sz w:val="24"/>
                <w:szCs w:val="24"/>
              </w:rPr>
            </w:pPr>
            <w:r>
              <w:rPr>
                <w:rFonts w:hint="eastAsia" w:ascii="宋体" w:hAnsi="宋体" w:cs="宋体"/>
                <w:sz w:val="24"/>
                <w:szCs w:val="24"/>
              </w:rPr>
              <w:t>建设项目名称</w:t>
            </w:r>
          </w:p>
        </w:tc>
        <w:tc>
          <w:tcPr>
            <w:tcW w:w="6488" w:type="dxa"/>
            <w:gridSpan w:val="3"/>
            <w:noWrap w:val="0"/>
            <w:vAlign w:val="center"/>
          </w:tcPr>
          <w:p w14:paraId="6679F08F">
            <w:pPr>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白山市诚斌建筑材料有限公司临江分公司混凝土生产项目</w:t>
            </w:r>
          </w:p>
        </w:tc>
      </w:tr>
      <w:tr w14:paraId="2D205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7892932D">
            <w:pPr>
              <w:adjustRightInd w:val="0"/>
              <w:snapToGrid w:val="0"/>
              <w:jc w:val="center"/>
              <w:rPr>
                <w:rFonts w:ascii="宋体" w:hAnsi="宋体" w:cs="宋体"/>
                <w:sz w:val="24"/>
                <w:szCs w:val="24"/>
              </w:rPr>
            </w:pPr>
            <w:r>
              <w:rPr>
                <w:rFonts w:hint="eastAsia" w:ascii="宋体" w:hAnsi="宋体" w:cs="宋体"/>
                <w:sz w:val="24"/>
                <w:szCs w:val="24"/>
              </w:rPr>
              <w:t>项目代码</w:t>
            </w:r>
          </w:p>
        </w:tc>
        <w:tc>
          <w:tcPr>
            <w:tcW w:w="6488" w:type="dxa"/>
            <w:gridSpan w:val="3"/>
            <w:noWrap w:val="0"/>
            <w:vAlign w:val="center"/>
          </w:tcPr>
          <w:p w14:paraId="78ED7D47">
            <w:pPr>
              <w:adjustRightInd w:val="0"/>
              <w:snapToGrid w:val="0"/>
              <w:jc w:val="center"/>
              <w:rPr>
                <w:rFonts w:hint="default" w:ascii="宋体" w:hAnsi="宋体" w:eastAsia="宋体" w:cs="宋体"/>
                <w:sz w:val="24"/>
                <w:szCs w:val="24"/>
                <w:lang w:val="en-US" w:eastAsia="zh-CN"/>
              </w:rPr>
            </w:pPr>
            <w:r>
              <w:rPr>
                <w:rFonts w:hint="eastAsia" w:cs="Times New Roman"/>
                <w:sz w:val="24"/>
                <w:szCs w:val="24"/>
                <w:lang w:val="en-US" w:eastAsia="zh-CN"/>
              </w:rPr>
              <w:t>/</w:t>
            </w:r>
          </w:p>
        </w:tc>
      </w:tr>
      <w:tr w14:paraId="7C702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70D8B07A">
            <w:pPr>
              <w:adjustRightInd w:val="0"/>
              <w:snapToGrid w:val="0"/>
              <w:jc w:val="center"/>
              <w:rPr>
                <w:rFonts w:hint="eastAsia" w:ascii="宋体" w:hAnsi="宋体" w:cs="宋体"/>
                <w:sz w:val="24"/>
                <w:szCs w:val="24"/>
              </w:rPr>
            </w:pPr>
            <w:r>
              <w:rPr>
                <w:rFonts w:hint="eastAsia" w:ascii="宋体" w:hAnsi="宋体" w:cs="宋体"/>
                <w:sz w:val="24"/>
                <w:szCs w:val="24"/>
              </w:rPr>
              <w:t>建设单位联系人</w:t>
            </w:r>
          </w:p>
        </w:tc>
        <w:tc>
          <w:tcPr>
            <w:tcW w:w="2093" w:type="dxa"/>
            <w:noWrap w:val="0"/>
            <w:vAlign w:val="center"/>
          </w:tcPr>
          <w:p w14:paraId="436174F0">
            <w:pPr>
              <w:adjustRightInd w:val="0"/>
              <w:snapToGrid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柳贺</w:t>
            </w:r>
          </w:p>
        </w:tc>
        <w:tc>
          <w:tcPr>
            <w:tcW w:w="1756" w:type="dxa"/>
            <w:noWrap w:val="0"/>
            <w:vAlign w:val="center"/>
          </w:tcPr>
          <w:p w14:paraId="35EA1067">
            <w:pPr>
              <w:adjustRightInd w:val="0"/>
              <w:snapToGrid w:val="0"/>
              <w:jc w:val="center"/>
              <w:rPr>
                <w:rFonts w:ascii="宋体" w:hAnsi="宋体" w:cs="宋体"/>
                <w:sz w:val="24"/>
                <w:szCs w:val="24"/>
              </w:rPr>
            </w:pPr>
            <w:r>
              <w:rPr>
                <w:rFonts w:hint="eastAsia" w:ascii="宋体" w:hAnsi="宋体" w:cs="宋体"/>
                <w:sz w:val="24"/>
                <w:szCs w:val="24"/>
              </w:rPr>
              <w:t>联系方式</w:t>
            </w:r>
          </w:p>
        </w:tc>
        <w:tc>
          <w:tcPr>
            <w:tcW w:w="2639" w:type="dxa"/>
            <w:noWrap w:val="0"/>
            <w:vAlign w:val="center"/>
          </w:tcPr>
          <w:p w14:paraId="14290158">
            <w:pPr>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仿宋" w:cs="Times New Roman"/>
                <w:sz w:val="24"/>
                <w:lang w:eastAsia="zh"/>
              </w:rPr>
              <w:t>15662947666</w:t>
            </w:r>
          </w:p>
        </w:tc>
      </w:tr>
      <w:tr w14:paraId="292D0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0C9A19CD">
            <w:pPr>
              <w:adjustRightInd w:val="0"/>
              <w:snapToGrid w:val="0"/>
              <w:jc w:val="center"/>
              <w:rPr>
                <w:rFonts w:ascii="宋体" w:hAnsi="宋体" w:cs="宋体"/>
                <w:sz w:val="24"/>
                <w:szCs w:val="24"/>
              </w:rPr>
            </w:pPr>
            <w:r>
              <w:rPr>
                <w:rFonts w:hint="eastAsia" w:ascii="宋体" w:hAnsi="宋体" w:cs="宋体"/>
                <w:sz w:val="24"/>
                <w:szCs w:val="24"/>
              </w:rPr>
              <w:t>建设地点</w:t>
            </w:r>
          </w:p>
        </w:tc>
        <w:tc>
          <w:tcPr>
            <w:tcW w:w="6488" w:type="dxa"/>
            <w:gridSpan w:val="3"/>
            <w:noWrap w:val="0"/>
            <w:vAlign w:val="center"/>
          </w:tcPr>
          <w:p w14:paraId="707C4838">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临江市大湖街道临城村6社</w:t>
            </w:r>
          </w:p>
        </w:tc>
      </w:tr>
      <w:tr w14:paraId="3094D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3F98FDEB">
            <w:pPr>
              <w:adjustRightInd w:val="0"/>
              <w:snapToGrid w:val="0"/>
              <w:jc w:val="center"/>
              <w:rPr>
                <w:rFonts w:ascii="宋体" w:hAnsi="宋体" w:cs="宋体"/>
                <w:sz w:val="24"/>
                <w:szCs w:val="24"/>
              </w:rPr>
            </w:pPr>
            <w:r>
              <w:rPr>
                <w:rFonts w:hint="eastAsia" w:ascii="宋体" w:hAnsi="宋体" w:cs="宋体"/>
                <w:sz w:val="24"/>
                <w:szCs w:val="24"/>
              </w:rPr>
              <w:t>地理坐标</w:t>
            </w:r>
          </w:p>
        </w:tc>
        <w:tc>
          <w:tcPr>
            <w:tcW w:w="6488" w:type="dxa"/>
            <w:gridSpan w:val="3"/>
            <w:noWrap w:val="0"/>
            <w:vAlign w:val="center"/>
          </w:tcPr>
          <w:p w14:paraId="6C736690">
            <w:pPr>
              <w:jc w:val="center"/>
              <w:rPr>
                <w:rFonts w:hint="eastAsia" w:ascii="宋体" w:hAnsi="宋体" w:cs="宋体"/>
                <w:sz w:val="24"/>
                <w:szCs w:val="24"/>
              </w:rPr>
            </w:pPr>
            <w:r>
              <w:rPr>
                <w:rFonts w:hint="eastAsia" w:ascii="宋体" w:hAnsi="宋体" w:cs="宋体"/>
                <w:sz w:val="24"/>
                <w:szCs w:val="24"/>
                <w:u w:val="none"/>
                <w:lang w:val="en-US" w:eastAsia="zh-CN"/>
              </w:rPr>
              <w:t>东经</w:t>
            </w:r>
            <w:r>
              <w:rPr>
                <w:rFonts w:hint="eastAsia" w:ascii="宋体" w:hAnsi="宋体" w:cs="宋体"/>
                <w:sz w:val="24"/>
                <w:szCs w:val="24"/>
                <w:u w:val="single"/>
                <w:lang w:val="en-US" w:eastAsia="zh-CN"/>
              </w:rPr>
              <w:t xml:space="preserve"> </w:t>
            </w:r>
            <w:r>
              <w:rPr>
                <w:rFonts w:hint="default" w:ascii="Times New Roman" w:hAnsi="Times New Roman" w:cs="Times New Roman"/>
                <w:sz w:val="24"/>
                <w:szCs w:val="24"/>
                <w:u w:val="single"/>
                <w:lang w:val="en-US" w:eastAsia="zh-CN"/>
              </w:rPr>
              <w:t>126</w:t>
            </w:r>
            <w:r>
              <w:rPr>
                <w:rFonts w:hint="eastAsia" w:cs="Times New Roman"/>
                <w:sz w:val="24"/>
                <w:szCs w:val="24"/>
                <w:u w:val="single"/>
                <w:lang w:val="en-US" w:eastAsia="zh-CN"/>
              </w:rPr>
              <w:t xml:space="preserve"> </w:t>
            </w:r>
            <w:r>
              <w:rPr>
                <w:rFonts w:hint="eastAsia" w:ascii="宋体" w:hAnsi="宋体" w:cs="宋体"/>
                <w:sz w:val="24"/>
                <w:szCs w:val="24"/>
                <w:u w:val="none"/>
              </w:rPr>
              <w:t>度</w:t>
            </w:r>
            <w:r>
              <w:rPr>
                <w:rFonts w:hint="eastAsia" w:ascii="宋体" w:hAnsi="宋体" w:cs="宋体"/>
                <w:sz w:val="24"/>
                <w:szCs w:val="24"/>
                <w:u w:val="single"/>
                <w:lang w:val="en-US" w:eastAsia="zh-CN"/>
              </w:rPr>
              <w:t xml:space="preserve"> </w:t>
            </w:r>
            <w:r>
              <w:rPr>
                <w:rFonts w:hint="eastAsia" w:cs="Times New Roman"/>
                <w:sz w:val="24"/>
                <w:szCs w:val="24"/>
                <w:u w:val="single"/>
                <w:lang w:val="en-US" w:eastAsia="zh-CN"/>
              </w:rPr>
              <w:t xml:space="preserve">58 </w:t>
            </w:r>
            <w:r>
              <w:rPr>
                <w:rFonts w:hint="eastAsia" w:ascii="宋体" w:hAnsi="宋体" w:cs="宋体"/>
                <w:sz w:val="24"/>
                <w:szCs w:val="24"/>
                <w:u w:val="none"/>
              </w:rPr>
              <w:t>分</w:t>
            </w:r>
            <w:r>
              <w:rPr>
                <w:rFonts w:hint="eastAsia" w:ascii="宋体" w:hAnsi="宋体" w:cs="宋体"/>
                <w:sz w:val="24"/>
                <w:szCs w:val="24"/>
                <w:u w:val="single"/>
                <w:lang w:val="en-US" w:eastAsia="zh-CN"/>
              </w:rPr>
              <w:t xml:space="preserve"> </w:t>
            </w:r>
            <w:r>
              <w:rPr>
                <w:rFonts w:hint="eastAsia" w:cs="Times New Roman"/>
                <w:sz w:val="24"/>
                <w:szCs w:val="24"/>
                <w:u w:val="single"/>
                <w:lang w:val="en-US" w:eastAsia="zh-CN"/>
              </w:rPr>
              <w:t xml:space="preserve">2.729 </w:t>
            </w:r>
            <w:r>
              <w:rPr>
                <w:rFonts w:hint="eastAsia" w:ascii="宋体" w:hAnsi="宋体" w:cs="宋体"/>
                <w:sz w:val="24"/>
                <w:szCs w:val="24"/>
                <w:u w:val="none"/>
              </w:rPr>
              <w:t>秒，</w:t>
            </w:r>
            <w:r>
              <w:rPr>
                <w:rFonts w:hint="eastAsia" w:ascii="宋体" w:hAnsi="宋体" w:cs="宋体"/>
                <w:sz w:val="24"/>
                <w:szCs w:val="24"/>
                <w:u w:val="none"/>
                <w:lang w:val="en-US" w:eastAsia="zh-CN"/>
              </w:rPr>
              <w:t>北纬</w:t>
            </w:r>
            <w:r>
              <w:rPr>
                <w:rFonts w:hint="eastAsia" w:ascii="宋体" w:hAnsi="宋体" w:cs="宋体"/>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4</w:t>
            </w:r>
            <w:r>
              <w:rPr>
                <w:rFonts w:hint="eastAsia" w:cs="Times New Roman"/>
                <w:sz w:val="24"/>
                <w:szCs w:val="24"/>
                <w:u w:val="single"/>
                <w:lang w:val="en-US" w:eastAsia="zh-CN"/>
              </w:rPr>
              <w:t xml:space="preserve">1 </w:t>
            </w:r>
            <w:r>
              <w:rPr>
                <w:rFonts w:hint="eastAsia" w:ascii="宋体" w:hAnsi="宋体" w:cs="宋体"/>
                <w:sz w:val="24"/>
                <w:szCs w:val="24"/>
                <w:u w:val="none"/>
              </w:rPr>
              <w:t>度</w:t>
            </w:r>
            <w:r>
              <w:rPr>
                <w:rFonts w:hint="eastAsia" w:ascii="宋体" w:hAnsi="宋体" w:cs="宋体"/>
                <w:sz w:val="24"/>
                <w:szCs w:val="24"/>
                <w:u w:val="single"/>
                <w:lang w:val="en-US" w:eastAsia="zh-CN"/>
              </w:rPr>
              <w:t xml:space="preserve"> </w:t>
            </w:r>
            <w:r>
              <w:rPr>
                <w:rFonts w:hint="eastAsia" w:cs="Times New Roman"/>
                <w:sz w:val="24"/>
                <w:szCs w:val="24"/>
                <w:u w:val="single"/>
                <w:lang w:val="en-US" w:eastAsia="zh-CN"/>
              </w:rPr>
              <w:t xml:space="preserve">48 </w:t>
            </w:r>
            <w:r>
              <w:rPr>
                <w:rFonts w:hint="eastAsia" w:ascii="宋体" w:hAnsi="宋体" w:cs="宋体"/>
                <w:sz w:val="24"/>
                <w:szCs w:val="24"/>
                <w:u w:val="none"/>
              </w:rPr>
              <w:t>分</w:t>
            </w:r>
            <w:r>
              <w:rPr>
                <w:rFonts w:hint="eastAsia" w:ascii="宋体" w:hAnsi="宋体" w:cs="宋体"/>
                <w:sz w:val="24"/>
                <w:szCs w:val="24"/>
                <w:u w:val="single"/>
                <w:lang w:val="en-US" w:eastAsia="zh-CN"/>
              </w:rPr>
              <w:t xml:space="preserve"> </w:t>
            </w:r>
            <w:r>
              <w:rPr>
                <w:rFonts w:hint="eastAsia" w:cs="Times New Roman"/>
                <w:sz w:val="24"/>
                <w:szCs w:val="24"/>
                <w:u w:val="single"/>
                <w:lang w:val="en-US" w:eastAsia="zh-CN"/>
              </w:rPr>
              <w:t xml:space="preserve">29.561 </w:t>
            </w:r>
            <w:r>
              <w:rPr>
                <w:rFonts w:hint="eastAsia" w:ascii="宋体" w:hAnsi="宋体" w:cs="宋体"/>
                <w:sz w:val="24"/>
                <w:szCs w:val="24"/>
                <w:u w:val="none"/>
              </w:rPr>
              <w:t>秒</w:t>
            </w:r>
          </w:p>
        </w:tc>
      </w:tr>
      <w:tr w14:paraId="32BDA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gridSpan w:val="2"/>
            <w:noWrap w:val="0"/>
            <w:tcMar>
              <w:top w:w="16" w:type="dxa"/>
              <w:left w:w="16" w:type="dxa"/>
              <w:right w:w="16" w:type="dxa"/>
            </w:tcMar>
            <w:vAlign w:val="center"/>
          </w:tcPr>
          <w:p w14:paraId="3DA07127">
            <w:pPr>
              <w:adjustRightInd w:val="0"/>
              <w:snapToGrid w:val="0"/>
              <w:jc w:val="center"/>
              <w:rPr>
                <w:rFonts w:hint="eastAsia" w:ascii="宋体" w:hAnsi="宋体" w:cs="宋体"/>
                <w:sz w:val="24"/>
                <w:szCs w:val="24"/>
              </w:rPr>
            </w:pPr>
            <w:r>
              <w:rPr>
                <w:rFonts w:hint="eastAsia" w:ascii="宋体" w:hAnsi="宋体" w:cs="宋体"/>
                <w:sz w:val="24"/>
                <w:szCs w:val="24"/>
              </w:rPr>
              <w:t>国民经济</w:t>
            </w:r>
          </w:p>
          <w:p w14:paraId="62323358">
            <w:pPr>
              <w:adjustRightInd w:val="0"/>
              <w:snapToGrid w:val="0"/>
              <w:jc w:val="center"/>
              <w:rPr>
                <w:rFonts w:ascii="宋体" w:hAnsi="宋体" w:cs="宋体"/>
                <w:sz w:val="24"/>
                <w:szCs w:val="24"/>
              </w:rPr>
            </w:pPr>
            <w:r>
              <w:rPr>
                <w:rFonts w:hint="eastAsia" w:ascii="宋体" w:hAnsi="宋体" w:cs="宋体"/>
                <w:sz w:val="24"/>
                <w:szCs w:val="24"/>
              </w:rPr>
              <w:t>行业类别</w:t>
            </w:r>
          </w:p>
        </w:tc>
        <w:tc>
          <w:tcPr>
            <w:tcW w:w="2093" w:type="dxa"/>
            <w:noWrap w:val="0"/>
            <w:vAlign w:val="center"/>
          </w:tcPr>
          <w:p w14:paraId="4976F21B">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C3021</w:t>
            </w:r>
          </w:p>
          <w:p w14:paraId="615EC414">
            <w:pPr>
              <w:adjustRightInd w:val="0"/>
              <w:snapToGrid w:val="0"/>
              <w:jc w:val="center"/>
              <w:rPr>
                <w:rFonts w:ascii="宋体" w:hAnsi="宋体" w:cs="宋体"/>
                <w:sz w:val="24"/>
                <w:szCs w:val="24"/>
              </w:rPr>
            </w:pPr>
            <w:r>
              <w:rPr>
                <w:rFonts w:hint="default" w:ascii="Times New Roman" w:hAnsi="Times New Roman" w:eastAsia="宋体" w:cs="Times New Roman"/>
                <w:sz w:val="24"/>
                <w:szCs w:val="24"/>
              </w:rPr>
              <w:t>水泥制品制造</w:t>
            </w:r>
          </w:p>
        </w:tc>
        <w:tc>
          <w:tcPr>
            <w:tcW w:w="1756" w:type="dxa"/>
            <w:noWrap w:val="0"/>
            <w:vAlign w:val="center"/>
          </w:tcPr>
          <w:p w14:paraId="7F5F350C">
            <w:pPr>
              <w:adjustRightInd w:val="0"/>
              <w:snapToGrid w:val="0"/>
              <w:jc w:val="center"/>
              <w:rPr>
                <w:rFonts w:ascii="宋体" w:hAnsi="宋体" w:cs="宋体"/>
                <w:sz w:val="24"/>
                <w:szCs w:val="24"/>
              </w:rPr>
            </w:pPr>
            <w:bookmarkStart w:id="1" w:name="_Hlk49843745"/>
            <w:r>
              <w:rPr>
                <w:rFonts w:hint="eastAsia" w:ascii="宋体" w:hAnsi="宋体" w:cs="宋体"/>
                <w:sz w:val="24"/>
                <w:szCs w:val="24"/>
              </w:rPr>
              <w:t>建设项目</w:t>
            </w:r>
          </w:p>
          <w:p w14:paraId="10097687">
            <w:pPr>
              <w:adjustRightInd w:val="0"/>
              <w:snapToGrid w:val="0"/>
              <w:jc w:val="center"/>
              <w:rPr>
                <w:rFonts w:ascii="宋体" w:hAnsi="宋体" w:cs="宋体"/>
                <w:sz w:val="24"/>
                <w:szCs w:val="24"/>
              </w:rPr>
            </w:pPr>
            <w:r>
              <w:rPr>
                <w:rFonts w:hint="eastAsia" w:ascii="宋体" w:hAnsi="宋体" w:cs="宋体"/>
                <w:sz w:val="24"/>
                <w:szCs w:val="24"/>
              </w:rPr>
              <w:t>行业类别</w:t>
            </w:r>
            <w:bookmarkEnd w:id="1"/>
          </w:p>
        </w:tc>
        <w:tc>
          <w:tcPr>
            <w:tcW w:w="2639" w:type="dxa"/>
            <w:noWrap w:val="0"/>
            <w:vAlign w:val="center"/>
          </w:tcPr>
          <w:p w14:paraId="24928A87">
            <w:pPr>
              <w:adjustRightInd w:val="0"/>
              <w:snapToGrid w:val="0"/>
              <w:rPr>
                <w:rFonts w:hint="default" w:ascii="宋体" w:hAnsi="宋体" w:eastAsia="宋体" w:cs="宋体"/>
                <w:sz w:val="24"/>
                <w:szCs w:val="24"/>
                <w:lang w:val="en-US" w:eastAsia="zh-CN"/>
              </w:rPr>
            </w:pPr>
            <w:r>
              <w:rPr>
                <w:rFonts w:hint="eastAsia"/>
                <w:sz w:val="24"/>
                <w:szCs w:val="24"/>
              </w:rPr>
              <w:t>二十七</w:t>
            </w:r>
            <w:r>
              <w:rPr>
                <w:sz w:val="24"/>
                <w:szCs w:val="24"/>
              </w:rPr>
              <w:t>、</w:t>
            </w:r>
            <w:r>
              <w:rPr>
                <w:rFonts w:hint="eastAsia"/>
                <w:sz w:val="24"/>
                <w:szCs w:val="24"/>
              </w:rPr>
              <w:t>非金属矿物制品</w:t>
            </w:r>
            <w:r>
              <w:rPr>
                <w:sz w:val="24"/>
                <w:szCs w:val="24"/>
              </w:rPr>
              <w:t>业</w:t>
            </w:r>
            <w:r>
              <w:rPr>
                <w:rFonts w:hint="eastAsia"/>
                <w:sz w:val="24"/>
                <w:szCs w:val="24"/>
                <w:lang w:val="en-US" w:eastAsia="zh-CN"/>
              </w:rPr>
              <w:t>；</w:t>
            </w:r>
            <w:r>
              <w:rPr>
                <w:rFonts w:hint="eastAsia"/>
                <w:sz w:val="24"/>
                <w:szCs w:val="24"/>
              </w:rPr>
              <w:t>55石膏、水泥制品及类似制品制造</w:t>
            </w:r>
            <w:r>
              <w:rPr>
                <w:rFonts w:hint="eastAsia"/>
                <w:sz w:val="24"/>
                <w:szCs w:val="24"/>
                <w:lang w:val="en-US" w:eastAsia="zh-CN"/>
              </w:rPr>
              <w:t>302</w:t>
            </w:r>
          </w:p>
        </w:tc>
      </w:tr>
      <w:tr w14:paraId="2B7A5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gridSpan w:val="2"/>
            <w:noWrap w:val="0"/>
            <w:tcMar>
              <w:top w:w="16" w:type="dxa"/>
              <w:left w:w="16" w:type="dxa"/>
              <w:right w:w="16" w:type="dxa"/>
            </w:tcMar>
            <w:vAlign w:val="center"/>
          </w:tcPr>
          <w:p w14:paraId="4FF016C7">
            <w:pPr>
              <w:adjustRightInd w:val="0"/>
              <w:snapToGrid w:val="0"/>
              <w:jc w:val="center"/>
              <w:rPr>
                <w:rFonts w:ascii="宋体" w:hAnsi="宋体" w:cs="宋体"/>
                <w:sz w:val="24"/>
                <w:szCs w:val="24"/>
              </w:rPr>
            </w:pPr>
            <w:r>
              <w:rPr>
                <w:rFonts w:hint="eastAsia" w:ascii="宋体" w:hAnsi="宋体" w:cs="宋体"/>
                <w:sz w:val="24"/>
                <w:szCs w:val="24"/>
              </w:rPr>
              <w:t>建设性质</w:t>
            </w:r>
          </w:p>
        </w:tc>
        <w:tc>
          <w:tcPr>
            <w:tcW w:w="2093" w:type="dxa"/>
            <w:noWrap w:val="0"/>
            <w:vAlign w:val="center"/>
          </w:tcPr>
          <w:p w14:paraId="238691C2">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新建（迁建）</w:t>
            </w:r>
          </w:p>
          <w:p w14:paraId="131A8E20">
            <w:pPr>
              <w:jc w:val="left"/>
              <w:rPr>
                <w:rFonts w:hint="eastAsia" w:ascii="宋体" w:hAnsi="宋体" w:cs="宋体"/>
                <w:sz w:val="24"/>
                <w:szCs w:val="24"/>
              </w:rPr>
            </w:pPr>
            <w:r>
              <w:rPr>
                <w:rFonts w:hint="eastAsia" w:ascii="宋体" w:hAnsi="宋体" w:cs="宋体"/>
                <w:sz w:val="24"/>
                <w:szCs w:val="24"/>
              </w:rPr>
              <w:t>□改建</w:t>
            </w:r>
          </w:p>
          <w:p w14:paraId="0EB5181E">
            <w:pPr>
              <w:jc w:val="left"/>
              <w:rPr>
                <w:rFonts w:hint="eastAsia" w:ascii="宋体" w:hAnsi="宋体" w:cs="宋体"/>
                <w:sz w:val="24"/>
                <w:szCs w:val="24"/>
              </w:rPr>
            </w:pPr>
            <w:r>
              <w:rPr>
                <w:rFonts w:hint="eastAsia" w:ascii="宋体" w:hAnsi="宋体" w:cs="宋体"/>
                <w:sz w:val="24"/>
                <w:szCs w:val="24"/>
              </w:rPr>
              <w:t>□扩建</w:t>
            </w:r>
          </w:p>
          <w:p w14:paraId="2C310AC1">
            <w:pPr>
              <w:jc w:val="left"/>
              <w:rPr>
                <w:rFonts w:ascii="宋体" w:hAnsi="宋体" w:cs="宋体"/>
                <w:sz w:val="24"/>
                <w:szCs w:val="24"/>
              </w:rPr>
            </w:pPr>
            <w:r>
              <w:rPr>
                <w:rFonts w:hint="eastAsia" w:ascii="宋体" w:hAnsi="宋体" w:cs="宋体"/>
                <w:sz w:val="24"/>
                <w:szCs w:val="24"/>
              </w:rPr>
              <w:t>□技术改造</w:t>
            </w:r>
          </w:p>
        </w:tc>
        <w:tc>
          <w:tcPr>
            <w:tcW w:w="1756" w:type="dxa"/>
            <w:noWrap w:val="0"/>
            <w:vAlign w:val="center"/>
          </w:tcPr>
          <w:p w14:paraId="17BFD5B8">
            <w:pPr>
              <w:adjustRightInd w:val="0"/>
              <w:snapToGrid w:val="0"/>
              <w:jc w:val="center"/>
              <w:rPr>
                <w:rFonts w:hint="eastAsia" w:ascii="宋体" w:hAnsi="宋体" w:cs="宋体"/>
                <w:sz w:val="24"/>
                <w:szCs w:val="24"/>
              </w:rPr>
            </w:pPr>
            <w:r>
              <w:rPr>
                <w:rFonts w:hint="eastAsia" w:ascii="宋体" w:hAnsi="宋体" w:cs="宋体"/>
                <w:sz w:val="24"/>
                <w:szCs w:val="24"/>
              </w:rPr>
              <w:t>建设项目</w:t>
            </w:r>
          </w:p>
          <w:p w14:paraId="43654705">
            <w:pPr>
              <w:adjustRightInd w:val="0"/>
              <w:snapToGrid w:val="0"/>
              <w:jc w:val="center"/>
              <w:rPr>
                <w:rFonts w:ascii="宋体" w:hAnsi="宋体" w:cs="宋体"/>
                <w:sz w:val="24"/>
                <w:szCs w:val="24"/>
              </w:rPr>
            </w:pPr>
            <w:r>
              <w:rPr>
                <w:rFonts w:hint="eastAsia" w:ascii="宋体" w:hAnsi="宋体" w:cs="宋体"/>
                <w:sz w:val="24"/>
                <w:szCs w:val="24"/>
              </w:rPr>
              <w:t>申报情形</w:t>
            </w:r>
          </w:p>
        </w:tc>
        <w:tc>
          <w:tcPr>
            <w:tcW w:w="2639" w:type="dxa"/>
            <w:noWrap w:val="0"/>
            <w:vAlign w:val="center"/>
          </w:tcPr>
          <w:p w14:paraId="4060644C">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首次申报项目</w:t>
            </w:r>
          </w:p>
          <w:p w14:paraId="210897BF">
            <w:pPr>
              <w:jc w:val="left"/>
              <w:rPr>
                <w:rFonts w:ascii="宋体" w:hAnsi="宋体" w:cs="宋体"/>
                <w:sz w:val="24"/>
                <w:szCs w:val="24"/>
              </w:rPr>
            </w:pPr>
            <w:r>
              <w:rPr>
                <w:rFonts w:hint="eastAsia" w:ascii="宋体" w:hAnsi="宋体" w:cs="宋体"/>
                <w:sz w:val="24"/>
                <w:szCs w:val="24"/>
              </w:rPr>
              <w:t>□不予批准后再次申报项目</w:t>
            </w:r>
          </w:p>
          <w:p w14:paraId="34A6FFF7">
            <w:pPr>
              <w:jc w:val="left"/>
              <w:rPr>
                <w:rFonts w:ascii="宋体" w:hAnsi="宋体" w:cs="宋体"/>
                <w:sz w:val="24"/>
                <w:szCs w:val="24"/>
              </w:rPr>
            </w:pPr>
            <w:r>
              <w:rPr>
                <w:rFonts w:hint="eastAsia" w:ascii="宋体" w:hAnsi="宋体" w:cs="宋体"/>
                <w:sz w:val="24"/>
                <w:szCs w:val="24"/>
              </w:rPr>
              <w:t>□超五年重新审核项目</w:t>
            </w:r>
          </w:p>
          <w:p w14:paraId="711852AC">
            <w:pPr>
              <w:jc w:val="left"/>
              <w:rPr>
                <w:rFonts w:ascii="宋体" w:hAnsi="宋体" w:cs="宋体"/>
                <w:sz w:val="24"/>
                <w:szCs w:val="24"/>
              </w:rPr>
            </w:pPr>
            <w:r>
              <w:rPr>
                <w:rFonts w:hint="eastAsia" w:ascii="宋体" w:hAnsi="宋体" w:cs="宋体"/>
                <w:sz w:val="24"/>
                <w:szCs w:val="24"/>
              </w:rPr>
              <w:t>□重大变动重新报批项目</w:t>
            </w:r>
          </w:p>
        </w:tc>
      </w:tr>
      <w:tr w14:paraId="5B8AF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gridSpan w:val="2"/>
            <w:noWrap w:val="0"/>
            <w:tcMar>
              <w:top w:w="16" w:type="dxa"/>
              <w:left w:w="16" w:type="dxa"/>
              <w:right w:w="16" w:type="dxa"/>
            </w:tcMar>
            <w:vAlign w:val="center"/>
          </w:tcPr>
          <w:p w14:paraId="51E63CC9">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14:paraId="3D720C99">
            <w:pPr>
              <w:adjustRightInd w:val="0"/>
              <w:snapToGrid w:val="0"/>
              <w:jc w:val="center"/>
              <w:rPr>
                <w:rFonts w:ascii="宋体" w:hAnsi="宋体" w:cs="宋体"/>
                <w:sz w:val="24"/>
                <w:szCs w:val="24"/>
              </w:rPr>
            </w:pPr>
            <w:r>
              <w:rPr>
                <w:rFonts w:hint="eastAsia" w:ascii="宋体" w:hAnsi="宋体" w:cs="宋体"/>
                <w:sz w:val="24"/>
                <w:szCs w:val="24"/>
              </w:rPr>
              <w:t>备案）部门（选填）</w:t>
            </w:r>
          </w:p>
        </w:tc>
        <w:tc>
          <w:tcPr>
            <w:tcW w:w="2093" w:type="dxa"/>
            <w:noWrap w:val="0"/>
            <w:vAlign w:val="center"/>
          </w:tcPr>
          <w:p w14:paraId="50755511">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p>
        </w:tc>
        <w:tc>
          <w:tcPr>
            <w:tcW w:w="1756" w:type="dxa"/>
            <w:noWrap w:val="0"/>
            <w:vAlign w:val="center"/>
          </w:tcPr>
          <w:p w14:paraId="661873F6">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14:paraId="188CF98F">
            <w:pPr>
              <w:adjustRightInd w:val="0"/>
              <w:snapToGrid w:val="0"/>
              <w:jc w:val="center"/>
              <w:rPr>
                <w:rFonts w:hint="eastAsia" w:ascii="宋体" w:hAnsi="宋体" w:cs="宋体"/>
                <w:sz w:val="24"/>
                <w:szCs w:val="24"/>
              </w:rPr>
            </w:pPr>
            <w:r>
              <w:rPr>
                <w:rFonts w:hint="eastAsia" w:ascii="宋体" w:hAnsi="宋体" w:cs="宋体"/>
                <w:sz w:val="24"/>
                <w:szCs w:val="24"/>
              </w:rPr>
              <w:t>备案）文号（选填）</w:t>
            </w:r>
          </w:p>
        </w:tc>
        <w:tc>
          <w:tcPr>
            <w:tcW w:w="2639" w:type="dxa"/>
            <w:noWrap w:val="0"/>
            <w:vAlign w:val="center"/>
          </w:tcPr>
          <w:p w14:paraId="78280B64">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r>
      <w:tr w14:paraId="73F8D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12A0AED5">
            <w:pPr>
              <w:adjustRightInd w:val="0"/>
              <w:snapToGrid w:val="0"/>
              <w:jc w:val="center"/>
              <w:rPr>
                <w:rFonts w:ascii="宋体" w:hAnsi="宋体" w:cs="宋体"/>
                <w:sz w:val="24"/>
                <w:szCs w:val="24"/>
              </w:rPr>
            </w:pPr>
            <w:r>
              <w:rPr>
                <w:rFonts w:hint="eastAsia" w:ascii="宋体" w:hAnsi="宋体" w:cs="宋体"/>
                <w:sz w:val="24"/>
                <w:szCs w:val="24"/>
              </w:rPr>
              <w:t>总投资（万元）</w:t>
            </w:r>
          </w:p>
        </w:tc>
        <w:tc>
          <w:tcPr>
            <w:tcW w:w="2093" w:type="dxa"/>
            <w:noWrap w:val="0"/>
            <w:vAlign w:val="center"/>
          </w:tcPr>
          <w:p w14:paraId="28620E23">
            <w:pPr>
              <w:adjustRightInd w:val="0"/>
              <w:snapToGrid w:val="0"/>
              <w:jc w:val="center"/>
              <w:rPr>
                <w:rFonts w:hint="default" w:ascii="Times New Roman" w:hAnsi="Times New Roman" w:eastAsia="宋体" w:cs="Times New Roman"/>
                <w:sz w:val="24"/>
                <w:szCs w:val="24"/>
                <w:highlight w:val="none"/>
                <w:lang w:val="en-US" w:eastAsia="zh-CN"/>
              </w:rPr>
            </w:pPr>
            <w:r>
              <w:rPr>
                <w:rFonts w:hint="eastAsia" w:eastAsia="仿宋" w:cs="Times New Roman"/>
                <w:sz w:val="24"/>
                <w:lang w:val="en-US" w:eastAsia="zh-CN"/>
              </w:rPr>
              <w:t>5</w:t>
            </w:r>
            <w:r>
              <w:rPr>
                <w:rFonts w:hint="eastAsia" w:ascii="Times New Roman" w:hAnsi="Times New Roman" w:eastAsia="仿宋" w:cs="Times New Roman"/>
                <w:sz w:val="24"/>
                <w:lang w:val="en-US" w:eastAsia="zh-CN"/>
              </w:rPr>
              <w:t>00</w:t>
            </w:r>
          </w:p>
        </w:tc>
        <w:tc>
          <w:tcPr>
            <w:tcW w:w="1756" w:type="dxa"/>
            <w:noWrap w:val="0"/>
            <w:tcMar>
              <w:top w:w="16" w:type="dxa"/>
              <w:left w:w="16" w:type="dxa"/>
              <w:right w:w="16" w:type="dxa"/>
            </w:tcMar>
            <w:vAlign w:val="center"/>
          </w:tcPr>
          <w:p w14:paraId="1F66FE81">
            <w:pPr>
              <w:adjustRightInd w:val="0"/>
              <w:snapToGrid w:val="0"/>
              <w:jc w:val="center"/>
              <w:rPr>
                <w:rFonts w:ascii="宋体" w:hAnsi="宋体" w:cs="宋体"/>
                <w:sz w:val="24"/>
                <w:szCs w:val="24"/>
              </w:rPr>
            </w:pPr>
            <w:r>
              <w:rPr>
                <w:rFonts w:hint="eastAsia" w:ascii="宋体" w:hAnsi="宋体" w:cs="宋体"/>
                <w:sz w:val="24"/>
                <w:szCs w:val="24"/>
              </w:rPr>
              <w:t>环保投资（万元）</w:t>
            </w:r>
          </w:p>
        </w:tc>
        <w:tc>
          <w:tcPr>
            <w:tcW w:w="2639" w:type="dxa"/>
            <w:noWrap w:val="0"/>
            <w:vAlign w:val="center"/>
          </w:tcPr>
          <w:p w14:paraId="0C6835BB">
            <w:pPr>
              <w:adjustRightInd w:val="0"/>
              <w:snapToGrid w:val="0"/>
              <w:jc w:val="center"/>
              <w:rPr>
                <w:rFonts w:hint="default" w:ascii="宋体" w:hAnsi="宋体" w:eastAsia="宋体" w:cs="宋体"/>
                <w:sz w:val="24"/>
                <w:szCs w:val="24"/>
                <w:lang w:val="en-US" w:eastAsia="zh-CN"/>
              </w:rPr>
            </w:pPr>
            <w:r>
              <w:rPr>
                <w:rFonts w:hint="eastAsia" w:cs="Times New Roman"/>
                <w:sz w:val="24"/>
                <w:szCs w:val="24"/>
                <w:highlight w:val="none"/>
                <w:lang w:val="en-US" w:eastAsia="zh-CN"/>
              </w:rPr>
              <w:t>45</w:t>
            </w:r>
          </w:p>
        </w:tc>
      </w:tr>
      <w:tr w14:paraId="071F8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3289C955">
            <w:pPr>
              <w:adjustRightInd w:val="0"/>
              <w:snapToGrid w:val="0"/>
              <w:jc w:val="center"/>
              <w:rPr>
                <w:rFonts w:ascii="宋体" w:hAnsi="宋体" w:cs="宋体"/>
                <w:sz w:val="24"/>
                <w:szCs w:val="24"/>
              </w:rPr>
            </w:pPr>
            <w:r>
              <w:rPr>
                <w:rFonts w:hint="eastAsia" w:ascii="宋体" w:hAnsi="宋体" w:cs="宋体"/>
                <w:sz w:val="24"/>
                <w:szCs w:val="24"/>
              </w:rPr>
              <w:t>环保投资占比（</w:t>
            </w:r>
            <w:r>
              <w:rPr>
                <w:rFonts w:hint="default" w:ascii="Times New Roman" w:hAnsi="Times New Roman" w:cs="Times New Roman"/>
                <w:sz w:val="24"/>
                <w:szCs w:val="24"/>
              </w:rPr>
              <w:t>%</w:t>
            </w:r>
            <w:r>
              <w:rPr>
                <w:rFonts w:hint="eastAsia" w:ascii="宋体" w:hAnsi="宋体" w:cs="宋体"/>
                <w:sz w:val="24"/>
                <w:szCs w:val="24"/>
              </w:rPr>
              <w:t>）</w:t>
            </w:r>
          </w:p>
        </w:tc>
        <w:tc>
          <w:tcPr>
            <w:tcW w:w="2093" w:type="dxa"/>
            <w:noWrap w:val="0"/>
            <w:vAlign w:val="center"/>
          </w:tcPr>
          <w:p w14:paraId="21C8C60E">
            <w:pPr>
              <w:adjustRightInd w:val="0"/>
              <w:snapToGrid w:val="0"/>
              <w:jc w:val="center"/>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9.0</w:t>
            </w:r>
          </w:p>
        </w:tc>
        <w:tc>
          <w:tcPr>
            <w:tcW w:w="1756" w:type="dxa"/>
            <w:noWrap w:val="0"/>
            <w:tcMar>
              <w:top w:w="16" w:type="dxa"/>
              <w:left w:w="16" w:type="dxa"/>
              <w:right w:w="16" w:type="dxa"/>
            </w:tcMar>
            <w:vAlign w:val="center"/>
          </w:tcPr>
          <w:p w14:paraId="7F22DE00">
            <w:pPr>
              <w:adjustRightInd w:val="0"/>
              <w:snapToGrid w:val="0"/>
              <w:jc w:val="center"/>
              <w:rPr>
                <w:rFonts w:ascii="宋体" w:hAnsi="宋体" w:cs="宋体"/>
                <w:sz w:val="24"/>
                <w:szCs w:val="24"/>
              </w:rPr>
            </w:pPr>
            <w:r>
              <w:rPr>
                <w:rFonts w:hint="eastAsia" w:ascii="宋体" w:hAnsi="宋体" w:cs="宋体"/>
                <w:sz w:val="24"/>
                <w:szCs w:val="24"/>
              </w:rPr>
              <w:t>施工工期</w:t>
            </w:r>
          </w:p>
        </w:tc>
        <w:tc>
          <w:tcPr>
            <w:tcW w:w="2639" w:type="dxa"/>
            <w:noWrap w:val="0"/>
            <w:vAlign w:val="center"/>
          </w:tcPr>
          <w:p w14:paraId="076E3293">
            <w:pPr>
              <w:adjustRightInd w:val="0"/>
              <w:snapToGrid w:val="0"/>
              <w:jc w:val="center"/>
              <w:rPr>
                <w:rFonts w:ascii="宋体" w:hAnsi="宋体" w:cs="宋体"/>
                <w:sz w:val="24"/>
                <w:szCs w:val="24"/>
              </w:rPr>
            </w:pPr>
            <w:r>
              <w:rPr>
                <w:rFonts w:hint="eastAsia"/>
                <w:sz w:val="24"/>
                <w:szCs w:val="24"/>
                <w:lang w:val="en-US" w:eastAsia="zh-CN"/>
              </w:rPr>
              <w:t>1个月</w:t>
            </w:r>
          </w:p>
        </w:tc>
      </w:tr>
      <w:tr w14:paraId="31781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3E48CC3A">
            <w:pPr>
              <w:adjustRightInd w:val="0"/>
              <w:snapToGrid w:val="0"/>
              <w:jc w:val="center"/>
              <w:rPr>
                <w:rFonts w:hint="eastAsia" w:ascii="宋体" w:hAnsi="宋体" w:cs="宋体"/>
                <w:sz w:val="24"/>
                <w:szCs w:val="24"/>
              </w:rPr>
            </w:pPr>
            <w:r>
              <w:rPr>
                <w:rFonts w:hint="eastAsia" w:ascii="宋体" w:hAnsi="宋体" w:cs="宋体"/>
                <w:sz w:val="24"/>
                <w:szCs w:val="24"/>
              </w:rPr>
              <w:t>是否开工建设</w:t>
            </w:r>
          </w:p>
        </w:tc>
        <w:tc>
          <w:tcPr>
            <w:tcW w:w="2093" w:type="dxa"/>
            <w:noWrap w:val="0"/>
            <w:vAlign w:val="center"/>
          </w:tcPr>
          <w:p w14:paraId="443AE2FE">
            <w:pPr>
              <w:adjustRightInd w:val="0"/>
              <w:snapToGrid w:val="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否</w:t>
            </w:r>
          </w:p>
          <w:p w14:paraId="7FF8661C">
            <w:pPr>
              <w:adjustRightInd w:val="0"/>
              <w:snapToGrid w:val="0"/>
              <w:rPr>
                <w:rFonts w:ascii="宋体" w:hAnsi="宋体" w:cs="宋体"/>
                <w:sz w:val="24"/>
                <w:szCs w:val="24"/>
              </w:rPr>
            </w:pPr>
            <w:r>
              <w:rPr>
                <w:rFonts w:hint="eastAsia" w:ascii="宋体" w:hAnsi="宋体" w:cs="宋体"/>
                <w:sz w:val="24"/>
                <w:szCs w:val="24"/>
              </w:rPr>
              <w:t>□是：</w:t>
            </w:r>
            <w:r>
              <w:rPr>
                <w:rFonts w:hint="eastAsia" w:ascii="宋体" w:hAnsi="宋体" w:cs="宋体"/>
                <w:sz w:val="24"/>
                <w:szCs w:val="24"/>
                <w:u w:val="single"/>
              </w:rPr>
              <w:t xml:space="preserve">             </w:t>
            </w:r>
          </w:p>
        </w:tc>
        <w:tc>
          <w:tcPr>
            <w:tcW w:w="1756" w:type="dxa"/>
            <w:noWrap w:val="0"/>
            <w:tcMar>
              <w:top w:w="16" w:type="dxa"/>
              <w:left w:w="16" w:type="dxa"/>
              <w:right w:w="16" w:type="dxa"/>
            </w:tcMar>
            <w:vAlign w:val="center"/>
          </w:tcPr>
          <w:p w14:paraId="79B89C20">
            <w:pPr>
              <w:adjustRightInd w:val="0"/>
              <w:snapToGrid w:val="0"/>
              <w:jc w:val="center"/>
              <w:rPr>
                <w:rFonts w:ascii="宋体" w:hAnsi="宋体" w:cs="宋体"/>
                <w:spacing w:val="-6"/>
                <w:sz w:val="24"/>
                <w:szCs w:val="24"/>
              </w:rPr>
            </w:pPr>
            <w:r>
              <w:rPr>
                <w:rFonts w:hint="eastAsia" w:ascii="宋体" w:hAnsi="宋体" w:cs="宋体"/>
                <w:spacing w:val="-6"/>
                <w:sz w:val="24"/>
                <w:szCs w:val="24"/>
              </w:rPr>
              <w:t>用地（用海）</w:t>
            </w:r>
          </w:p>
          <w:p w14:paraId="7BA7E1A0">
            <w:pPr>
              <w:adjustRightInd w:val="0"/>
              <w:snapToGrid w:val="0"/>
              <w:jc w:val="center"/>
              <w:rPr>
                <w:rFonts w:hint="eastAsia" w:ascii="宋体" w:hAnsi="宋体" w:cs="宋体"/>
                <w:sz w:val="24"/>
                <w:szCs w:val="24"/>
              </w:rPr>
            </w:pPr>
            <w:r>
              <w:rPr>
                <w:rFonts w:hint="eastAsia" w:ascii="宋体" w:hAnsi="宋体" w:cs="宋体"/>
                <w:spacing w:val="-6"/>
                <w:sz w:val="24"/>
                <w:szCs w:val="24"/>
              </w:rPr>
              <w:t>面积（</w:t>
            </w:r>
            <w:r>
              <w:rPr>
                <w:rFonts w:hint="default" w:ascii="Times New Roman" w:hAnsi="Times New Roman" w:cs="Times New Roman"/>
                <w:spacing w:val="-6"/>
                <w:sz w:val="24"/>
                <w:szCs w:val="24"/>
              </w:rPr>
              <w:t>m</w:t>
            </w:r>
            <w:r>
              <w:rPr>
                <w:rFonts w:hint="default" w:ascii="Times New Roman" w:hAnsi="Times New Roman" w:cs="Times New Roman"/>
                <w:spacing w:val="-6"/>
                <w:sz w:val="24"/>
                <w:szCs w:val="24"/>
                <w:vertAlign w:val="superscript"/>
              </w:rPr>
              <w:t>2</w:t>
            </w:r>
            <w:r>
              <w:rPr>
                <w:rFonts w:hint="eastAsia" w:ascii="宋体" w:hAnsi="宋体" w:cs="宋体"/>
                <w:spacing w:val="-6"/>
                <w:sz w:val="24"/>
                <w:szCs w:val="24"/>
              </w:rPr>
              <w:t>）</w:t>
            </w:r>
          </w:p>
        </w:tc>
        <w:tc>
          <w:tcPr>
            <w:tcW w:w="2639" w:type="dxa"/>
            <w:noWrap w:val="0"/>
            <w:vAlign w:val="center"/>
          </w:tcPr>
          <w:p w14:paraId="397CE8D0">
            <w:pPr>
              <w:adjustRightInd w:val="0"/>
              <w:snapToGrid w:val="0"/>
              <w:jc w:val="center"/>
              <w:rPr>
                <w:rFonts w:hint="default" w:ascii="宋体" w:hAnsi="宋体" w:eastAsia="宋体" w:cs="宋体"/>
                <w:sz w:val="24"/>
                <w:szCs w:val="24"/>
                <w:lang w:val="en-US" w:eastAsia="zh-CN"/>
              </w:rPr>
            </w:pPr>
            <w:r>
              <w:rPr>
                <w:rFonts w:hint="eastAsia" w:cs="Times New Roman"/>
                <w:color w:val="000000" w:themeColor="text1"/>
                <w:sz w:val="24"/>
                <w:szCs w:val="24"/>
                <w:highlight w:val="none"/>
                <w:lang w:val="en-US" w:eastAsia="zh-CN"/>
                <w14:textFill>
                  <w14:solidFill>
                    <w14:schemeClr w14:val="tx1"/>
                  </w14:solidFill>
                </w14:textFill>
              </w:rPr>
              <w:t>6997.74</w:t>
            </w:r>
          </w:p>
        </w:tc>
      </w:tr>
      <w:tr w14:paraId="330A9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14:paraId="0121F243">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专项评价设置情况</w:t>
            </w:r>
          </w:p>
        </w:tc>
        <w:tc>
          <w:tcPr>
            <w:tcW w:w="6488" w:type="dxa"/>
            <w:gridSpan w:val="3"/>
            <w:noWrap w:val="0"/>
            <w:vAlign w:val="center"/>
          </w:tcPr>
          <w:p w14:paraId="78AAEB9D">
            <w:pPr>
              <w:autoSpaceDE w:val="0"/>
              <w:autoSpaceDN w:val="0"/>
              <w:adjustRightInd w:val="0"/>
              <w:snapToGrid w:val="0"/>
              <w:jc w:val="both"/>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无</w:t>
            </w:r>
          </w:p>
        </w:tc>
      </w:tr>
      <w:tr w14:paraId="2490A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14:paraId="1818A937">
            <w:pPr>
              <w:autoSpaceDE w:val="0"/>
              <w:autoSpaceDN w:val="0"/>
              <w:adjustRightInd w:val="0"/>
              <w:snapToGrid w:val="0"/>
              <w:jc w:val="center"/>
              <w:rPr>
                <w:rFonts w:hint="eastAsia" w:ascii="宋体" w:hAnsi="宋体" w:cs="宋体"/>
                <w:kern w:val="0"/>
                <w:sz w:val="24"/>
                <w:szCs w:val="24"/>
              </w:rPr>
            </w:pPr>
            <w:r>
              <w:rPr>
                <w:rFonts w:hint="eastAsia" w:ascii="宋体" w:hAnsi="宋体" w:cs="宋体"/>
                <w:sz w:val="24"/>
                <w:szCs w:val="24"/>
              </w:rPr>
              <w:t>规划情况</w:t>
            </w:r>
          </w:p>
        </w:tc>
        <w:tc>
          <w:tcPr>
            <w:tcW w:w="6488" w:type="dxa"/>
            <w:gridSpan w:val="3"/>
            <w:noWrap w:val="0"/>
            <w:vAlign w:val="center"/>
          </w:tcPr>
          <w:p w14:paraId="7E817431">
            <w:pPr>
              <w:autoSpaceDE w:val="0"/>
              <w:autoSpaceDN w:val="0"/>
              <w:adjustRightInd w:val="0"/>
              <w:snapToGrid w:val="0"/>
              <w:spacing w:line="360" w:lineRule="auto"/>
              <w:jc w:val="both"/>
              <w:rPr>
                <w:rFonts w:hint="eastAsia" w:ascii="Times New Roman" w:hAnsi="Times New Roman" w:cs="Times New Roman"/>
                <w:color w:val="auto"/>
                <w:kern w:val="0"/>
                <w:sz w:val="24"/>
                <w:szCs w:val="24"/>
                <w:highlight w:val="none"/>
                <w:lang w:eastAsia="zh-CN"/>
              </w:rPr>
            </w:pPr>
            <w:r>
              <w:rPr>
                <w:rFonts w:hint="default" w:ascii="Times New Roman" w:hAnsi="Times New Roman" w:cs="Times New Roman"/>
                <w:sz w:val="24"/>
                <w:szCs w:val="24"/>
                <w:lang w:eastAsia="zh-CN"/>
              </w:rPr>
              <w:t>文件名称：</w:t>
            </w:r>
            <w:r>
              <w:rPr>
                <w:rFonts w:hint="eastAsia"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吉林临江边境经济合作区</w:t>
            </w:r>
            <w:r>
              <w:rPr>
                <w:rFonts w:hint="eastAsia" w:ascii="Times New Roman" w:hAnsi="Times New Roman" w:cs="Times New Roman"/>
                <w:color w:val="auto"/>
                <w:kern w:val="0"/>
                <w:sz w:val="24"/>
                <w:szCs w:val="24"/>
                <w:highlight w:val="none"/>
                <w:lang w:eastAsia="zh-CN"/>
              </w:rPr>
              <w:t>》</w:t>
            </w:r>
          </w:p>
          <w:p w14:paraId="1B5BBA27">
            <w:pPr>
              <w:pStyle w:val="16"/>
              <w:spacing w:line="360" w:lineRule="auto"/>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审批机关：</w:t>
            </w:r>
            <w:r>
              <w:rPr>
                <w:rFonts w:hint="eastAsia" w:ascii="Times New Roman" w:hAnsi="Times New Roman" w:eastAsia="宋体" w:cs="Times New Roman"/>
                <w:color w:val="auto"/>
                <w:sz w:val="24"/>
                <w:szCs w:val="24"/>
                <w:u w:val="none" w:color="auto"/>
                <w:lang w:val="en-US" w:eastAsia="zh-CN"/>
              </w:rPr>
              <w:t>吉林省人民政府</w:t>
            </w:r>
          </w:p>
          <w:p w14:paraId="1AFD374F">
            <w:pPr>
              <w:autoSpaceDE w:val="0"/>
              <w:autoSpaceDN w:val="0"/>
              <w:adjustRightInd w:val="0"/>
              <w:snapToGrid w:val="0"/>
              <w:spacing w:line="360" w:lineRule="auto"/>
              <w:jc w:val="left"/>
              <w:rPr>
                <w:rFonts w:hint="eastAsia" w:ascii="宋体" w:hAnsi="宋体" w:eastAsia="宋体" w:cs="宋体"/>
                <w:kern w:val="0"/>
                <w:sz w:val="24"/>
                <w:szCs w:val="24"/>
                <w:lang w:val="en-US" w:eastAsia="zh-CN"/>
              </w:rPr>
            </w:pPr>
            <w:r>
              <w:rPr>
                <w:rFonts w:hint="default" w:ascii="Times New Roman" w:hAnsi="Times New Roman" w:eastAsia="宋体" w:cs="Times New Roman"/>
                <w:sz w:val="24"/>
                <w:szCs w:val="24"/>
              </w:rPr>
              <w:t>审查文件名称及文号：</w:t>
            </w:r>
            <w:r>
              <w:rPr>
                <w:rFonts w:hint="eastAsia" w:ascii="Times New Roman" w:hAnsi="Times New Roman" w:eastAsia="宋体" w:cs="Times New Roman"/>
                <w:color w:val="auto"/>
                <w:sz w:val="24"/>
                <w:szCs w:val="24"/>
                <w:u w:val="none" w:color="auto"/>
                <w:lang w:val="en-US" w:eastAsia="zh-CN"/>
              </w:rPr>
              <w:t>吉林省人民政府《关于同意设立吉林临江边境经济合作区的批复》（吉政函</w:t>
            </w:r>
            <w:r>
              <w:rPr>
                <w:rFonts w:hint="eastAsia" w:ascii="Times New Roman" w:hAnsi="Times New Roman" w:cs="Times New Roman"/>
                <w:color w:val="auto"/>
                <w:kern w:val="0"/>
                <w:sz w:val="24"/>
                <w:szCs w:val="24"/>
                <w:highlight w:val="none"/>
                <w:lang w:val="en-US" w:eastAsia="zh-CN"/>
              </w:rPr>
              <w:t>〔20</w:t>
            </w:r>
            <w:r>
              <w:rPr>
                <w:rFonts w:hint="eastAsia" w:cs="Times New Roman"/>
                <w:color w:val="auto"/>
                <w:kern w:val="0"/>
                <w:sz w:val="24"/>
                <w:szCs w:val="24"/>
                <w:highlight w:val="none"/>
                <w:lang w:val="en-US" w:eastAsia="zh-CN"/>
              </w:rPr>
              <w:t>18</w:t>
            </w:r>
            <w:r>
              <w:rPr>
                <w:rFonts w:hint="eastAsia" w:ascii="Times New Roman" w:hAnsi="Times New Roman" w:cs="Times New Roman"/>
                <w:color w:val="auto"/>
                <w:kern w:val="0"/>
                <w:sz w:val="24"/>
                <w:szCs w:val="24"/>
                <w:highlight w:val="none"/>
                <w:lang w:val="en-US" w:eastAsia="zh-CN"/>
              </w:rPr>
              <w:t>〕</w:t>
            </w:r>
            <w:r>
              <w:rPr>
                <w:rFonts w:hint="eastAsia" w:eastAsia="宋体" w:cs="Times New Roman"/>
                <w:color w:val="auto"/>
                <w:sz w:val="24"/>
                <w:szCs w:val="24"/>
                <w:u w:val="none" w:color="auto"/>
                <w:lang w:val="en-US" w:eastAsia="zh-CN"/>
              </w:rPr>
              <w:t>99</w:t>
            </w:r>
            <w:r>
              <w:rPr>
                <w:rFonts w:hint="eastAsia" w:ascii="Times New Roman" w:hAnsi="Times New Roman" w:eastAsia="宋体" w:cs="Times New Roman"/>
                <w:color w:val="auto"/>
                <w:sz w:val="24"/>
                <w:szCs w:val="24"/>
                <w:u w:val="none" w:color="auto"/>
                <w:lang w:val="en-US" w:eastAsia="zh-CN"/>
              </w:rPr>
              <w:t xml:space="preserve"> 号）</w:t>
            </w:r>
          </w:p>
        </w:tc>
      </w:tr>
      <w:tr w14:paraId="6298B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382" w:type="dxa"/>
            <w:gridSpan w:val="2"/>
            <w:noWrap w:val="0"/>
            <w:vAlign w:val="center"/>
          </w:tcPr>
          <w:p w14:paraId="1CF3794F">
            <w:pPr>
              <w:adjustRightInd w:val="0"/>
              <w:snapToGrid w:val="0"/>
              <w:jc w:val="center"/>
              <w:rPr>
                <w:rFonts w:ascii="宋体" w:hAnsi="宋体" w:cs="宋体"/>
                <w:sz w:val="24"/>
                <w:szCs w:val="24"/>
              </w:rPr>
            </w:pPr>
            <w:r>
              <w:rPr>
                <w:rFonts w:hint="eastAsia" w:ascii="宋体" w:hAnsi="宋体" w:cs="宋体"/>
                <w:sz w:val="24"/>
                <w:szCs w:val="24"/>
              </w:rPr>
              <w:t>规划环境影响</w:t>
            </w:r>
          </w:p>
          <w:p w14:paraId="54A3FF9C">
            <w:pPr>
              <w:adjustRightInd w:val="0"/>
              <w:snapToGrid w:val="0"/>
              <w:jc w:val="center"/>
              <w:rPr>
                <w:rFonts w:hint="eastAsia" w:ascii="宋体" w:hAnsi="宋体" w:cs="宋体"/>
                <w:kern w:val="0"/>
                <w:sz w:val="24"/>
                <w:szCs w:val="24"/>
              </w:rPr>
            </w:pPr>
            <w:r>
              <w:rPr>
                <w:rFonts w:hint="eastAsia" w:ascii="宋体" w:hAnsi="宋体" w:cs="宋体"/>
                <w:sz w:val="24"/>
                <w:szCs w:val="24"/>
              </w:rPr>
              <w:t>评价情况</w:t>
            </w:r>
          </w:p>
        </w:tc>
        <w:tc>
          <w:tcPr>
            <w:tcW w:w="6488" w:type="dxa"/>
            <w:gridSpan w:val="3"/>
            <w:noWrap w:val="0"/>
            <w:vAlign w:val="center"/>
          </w:tcPr>
          <w:p w14:paraId="0C305F95">
            <w:pPr>
              <w:autoSpaceDE w:val="0"/>
              <w:autoSpaceDN w:val="0"/>
              <w:adjustRightInd w:val="0"/>
              <w:snapToGrid w:val="0"/>
              <w:spacing w:line="360" w:lineRule="auto"/>
              <w:jc w:val="left"/>
              <w:rPr>
                <w:rFonts w:hint="eastAsia" w:ascii="Times New Roman" w:hAnsi="Times New Roman" w:cs="Times New Roman"/>
                <w:color w:val="auto"/>
                <w:kern w:val="0"/>
                <w:sz w:val="24"/>
                <w:szCs w:val="24"/>
                <w:highlight w:val="none"/>
                <w:lang w:eastAsia="zh-CN"/>
              </w:rPr>
            </w:pPr>
            <w:r>
              <w:rPr>
                <w:rFonts w:hint="default" w:ascii="Times New Roman" w:hAnsi="Times New Roman" w:cs="Times New Roman"/>
                <w:sz w:val="24"/>
                <w:szCs w:val="24"/>
                <w:lang w:eastAsia="zh-CN"/>
              </w:rPr>
              <w:t>文件名称：</w:t>
            </w:r>
            <w:r>
              <w:rPr>
                <w:rFonts w:hint="eastAsia" w:ascii="Times New Roman" w:hAnsi="Times New Roman" w:cs="Times New Roman"/>
                <w:color w:val="auto"/>
                <w:kern w:val="0"/>
                <w:sz w:val="24"/>
                <w:szCs w:val="24"/>
                <w:highlight w:val="none"/>
                <w:lang w:eastAsia="zh-CN"/>
              </w:rPr>
              <w:t>《吉林临江边境经济合作区总体规划</w:t>
            </w:r>
            <w:r>
              <w:rPr>
                <w:rFonts w:hint="default" w:ascii="Times New Roman" w:hAnsi="Times New Roman" w:cs="Times New Roman"/>
                <w:color w:val="auto"/>
                <w:kern w:val="0"/>
                <w:sz w:val="24"/>
                <w:szCs w:val="24"/>
                <w:highlight w:val="none"/>
              </w:rPr>
              <w:t>（2018-2035）环境影响报告书</w:t>
            </w:r>
            <w:r>
              <w:rPr>
                <w:rFonts w:hint="eastAsia" w:ascii="Times New Roman" w:hAnsi="Times New Roman" w:cs="Times New Roman"/>
                <w:color w:val="auto"/>
                <w:kern w:val="0"/>
                <w:sz w:val="24"/>
                <w:szCs w:val="24"/>
                <w:highlight w:val="none"/>
                <w:lang w:eastAsia="zh-CN"/>
              </w:rPr>
              <w:t>》</w:t>
            </w:r>
          </w:p>
          <w:p w14:paraId="308BDA1B">
            <w:pPr>
              <w:spacing w:line="360" w:lineRule="auto"/>
              <w:jc w:val="left"/>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sz w:val="24"/>
                <w:szCs w:val="24"/>
              </w:rPr>
              <w:t>审批机关：</w:t>
            </w:r>
            <w:r>
              <w:rPr>
                <w:rFonts w:hint="eastAsia" w:ascii="Times New Roman" w:hAnsi="Times New Roman" w:cs="Times New Roman"/>
                <w:color w:val="auto"/>
                <w:kern w:val="0"/>
                <w:sz w:val="24"/>
                <w:szCs w:val="24"/>
                <w:highlight w:val="none"/>
                <w:lang w:val="en-US" w:eastAsia="zh-CN"/>
              </w:rPr>
              <w:t>吉林省生态环境厅</w:t>
            </w:r>
          </w:p>
          <w:p w14:paraId="1C5332E8">
            <w:pPr>
              <w:autoSpaceDE w:val="0"/>
              <w:autoSpaceDN w:val="0"/>
              <w:adjustRightInd w:val="0"/>
              <w:snapToGrid w:val="0"/>
              <w:spacing w:line="360" w:lineRule="auto"/>
              <w:jc w:val="left"/>
              <w:rPr>
                <w:rFonts w:ascii="宋体" w:hAnsi="宋体" w:cs="宋体"/>
                <w:kern w:val="0"/>
                <w:sz w:val="24"/>
                <w:szCs w:val="24"/>
              </w:rPr>
            </w:pPr>
            <w:r>
              <w:rPr>
                <w:rFonts w:hint="default" w:ascii="Times New Roman" w:hAnsi="Times New Roman" w:eastAsia="宋体" w:cs="Times New Roman"/>
                <w:sz w:val="24"/>
                <w:szCs w:val="24"/>
              </w:rPr>
              <w:t>审查文件名称及文号：</w:t>
            </w:r>
            <w:r>
              <w:rPr>
                <w:rFonts w:hint="eastAsia" w:ascii="Times New Roman" w:hAnsi="Times New Roman" w:eastAsia="宋体" w:cs="Times New Roman"/>
                <w:sz w:val="24"/>
                <w:szCs w:val="24"/>
                <w:lang w:eastAsia="zh-CN"/>
              </w:rPr>
              <w:t>吉林省生态环境厅</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关</w:t>
            </w:r>
            <w:r>
              <w:rPr>
                <w:rFonts w:hint="default" w:ascii="Times New Roman" w:hAnsi="Times New Roman" w:eastAsia="宋体" w:cs="Times New Roman"/>
                <w:sz w:val="24"/>
                <w:szCs w:val="24"/>
              </w:rPr>
              <w:t>于</w:t>
            </w:r>
            <w:r>
              <w:rPr>
                <w:rFonts w:hint="eastAsia" w:ascii="Times New Roman" w:hAnsi="Times New Roman" w:cs="Times New Roman"/>
                <w:color w:val="auto"/>
                <w:kern w:val="0"/>
                <w:sz w:val="24"/>
                <w:szCs w:val="24"/>
                <w:highlight w:val="none"/>
                <w:lang w:eastAsia="zh-CN"/>
              </w:rPr>
              <w:t>吉林临江边境经济合作区总体规划</w:t>
            </w:r>
            <w:r>
              <w:rPr>
                <w:rFonts w:hint="default" w:ascii="Times New Roman" w:hAnsi="Times New Roman" w:cs="Times New Roman"/>
                <w:color w:val="auto"/>
                <w:kern w:val="0"/>
                <w:sz w:val="24"/>
                <w:szCs w:val="24"/>
                <w:highlight w:val="none"/>
              </w:rPr>
              <w:t>（2018-2035）环境影响报告书</w:t>
            </w:r>
            <w:r>
              <w:rPr>
                <w:rFonts w:hint="eastAsia" w:ascii="Times New Roman" w:hAnsi="Times New Roman" w:eastAsia="宋体" w:cs="Times New Roman"/>
                <w:sz w:val="24"/>
                <w:szCs w:val="24"/>
                <w:lang w:eastAsia="zh-CN"/>
              </w:rPr>
              <w:t>的</w:t>
            </w:r>
            <w:r>
              <w:rPr>
                <w:rFonts w:hint="default" w:ascii="Times New Roman" w:hAnsi="Times New Roman" w:eastAsia="宋体" w:cs="Times New Roman"/>
                <w:sz w:val="24"/>
                <w:szCs w:val="24"/>
              </w:rPr>
              <w:t>审查意见》</w:t>
            </w:r>
            <w:r>
              <w:rPr>
                <w:rFonts w:hint="eastAsia" w:ascii="Times New Roman" w:hAnsi="Times New Roman" w:eastAsia="宋体" w:cs="Times New Roman"/>
                <w:sz w:val="24"/>
                <w:szCs w:val="24"/>
                <w:lang w:eastAsia="zh-CN"/>
              </w:rPr>
              <w:t>（</w:t>
            </w:r>
            <w:r>
              <w:rPr>
                <w:rFonts w:hint="eastAsia" w:ascii="Times New Roman" w:hAnsi="Times New Roman" w:cs="Times New Roman"/>
                <w:color w:val="auto"/>
                <w:kern w:val="0"/>
                <w:sz w:val="24"/>
                <w:szCs w:val="24"/>
                <w:highlight w:val="none"/>
                <w:lang w:val="en-US" w:eastAsia="zh-CN"/>
              </w:rPr>
              <w:t>吉环环评字〔202</w:t>
            </w:r>
            <w:r>
              <w:rPr>
                <w:rFonts w:hint="eastAsia" w:cs="Times New Roman"/>
                <w:color w:val="auto"/>
                <w:kern w:val="0"/>
                <w:sz w:val="24"/>
                <w:szCs w:val="24"/>
                <w:highlight w:val="none"/>
                <w:lang w:val="en-US" w:eastAsia="zh-CN"/>
              </w:rPr>
              <w:t>1</w:t>
            </w:r>
            <w:r>
              <w:rPr>
                <w:rFonts w:hint="eastAsia" w:ascii="Times New Roman" w:hAnsi="Times New Roman" w:cs="Times New Roman"/>
                <w:color w:val="auto"/>
                <w:kern w:val="0"/>
                <w:sz w:val="24"/>
                <w:szCs w:val="24"/>
                <w:highlight w:val="none"/>
                <w:lang w:val="en-US" w:eastAsia="zh-CN"/>
              </w:rPr>
              <w:t>〕</w:t>
            </w:r>
            <w:r>
              <w:rPr>
                <w:rFonts w:hint="eastAsia" w:cs="Times New Roman"/>
                <w:color w:val="auto"/>
                <w:kern w:val="0"/>
                <w:sz w:val="24"/>
                <w:szCs w:val="24"/>
                <w:highlight w:val="none"/>
                <w:lang w:val="en-US" w:eastAsia="zh-CN"/>
              </w:rPr>
              <w:t>43</w:t>
            </w:r>
            <w:r>
              <w:rPr>
                <w:rFonts w:hint="eastAsia" w:ascii="Times New Roman" w:hAnsi="Times New Roman" w:cs="Times New Roman"/>
                <w:color w:val="auto"/>
                <w:kern w:val="0"/>
                <w:sz w:val="24"/>
                <w:szCs w:val="24"/>
                <w:highlight w:val="none"/>
                <w:lang w:val="en-US" w:eastAsia="zh-CN"/>
              </w:rPr>
              <w:t xml:space="preserve"> 号</w:t>
            </w:r>
            <w:r>
              <w:rPr>
                <w:rFonts w:hint="eastAsia" w:ascii="Times New Roman" w:hAnsi="Times New Roman" w:eastAsia="宋体" w:cs="Times New Roman"/>
                <w:sz w:val="24"/>
                <w:szCs w:val="24"/>
                <w:lang w:eastAsia="zh-CN"/>
              </w:rPr>
              <w:t>）</w:t>
            </w:r>
          </w:p>
        </w:tc>
      </w:tr>
      <w:tr w14:paraId="5941B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14:paraId="5F25B0E6">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规划及规划环境影响评价符合性分析</w:t>
            </w:r>
          </w:p>
        </w:tc>
        <w:tc>
          <w:tcPr>
            <w:tcW w:w="6488" w:type="dxa"/>
            <w:gridSpan w:val="3"/>
            <w:noWrap w:val="0"/>
            <w:vAlign w:val="center"/>
          </w:tcPr>
          <w:p w14:paraId="477BB6EA">
            <w:pPr>
              <w:numPr>
                <w:ilvl w:val="0"/>
                <w:numId w:val="0"/>
              </w:numPr>
              <w:autoSpaceDE w:val="0"/>
              <w:autoSpaceDN w:val="0"/>
              <w:adjustRightInd w:val="0"/>
              <w:snapToGrid w:val="0"/>
              <w:spacing w:line="360" w:lineRule="auto"/>
              <w:ind w:firstLine="482" w:firstLineChars="200"/>
              <w:jc w:val="both"/>
              <w:rPr>
                <w:rFonts w:hint="eastAsia"/>
                <w:b/>
                <w:bCs/>
                <w:sz w:val="24"/>
                <w:szCs w:val="24"/>
                <w:u w:val="none"/>
                <w:lang w:val="en-US" w:eastAsia="zh-CN"/>
              </w:rPr>
            </w:pPr>
            <w:r>
              <w:rPr>
                <w:rFonts w:hint="eastAsia"/>
                <w:b/>
                <w:bCs/>
                <w:sz w:val="24"/>
                <w:szCs w:val="24"/>
                <w:u w:val="none"/>
                <w:lang w:val="en-US" w:eastAsia="zh-CN"/>
              </w:rPr>
              <w:t>1、与规划相符性分析</w:t>
            </w:r>
          </w:p>
          <w:p w14:paraId="17A13440">
            <w:pPr>
              <w:autoSpaceDE w:val="0"/>
              <w:autoSpaceDN w:val="0"/>
              <w:adjustRightInd w:val="0"/>
              <w:snapToGrid w:val="0"/>
              <w:spacing w:line="360" w:lineRule="auto"/>
              <w:ind w:firstLine="480" w:firstLineChars="200"/>
              <w:jc w:val="both"/>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t>边合区规划面积为5.09平方公里，包括临江经济开发区和大栗子片区两部分四个地块，临江经济开发区四至范围：东至临城八 社桥，南至三道沟河，西至沿江公路，北至三道沟河；大栗子片区大栗子街区地块四至范围：东至鸭绿江，南至鸭绿江，西至栗矿公司，北至大栗子北山</w:t>
            </w:r>
            <w:r>
              <w:rPr>
                <w:rFonts w:hint="eastAsia" w:ascii="Times New Roman" w:hAnsi="Times New Roman" w:eastAsia="宋体" w:cs="Times New Roman"/>
                <w:sz w:val="24"/>
                <w:szCs w:val="24"/>
                <w:u w:val="single"/>
                <w:lang w:eastAsia="zh-CN"/>
              </w:rPr>
              <w:t>。</w:t>
            </w:r>
            <w:r>
              <w:rPr>
                <w:rFonts w:hint="default" w:ascii="Times New Roman" w:hAnsi="Times New Roman" w:eastAsia="宋体" w:cs="Times New Roman"/>
                <w:sz w:val="24"/>
                <w:szCs w:val="24"/>
                <w:u w:val="single"/>
              </w:rPr>
              <w:t>大栗子片区望江楼村地块四至范围：东至鸭绿江，南至沿江公路通往大栗子街区路口，西至大栗子北山，北至沿江公路通往挡石村路口；大栗子片区挡石村地块四至范围：东至鸭绿江，南至沿江公路通往望江楼村路，西至铁路，北至挡石村河。</w:t>
            </w:r>
          </w:p>
          <w:p w14:paraId="56A01C4A">
            <w:pPr>
              <w:pStyle w:val="16"/>
              <w:widowControl w:val="0"/>
              <w:numPr>
                <w:ilvl w:val="0"/>
                <w:numId w:val="0"/>
              </w:numPr>
              <w:spacing w:line="360" w:lineRule="auto"/>
              <w:ind w:firstLine="480" w:firstLineChars="200"/>
              <w:jc w:val="both"/>
              <w:rPr>
                <w:rFonts w:hint="eastAsia"/>
                <w:sz w:val="24"/>
                <w:szCs w:val="24"/>
                <w:u w:val="single"/>
                <w:lang w:val="en-US" w:eastAsia="zh-CN"/>
              </w:rPr>
            </w:pPr>
            <w:r>
              <w:rPr>
                <w:rFonts w:hint="eastAsia"/>
                <w:sz w:val="24"/>
                <w:szCs w:val="24"/>
                <w:u w:val="single"/>
                <w:lang w:val="en-US" w:eastAsia="zh-CN"/>
              </w:rPr>
              <w:t>开发区</w:t>
            </w:r>
            <w:r>
              <w:rPr>
                <w:rFonts w:hint="default"/>
                <w:sz w:val="24"/>
                <w:szCs w:val="24"/>
                <w:u w:val="single"/>
                <w:lang w:val="en-US" w:eastAsia="zh-CN"/>
              </w:rPr>
              <w:t>产业定位</w:t>
            </w:r>
            <w:r>
              <w:rPr>
                <w:rFonts w:hint="eastAsia"/>
                <w:sz w:val="24"/>
                <w:szCs w:val="24"/>
                <w:u w:val="single"/>
                <w:lang w:val="en-US" w:eastAsia="zh-CN"/>
              </w:rPr>
              <w:t>及发展方向：边合区中临江经济开发区地块包括综合加工贸易区A区 （主要发展矿泉水、农林特产品加工等，逐步引入节能环保、新材料、装备制造及智能产业）和现代服务业集中区（重点发展金融保险、科技推广和应用服务业、信息服务等）；大栗子片区包括进综合加工贸易区B区（主要发展计算机、通信和其他电子设备制造业、轻 工纺织、建材加工等产业）、口岸商贸物流综合服务区（主要发展仓储物流与加工、商贸等）、医药健康融合发展区（主要发展中药、保健品、绿色食品以及休闲养生、健康养老等）和生活配套服务区。</w:t>
            </w:r>
          </w:p>
          <w:p w14:paraId="37BE92DD">
            <w:pPr>
              <w:spacing w:line="360" w:lineRule="auto"/>
              <w:rPr>
                <w:rFonts w:hint="default"/>
                <w:u w:val="single"/>
                <w:lang w:val="en-US" w:eastAsia="zh-CN"/>
              </w:rPr>
            </w:pPr>
            <w:r>
              <w:rPr>
                <w:rFonts w:hint="eastAsia"/>
                <w:sz w:val="24"/>
                <w:szCs w:val="24"/>
                <w:u w:val="single"/>
                <w:lang w:val="en-US" w:eastAsia="zh-CN"/>
              </w:rPr>
              <w:t xml:space="preserve">    本项目位于</w:t>
            </w:r>
            <w:r>
              <w:rPr>
                <w:rFonts w:hint="eastAsia" w:ascii="宋体" w:hAnsi="宋体" w:cs="宋体"/>
                <w:sz w:val="24"/>
                <w:szCs w:val="24"/>
                <w:u w:val="single"/>
                <w:lang w:val="en-US" w:eastAsia="zh-CN"/>
              </w:rPr>
              <w:t>临江市临城村6社，属于</w:t>
            </w:r>
            <w:r>
              <w:rPr>
                <w:rFonts w:hint="eastAsia"/>
                <w:sz w:val="24"/>
                <w:szCs w:val="24"/>
                <w:u w:val="single"/>
                <w:lang w:val="en-US" w:eastAsia="zh-CN"/>
              </w:rPr>
              <w:t>边合区中综合加工贸易区A区，主要发展矿泉水、农林特产品加工等，逐步引入节能环保、新材料、装备制造及智能产业，本项目为商品混凝土加工企业，属于材料制造业，项目不违背开发区产业发展方向，且项目已取得边合区管委会同意入驻的情况说明，详见附件。</w:t>
            </w:r>
          </w:p>
          <w:p w14:paraId="42AB34BF">
            <w:pPr>
              <w:numPr>
                <w:ilvl w:val="0"/>
                <w:numId w:val="0"/>
              </w:numPr>
              <w:spacing w:line="360" w:lineRule="auto"/>
              <w:ind w:leftChars="0" w:firstLine="482" w:firstLineChars="200"/>
              <w:rPr>
                <w:rFonts w:hint="eastAsia"/>
                <w:b/>
                <w:bCs/>
                <w:sz w:val="24"/>
                <w:szCs w:val="24"/>
                <w:u w:val="none"/>
                <w:lang w:val="en-US" w:eastAsia="zh-CN"/>
              </w:rPr>
            </w:pPr>
            <w:r>
              <w:rPr>
                <w:rFonts w:hint="eastAsia"/>
                <w:b/>
                <w:bCs/>
                <w:sz w:val="24"/>
                <w:szCs w:val="24"/>
                <w:u w:val="none"/>
                <w:lang w:val="en-US" w:eastAsia="zh-CN"/>
              </w:rPr>
              <w:t>2、与规划环评相符性分析</w:t>
            </w:r>
          </w:p>
          <w:p w14:paraId="03C3E3F9">
            <w:pPr>
              <w:pStyle w:val="16"/>
              <w:widowControl w:val="0"/>
              <w:numPr>
                <w:ilvl w:val="0"/>
                <w:numId w:val="0"/>
              </w:numPr>
              <w:spacing w:line="360" w:lineRule="auto"/>
              <w:ind w:firstLine="480" w:firstLineChars="200"/>
              <w:jc w:val="left"/>
              <w:rPr>
                <w:rFonts w:hint="eastAsia"/>
                <w:sz w:val="24"/>
                <w:szCs w:val="24"/>
                <w:u w:val="none"/>
                <w:lang w:val="en-US" w:eastAsia="zh-CN"/>
              </w:rPr>
            </w:pPr>
            <w:r>
              <w:rPr>
                <w:rFonts w:hint="eastAsia"/>
                <w:sz w:val="24"/>
                <w:szCs w:val="24"/>
                <w:u w:val="none"/>
                <w:lang w:val="en-US" w:eastAsia="zh-CN"/>
              </w:rPr>
              <w:t>根据</w:t>
            </w:r>
            <w:r>
              <w:rPr>
                <w:rFonts w:hint="eastAsia"/>
                <w:sz w:val="24"/>
                <w:szCs w:val="24"/>
                <w:u w:val="none"/>
                <w:lang w:eastAsia="zh-CN"/>
              </w:rPr>
              <w:t>《吉林临江边境经济合作区</w:t>
            </w:r>
            <w:r>
              <w:rPr>
                <w:rFonts w:hint="default"/>
                <w:sz w:val="24"/>
                <w:szCs w:val="24"/>
                <w:u w:val="none"/>
              </w:rPr>
              <w:t>总体规划（2018-2035）环境影响报告书</w:t>
            </w:r>
            <w:r>
              <w:rPr>
                <w:rFonts w:hint="eastAsia"/>
                <w:sz w:val="24"/>
                <w:szCs w:val="24"/>
                <w:u w:val="none"/>
                <w:lang w:eastAsia="zh-CN"/>
              </w:rPr>
              <w:t>》，</w:t>
            </w:r>
            <w:r>
              <w:rPr>
                <w:rFonts w:hint="eastAsia"/>
                <w:sz w:val="24"/>
                <w:szCs w:val="24"/>
                <w:u w:val="none"/>
                <w:lang w:val="en-US" w:eastAsia="zh-CN"/>
              </w:rPr>
              <w:t>企业的环境准入原则和条件：所有入区企业要符合国家产业政策，生产技术、工艺、技术装备、产品技术含量必须达到国内先进水平。要优先安排投资规模较大、科技含量高、经济和社会效益较好的企业，进区企业要在规定期限内建成投产。</w:t>
            </w:r>
          </w:p>
          <w:p w14:paraId="2F32DCAB">
            <w:pPr>
              <w:pStyle w:val="16"/>
              <w:widowControl w:val="0"/>
              <w:numPr>
                <w:ilvl w:val="0"/>
                <w:numId w:val="0"/>
              </w:numPr>
              <w:spacing w:line="360" w:lineRule="auto"/>
              <w:ind w:firstLine="480" w:firstLineChars="200"/>
              <w:jc w:val="left"/>
              <w:rPr>
                <w:rFonts w:hint="eastAsia"/>
                <w:sz w:val="24"/>
                <w:szCs w:val="24"/>
                <w:u w:val="none"/>
                <w:lang w:val="en-US" w:eastAsia="zh-CN"/>
              </w:rPr>
            </w:pPr>
            <w:r>
              <w:rPr>
                <w:rFonts w:hint="eastAsia"/>
                <w:sz w:val="24"/>
                <w:szCs w:val="24"/>
                <w:u w:val="none"/>
                <w:lang w:val="en-US" w:eastAsia="zh-CN"/>
              </w:rPr>
              <w:t>本项目不属于产业政策中的鼓励类、限制类、淘汰类项目，符合国家产业政策要求。本项目为商品混凝土加工企业，属于材料制造业，位于的边合区中综合加工贸易区A区，项目不违背开发区产业发展方向，且项目已取得边合区管委会同意入驻的情况说明，详见附件，故本项目的建设符合吉林临江边境经济合作区规划要求。</w:t>
            </w:r>
          </w:p>
          <w:p w14:paraId="0DCC540C">
            <w:pPr>
              <w:numPr>
                <w:ilvl w:val="0"/>
                <w:numId w:val="0"/>
              </w:numPr>
              <w:spacing w:line="360" w:lineRule="auto"/>
              <w:ind w:leftChars="0" w:firstLine="482" w:firstLineChars="200"/>
              <w:rPr>
                <w:rFonts w:hint="eastAsia"/>
                <w:b/>
                <w:bCs/>
                <w:sz w:val="24"/>
                <w:szCs w:val="24"/>
                <w:u w:val="none"/>
                <w:lang w:val="en-US" w:eastAsia="zh-CN"/>
              </w:rPr>
            </w:pPr>
            <w:r>
              <w:rPr>
                <w:rFonts w:hint="eastAsia"/>
                <w:b/>
                <w:bCs/>
                <w:sz w:val="24"/>
                <w:szCs w:val="24"/>
                <w:u w:val="none"/>
                <w:lang w:val="en-US" w:eastAsia="zh-CN"/>
              </w:rPr>
              <w:t>3、与规划环评审查意见相符性分析</w:t>
            </w:r>
          </w:p>
          <w:p w14:paraId="1EF26AE9">
            <w:pPr>
              <w:pStyle w:val="16"/>
              <w:spacing w:line="360" w:lineRule="auto"/>
              <w:ind w:left="0" w:leftChars="0" w:firstLine="480" w:firstLineChars="200"/>
              <w:rPr>
                <w:rFonts w:hint="default"/>
                <w:sz w:val="24"/>
                <w:szCs w:val="24"/>
                <w:u w:val="none"/>
                <w:lang w:val="en-US" w:eastAsia="zh-CN"/>
              </w:rPr>
            </w:pPr>
            <w:r>
              <w:rPr>
                <w:rFonts w:hint="eastAsia"/>
                <w:sz w:val="24"/>
                <w:szCs w:val="24"/>
                <w:u w:val="none"/>
                <w:lang w:val="en-US" w:eastAsia="zh-CN"/>
              </w:rPr>
              <w:t>根据</w:t>
            </w:r>
            <w:r>
              <w:rPr>
                <w:rFonts w:hint="eastAsia"/>
                <w:sz w:val="24"/>
                <w:szCs w:val="24"/>
                <w:u w:val="none"/>
                <w:lang w:eastAsia="zh-CN"/>
              </w:rPr>
              <w:t>《吉林临江边境经济合作区</w:t>
            </w:r>
            <w:r>
              <w:rPr>
                <w:rFonts w:hint="default"/>
                <w:sz w:val="24"/>
                <w:szCs w:val="24"/>
                <w:u w:val="none"/>
              </w:rPr>
              <w:t>总体规划（2018-2035）环境影响报告书</w:t>
            </w:r>
            <w:r>
              <w:rPr>
                <w:rFonts w:hint="eastAsia"/>
                <w:sz w:val="24"/>
                <w:szCs w:val="24"/>
                <w:u w:val="none"/>
                <w:lang w:eastAsia="zh-CN"/>
              </w:rPr>
              <w:t>》</w:t>
            </w:r>
            <w:r>
              <w:rPr>
                <w:rFonts w:hint="eastAsia"/>
                <w:sz w:val="24"/>
                <w:szCs w:val="24"/>
                <w:u w:val="none"/>
                <w:lang w:val="en-US" w:eastAsia="zh-CN"/>
              </w:rPr>
              <w:t>审查意见（吉环环评字〔2021〕43号）中相关内容描述：“四（二）鉴于边合区位于国家重点生态功能区（水源涵养型）, 选址较敏感，依据《吉林省主体功能区规划》，应实行严格的环境准入，在不损害生态系统功能的前提下，因地制宜发展不影响主体功能定位的适宜产业，杜绝不合理的开发建设活动对生态环境的破坏，确保该区域生态功能不下降、性质不改变，维护生态安全。”</w:t>
            </w:r>
          </w:p>
          <w:p w14:paraId="7A94DBB6">
            <w:pPr>
              <w:spacing w:line="360" w:lineRule="auto"/>
              <w:ind w:firstLine="480" w:firstLineChars="200"/>
              <w:rPr>
                <w:rFonts w:hint="eastAsia"/>
                <w:sz w:val="24"/>
                <w:szCs w:val="24"/>
                <w:u w:val="none"/>
                <w:lang w:val="en-US" w:eastAsia="zh-CN"/>
              </w:rPr>
            </w:pPr>
            <w:r>
              <w:rPr>
                <w:rFonts w:hint="eastAsia"/>
                <w:sz w:val="24"/>
                <w:szCs w:val="24"/>
                <w:u w:val="none"/>
                <w:lang w:val="en-US" w:eastAsia="zh-CN"/>
              </w:rPr>
              <w:t>本项目生产过程废气污染源实现了治理后达标排放，生产废水全部回用不外排，且采用目前国内成熟的袋式除尘工艺，污染物排放相对于行业排放标准属于远低于标准排放，项目建设不会破坏区域生态环境质量。本项目为商品混凝土加工企业，属于材料制造业，位于的边合区中综合加工贸易区A区，项目不违背开发区产业发展方向，且项目已取得边合区管委会同意入驻的情况说明，详见附件。</w:t>
            </w:r>
          </w:p>
          <w:p w14:paraId="4F851C69">
            <w:pPr>
              <w:pStyle w:val="20"/>
              <w:rPr>
                <w:rFonts w:hint="eastAsia"/>
                <w:sz w:val="24"/>
                <w:szCs w:val="24"/>
                <w:u w:val="none"/>
                <w:lang w:val="en-US" w:eastAsia="zh-CN"/>
              </w:rPr>
            </w:pPr>
          </w:p>
          <w:p w14:paraId="5CD23F3D"/>
        </w:tc>
      </w:tr>
      <w:tr w14:paraId="0A9BB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89" w:type="dxa"/>
            <w:noWrap w:val="0"/>
            <w:vAlign w:val="center"/>
          </w:tcPr>
          <w:p w14:paraId="26BC029D">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tc>
        <w:tc>
          <w:tcPr>
            <w:tcW w:w="7881" w:type="dxa"/>
            <w:gridSpan w:val="4"/>
            <w:noWrap w:val="0"/>
            <w:vAlign w:val="top"/>
          </w:tcPr>
          <w:p w14:paraId="1FCAA82B">
            <w:pPr>
              <w:autoSpaceDE w:val="0"/>
              <w:autoSpaceDN w:val="0"/>
              <w:adjustRightInd w:val="0"/>
              <w:snapToGrid w:val="0"/>
              <w:spacing w:line="360" w:lineRule="auto"/>
              <w:ind w:firstLine="506" w:firstLineChars="200"/>
              <w:jc w:val="left"/>
              <w:rPr>
                <w:rFonts w:hint="default" w:ascii="Times New Roman" w:hAnsi="Times New Roman" w:cs="Times New Roman"/>
                <w:spacing w:val="6"/>
                <w:sz w:val="24"/>
                <w:szCs w:val="24"/>
                <w:highlight w:val="none"/>
                <w:u w:val="none" w:color="auto"/>
                <w:lang w:val="en-US" w:eastAsia="zh-CN"/>
              </w:rPr>
            </w:pPr>
            <w:r>
              <w:rPr>
                <w:rFonts w:hint="default" w:ascii="Times New Roman" w:hAnsi="Times New Roman" w:cs="Times New Roman"/>
                <w:b/>
                <w:bCs/>
                <w:spacing w:val="6"/>
                <w:sz w:val="24"/>
                <w:szCs w:val="24"/>
                <w:highlight w:val="none"/>
                <w:u w:val="none" w:color="auto"/>
                <w:lang w:val="en-US" w:eastAsia="zh-CN"/>
              </w:rPr>
              <w:t>1、产业政策</w:t>
            </w:r>
            <w:r>
              <w:rPr>
                <w:rFonts w:hint="eastAsia" w:ascii="Times New Roman" w:hAnsi="Times New Roman" w:cs="Times New Roman"/>
                <w:b/>
                <w:bCs/>
                <w:spacing w:val="6"/>
                <w:sz w:val="24"/>
                <w:szCs w:val="24"/>
                <w:highlight w:val="none"/>
                <w:u w:val="none" w:color="auto"/>
                <w:lang w:val="en-US" w:eastAsia="zh-CN"/>
              </w:rPr>
              <w:t>符合</w:t>
            </w:r>
            <w:r>
              <w:rPr>
                <w:rFonts w:hint="default" w:ascii="Times New Roman" w:hAnsi="Times New Roman" w:cs="Times New Roman"/>
                <w:b/>
                <w:bCs/>
                <w:spacing w:val="6"/>
                <w:sz w:val="24"/>
                <w:szCs w:val="24"/>
                <w:highlight w:val="none"/>
                <w:u w:val="none" w:color="auto"/>
                <w:lang w:val="en-US" w:eastAsia="zh-CN"/>
              </w:rPr>
              <w:t>性分析</w:t>
            </w:r>
          </w:p>
          <w:p w14:paraId="210FD873">
            <w:pPr>
              <w:pStyle w:val="7"/>
              <w:spacing w:line="360" w:lineRule="auto"/>
              <w:ind w:firstLine="480" w:firstLineChars="200"/>
              <w:rPr>
                <w:rFonts w:hint="eastAsia"/>
                <w:b/>
                <w:bCs/>
                <w:sz w:val="24"/>
                <w:szCs w:val="24"/>
              </w:rPr>
            </w:pPr>
            <w:r>
              <w:rPr>
                <w:rFonts w:hint="default" w:ascii="Times New Roman" w:hAnsi="Times New Roman" w:eastAsia="宋体" w:cs="Times New Roman"/>
                <w:kern w:val="0"/>
                <w:sz w:val="24"/>
                <w:highlight w:val="none"/>
                <w:u w:val="none" w:color="auto"/>
              </w:rPr>
              <w:t>根据《国民经济行业分类》</w:t>
            </w:r>
            <w:r>
              <w:rPr>
                <w:rFonts w:hint="eastAsia" w:ascii="Times New Roman" w:hAnsi="Times New Roman" w:eastAsia="宋体" w:cs="Times New Roman"/>
                <w:kern w:val="0"/>
                <w:sz w:val="24"/>
                <w:highlight w:val="none"/>
                <w:u w:val="none" w:color="auto"/>
                <w:lang w:eastAsia="zh-CN"/>
              </w:rPr>
              <w:t>（</w:t>
            </w:r>
            <w:r>
              <w:rPr>
                <w:rFonts w:hint="default" w:ascii="Times New Roman" w:hAnsi="Times New Roman" w:eastAsia="宋体" w:cs="Times New Roman"/>
                <w:kern w:val="0"/>
                <w:sz w:val="24"/>
                <w:highlight w:val="none"/>
                <w:u w:val="none" w:color="auto"/>
              </w:rPr>
              <w:t>GB/T4754-2017</w:t>
            </w:r>
            <w:r>
              <w:rPr>
                <w:rFonts w:hint="eastAsia" w:ascii="Times New Roman" w:hAnsi="Times New Roman" w:eastAsia="宋体" w:cs="Times New Roman"/>
                <w:kern w:val="0"/>
                <w:sz w:val="24"/>
                <w:highlight w:val="none"/>
                <w:u w:val="none" w:color="auto"/>
                <w:lang w:eastAsia="zh-CN"/>
              </w:rPr>
              <w:t>）</w:t>
            </w:r>
            <w:r>
              <w:rPr>
                <w:rFonts w:hint="default" w:ascii="Times New Roman" w:hAnsi="Times New Roman" w:eastAsia="宋体" w:cs="Times New Roman"/>
                <w:kern w:val="0"/>
                <w:sz w:val="24"/>
                <w:highlight w:val="none"/>
                <w:u w:val="none" w:color="auto"/>
              </w:rPr>
              <w:t> ，本项目属于</w:t>
            </w:r>
            <w:r>
              <w:rPr>
                <w:rFonts w:hint="eastAsia" w:ascii="Times New Roman" w:hAnsi="Times New Roman" w:eastAsia="宋体" w:cs="Times New Roman"/>
                <w:kern w:val="0"/>
                <w:sz w:val="24"/>
                <w:highlight w:val="none"/>
                <w:u w:val="none" w:color="auto"/>
                <w:lang w:val="en-US" w:eastAsia="zh-CN"/>
              </w:rPr>
              <w:t>C</w:t>
            </w:r>
            <w:r>
              <w:rPr>
                <w:rFonts w:hint="eastAsia" w:ascii="Times New Roman" w:hAnsi="Times New Roman" w:eastAsia="宋体" w:cs="Times New Roman"/>
                <w:color w:val="auto"/>
                <w:sz w:val="24"/>
                <w:szCs w:val="20"/>
                <w:highlight w:val="none"/>
                <w:u w:val="none" w:color="auto"/>
                <w:lang w:val="en-US" w:eastAsia="zh-CN"/>
              </w:rPr>
              <w:t>3</w:t>
            </w:r>
            <w:r>
              <w:rPr>
                <w:rFonts w:hint="eastAsia" w:eastAsia="宋体" w:cs="Times New Roman"/>
                <w:color w:val="auto"/>
                <w:sz w:val="24"/>
                <w:szCs w:val="20"/>
                <w:highlight w:val="none"/>
                <w:u w:val="none" w:color="auto"/>
                <w:lang w:val="en-US" w:eastAsia="zh-CN"/>
              </w:rPr>
              <w:t>021</w:t>
            </w:r>
            <w:r>
              <w:rPr>
                <w:rFonts w:hint="default" w:ascii="Times New Roman" w:hAnsi="Times New Roman" w:eastAsia="宋体" w:cs="Times New Roman"/>
                <w:sz w:val="24"/>
                <w:szCs w:val="24"/>
              </w:rPr>
              <w:t>水泥制品制造</w:t>
            </w:r>
            <w:r>
              <w:rPr>
                <w:rFonts w:hint="default" w:ascii="Times New Roman" w:hAnsi="Times New Roman" w:eastAsia="宋体" w:cs="Times New Roman"/>
                <w:kern w:val="0"/>
                <w:sz w:val="24"/>
                <w:highlight w:val="none"/>
                <w:u w:val="none" w:color="auto"/>
              </w:rPr>
              <w:t>。参照中华人民共和国国家发展和改革委员会令第</w:t>
            </w:r>
            <w:r>
              <w:rPr>
                <w:rFonts w:hint="eastAsia" w:ascii="Times New Roman" w:hAnsi="Times New Roman" w:eastAsia="宋体" w:cs="Times New Roman"/>
                <w:kern w:val="0"/>
                <w:sz w:val="24"/>
                <w:highlight w:val="none"/>
                <w:u w:val="none" w:color="auto"/>
                <w:lang w:val="en-US" w:eastAsia="zh-CN"/>
              </w:rPr>
              <w:t>7</w:t>
            </w:r>
            <w:r>
              <w:rPr>
                <w:rFonts w:hint="default" w:ascii="Times New Roman" w:hAnsi="Times New Roman" w:eastAsia="宋体" w:cs="Times New Roman"/>
                <w:kern w:val="0"/>
                <w:sz w:val="24"/>
                <w:highlight w:val="none"/>
                <w:u w:val="none" w:color="auto"/>
              </w:rPr>
              <w:t>号《产业结构调整指导目录（20</w:t>
            </w:r>
            <w:r>
              <w:rPr>
                <w:rFonts w:hint="eastAsia" w:ascii="Times New Roman" w:hAnsi="Times New Roman" w:eastAsia="宋体" w:cs="Times New Roman"/>
                <w:kern w:val="0"/>
                <w:sz w:val="24"/>
                <w:highlight w:val="none"/>
                <w:u w:val="none" w:color="auto"/>
                <w:lang w:val="en-US" w:eastAsia="zh-CN"/>
              </w:rPr>
              <w:t>24</w:t>
            </w:r>
            <w:r>
              <w:rPr>
                <w:rFonts w:hint="default" w:ascii="Times New Roman" w:hAnsi="Times New Roman" w:eastAsia="宋体" w:cs="Times New Roman"/>
                <w:kern w:val="0"/>
                <w:sz w:val="24"/>
                <w:highlight w:val="none"/>
                <w:u w:val="none" w:color="auto"/>
              </w:rPr>
              <w:t>年本）》可知，本项目不属于限制类和淘汰类项目，因此项目的建设符合国家产业政策。</w:t>
            </w:r>
          </w:p>
          <w:p w14:paraId="2288C5E7">
            <w:pPr>
              <w:pStyle w:val="7"/>
              <w:spacing w:line="360" w:lineRule="auto"/>
              <w:ind w:firstLine="482" w:firstLineChars="200"/>
              <w:rPr>
                <w:rFonts w:hint="eastAsia"/>
                <w:b/>
                <w:bCs/>
                <w:sz w:val="24"/>
                <w:szCs w:val="24"/>
              </w:rPr>
            </w:pPr>
            <w:r>
              <w:rPr>
                <w:rFonts w:hint="eastAsia" w:ascii="Times New Roman" w:hAnsi="Times New Roman" w:eastAsia="宋体" w:cs="Times New Roman"/>
                <w:b/>
                <w:bCs/>
                <w:sz w:val="24"/>
                <w:szCs w:val="24"/>
                <w:highlight w:val="none"/>
                <w:u w:val="none" w:color="auto"/>
                <w:lang w:val="en-US" w:eastAsia="zh-CN"/>
              </w:rPr>
              <w:t>2</w:t>
            </w:r>
            <w:r>
              <w:rPr>
                <w:rFonts w:hint="default" w:ascii="Times New Roman" w:hAnsi="Times New Roman" w:eastAsia="宋体" w:cs="Times New Roman"/>
                <w:b/>
                <w:bCs/>
                <w:sz w:val="24"/>
                <w:szCs w:val="24"/>
                <w:highlight w:val="none"/>
                <w:u w:val="none" w:color="auto"/>
                <w:lang w:val="en-US" w:eastAsia="zh-CN"/>
              </w:rPr>
              <w:t>、</w:t>
            </w:r>
            <w:r>
              <w:rPr>
                <w:rFonts w:hint="eastAsia" w:cs="Times New Roman"/>
                <w:b/>
                <w:bCs/>
                <w:sz w:val="24"/>
                <w:szCs w:val="24"/>
                <w:highlight w:val="none"/>
                <w:u w:val="none" w:color="auto"/>
                <w:lang w:val="en-US" w:eastAsia="zh-CN"/>
              </w:rPr>
              <w:t>吉林省</w:t>
            </w:r>
            <w:r>
              <w:rPr>
                <w:rFonts w:hint="default" w:ascii="Times New Roman" w:hAnsi="Times New Roman" w:eastAsia="宋体" w:cs="Times New Roman"/>
                <w:b/>
                <w:bCs/>
                <w:sz w:val="24"/>
                <w:szCs w:val="24"/>
                <w:highlight w:val="none"/>
                <w:u w:val="none" w:color="auto"/>
                <w:lang w:val="en-US" w:eastAsia="zh-CN"/>
              </w:rPr>
              <w:t>“</w:t>
            </w:r>
            <w:r>
              <w:rPr>
                <w:rFonts w:hint="eastAsia" w:cs="Times New Roman"/>
                <w:b/>
                <w:bCs/>
                <w:sz w:val="24"/>
                <w:szCs w:val="24"/>
                <w:highlight w:val="none"/>
                <w:u w:val="none" w:color="auto"/>
                <w:lang w:val="en-US" w:eastAsia="zh-CN"/>
              </w:rPr>
              <w:t>生态环境分区管控</w:t>
            </w:r>
            <w:r>
              <w:rPr>
                <w:rFonts w:hint="default" w:ascii="Times New Roman" w:hAnsi="Times New Roman" w:eastAsia="宋体" w:cs="Times New Roman"/>
                <w:b/>
                <w:bCs/>
                <w:sz w:val="24"/>
                <w:szCs w:val="24"/>
                <w:highlight w:val="none"/>
                <w:u w:val="none" w:color="auto"/>
                <w:lang w:val="en-US" w:eastAsia="zh-CN"/>
              </w:rPr>
              <w:t>”符合性分析</w:t>
            </w:r>
          </w:p>
          <w:p w14:paraId="62AC3219">
            <w:pPr>
              <w:autoSpaceDE w:val="0"/>
              <w:autoSpaceDN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val="en-US" w:eastAsia="zh-CN"/>
              </w:rPr>
              <w:t>（1）与生态</w:t>
            </w:r>
            <w:r>
              <w:rPr>
                <w:rFonts w:hint="eastAsia" w:ascii="Times New Roman" w:hAnsi="Times New Roman" w:eastAsia="宋体" w:cs="Times New Roman"/>
                <w:sz w:val="24"/>
                <w:szCs w:val="24"/>
                <w:highlight w:val="none"/>
                <w:u w:val="none" w:color="auto"/>
                <w:lang w:val="en-US" w:eastAsia="zh-CN"/>
              </w:rPr>
              <w:t>保护</w:t>
            </w:r>
            <w:r>
              <w:rPr>
                <w:rFonts w:hint="default" w:ascii="Times New Roman" w:hAnsi="Times New Roman" w:eastAsia="宋体" w:cs="Times New Roman"/>
                <w:sz w:val="24"/>
                <w:szCs w:val="24"/>
                <w:highlight w:val="none"/>
                <w:u w:val="none" w:color="auto"/>
                <w:lang w:val="en-US" w:eastAsia="zh-CN"/>
              </w:rPr>
              <w:t>红线相符性分析</w:t>
            </w:r>
          </w:p>
          <w:p w14:paraId="363D365D">
            <w:pPr>
              <w:autoSpaceDE w:val="0"/>
              <w:autoSpaceDN w:val="0"/>
              <w:adjustRightInd w:val="0"/>
              <w:snapToGrid w:val="0"/>
              <w:spacing w:line="360" w:lineRule="auto"/>
              <w:ind w:firstLine="480" w:firstLineChars="200"/>
              <w:jc w:val="both"/>
              <w:rPr>
                <w:rFonts w:hint="default" w:ascii="Times New Roman" w:hAnsi="Times New Roman" w:eastAsia="宋体" w:cs="Times New Roman"/>
                <w:sz w:val="24"/>
                <w:szCs w:val="24"/>
                <w:highlight w:val="none"/>
                <w:u w:val="single" w:color="auto"/>
                <w:lang w:val="en-US" w:eastAsia="zh-CN"/>
              </w:rPr>
            </w:pPr>
            <w:r>
              <w:rPr>
                <w:rFonts w:hint="default" w:ascii="Times New Roman" w:hAnsi="Times New Roman" w:eastAsia="宋体" w:cs="Times New Roman"/>
                <w:sz w:val="24"/>
                <w:szCs w:val="24"/>
                <w:highlight w:val="none"/>
                <w:u w:val="none" w:color="auto"/>
                <w:lang w:val="en-US" w:eastAsia="zh-CN"/>
              </w:rPr>
              <w:t>生态</w:t>
            </w:r>
            <w:r>
              <w:rPr>
                <w:rFonts w:hint="eastAsia" w:ascii="Times New Roman" w:hAnsi="Times New Roman" w:eastAsia="宋体" w:cs="Times New Roman"/>
                <w:sz w:val="24"/>
                <w:szCs w:val="24"/>
                <w:highlight w:val="none"/>
                <w:u w:val="none" w:color="auto"/>
                <w:lang w:val="en-US" w:eastAsia="zh-CN"/>
              </w:rPr>
              <w:t>保护</w:t>
            </w:r>
            <w:r>
              <w:rPr>
                <w:rFonts w:hint="default" w:ascii="Times New Roman" w:hAnsi="Times New Roman" w:eastAsia="宋体" w:cs="Times New Roman"/>
                <w:sz w:val="24"/>
                <w:szCs w:val="24"/>
                <w:highlight w:val="none"/>
                <w:u w:val="none" w:color="auto"/>
                <w:lang w:val="en-US" w:eastAsia="zh-CN"/>
              </w:rPr>
              <w:t>红线是生态安全的底线，划定生态红线，建立最为严格的生态保护管控制度，对生态功能保障、环境质量安全和自然资源利用等方面提出了更高的监管要求，有助于增强经济社会可持续发展能力，有利于引导人口分布、经济布局与资源环境承载能力相适应，促进各类资源集约节约利用，增强社会生态支持能力。生态保护红线内区域严格按照法律法规和有关规定，禁止开发性、生产性建设活动，生态保护红线外各类生态功能重要和生态敏感脆弱区域、水环境优先保护区、大气环境优先保护区和黑土地保护区，按照保护对象不同属性和功能严格按照法律法规和有关规定，限制开发性、生产性建设活动。本项目位于</w:t>
            </w:r>
            <w:r>
              <w:rPr>
                <w:rFonts w:hint="eastAsia" w:cs="Times New Roman"/>
                <w:sz w:val="24"/>
                <w:szCs w:val="24"/>
                <w:highlight w:val="none"/>
                <w:u w:val="none" w:color="auto"/>
                <w:lang w:val="en-US" w:eastAsia="zh-CN"/>
              </w:rPr>
              <w:t>白山市临江市临城村6社</w:t>
            </w:r>
            <w:r>
              <w:rPr>
                <w:rFonts w:hint="default" w:ascii="Times New Roman" w:hAnsi="Times New Roman" w:eastAsia="宋体" w:cs="Times New Roman"/>
                <w:sz w:val="24"/>
                <w:szCs w:val="24"/>
                <w:highlight w:val="none"/>
                <w:u w:val="none" w:color="auto"/>
                <w:lang w:val="en-US" w:eastAsia="zh-CN"/>
              </w:rPr>
              <w:t>，</w:t>
            </w:r>
            <w:r>
              <w:rPr>
                <w:rFonts w:hint="eastAsia" w:ascii="Times New Roman" w:hAnsi="Times New Roman" w:eastAsia="宋体" w:cs="Times New Roman"/>
                <w:sz w:val="24"/>
                <w:szCs w:val="24"/>
                <w:highlight w:val="none"/>
                <w:u w:val="none" w:color="auto"/>
                <w:lang w:val="en-US" w:eastAsia="zh-CN"/>
              </w:rPr>
              <w:t>用地性质为</w:t>
            </w:r>
            <w:r>
              <w:rPr>
                <w:rFonts w:hint="eastAsia" w:cs="Times New Roman"/>
                <w:sz w:val="24"/>
                <w:szCs w:val="24"/>
                <w:highlight w:val="none"/>
                <w:u w:val="none" w:color="auto"/>
                <w:lang w:val="en-US" w:eastAsia="zh-CN"/>
              </w:rPr>
              <w:t>工业用地</w:t>
            </w:r>
            <w:r>
              <w:rPr>
                <w:rFonts w:hint="default" w:ascii="Times New Roman" w:hAnsi="Times New Roman" w:eastAsia="宋体" w:cs="Times New Roman"/>
                <w:sz w:val="24"/>
                <w:szCs w:val="24"/>
                <w:highlight w:val="none"/>
                <w:u w:val="none" w:color="auto"/>
                <w:lang w:val="en-US" w:eastAsia="zh-CN"/>
              </w:rPr>
              <w:t>，项目所在区域不属于生活饮用水水源保护区、风景名胜区、自然保护区等生态保护红线区域，项目建设不涉及生态红线划定区。</w:t>
            </w:r>
          </w:p>
          <w:p w14:paraId="41CDB17C">
            <w:pPr>
              <w:autoSpaceDE w:val="0"/>
              <w:autoSpaceDN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val="en-US" w:eastAsia="zh-CN"/>
              </w:rPr>
              <w:t>（2）与环境质量底线相符性分析</w:t>
            </w:r>
          </w:p>
          <w:p w14:paraId="7D4F0306">
            <w:pPr>
              <w:autoSpaceDE w:val="0"/>
              <w:autoSpaceDN w:val="0"/>
              <w:adjustRightInd w:val="0"/>
              <w:snapToGrid w:val="0"/>
              <w:spacing w:line="360" w:lineRule="auto"/>
              <w:ind w:firstLine="480" w:firstLineChars="200"/>
              <w:jc w:val="both"/>
              <w:rPr>
                <w:rFonts w:hint="default"/>
                <w:color w:val="auto"/>
                <w:sz w:val="24"/>
                <w:szCs w:val="24"/>
                <w:highlight w:val="none"/>
                <w:u w:val="none" w:color="auto"/>
                <w:lang w:val="zh-CN"/>
              </w:rPr>
            </w:pPr>
            <w:r>
              <w:rPr>
                <w:rFonts w:hint="default"/>
                <w:color w:val="auto"/>
                <w:sz w:val="24"/>
                <w:szCs w:val="24"/>
                <w:highlight w:val="none"/>
                <w:u w:val="none" w:color="auto"/>
                <w:lang w:val="zh-CN"/>
              </w:rPr>
              <w:t>环境质量底线就是只能改善不能恶化。大气环境质量底线就是在符合大气环境区域功能区域和大气环境管理的基础上，确保大气污染物排放不对区域功能区划造成影响，污染物排放总量低于环境容量。</w:t>
            </w:r>
          </w:p>
          <w:p w14:paraId="522F5AB4">
            <w:pPr>
              <w:autoSpaceDE w:val="0"/>
              <w:autoSpaceDN w:val="0"/>
              <w:adjustRightInd w:val="0"/>
              <w:snapToGrid w:val="0"/>
              <w:spacing w:line="360" w:lineRule="auto"/>
              <w:ind w:firstLine="480" w:firstLineChars="200"/>
              <w:jc w:val="both"/>
              <w:rPr>
                <w:rFonts w:hint="default"/>
                <w:color w:val="auto"/>
                <w:sz w:val="24"/>
                <w:szCs w:val="24"/>
                <w:highlight w:val="none"/>
                <w:u w:val="none" w:color="auto"/>
                <w:lang w:val="zh-CN"/>
              </w:rPr>
            </w:pPr>
            <w:r>
              <w:rPr>
                <w:rFonts w:hint="default"/>
                <w:color w:val="auto"/>
                <w:sz w:val="24"/>
                <w:szCs w:val="24"/>
                <w:highlight w:val="none"/>
                <w:u w:val="none" w:color="auto"/>
                <w:lang w:val="zh-CN"/>
              </w:rPr>
              <w:t>本项目运营期主要产生的废气为</w:t>
            </w:r>
            <w:bookmarkStart w:id="2" w:name="OLE_LINK182"/>
            <w:r>
              <w:rPr>
                <w:rFonts w:hint="default"/>
                <w:color w:val="auto"/>
                <w:sz w:val="24"/>
                <w:szCs w:val="24"/>
                <w:highlight w:val="none"/>
                <w:u w:val="none" w:color="auto"/>
                <w:lang w:val="zh-CN"/>
              </w:rPr>
              <w:t>筒仓粉尘、搅拌机粉尘</w:t>
            </w:r>
            <w:r>
              <w:rPr>
                <w:rFonts w:hint="eastAsia"/>
                <w:color w:val="auto"/>
                <w:sz w:val="24"/>
                <w:szCs w:val="24"/>
                <w:highlight w:val="none"/>
                <w:u w:val="none" w:color="auto"/>
                <w:lang w:val="zh-CN"/>
              </w:rPr>
              <w:t>、装卸扬尘、堆场粉尘、上料粉尘、</w:t>
            </w:r>
            <w:bookmarkEnd w:id="2"/>
            <w:r>
              <w:rPr>
                <w:rFonts w:hint="eastAsia"/>
                <w:color w:val="auto"/>
                <w:sz w:val="24"/>
                <w:szCs w:val="24"/>
                <w:highlight w:val="none"/>
                <w:u w:val="none" w:color="auto"/>
                <w:lang w:val="zh-CN"/>
              </w:rPr>
              <w:t>运输扬尘。</w:t>
            </w:r>
            <w:bookmarkStart w:id="3" w:name="OLE_LINK181"/>
            <w:r>
              <w:rPr>
                <w:rFonts w:hint="default"/>
                <w:color w:val="auto"/>
                <w:sz w:val="24"/>
                <w:szCs w:val="24"/>
                <w:highlight w:val="none"/>
                <w:u w:val="none" w:color="auto"/>
                <w:lang w:val="zh-CN"/>
              </w:rPr>
              <w:t>筒仓粉尘、搅拌机</w:t>
            </w:r>
            <w:r>
              <w:rPr>
                <w:rFonts w:hint="eastAsia"/>
                <w:color w:val="auto"/>
                <w:sz w:val="24"/>
                <w:szCs w:val="24"/>
                <w:highlight w:val="none"/>
                <w:u w:val="none" w:color="auto"/>
                <w:lang w:val="zh-CN"/>
              </w:rPr>
              <w:t>粉尘经脉冲袋式除尘器处理后排放；堆场采用</w:t>
            </w:r>
            <w:r>
              <w:rPr>
                <w:rFonts w:hint="eastAsia"/>
                <w:color w:val="auto"/>
                <w:sz w:val="24"/>
                <w:szCs w:val="24"/>
                <w:highlight w:val="none"/>
                <w:u w:val="none" w:color="auto"/>
                <w:lang w:val="en-US" w:eastAsia="zh-CN"/>
              </w:rPr>
              <w:t>封闭料库</w:t>
            </w:r>
            <w:r>
              <w:rPr>
                <w:rFonts w:hint="eastAsia"/>
                <w:color w:val="auto"/>
                <w:sz w:val="24"/>
                <w:szCs w:val="24"/>
                <w:highlight w:val="none"/>
                <w:u w:val="none" w:color="auto"/>
                <w:lang w:val="zh-CN"/>
              </w:rPr>
              <w:t>，洒水降尘方式减少粉尘排放；装卸扬尘、上料粉尘、运输扬尘采用洒水降尘方式减少粉尘排放。</w:t>
            </w:r>
            <w:bookmarkEnd w:id="3"/>
            <w:r>
              <w:rPr>
                <w:rFonts w:hint="default"/>
                <w:color w:val="auto"/>
                <w:sz w:val="24"/>
                <w:szCs w:val="24"/>
                <w:highlight w:val="none"/>
                <w:u w:val="none" w:color="auto"/>
                <w:lang w:val="zh-CN"/>
              </w:rPr>
              <w:t>本项目运营期</w:t>
            </w:r>
            <w:r>
              <w:rPr>
                <w:rFonts w:hint="eastAsia"/>
                <w:color w:val="auto"/>
                <w:sz w:val="24"/>
                <w:szCs w:val="24"/>
                <w:highlight w:val="none"/>
                <w:u w:val="none" w:color="auto"/>
                <w:lang w:val="zh-CN"/>
              </w:rPr>
              <w:t>无生产废水，生活污水排入防渗旱厕，定期清掏作农肥</w:t>
            </w:r>
            <w:r>
              <w:rPr>
                <w:rFonts w:hint="default"/>
                <w:color w:val="auto"/>
                <w:sz w:val="24"/>
                <w:szCs w:val="24"/>
                <w:highlight w:val="none"/>
                <w:u w:val="none" w:color="auto"/>
                <w:lang w:val="zh-CN"/>
              </w:rPr>
              <w:t>，不会影响区域水环境质量。</w:t>
            </w:r>
          </w:p>
          <w:p w14:paraId="2F6FB424">
            <w:pPr>
              <w:autoSpaceDE w:val="0"/>
              <w:autoSpaceDN w:val="0"/>
              <w:adjustRightInd w:val="0"/>
              <w:snapToGrid w:val="0"/>
              <w:spacing w:line="360" w:lineRule="auto"/>
              <w:ind w:firstLine="480" w:firstLineChars="200"/>
              <w:jc w:val="both"/>
              <w:rPr>
                <w:rFonts w:hint="default"/>
                <w:color w:val="auto"/>
                <w:sz w:val="24"/>
                <w:szCs w:val="24"/>
                <w:highlight w:val="none"/>
                <w:u w:val="none" w:color="auto"/>
                <w:lang w:val="zh-CN"/>
              </w:rPr>
            </w:pPr>
            <w:r>
              <w:rPr>
                <w:rFonts w:hint="default"/>
                <w:color w:val="auto"/>
                <w:sz w:val="24"/>
                <w:szCs w:val="24"/>
                <w:highlight w:val="none"/>
                <w:u w:val="none" w:color="auto"/>
                <w:lang w:val="zh-CN"/>
              </w:rPr>
              <w:t>上述措施能确保本项目污染物</w:t>
            </w:r>
            <w:r>
              <w:rPr>
                <w:rFonts w:hint="eastAsia"/>
                <w:color w:val="auto"/>
                <w:sz w:val="24"/>
                <w:szCs w:val="24"/>
                <w:highlight w:val="none"/>
                <w:u w:val="none" w:color="auto"/>
                <w:lang w:val="zh-CN"/>
              </w:rPr>
              <w:t>达标排放，</w:t>
            </w:r>
            <w:r>
              <w:rPr>
                <w:rFonts w:hint="default"/>
                <w:color w:val="auto"/>
                <w:sz w:val="24"/>
                <w:szCs w:val="24"/>
                <w:highlight w:val="none"/>
                <w:u w:val="none" w:color="auto"/>
                <w:lang w:val="zh-CN"/>
              </w:rPr>
              <w:t>对环境质量的影响降到最小，不突破所在区域环境质量底线</w:t>
            </w:r>
            <w:r>
              <w:rPr>
                <w:rFonts w:hint="eastAsia"/>
                <w:color w:val="auto"/>
                <w:sz w:val="24"/>
                <w:szCs w:val="24"/>
                <w:highlight w:val="none"/>
                <w:u w:val="none" w:color="auto"/>
                <w:lang w:val="zh-CN"/>
              </w:rPr>
              <w:t>，</w:t>
            </w:r>
            <w:r>
              <w:rPr>
                <w:rFonts w:hint="default" w:ascii="Times New Roman" w:hAnsi="Times New Roman" w:eastAsia="宋体" w:cs="Times New Roman"/>
                <w:sz w:val="24"/>
                <w:szCs w:val="24"/>
                <w:highlight w:val="none"/>
                <w:u w:val="none" w:color="auto"/>
                <w:lang w:val="en-US" w:eastAsia="zh-CN"/>
              </w:rPr>
              <w:t>符合环境质量底线的原则</w:t>
            </w:r>
            <w:r>
              <w:rPr>
                <w:rFonts w:hint="default"/>
                <w:color w:val="auto"/>
                <w:sz w:val="24"/>
                <w:szCs w:val="24"/>
                <w:highlight w:val="none"/>
                <w:u w:val="none" w:color="auto"/>
                <w:lang w:val="zh-CN"/>
              </w:rPr>
              <w:t>。</w:t>
            </w:r>
          </w:p>
          <w:p w14:paraId="40E40E27">
            <w:pPr>
              <w:autoSpaceDE w:val="0"/>
              <w:autoSpaceDN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val="en-US" w:eastAsia="zh-CN"/>
              </w:rPr>
              <w:t>（3）与资源利用上线相符性分析</w:t>
            </w:r>
          </w:p>
          <w:p w14:paraId="22D59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val="en-US" w:eastAsia="zh-CN"/>
              </w:rPr>
              <w:t>资源利用上线是各地区能源、水、土地等资源消耗不得突破的“天花板”。本项目为</w:t>
            </w:r>
            <w:r>
              <w:rPr>
                <w:rFonts w:hint="eastAsia" w:cs="Times New Roman"/>
                <w:sz w:val="24"/>
                <w:szCs w:val="24"/>
                <w:highlight w:val="none"/>
                <w:u w:val="none" w:color="auto"/>
                <w:lang w:val="en-US" w:eastAsia="zh-CN"/>
              </w:rPr>
              <w:t>商品混凝土生产</w:t>
            </w:r>
            <w:r>
              <w:rPr>
                <w:rFonts w:hint="eastAsia" w:ascii="Times New Roman" w:hAnsi="Times New Roman" w:eastAsia="宋体" w:cs="Times New Roman"/>
                <w:sz w:val="24"/>
                <w:szCs w:val="24"/>
                <w:highlight w:val="none"/>
                <w:u w:val="none" w:color="auto"/>
                <w:lang w:val="en-US" w:eastAsia="zh-CN"/>
              </w:rPr>
              <w:t>项目</w:t>
            </w:r>
            <w:r>
              <w:rPr>
                <w:rFonts w:hint="default" w:ascii="Times New Roman" w:hAnsi="Times New Roman" w:eastAsia="宋体" w:cs="Times New Roman"/>
                <w:sz w:val="24"/>
                <w:szCs w:val="24"/>
                <w:highlight w:val="none"/>
                <w:u w:val="none" w:color="auto"/>
                <w:lang w:val="en-US" w:eastAsia="zh-CN"/>
              </w:rPr>
              <w:t>，项目资源消耗量对区域资源利用总量占比很小，不会突破区域资源利用上线；本项目</w:t>
            </w:r>
            <w:r>
              <w:rPr>
                <w:rFonts w:hint="eastAsia" w:cs="Times New Roman"/>
                <w:sz w:val="24"/>
                <w:szCs w:val="24"/>
                <w:highlight w:val="none"/>
                <w:u w:val="none" w:color="auto"/>
                <w:lang w:val="en-US" w:eastAsia="zh-CN"/>
              </w:rPr>
              <w:t>用地性质为工业</w:t>
            </w:r>
            <w:r>
              <w:rPr>
                <w:rFonts w:hint="eastAsia" w:ascii="Times New Roman" w:hAnsi="Times New Roman" w:eastAsia="宋体" w:cs="Times New Roman"/>
                <w:sz w:val="24"/>
                <w:szCs w:val="24"/>
                <w:highlight w:val="none"/>
                <w:u w:val="none" w:color="auto"/>
                <w:lang w:val="en-US" w:eastAsia="zh-CN"/>
              </w:rPr>
              <w:t>用地</w:t>
            </w:r>
            <w:r>
              <w:rPr>
                <w:rFonts w:hint="default" w:ascii="Times New Roman" w:hAnsi="Times New Roman" w:eastAsia="宋体" w:cs="Times New Roman"/>
                <w:sz w:val="24"/>
                <w:szCs w:val="24"/>
                <w:highlight w:val="none"/>
                <w:u w:val="none" w:color="auto"/>
                <w:lang w:val="en-US" w:eastAsia="zh-CN"/>
              </w:rPr>
              <w:t>，不占用耕地，土地资源消耗符合要求。项目总体上不会突破资源利用上线。</w:t>
            </w:r>
            <w:r>
              <w:rPr>
                <w:rFonts w:hint="default"/>
                <w:color w:val="auto"/>
                <w:sz w:val="24"/>
                <w:szCs w:val="24"/>
                <w:highlight w:val="none"/>
                <w:u w:val="none" w:color="auto"/>
              </w:rPr>
              <w:t>项目建成运行后通过内部管理、设备选择、原辅材料的选用和管理、污染治理等多方面采取可行的防治措施，以“节能、降耗、减污”为目标，有效的控制污染，</w:t>
            </w:r>
            <w:r>
              <w:rPr>
                <w:rFonts w:hint="default" w:ascii="Times New Roman" w:hAnsi="Times New Roman" w:eastAsia="宋体" w:cs="Times New Roman"/>
                <w:sz w:val="24"/>
                <w:szCs w:val="24"/>
                <w:highlight w:val="none"/>
                <w:u w:val="none" w:color="auto"/>
                <w:lang w:val="en-US" w:eastAsia="zh-CN"/>
              </w:rPr>
              <w:t>最大限度地减少物耗、能耗。符合资源利用上线要求。</w:t>
            </w:r>
          </w:p>
          <w:p w14:paraId="54D34CAF">
            <w:pPr>
              <w:autoSpaceDE w:val="0"/>
              <w:autoSpaceDN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val="en-US" w:eastAsia="zh-CN"/>
              </w:rPr>
              <w:t>（4）与环境准入负面清单的相关分析</w:t>
            </w:r>
          </w:p>
          <w:p w14:paraId="6E47B8EA">
            <w:pPr>
              <w:pStyle w:val="7"/>
              <w:spacing w:line="360" w:lineRule="auto"/>
              <w:ind w:firstLine="480" w:firstLineChars="200"/>
              <w:jc w:val="both"/>
              <w:rPr>
                <w:rFonts w:hint="default" w:ascii="Times New Roman" w:hAnsi="Times New Roman" w:eastAsia="宋体" w:cs="Times New Roman"/>
                <w:sz w:val="24"/>
                <w:szCs w:val="24"/>
                <w:highlight w:val="none"/>
                <w:u w:val="single" w:color="auto"/>
                <w:lang w:val="en-US" w:eastAsia="zh-CN"/>
              </w:rPr>
            </w:pPr>
            <w:r>
              <w:rPr>
                <w:rFonts w:hint="default" w:ascii="Times New Roman" w:hAnsi="Times New Roman" w:eastAsia="宋体" w:cs="宋体"/>
                <w:color w:val="000000"/>
                <w:kern w:val="0"/>
                <w:sz w:val="24"/>
                <w:u w:val="none" w:color="auto"/>
                <w:lang w:bidi="ar"/>
              </w:rPr>
              <w:t>根据《中共吉林省委办公厅、吉林省政府办公厅印发〈关于加强生态环境分区管控的若干措施〉的通知》（吉办发〔2024〕12号）</w:t>
            </w:r>
            <w:r>
              <w:rPr>
                <w:rFonts w:hint="eastAsia" w:ascii="Times New Roman" w:hAnsi="Times New Roman" w:eastAsia="宋体" w:cs="宋体"/>
                <w:color w:val="000000"/>
                <w:kern w:val="0"/>
                <w:sz w:val="24"/>
                <w:u w:val="none" w:color="auto"/>
                <w:lang w:eastAsia="zh-CN" w:bidi="ar"/>
              </w:rPr>
              <w:t>、《</w:t>
            </w:r>
            <w:r>
              <w:rPr>
                <w:rFonts w:hint="eastAsia" w:ascii="Times New Roman" w:hAnsi="Times New Roman" w:eastAsia="宋体" w:cs="宋体"/>
                <w:color w:val="000000"/>
                <w:kern w:val="0"/>
                <w:sz w:val="24"/>
                <w:u w:val="none" w:color="auto"/>
                <w:lang w:val="en-US" w:eastAsia="zh-CN" w:bidi="ar"/>
              </w:rPr>
              <w:t>吉林省生态环境厅关于印发吉林省生态环境准入清单的函</w:t>
            </w:r>
            <w:r>
              <w:rPr>
                <w:rFonts w:hint="eastAsia" w:ascii="Times New Roman" w:hAnsi="Times New Roman" w:eastAsia="宋体" w:cs="宋体"/>
                <w:color w:val="000000"/>
                <w:kern w:val="0"/>
                <w:sz w:val="24"/>
                <w:u w:val="none" w:color="auto"/>
                <w:lang w:eastAsia="zh-CN" w:bidi="ar"/>
              </w:rPr>
              <w:t>》</w:t>
            </w:r>
            <w:r>
              <w:rPr>
                <w:rFonts w:hint="eastAsia" w:ascii="Times New Roman" w:hAnsi="Times New Roman" w:eastAsia="宋体" w:cs="宋体"/>
                <w:color w:val="000000"/>
                <w:kern w:val="0"/>
                <w:sz w:val="24"/>
                <w:u w:val="none" w:color="auto"/>
                <w:lang w:val="en-US" w:eastAsia="zh-CN" w:bidi="ar"/>
              </w:rPr>
              <w:t>（吉环函</w:t>
            </w:r>
            <w:r>
              <w:rPr>
                <w:rFonts w:hint="default" w:ascii="Times New Roman" w:hAnsi="Times New Roman" w:eastAsia="宋体" w:cs="宋体"/>
                <w:color w:val="000000"/>
                <w:kern w:val="0"/>
                <w:sz w:val="24"/>
                <w:u w:val="none" w:color="auto"/>
                <w:lang w:bidi="ar"/>
              </w:rPr>
              <w:t>〔2024〕1</w:t>
            </w:r>
            <w:r>
              <w:rPr>
                <w:rFonts w:hint="eastAsia" w:ascii="Times New Roman" w:hAnsi="Times New Roman" w:eastAsia="宋体" w:cs="宋体"/>
                <w:color w:val="000000"/>
                <w:kern w:val="0"/>
                <w:sz w:val="24"/>
                <w:u w:val="none" w:color="auto"/>
                <w:lang w:val="en-US" w:eastAsia="zh-CN" w:bidi="ar"/>
              </w:rPr>
              <w:t>58</w:t>
            </w:r>
            <w:r>
              <w:rPr>
                <w:rFonts w:hint="default" w:ascii="Times New Roman" w:hAnsi="Times New Roman" w:eastAsia="宋体" w:cs="宋体"/>
                <w:color w:val="000000"/>
                <w:kern w:val="0"/>
                <w:sz w:val="24"/>
                <w:u w:val="none" w:color="auto"/>
                <w:lang w:bidi="ar"/>
              </w:rPr>
              <w:t>号</w:t>
            </w:r>
            <w:r>
              <w:rPr>
                <w:rFonts w:hint="eastAsia" w:ascii="Times New Roman" w:hAnsi="Times New Roman" w:eastAsia="宋体" w:cs="宋体"/>
                <w:color w:val="000000"/>
                <w:kern w:val="0"/>
                <w:sz w:val="24"/>
                <w:u w:val="none" w:color="auto"/>
                <w:lang w:val="en-US" w:eastAsia="zh-CN" w:bidi="ar"/>
              </w:rPr>
              <w:t>）</w:t>
            </w:r>
            <w:r>
              <w:rPr>
                <w:rFonts w:hint="eastAsia" w:cs="宋体"/>
                <w:color w:val="000000"/>
                <w:kern w:val="0"/>
                <w:sz w:val="24"/>
                <w:u w:val="none" w:color="auto"/>
                <w:lang w:val="en-US" w:eastAsia="zh-CN" w:bidi="ar"/>
              </w:rPr>
              <w:t>、《白山市人民政府办公室关于印发白山市生态环境分区管控实施方案的通知》（白山政办发〔2024〕11号）</w:t>
            </w:r>
            <w:r>
              <w:rPr>
                <w:rFonts w:hint="default" w:ascii="Times New Roman" w:hAnsi="Times New Roman" w:eastAsia="宋体" w:cs="宋体"/>
                <w:color w:val="000000"/>
                <w:kern w:val="0"/>
                <w:sz w:val="24"/>
                <w:u w:val="none" w:color="auto"/>
                <w:lang w:bidi="ar"/>
              </w:rPr>
              <w:t>，</w:t>
            </w:r>
            <w:r>
              <w:rPr>
                <w:rFonts w:hint="eastAsia" w:ascii="Times New Roman" w:hAnsi="Times New Roman" w:eastAsia="宋体" w:cs="宋体"/>
                <w:color w:val="000000"/>
                <w:kern w:val="0"/>
                <w:sz w:val="24"/>
                <w:u w:val="none" w:color="auto"/>
                <w:lang w:eastAsia="zh-CN" w:bidi="ar"/>
              </w:rPr>
              <w:t>并经吉林省</w:t>
            </w:r>
            <w:r>
              <w:rPr>
                <w:rFonts w:hint="eastAsia" w:cs="宋体"/>
                <w:color w:val="000000"/>
                <w:kern w:val="0"/>
                <w:sz w:val="24"/>
                <w:u w:val="none" w:color="auto"/>
                <w:lang w:eastAsia="zh-CN" w:bidi="ar"/>
              </w:rPr>
              <w:t>生态环境分区管控</w:t>
            </w:r>
            <w:r>
              <w:rPr>
                <w:rFonts w:hint="eastAsia" w:ascii="Times New Roman" w:hAnsi="Times New Roman" w:eastAsia="宋体" w:cs="宋体"/>
                <w:color w:val="000000"/>
                <w:kern w:val="0"/>
                <w:sz w:val="24"/>
                <w:u w:val="none" w:color="auto"/>
                <w:lang w:eastAsia="zh-CN" w:bidi="ar"/>
              </w:rPr>
              <w:t>公众端应用平台查询，</w:t>
            </w:r>
            <w:r>
              <w:rPr>
                <w:rFonts w:hint="eastAsia"/>
                <w:kern w:val="0"/>
                <w:sz w:val="24"/>
                <w:u w:val="none" w:color="auto"/>
                <w:lang w:val="en-US" w:eastAsia="zh-CN" w:bidi="ar"/>
              </w:rPr>
              <w:t>本项目所在地管控单元编码ZH22068120001，环境管控单元名称为吉林临江边境经济合作区，属于重点管控单元，环境要素为大气环境高排放重点管控区、水环境工业污染重点管控区、建设用地污染风险重点管控区、重点矿区</w:t>
            </w:r>
            <w:r>
              <w:rPr>
                <w:rFonts w:hint="eastAsia" w:ascii="Times New Roman" w:hAnsi="Times New Roman" w:eastAsia="宋体" w:cs="宋体"/>
                <w:color w:val="000000"/>
                <w:kern w:val="0"/>
                <w:sz w:val="24"/>
                <w:u w:val="none" w:color="auto"/>
                <w:lang w:eastAsia="zh-CN" w:bidi="ar"/>
              </w:rPr>
              <w:t>。</w:t>
            </w:r>
            <w:r>
              <w:rPr>
                <w:rFonts w:hint="eastAsia"/>
                <w:sz w:val="24"/>
                <w:szCs w:val="24"/>
                <w:u w:val="none" w:color="auto"/>
                <w:lang w:val="en-US" w:eastAsia="zh-CN"/>
              </w:rPr>
              <w:t>本项目</w:t>
            </w:r>
            <w:r>
              <w:rPr>
                <w:rFonts w:hint="default" w:ascii="Times New Roman" w:hAnsi="Times New Roman" w:eastAsia="宋体" w:cs="Times New Roman"/>
                <w:sz w:val="24"/>
                <w:szCs w:val="24"/>
                <w:u w:val="none" w:color="auto"/>
                <w:lang w:val="en-US" w:eastAsia="zh-CN"/>
              </w:rPr>
              <w:t>环境准入条件符合</w:t>
            </w:r>
            <w:r>
              <w:rPr>
                <w:rFonts w:hint="eastAsia" w:eastAsia="宋体" w:cs="Times New Roman"/>
                <w:sz w:val="24"/>
                <w:szCs w:val="24"/>
                <w:u w:val="none" w:color="auto"/>
                <w:lang w:val="en-US" w:eastAsia="zh-CN"/>
              </w:rPr>
              <w:t>性见</w:t>
            </w:r>
            <w:r>
              <w:rPr>
                <w:rFonts w:hint="eastAsia" w:cs="Times New Roman"/>
                <w:sz w:val="24"/>
                <w:szCs w:val="24"/>
                <w:u w:val="none" w:color="auto"/>
                <w:lang w:val="en-US" w:eastAsia="zh-CN"/>
              </w:rPr>
              <w:t>下表</w:t>
            </w:r>
            <w:r>
              <w:rPr>
                <w:rFonts w:hint="default" w:ascii="Times New Roman" w:hAnsi="Times New Roman" w:eastAsia="宋体" w:cs="Times New Roman"/>
                <w:sz w:val="24"/>
                <w:szCs w:val="24"/>
                <w:highlight w:val="none"/>
                <w:u w:val="none" w:color="auto"/>
                <w:lang w:val="en-US" w:eastAsia="zh-CN"/>
              </w:rPr>
              <w:t>。</w:t>
            </w:r>
          </w:p>
          <w:p w14:paraId="13EAB0CD">
            <w:pPr>
              <w:pStyle w:val="67"/>
              <w:numPr>
                <w:ilvl w:val="0"/>
                <w:numId w:val="0"/>
              </w:numPr>
              <w:bidi w:val="0"/>
              <w:ind w:leftChars="0"/>
              <w:jc w:val="center"/>
              <w:rPr>
                <w:rFonts w:hint="default"/>
                <w:color w:val="auto"/>
                <w:highlight w:val="none"/>
                <w:u w:val="none" w:color="auto"/>
              </w:rPr>
            </w:pPr>
            <w:r>
              <w:rPr>
                <w:rFonts w:hint="eastAsia"/>
                <w:color w:val="auto"/>
                <w:highlight w:val="none"/>
                <w:u w:val="none" w:color="auto"/>
                <w:lang w:eastAsia="zh-CN"/>
              </w:rPr>
              <w:t>表</w:t>
            </w:r>
            <w:r>
              <w:rPr>
                <w:rFonts w:hint="eastAsia"/>
                <w:color w:val="auto"/>
                <w:highlight w:val="none"/>
                <w:u w:val="none" w:color="auto"/>
                <w:lang w:val="en-US" w:eastAsia="zh-CN"/>
              </w:rPr>
              <w:t xml:space="preserve">1-1  </w:t>
            </w:r>
            <w:r>
              <w:rPr>
                <w:rFonts w:hint="default"/>
                <w:b/>
                <w:bCs/>
                <w:sz w:val="24"/>
                <w:szCs w:val="24"/>
                <w:highlight w:val="none"/>
                <w:u w:val="none" w:color="auto"/>
                <w:lang w:val="en-US" w:eastAsia="zh-CN"/>
              </w:rPr>
              <w:t>与吉林省生态环境准入清单（总体准入要求）符合性</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56"/>
              <w:gridCol w:w="4498"/>
              <w:gridCol w:w="1876"/>
              <w:gridCol w:w="630"/>
            </w:tblGrid>
            <w:tr w14:paraId="4C4F64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tcBorders>
                    <w:tl2br w:val="nil"/>
                    <w:tr2bl w:val="nil"/>
                  </w:tcBorders>
                  <w:noWrap w:val="0"/>
                  <w:vAlign w:val="center"/>
                </w:tcPr>
                <w:p w14:paraId="5D6E1585">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管控领域</w:t>
                  </w:r>
                </w:p>
              </w:tc>
              <w:tc>
                <w:tcPr>
                  <w:tcW w:w="2935" w:type="pct"/>
                  <w:tcBorders>
                    <w:tl2br w:val="nil"/>
                    <w:tr2bl w:val="nil"/>
                  </w:tcBorders>
                  <w:noWrap w:val="0"/>
                  <w:vAlign w:val="center"/>
                </w:tcPr>
                <w:p w14:paraId="494695C8">
                  <w:pPr>
                    <w:pStyle w:val="42"/>
                    <w:keepNext w:val="0"/>
                    <w:keepLines w:val="0"/>
                    <w:pageBreakBefore w:val="0"/>
                    <w:kinsoku/>
                    <w:wordWrap/>
                    <w:overflowPunct/>
                    <w:topLinePunct w:val="0"/>
                    <w:autoSpaceDE/>
                    <w:autoSpaceDN/>
                    <w:bidi w:val="0"/>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环境准入及管控要求</w:t>
                  </w:r>
                </w:p>
              </w:tc>
              <w:tc>
                <w:tcPr>
                  <w:tcW w:w="1224" w:type="pct"/>
                  <w:tcBorders>
                    <w:tl2br w:val="nil"/>
                    <w:tr2bl w:val="nil"/>
                  </w:tcBorders>
                  <w:noWrap w:val="0"/>
                  <w:vAlign w:val="center"/>
                </w:tcPr>
                <w:p w14:paraId="3D894696">
                  <w:pPr>
                    <w:pStyle w:val="42"/>
                    <w:keepNext w:val="0"/>
                    <w:keepLines w:val="0"/>
                    <w:pageBreakBefore w:val="0"/>
                    <w:kinsoku/>
                    <w:wordWrap/>
                    <w:overflowPunct/>
                    <w:topLinePunct w:val="0"/>
                    <w:autoSpaceDE/>
                    <w:autoSpaceDN/>
                    <w:bidi w:val="0"/>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eastAsia="zh-CN"/>
                    </w:rPr>
                    <w:t>本项目</w:t>
                  </w:r>
                </w:p>
              </w:tc>
              <w:tc>
                <w:tcPr>
                  <w:tcW w:w="411" w:type="pct"/>
                  <w:tcBorders>
                    <w:tl2br w:val="nil"/>
                    <w:tr2bl w:val="nil"/>
                  </w:tcBorders>
                  <w:noWrap w:val="0"/>
                  <w:vAlign w:val="center"/>
                </w:tcPr>
                <w:p w14:paraId="1146E21E">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符合性</w:t>
                  </w:r>
                </w:p>
              </w:tc>
            </w:tr>
            <w:tr w14:paraId="2E5D7D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restart"/>
                  <w:tcBorders>
                    <w:tl2br w:val="nil"/>
                    <w:tr2bl w:val="nil"/>
                  </w:tcBorders>
                  <w:noWrap w:val="0"/>
                  <w:vAlign w:val="center"/>
                </w:tcPr>
                <w:p w14:paraId="7413FF4B">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空间布局约束</w:t>
                  </w:r>
                </w:p>
              </w:tc>
              <w:tc>
                <w:tcPr>
                  <w:tcW w:w="2935" w:type="pct"/>
                  <w:tcBorders>
                    <w:tl2br w:val="nil"/>
                    <w:tr2bl w:val="nil"/>
                  </w:tcBorders>
                  <w:noWrap w:val="0"/>
                  <w:vAlign w:val="center"/>
                </w:tcPr>
                <w:p w14:paraId="37AD5FE4">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禁止新建、扩建《产业结构调整指导目录》（现行）明确的淘汰类项目和引入《市场准入负面清单》（现行）禁止准入类事项。引入项目应符合园区规划、规划环境影响评价和区域产业准入负面清单要求。</w:t>
                  </w:r>
                </w:p>
                <w:p w14:paraId="16071C5A">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224" w:type="pct"/>
                  <w:tcBorders>
                    <w:tl2br w:val="nil"/>
                    <w:tr2bl w:val="nil"/>
                  </w:tcBorders>
                  <w:noWrap w:val="0"/>
                  <w:vAlign w:val="center"/>
                </w:tcPr>
                <w:p w14:paraId="307C68CE">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highlight w:val="none"/>
                      <w:u w:val="none" w:color="auto"/>
                      <w:lang w:eastAsia="zh-CN"/>
                    </w:rPr>
                    <w:t>本项目不属于</w:t>
                  </w:r>
                  <w:r>
                    <w:rPr>
                      <w:rFonts w:hint="eastAsia" w:ascii="Times New Roman" w:eastAsia="宋体" w:cs="Times New Roman"/>
                      <w:b w:val="0"/>
                      <w:bCs w:val="0"/>
                      <w:color w:val="auto"/>
                      <w:sz w:val="21"/>
                      <w:szCs w:val="21"/>
                      <w:highlight w:val="none"/>
                      <w:u w:val="none" w:color="auto"/>
                      <w:lang w:val="en-US" w:eastAsia="zh-CN"/>
                    </w:rPr>
                    <w:t>现行《产业结构调整指导目录》中</w:t>
                  </w:r>
                  <w:r>
                    <w:rPr>
                      <w:rFonts w:hint="default" w:ascii="Times New Roman" w:hAnsi="Times New Roman" w:eastAsia="宋体" w:cs="Times New Roman"/>
                      <w:b w:val="0"/>
                      <w:bCs w:val="0"/>
                      <w:color w:val="auto"/>
                      <w:sz w:val="21"/>
                      <w:szCs w:val="21"/>
                      <w:highlight w:val="none"/>
                      <w:u w:val="none" w:color="auto"/>
                      <w:lang w:eastAsia="zh-CN"/>
                    </w:rPr>
                    <w:t>“鼓励类”、“限制类”和“淘汰类”范围内，</w:t>
                  </w:r>
                  <w:r>
                    <w:rPr>
                      <w:rFonts w:hint="default" w:ascii="Times New Roman" w:hAnsi="Times New Roman" w:eastAsia="宋体" w:cs="Times New Roman"/>
                      <w:b w:val="0"/>
                      <w:bCs w:val="0"/>
                      <w:color w:val="auto"/>
                      <w:sz w:val="21"/>
                      <w:szCs w:val="21"/>
                      <w:highlight w:val="none"/>
                      <w:u w:val="none" w:color="auto"/>
                      <w:lang w:val="en-US" w:eastAsia="zh-CN"/>
                    </w:rPr>
                    <w:t>视为</w:t>
                  </w:r>
                  <w:r>
                    <w:rPr>
                      <w:rFonts w:hint="default" w:ascii="Times New Roman" w:hAnsi="Times New Roman" w:eastAsia="宋体" w:cs="Times New Roman"/>
                      <w:b w:val="0"/>
                      <w:bCs w:val="0"/>
                      <w:color w:val="auto"/>
                      <w:sz w:val="21"/>
                      <w:szCs w:val="21"/>
                      <w:highlight w:val="none"/>
                      <w:u w:val="none" w:color="auto"/>
                      <w:lang w:eastAsia="zh-CN"/>
                    </w:rPr>
                    <w:t>允许类，不属于</w:t>
                  </w:r>
                  <w:r>
                    <w:rPr>
                      <w:rFonts w:hint="eastAsia" w:ascii="Times New Roman" w:eastAsia="宋体" w:cs="Times New Roman"/>
                      <w:b w:val="0"/>
                      <w:bCs w:val="0"/>
                      <w:color w:val="auto"/>
                      <w:sz w:val="21"/>
                      <w:szCs w:val="21"/>
                      <w:highlight w:val="none"/>
                      <w:u w:val="none" w:color="auto"/>
                      <w:lang w:val="en-US" w:eastAsia="zh-CN"/>
                    </w:rPr>
                    <w:t>现行</w:t>
                  </w:r>
                  <w:r>
                    <w:rPr>
                      <w:rFonts w:hint="default" w:ascii="Times New Roman" w:hAnsi="Times New Roman" w:eastAsia="宋体" w:cs="Times New Roman"/>
                      <w:b w:val="0"/>
                      <w:bCs w:val="0"/>
                      <w:color w:val="auto"/>
                      <w:sz w:val="21"/>
                      <w:szCs w:val="21"/>
                      <w:highlight w:val="none"/>
                      <w:u w:val="none" w:color="auto"/>
                      <w:lang w:eastAsia="zh-CN"/>
                    </w:rPr>
                    <w:t>《市场准入负面清单》中禁止准入类事项</w:t>
                  </w:r>
                  <w:r>
                    <w:rPr>
                      <w:rFonts w:hint="default" w:ascii="Times New Roman" w:hAnsi="Times New Roman" w:eastAsia="宋体" w:cs="Times New Roman"/>
                      <w:b w:val="0"/>
                      <w:bCs w:val="0"/>
                      <w:color w:val="auto"/>
                      <w:sz w:val="21"/>
                      <w:szCs w:val="21"/>
                      <w:u w:val="none" w:color="auto"/>
                      <w:lang w:eastAsia="zh-CN"/>
                    </w:rPr>
                    <w:t>。</w:t>
                  </w:r>
                </w:p>
              </w:tc>
              <w:tc>
                <w:tcPr>
                  <w:tcW w:w="411" w:type="pct"/>
                  <w:tcBorders>
                    <w:tl2br w:val="nil"/>
                    <w:tr2bl w:val="nil"/>
                  </w:tcBorders>
                  <w:noWrap w:val="0"/>
                  <w:vAlign w:val="center"/>
                </w:tcPr>
                <w:p w14:paraId="57F4EA93">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rPr>
                    <w:t>符合</w:t>
                  </w:r>
                </w:p>
              </w:tc>
            </w:tr>
            <w:tr w14:paraId="028FBB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075C51B2">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14E671E7">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p w14:paraId="2C30F2E0">
                  <w:pPr>
                    <w:pStyle w:val="42"/>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严格控制钢铁、焦化、电解铝、水泥和平板玻璃等行业新增产能，列入去产能的钢铁企业退出时须一并退出配套的烧结、球团、焦炉、高炉等设备。严控尿素、磷铵、电石、烧碱、聚氯乙烯、纯碱、黄磷等过剩行业新增产能，符合政策要求的先进工艺改造提升项目应实行等量或减量置换。</w:t>
                  </w:r>
                </w:p>
                <w:p w14:paraId="372D15E3">
                  <w:pPr>
                    <w:keepNext w:val="0"/>
                    <w:keepLines w:val="0"/>
                    <w:pageBreakBefore w:val="0"/>
                    <w:widowControl w:val="0"/>
                    <w:kinsoku/>
                    <w:wordWrap/>
                    <w:overflowPunct/>
                    <w:topLinePunct w:val="0"/>
                    <w:autoSpaceDE/>
                    <w:autoSpaceDN/>
                    <w:bidi w:val="0"/>
                    <w:adjustRightInd/>
                    <w:snapToGrid/>
                    <w:spacing w:before="32" w:beforeLines="10" w:after="32" w:afterLines="10"/>
                    <w:ind w:left="-63" w:leftChars="-30" w:right="-63" w:rightChars="-30"/>
                    <w:jc w:val="both"/>
                    <w:textAlignment w:val="auto"/>
                    <w:rPr>
                      <w:rFonts w:hint="default"/>
                      <w:u w:val="none" w:color="auto"/>
                    </w:rPr>
                  </w:pPr>
                  <w:r>
                    <w:rPr>
                      <w:rFonts w:hint="default"/>
                      <w:u w:val="none" w:color="auto"/>
                    </w:rPr>
                    <w:t>严控新建燃煤锅炉，县级以上城市建成区原则上不再新建每小时35蒸吨以下燃煤锅炉。</w:t>
                  </w:r>
                </w:p>
              </w:tc>
              <w:tc>
                <w:tcPr>
                  <w:tcW w:w="1224" w:type="pct"/>
                  <w:tcBorders>
                    <w:tl2br w:val="nil"/>
                    <w:tr2bl w:val="nil"/>
                  </w:tcBorders>
                  <w:noWrap w:val="0"/>
                  <w:vAlign w:val="center"/>
                </w:tcPr>
                <w:p w14:paraId="190129F2">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eastAsia="zh-CN"/>
                    </w:rPr>
                    <w:t>项目符合产业政策要求，不属于高物耗、高水耗、产能过剩、低水平及重大环境风险建设项目</w:t>
                  </w:r>
                  <w:r>
                    <w:rPr>
                      <w:rFonts w:hint="eastAsia" w:ascii="Times New Roman" w:hAnsi="Times New Roman" w:eastAsia="宋体" w:cs="Times New Roman"/>
                      <w:b w:val="0"/>
                      <w:bCs w:val="0"/>
                      <w:color w:val="auto"/>
                      <w:sz w:val="21"/>
                      <w:szCs w:val="21"/>
                      <w:u w:val="none" w:color="auto"/>
                      <w:lang w:eastAsia="zh-CN"/>
                    </w:rPr>
                    <w:t>，不新建燃煤锅炉</w:t>
                  </w:r>
                  <w:r>
                    <w:rPr>
                      <w:rFonts w:hint="default" w:ascii="Times New Roman" w:hAnsi="Times New Roman" w:eastAsia="宋体" w:cs="Times New Roman"/>
                      <w:b w:val="0"/>
                      <w:bCs w:val="0"/>
                      <w:color w:val="auto"/>
                      <w:sz w:val="21"/>
                      <w:szCs w:val="21"/>
                      <w:u w:val="none" w:color="auto"/>
                      <w:lang w:eastAsia="zh-CN"/>
                    </w:rPr>
                    <w:t>。</w:t>
                  </w:r>
                </w:p>
              </w:tc>
              <w:tc>
                <w:tcPr>
                  <w:tcW w:w="411" w:type="pct"/>
                  <w:tcBorders>
                    <w:tl2br w:val="nil"/>
                    <w:tr2bl w:val="nil"/>
                  </w:tcBorders>
                  <w:noWrap w:val="0"/>
                  <w:vAlign w:val="center"/>
                </w:tcPr>
                <w:p w14:paraId="22A46A54">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符合</w:t>
                  </w:r>
                </w:p>
              </w:tc>
            </w:tr>
            <w:tr w14:paraId="12B164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0649E426">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5A0C3F30">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重大项目原则上布局在优化开发区和重点开发区，并符合国土空间总体规划。</w:t>
                  </w:r>
                </w:p>
                <w:p w14:paraId="55FE9488">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化工石化、有色冶炼、制浆造纸等可能引发环境风险的项目，以及涉及石化、化工、工业涂装等重点行业高VOCs排放的建设项目，在符合国家产业政策和清洁生产水平要求、满足污染物排放标准以及污染物排放总量控制指标的前提下，应当在依法设立、基础设施齐全并具备有效规划、规划环境影响评价的产业园区内布设。</w:t>
                  </w:r>
                </w:p>
                <w:p w14:paraId="3D8A27EE">
                  <w:pPr>
                    <w:keepNext w:val="0"/>
                    <w:keepLines w:val="0"/>
                    <w:pageBreakBefore w:val="0"/>
                    <w:widowControl w:val="0"/>
                    <w:kinsoku/>
                    <w:wordWrap/>
                    <w:overflowPunct/>
                    <w:topLinePunct w:val="0"/>
                    <w:autoSpaceDE/>
                    <w:autoSpaceDN/>
                    <w:bidi w:val="0"/>
                    <w:adjustRightInd/>
                    <w:snapToGrid/>
                    <w:spacing w:before="32" w:beforeLines="10" w:after="32" w:afterLines="10"/>
                    <w:ind w:left="-63" w:leftChars="-30" w:right="-63" w:rightChars="-30"/>
                    <w:jc w:val="both"/>
                    <w:textAlignment w:val="auto"/>
                    <w:rPr>
                      <w:rFonts w:hint="default"/>
                      <w:u w:val="none" w:color="auto"/>
                    </w:rPr>
                  </w:pPr>
                  <w:r>
                    <w:rPr>
                      <w:rFonts w:hint="default"/>
                      <w:u w:val="none" w:color="auto"/>
                    </w:rPr>
                    <w:t>严格落实规划环评及其批复文件环境准入条件，空气质量未达标地区制定更严格的产业准入门槛。</w:t>
                  </w:r>
                </w:p>
              </w:tc>
              <w:tc>
                <w:tcPr>
                  <w:tcW w:w="1224" w:type="pct"/>
                  <w:tcBorders>
                    <w:tl2br w:val="nil"/>
                    <w:tr2bl w:val="nil"/>
                  </w:tcBorders>
                  <w:noWrap w:val="0"/>
                  <w:vAlign w:val="center"/>
                </w:tcPr>
                <w:p w14:paraId="55470EE7">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eastAsia="zh-CN"/>
                    </w:rPr>
                    <w:t>本项目不属于重大项目，</w:t>
                  </w:r>
                  <w:r>
                    <w:rPr>
                      <w:rFonts w:hint="eastAsia" w:ascii="Times New Roman" w:eastAsia="宋体" w:cs="Times New Roman"/>
                      <w:b w:val="0"/>
                      <w:bCs w:val="0"/>
                      <w:color w:val="auto"/>
                      <w:sz w:val="21"/>
                      <w:szCs w:val="21"/>
                      <w:u w:val="none" w:color="auto"/>
                      <w:lang w:eastAsia="zh-CN"/>
                    </w:rPr>
                    <w:t>位于重点管控单元内，不属于</w:t>
                  </w:r>
                  <w:r>
                    <w:rPr>
                      <w:rFonts w:hint="default" w:ascii="Times New Roman" w:hAnsi="Times New Roman" w:eastAsia="宋体" w:cs="Times New Roman"/>
                      <w:b w:val="0"/>
                      <w:bCs w:val="0"/>
                      <w:color w:val="auto"/>
                      <w:sz w:val="21"/>
                      <w:szCs w:val="21"/>
                      <w:u w:val="none" w:color="auto"/>
                    </w:rPr>
                    <w:t>化工石化、有色冶炼、制浆造纸等可能引发环境风险的项目，</w:t>
                  </w:r>
                  <w:r>
                    <w:rPr>
                      <w:rFonts w:hint="eastAsia" w:ascii="Times New Roman" w:hAnsi="Times New Roman" w:eastAsia="宋体" w:cs="Times New Roman"/>
                      <w:b w:val="0"/>
                      <w:bCs w:val="0"/>
                      <w:color w:val="auto"/>
                      <w:sz w:val="21"/>
                      <w:szCs w:val="21"/>
                      <w:u w:val="none" w:color="auto"/>
                      <w:lang w:eastAsia="zh-CN"/>
                    </w:rPr>
                    <w:t>不属于</w:t>
                  </w:r>
                  <w:r>
                    <w:rPr>
                      <w:rFonts w:hint="default" w:ascii="Times New Roman" w:hAnsi="Times New Roman" w:eastAsia="宋体" w:cs="Times New Roman"/>
                      <w:b w:val="0"/>
                      <w:bCs w:val="0"/>
                      <w:color w:val="auto"/>
                      <w:sz w:val="21"/>
                      <w:szCs w:val="21"/>
                      <w:u w:val="none" w:color="auto"/>
                    </w:rPr>
                    <w:t>石化、化工、工业涂装等重点行业高VOCs排放的建设项目</w:t>
                  </w:r>
                  <w:r>
                    <w:rPr>
                      <w:rFonts w:hint="default" w:ascii="Times New Roman" w:hAnsi="Times New Roman" w:eastAsia="宋体" w:cs="Times New Roman"/>
                      <w:b w:val="0"/>
                      <w:bCs w:val="0"/>
                      <w:color w:val="auto"/>
                      <w:sz w:val="21"/>
                      <w:szCs w:val="21"/>
                      <w:u w:val="none" w:color="auto"/>
                      <w:lang w:eastAsia="zh-CN"/>
                    </w:rPr>
                    <w:t>。</w:t>
                  </w:r>
                </w:p>
              </w:tc>
              <w:tc>
                <w:tcPr>
                  <w:tcW w:w="411" w:type="pct"/>
                  <w:tcBorders>
                    <w:tl2br w:val="nil"/>
                    <w:tr2bl w:val="nil"/>
                  </w:tcBorders>
                  <w:noWrap w:val="0"/>
                  <w:vAlign w:val="center"/>
                </w:tcPr>
                <w:p w14:paraId="7B21B4E2">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符合</w:t>
                  </w:r>
                </w:p>
              </w:tc>
            </w:tr>
            <w:tr w14:paraId="2166C4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2A880640">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43F54A1D">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进一步优化全省化工产业布局，提高化工行业本质安全和绿色发展水平，引领化工园区从规范化发展到高质量发展，促进化工产业转型升级。</w:t>
                  </w:r>
                </w:p>
              </w:tc>
              <w:tc>
                <w:tcPr>
                  <w:tcW w:w="1224" w:type="pct"/>
                  <w:tcBorders>
                    <w:tl2br w:val="nil"/>
                    <w:tr2bl w:val="nil"/>
                  </w:tcBorders>
                  <w:noWrap w:val="0"/>
                  <w:vAlign w:val="center"/>
                </w:tcPr>
                <w:p w14:paraId="13B04FF3">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eastAsia="zh-CN"/>
                    </w:rPr>
                    <w:t>本项目不属于化工项目。</w:t>
                  </w:r>
                </w:p>
              </w:tc>
              <w:tc>
                <w:tcPr>
                  <w:tcW w:w="411" w:type="pct"/>
                  <w:tcBorders>
                    <w:tl2br w:val="nil"/>
                    <w:tr2bl w:val="nil"/>
                  </w:tcBorders>
                  <w:noWrap w:val="0"/>
                  <w:vAlign w:val="center"/>
                </w:tcPr>
                <w:p w14:paraId="558239B9">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不涉及</w:t>
                  </w:r>
                </w:p>
              </w:tc>
            </w:tr>
            <w:tr w14:paraId="178D6A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restart"/>
                  <w:tcBorders>
                    <w:tl2br w:val="nil"/>
                    <w:tr2bl w:val="nil"/>
                  </w:tcBorders>
                  <w:noWrap w:val="0"/>
                  <w:vAlign w:val="center"/>
                </w:tcPr>
                <w:p w14:paraId="620AF517">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污染物排放管控</w:t>
                  </w:r>
                </w:p>
              </w:tc>
              <w:tc>
                <w:tcPr>
                  <w:tcW w:w="2935" w:type="pct"/>
                  <w:tcBorders>
                    <w:tl2br w:val="nil"/>
                    <w:tr2bl w:val="nil"/>
                  </w:tcBorders>
                  <w:noWrap w:val="0"/>
                  <w:vAlign w:val="center"/>
                </w:tcPr>
                <w:p w14:paraId="23FFFC70">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落实主要污染物总量控制和排污许可制度。新建、改建、扩建重点行业建设项目实行主要污染物排放等量或倍量削减替代。严格涉VOCs建设项目环境影响评价，逐步推进区域内VOCs排放等量或倍量削减替代。</w:t>
                  </w:r>
                </w:p>
              </w:tc>
              <w:tc>
                <w:tcPr>
                  <w:tcW w:w="1224" w:type="pct"/>
                  <w:tcBorders>
                    <w:tl2br w:val="nil"/>
                    <w:tr2bl w:val="nil"/>
                  </w:tcBorders>
                  <w:noWrap w:val="0"/>
                  <w:vAlign w:val="center"/>
                </w:tcPr>
                <w:p w14:paraId="0CED645F">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eastAsia="zh-CN"/>
                    </w:rPr>
                    <w:t>本项目不属于重点行业，排放污染物能够达标排放，符合要求，应按有关要求申请排污许可证</w:t>
                  </w:r>
                  <w:r>
                    <w:rPr>
                      <w:rFonts w:hint="default" w:ascii="Times New Roman" w:hAnsi="Times New Roman" w:eastAsia="宋体" w:cs="Times New Roman"/>
                      <w:b w:val="0"/>
                      <w:bCs w:val="0"/>
                      <w:color w:val="auto"/>
                      <w:sz w:val="21"/>
                      <w:szCs w:val="21"/>
                      <w:u w:val="none" w:color="auto"/>
                      <w:lang w:val="en-US" w:eastAsia="zh-CN"/>
                    </w:rPr>
                    <w:t>与</w:t>
                  </w:r>
                  <w:r>
                    <w:rPr>
                      <w:rFonts w:hint="default" w:ascii="Times New Roman" w:hAnsi="Times New Roman" w:eastAsia="宋体" w:cs="Times New Roman"/>
                      <w:b w:val="0"/>
                      <w:bCs w:val="0"/>
                      <w:color w:val="auto"/>
                      <w:sz w:val="21"/>
                      <w:szCs w:val="21"/>
                      <w:u w:val="none" w:color="auto"/>
                      <w:lang w:eastAsia="zh-CN"/>
                    </w:rPr>
                    <w:t>总量控制指标。</w:t>
                  </w:r>
                </w:p>
              </w:tc>
              <w:tc>
                <w:tcPr>
                  <w:tcW w:w="411" w:type="pct"/>
                  <w:tcBorders>
                    <w:tl2br w:val="nil"/>
                    <w:tr2bl w:val="nil"/>
                  </w:tcBorders>
                  <w:noWrap w:val="0"/>
                  <w:vAlign w:val="center"/>
                </w:tcPr>
                <w:p w14:paraId="7222B2DA">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符合</w:t>
                  </w:r>
                </w:p>
              </w:tc>
            </w:tr>
            <w:tr w14:paraId="4C5BCA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079DF0D7">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0BFE1462">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空气质量未达标地区新建项目涉及二氧化硫、氮氧化物、颗粒物、挥发性有机物（VOCs）全面执行大气污染物特别排放限值。</w:t>
                  </w:r>
                </w:p>
              </w:tc>
              <w:tc>
                <w:tcPr>
                  <w:tcW w:w="1224" w:type="pct"/>
                  <w:tcBorders>
                    <w:tl2br w:val="nil"/>
                    <w:tr2bl w:val="nil"/>
                  </w:tcBorders>
                  <w:noWrap w:val="0"/>
                  <w:vAlign w:val="center"/>
                </w:tcPr>
                <w:p w14:paraId="2E09F0FD">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lang w:eastAsia="zh-CN"/>
                    </w:rPr>
                  </w:pPr>
                  <w:r>
                    <w:rPr>
                      <w:rFonts w:hint="eastAsia" w:ascii="Times New Roman" w:eastAsia="宋体" w:cs="Times New Roman"/>
                      <w:b w:val="0"/>
                      <w:bCs w:val="0"/>
                      <w:color w:val="auto"/>
                      <w:sz w:val="21"/>
                      <w:szCs w:val="21"/>
                      <w:highlight w:val="none"/>
                      <w:u w:val="none" w:color="auto"/>
                      <w:lang w:val="en-US" w:eastAsia="zh-CN"/>
                    </w:rPr>
                    <w:t>白山</w:t>
                  </w:r>
                  <w:r>
                    <w:rPr>
                      <w:rFonts w:hint="default" w:ascii="Times New Roman" w:hAnsi="Times New Roman" w:eastAsia="宋体" w:cs="Times New Roman"/>
                      <w:b w:val="0"/>
                      <w:bCs w:val="0"/>
                      <w:color w:val="auto"/>
                      <w:sz w:val="21"/>
                      <w:szCs w:val="21"/>
                      <w:highlight w:val="none"/>
                      <w:u w:val="none" w:color="auto"/>
                      <w:lang w:val="en-US" w:eastAsia="zh-CN"/>
                    </w:rPr>
                    <w:t>市</w:t>
                  </w:r>
                  <w:r>
                    <w:rPr>
                      <w:rFonts w:hint="default" w:ascii="Times New Roman" w:hAnsi="Times New Roman" w:eastAsia="宋体" w:cs="Times New Roman"/>
                      <w:b w:val="0"/>
                      <w:bCs w:val="0"/>
                      <w:color w:val="auto"/>
                      <w:sz w:val="21"/>
                      <w:szCs w:val="21"/>
                      <w:highlight w:val="none"/>
                      <w:u w:val="none" w:color="auto"/>
                      <w:lang w:eastAsia="zh-CN"/>
                    </w:rPr>
                    <w:t>为达标区，</w:t>
                  </w:r>
                  <w:r>
                    <w:rPr>
                      <w:rFonts w:hint="default" w:ascii="Times New Roman" w:hAnsi="Times New Roman" w:eastAsia="宋体" w:cs="Times New Roman"/>
                      <w:color w:val="auto"/>
                      <w:sz w:val="21"/>
                      <w:szCs w:val="21"/>
                      <w:highlight w:val="none"/>
                      <w:u w:val="none" w:color="auto"/>
                      <w:lang w:val="en-US" w:eastAsia="zh-CN"/>
                    </w:rPr>
                    <w:t>项目运行过程中</w:t>
                  </w:r>
                  <w:r>
                    <w:rPr>
                      <w:rFonts w:hint="eastAsia" w:ascii="Times New Roman" w:hAnsi="Times New Roman" w:eastAsia="宋体" w:cs="Times New Roman"/>
                      <w:color w:val="auto"/>
                      <w:sz w:val="21"/>
                      <w:szCs w:val="21"/>
                      <w:highlight w:val="none"/>
                      <w:u w:val="none" w:color="auto"/>
                      <w:lang w:val="en-US" w:eastAsia="zh-CN"/>
                    </w:rPr>
                    <w:t>颗粒物执行《水泥工业大气污染物排放标准》（GB 4915-2013）中排放限值要求</w:t>
                  </w:r>
                  <w:r>
                    <w:rPr>
                      <w:rFonts w:hint="default" w:ascii="Times New Roman" w:hAnsi="Times New Roman" w:eastAsia="宋体" w:cs="Times New Roman"/>
                      <w:b w:val="0"/>
                      <w:bCs w:val="0"/>
                      <w:color w:val="auto"/>
                      <w:sz w:val="21"/>
                      <w:szCs w:val="21"/>
                      <w:u w:val="none" w:color="auto"/>
                      <w:lang w:eastAsia="zh-CN"/>
                    </w:rPr>
                    <w:t>。</w:t>
                  </w:r>
                </w:p>
              </w:tc>
              <w:tc>
                <w:tcPr>
                  <w:tcW w:w="411" w:type="pct"/>
                  <w:tcBorders>
                    <w:tl2br w:val="nil"/>
                    <w:tr2bl w:val="nil"/>
                  </w:tcBorders>
                  <w:noWrap w:val="0"/>
                  <w:vAlign w:val="center"/>
                </w:tcPr>
                <w:p w14:paraId="60A6E179">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符合</w:t>
                  </w:r>
                </w:p>
              </w:tc>
            </w:tr>
            <w:tr w14:paraId="74E9A5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41D0A51E">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0A4C762D">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推行秸秆全量化处置，持续推进秸秆肥料化、饲料化、能源化、基料化和原料化，逐步形成秸秆综合利用的长效机制。</w:t>
                  </w:r>
                </w:p>
              </w:tc>
              <w:tc>
                <w:tcPr>
                  <w:tcW w:w="1224" w:type="pct"/>
                  <w:tcBorders>
                    <w:tl2br w:val="nil"/>
                    <w:tr2bl w:val="nil"/>
                  </w:tcBorders>
                  <w:noWrap w:val="0"/>
                  <w:vAlign w:val="center"/>
                </w:tcPr>
                <w:p w14:paraId="0DFB3144">
                  <w:pPr>
                    <w:pStyle w:val="42"/>
                    <w:keepNext w:val="0"/>
                    <w:keepLines w:val="0"/>
                    <w:pageBreakBefore w:val="0"/>
                    <w:kinsoku/>
                    <w:wordWrap/>
                    <w:overflowPunct/>
                    <w:topLinePunct w:val="0"/>
                    <w:autoSpaceDE/>
                    <w:autoSpaceDN/>
                    <w:bidi w:val="0"/>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不涉及</w:t>
                  </w:r>
                </w:p>
              </w:tc>
              <w:tc>
                <w:tcPr>
                  <w:tcW w:w="411" w:type="pct"/>
                  <w:tcBorders>
                    <w:tl2br w:val="nil"/>
                    <w:tr2bl w:val="nil"/>
                  </w:tcBorders>
                  <w:noWrap w:val="0"/>
                  <w:vAlign w:val="center"/>
                </w:tcPr>
                <w:p w14:paraId="0E4B6563">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p>
              </w:tc>
            </w:tr>
            <w:tr w14:paraId="31CA47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1FB7545E">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286512C8">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推动城镇污水处理厂扩容工程和提标改造。超负荷、满负荷运行的污水处理厂要及时实施扩容，出水排入超标水域的污水处理厂要因地制宜提高出水标准。</w:t>
                  </w:r>
                </w:p>
              </w:tc>
              <w:tc>
                <w:tcPr>
                  <w:tcW w:w="1224" w:type="pct"/>
                  <w:tcBorders>
                    <w:tl2br w:val="nil"/>
                    <w:tr2bl w:val="nil"/>
                  </w:tcBorders>
                  <w:noWrap w:val="0"/>
                  <w:vAlign w:val="center"/>
                </w:tcPr>
                <w:p w14:paraId="5B1ADD06">
                  <w:pPr>
                    <w:pStyle w:val="42"/>
                    <w:keepNext w:val="0"/>
                    <w:keepLines w:val="0"/>
                    <w:pageBreakBefore w:val="0"/>
                    <w:kinsoku/>
                    <w:wordWrap/>
                    <w:overflowPunct/>
                    <w:topLinePunct w:val="0"/>
                    <w:autoSpaceDE/>
                    <w:autoSpaceDN/>
                    <w:bidi w:val="0"/>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不涉及</w:t>
                  </w:r>
                </w:p>
              </w:tc>
              <w:tc>
                <w:tcPr>
                  <w:tcW w:w="411" w:type="pct"/>
                  <w:tcBorders>
                    <w:tl2br w:val="nil"/>
                    <w:tr2bl w:val="nil"/>
                  </w:tcBorders>
                  <w:noWrap w:val="0"/>
                  <w:vAlign w:val="center"/>
                </w:tcPr>
                <w:p w14:paraId="720A408D">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p>
              </w:tc>
            </w:tr>
            <w:tr w14:paraId="64BA8D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0112256B">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028B6EFF">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规模化畜禽养殖场（小区）应当保证畜禽粪污无害化处理和资源化利用设施的正常运转。</w:t>
                  </w:r>
                </w:p>
              </w:tc>
              <w:tc>
                <w:tcPr>
                  <w:tcW w:w="1224" w:type="pct"/>
                  <w:tcBorders>
                    <w:tl2br w:val="nil"/>
                    <w:tr2bl w:val="nil"/>
                  </w:tcBorders>
                  <w:noWrap w:val="0"/>
                  <w:vAlign w:val="center"/>
                </w:tcPr>
                <w:p w14:paraId="74A8FCF7">
                  <w:pPr>
                    <w:pStyle w:val="42"/>
                    <w:keepNext w:val="0"/>
                    <w:keepLines w:val="0"/>
                    <w:pageBreakBefore w:val="0"/>
                    <w:kinsoku/>
                    <w:wordWrap/>
                    <w:overflowPunct/>
                    <w:topLinePunct w:val="0"/>
                    <w:autoSpaceDE/>
                    <w:autoSpaceDN/>
                    <w:bidi w:val="0"/>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不涉及</w:t>
                  </w:r>
                </w:p>
              </w:tc>
              <w:tc>
                <w:tcPr>
                  <w:tcW w:w="411" w:type="pct"/>
                  <w:tcBorders>
                    <w:tl2br w:val="nil"/>
                    <w:tr2bl w:val="nil"/>
                  </w:tcBorders>
                  <w:noWrap w:val="0"/>
                  <w:vAlign w:val="center"/>
                </w:tcPr>
                <w:p w14:paraId="194F8115">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p>
              </w:tc>
            </w:tr>
            <w:tr w14:paraId="1002A0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restart"/>
                  <w:tcBorders>
                    <w:tl2br w:val="nil"/>
                    <w:tr2bl w:val="nil"/>
                  </w:tcBorders>
                  <w:noWrap w:val="0"/>
                  <w:vAlign w:val="center"/>
                </w:tcPr>
                <w:p w14:paraId="2710E87D">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环境风险防控</w:t>
                  </w:r>
                </w:p>
              </w:tc>
              <w:tc>
                <w:tcPr>
                  <w:tcW w:w="2935" w:type="pct"/>
                  <w:tcBorders>
                    <w:tl2br w:val="nil"/>
                    <w:tr2bl w:val="nil"/>
                  </w:tcBorders>
                  <w:noWrap w:val="0"/>
                  <w:vAlign w:val="center"/>
                </w:tcPr>
                <w:p w14:paraId="1576EC92">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到2025年，城镇人口密集区现有不符合防护距离要求的危险化学品生产企业就地改造达标、搬迁进入规范化工园区或关闭退出，企业安全和环境风险大幅降低。</w:t>
                  </w:r>
                </w:p>
              </w:tc>
              <w:tc>
                <w:tcPr>
                  <w:tcW w:w="1224" w:type="pct"/>
                  <w:tcBorders>
                    <w:tl2br w:val="nil"/>
                    <w:tr2bl w:val="nil"/>
                  </w:tcBorders>
                  <w:noWrap w:val="0"/>
                  <w:vAlign w:val="center"/>
                </w:tcPr>
                <w:p w14:paraId="171DD3B3">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eastAsia="zh-CN"/>
                    </w:rPr>
                    <w:t>项目不属于危险化学品生产项目，企业安全和环境风险性较小。</w:t>
                  </w:r>
                </w:p>
              </w:tc>
              <w:tc>
                <w:tcPr>
                  <w:tcW w:w="411" w:type="pct"/>
                  <w:tcBorders>
                    <w:tl2br w:val="nil"/>
                    <w:tr2bl w:val="nil"/>
                  </w:tcBorders>
                  <w:noWrap w:val="0"/>
                  <w:vAlign w:val="center"/>
                </w:tcPr>
                <w:p w14:paraId="106DB074">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eastAsia="zh-CN"/>
                    </w:rPr>
                    <w:t>符合</w:t>
                  </w:r>
                </w:p>
              </w:tc>
            </w:tr>
            <w:tr w14:paraId="2817FB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5FD99BFB">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3A003653">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巩固城市饮用水水源保护与治理成果，加强饮用水水源地规范化建设，完善风险防控与应急能力建设和相关管理措施，保证饮用水水源水质达标和水源安全。</w:t>
                  </w:r>
                </w:p>
              </w:tc>
              <w:tc>
                <w:tcPr>
                  <w:tcW w:w="1535" w:type="dxa"/>
                  <w:tcBorders>
                    <w:tl2br w:val="nil"/>
                    <w:tr2bl w:val="nil"/>
                  </w:tcBorders>
                  <w:noWrap w:val="0"/>
                  <w:vAlign w:val="center"/>
                </w:tcPr>
                <w:p w14:paraId="5ED2042A">
                  <w:pPr>
                    <w:pStyle w:val="42"/>
                    <w:keepNext w:val="0"/>
                    <w:keepLines w:val="0"/>
                    <w:pageBreakBefore w:val="0"/>
                    <w:widowControl w:val="0"/>
                    <w:kinsoku/>
                    <w:wordWrap/>
                    <w:overflowPunct/>
                    <w:topLinePunct w:val="0"/>
                    <w:autoSpaceDE/>
                    <w:autoSpaceDN/>
                    <w:bidi w:val="0"/>
                    <w:adjustRightInd w:val="0"/>
                    <w:snapToGrid w:val="0"/>
                    <w:ind w:left="0" w:leftChars="0"/>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rPr>
                    <w:t>不涉及</w:t>
                  </w:r>
                </w:p>
              </w:tc>
              <w:tc>
                <w:tcPr>
                  <w:tcW w:w="515" w:type="dxa"/>
                  <w:tcBorders>
                    <w:tl2br w:val="nil"/>
                    <w:tr2bl w:val="nil"/>
                  </w:tcBorders>
                  <w:noWrap w:val="0"/>
                  <w:vAlign w:val="center"/>
                </w:tcPr>
                <w:p w14:paraId="4262F01C">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w:t>
                  </w:r>
                </w:p>
              </w:tc>
            </w:tr>
            <w:tr w14:paraId="379776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restart"/>
                  <w:tcBorders>
                    <w:tl2br w:val="nil"/>
                    <w:tr2bl w:val="nil"/>
                  </w:tcBorders>
                  <w:noWrap w:val="0"/>
                  <w:vAlign w:val="center"/>
                </w:tcPr>
                <w:p w14:paraId="6C7D8B6E">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资源利用要求</w:t>
                  </w:r>
                </w:p>
              </w:tc>
              <w:tc>
                <w:tcPr>
                  <w:tcW w:w="2935" w:type="pct"/>
                  <w:tcBorders>
                    <w:tl2br w:val="nil"/>
                    <w:tr2bl w:val="nil"/>
                  </w:tcBorders>
                  <w:noWrap w:val="0"/>
                  <w:vAlign w:val="center"/>
                </w:tcPr>
                <w:p w14:paraId="7FB965AC">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224" w:type="pct"/>
                  <w:tcBorders>
                    <w:tl2br w:val="nil"/>
                    <w:tr2bl w:val="nil"/>
                  </w:tcBorders>
                  <w:noWrap w:val="0"/>
                  <w:vAlign w:val="center"/>
                </w:tcPr>
                <w:p w14:paraId="2A8A8904">
                  <w:pPr>
                    <w:pStyle w:val="42"/>
                    <w:keepNext w:val="0"/>
                    <w:keepLines w:val="0"/>
                    <w:pageBreakBefore w:val="0"/>
                    <w:widowControl w:val="0"/>
                    <w:kinsoku/>
                    <w:wordWrap/>
                    <w:overflowPunct/>
                    <w:topLinePunct w:val="0"/>
                    <w:autoSpaceDE/>
                    <w:autoSpaceDN/>
                    <w:bidi w:val="0"/>
                    <w:adjustRightInd w:val="0"/>
                    <w:snapToGrid w:val="0"/>
                    <w:ind w:left="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不涉及</w:t>
                  </w:r>
                </w:p>
              </w:tc>
              <w:tc>
                <w:tcPr>
                  <w:tcW w:w="411" w:type="pct"/>
                  <w:tcBorders>
                    <w:tl2br w:val="nil"/>
                    <w:tr2bl w:val="nil"/>
                  </w:tcBorders>
                  <w:noWrap w:val="0"/>
                  <w:vAlign w:val="center"/>
                </w:tcPr>
                <w:p w14:paraId="374CF936">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p>
              </w:tc>
            </w:tr>
            <w:tr w14:paraId="7C9C12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23C27376">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40DC7F76">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按照《中华人民共和国黑土地保护法》《吉林省黑土地保护条例》实施黑土地保护，加大黑土区水土流失治理力度，发展保护性耕作，促进黑土地可持续发展。</w:t>
                  </w:r>
                </w:p>
              </w:tc>
              <w:tc>
                <w:tcPr>
                  <w:tcW w:w="1224" w:type="pct"/>
                  <w:tcBorders>
                    <w:tl2br w:val="nil"/>
                    <w:tr2bl w:val="nil"/>
                  </w:tcBorders>
                  <w:noWrap w:val="0"/>
                  <w:vAlign w:val="center"/>
                </w:tcPr>
                <w:p w14:paraId="67488535">
                  <w:pPr>
                    <w:pStyle w:val="42"/>
                    <w:keepNext w:val="0"/>
                    <w:keepLines w:val="0"/>
                    <w:pageBreakBefore w:val="0"/>
                    <w:widowControl w:val="0"/>
                    <w:kinsoku/>
                    <w:wordWrap/>
                    <w:overflowPunct/>
                    <w:topLinePunct w:val="0"/>
                    <w:autoSpaceDE/>
                    <w:autoSpaceDN/>
                    <w:bidi w:val="0"/>
                    <w:adjustRightInd w:val="0"/>
                    <w:snapToGrid w:val="0"/>
                    <w:ind w:left="0"/>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rPr>
                    <w:t>不涉及</w:t>
                  </w:r>
                </w:p>
              </w:tc>
              <w:tc>
                <w:tcPr>
                  <w:tcW w:w="411" w:type="pct"/>
                  <w:tcBorders>
                    <w:tl2br w:val="nil"/>
                    <w:tr2bl w:val="nil"/>
                  </w:tcBorders>
                  <w:noWrap w:val="0"/>
                  <w:vAlign w:val="center"/>
                </w:tcPr>
                <w:p w14:paraId="41C0030C">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p>
              </w:tc>
            </w:tr>
            <w:tr w14:paraId="6C7F53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178B9820">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191272D9">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严格控制煤炭消费。制定煤炭消费总量控制目标，规范实行煤炭消费指标管理和减量（等量）替代管理。</w:t>
                  </w:r>
                </w:p>
              </w:tc>
              <w:tc>
                <w:tcPr>
                  <w:tcW w:w="1224" w:type="pct"/>
                  <w:tcBorders>
                    <w:tl2br w:val="nil"/>
                    <w:tr2bl w:val="nil"/>
                  </w:tcBorders>
                  <w:noWrap w:val="0"/>
                  <w:vAlign w:val="center"/>
                </w:tcPr>
                <w:p w14:paraId="151C2379">
                  <w:pPr>
                    <w:pStyle w:val="42"/>
                    <w:keepNext w:val="0"/>
                    <w:keepLines w:val="0"/>
                    <w:pageBreakBefore w:val="0"/>
                    <w:widowControl w:val="0"/>
                    <w:kinsoku/>
                    <w:wordWrap/>
                    <w:overflowPunct/>
                    <w:topLinePunct w:val="0"/>
                    <w:autoSpaceDE/>
                    <w:autoSpaceDN/>
                    <w:bidi w:val="0"/>
                    <w:adjustRightInd w:val="0"/>
                    <w:snapToGrid w:val="0"/>
                    <w:ind w:left="0"/>
                    <w:textAlignment w:val="auto"/>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rPr>
                    <w:t>不涉及</w:t>
                  </w:r>
                </w:p>
              </w:tc>
              <w:tc>
                <w:tcPr>
                  <w:tcW w:w="411" w:type="pct"/>
                  <w:tcBorders>
                    <w:tl2br w:val="nil"/>
                    <w:tr2bl w:val="nil"/>
                  </w:tcBorders>
                  <w:noWrap w:val="0"/>
                  <w:vAlign w:val="center"/>
                </w:tcPr>
                <w:p w14:paraId="33DF6D85">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p>
              </w:tc>
            </w:tr>
            <w:tr w14:paraId="5C86286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9" w:type="pct"/>
                  <w:vMerge w:val="continue"/>
                  <w:tcBorders>
                    <w:tl2br w:val="nil"/>
                    <w:tr2bl w:val="nil"/>
                  </w:tcBorders>
                  <w:noWrap w:val="0"/>
                  <w:vAlign w:val="center"/>
                </w:tcPr>
                <w:p w14:paraId="3F8A430D">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p>
              </w:tc>
              <w:tc>
                <w:tcPr>
                  <w:tcW w:w="2935" w:type="pct"/>
                  <w:tcBorders>
                    <w:tl2br w:val="nil"/>
                    <w:tr2bl w:val="nil"/>
                  </w:tcBorders>
                  <w:noWrap w:val="0"/>
                  <w:vAlign w:val="center"/>
                </w:tcPr>
                <w:p w14:paraId="0AC7D088">
                  <w:pPr>
                    <w:pStyle w:val="42"/>
                    <w:keepNext w:val="0"/>
                    <w:keepLines w:val="0"/>
                    <w:pageBreakBefore w:val="0"/>
                    <w:kinsoku/>
                    <w:wordWrap/>
                    <w:overflowPunct/>
                    <w:topLinePunct w:val="0"/>
                    <w:autoSpaceDE/>
                    <w:autoSpaceDN/>
                    <w:bidi w:val="0"/>
                    <w:spacing w:line="240" w:lineRule="auto"/>
                    <w:ind w:left="-63" w:leftChars="-30" w:right="-63" w:rightChars="-30"/>
                    <w:jc w:val="both"/>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高污染燃料禁燃区内，禁止销售、燃用高污染燃料；禁止新建、扩建燃用高污染燃料的设施。</w:t>
                  </w:r>
                </w:p>
              </w:tc>
              <w:tc>
                <w:tcPr>
                  <w:tcW w:w="1224" w:type="pct"/>
                  <w:tcBorders>
                    <w:tl2br w:val="nil"/>
                    <w:tr2bl w:val="nil"/>
                  </w:tcBorders>
                  <w:noWrap w:val="0"/>
                  <w:vAlign w:val="center"/>
                </w:tcPr>
                <w:p w14:paraId="1D03CBA9">
                  <w:pPr>
                    <w:pStyle w:val="42"/>
                    <w:keepNext w:val="0"/>
                    <w:keepLines w:val="0"/>
                    <w:pageBreakBefore w:val="0"/>
                    <w:widowControl w:val="0"/>
                    <w:kinsoku/>
                    <w:wordWrap/>
                    <w:overflowPunct/>
                    <w:topLinePunct w:val="0"/>
                    <w:autoSpaceDE/>
                    <w:autoSpaceDN/>
                    <w:bidi w:val="0"/>
                    <w:adjustRightInd w:val="0"/>
                    <w:snapToGrid w:val="0"/>
                    <w:ind w:left="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不涉及</w:t>
                  </w:r>
                </w:p>
              </w:tc>
              <w:tc>
                <w:tcPr>
                  <w:tcW w:w="411" w:type="pct"/>
                  <w:tcBorders>
                    <w:tl2br w:val="nil"/>
                    <w:tr2bl w:val="nil"/>
                  </w:tcBorders>
                  <w:noWrap w:val="0"/>
                  <w:vAlign w:val="center"/>
                </w:tcPr>
                <w:p w14:paraId="5A0040E9">
                  <w:pPr>
                    <w:pStyle w:val="42"/>
                    <w:keepNext w:val="0"/>
                    <w:keepLines w:val="0"/>
                    <w:pageBreakBefore w:val="0"/>
                    <w:widowControl/>
                    <w:kinsoku/>
                    <w:wordWrap/>
                    <w:overflowPunct/>
                    <w:topLinePunct w:val="0"/>
                    <w:autoSpaceDE/>
                    <w:autoSpaceDN/>
                    <w:bidi w:val="0"/>
                    <w:adjustRightInd/>
                    <w:snapToGrid/>
                    <w:spacing w:line="240" w:lineRule="auto"/>
                    <w:ind w:left="-63" w:leftChars="-30" w:right="-63" w:rightChars="-3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w:t>
                  </w:r>
                </w:p>
              </w:tc>
            </w:tr>
          </w:tbl>
          <w:p w14:paraId="666DD247">
            <w:pPr>
              <w:pStyle w:val="67"/>
              <w:numPr>
                <w:ilvl w:val="0"/>
                <w:numId w:val="0"/>
              </w:numPr>
              <w:bidi w:val="0"/>
              <w:ind w:leftChars="0"/>
              <w:jc w:val="center"/>
              <w:rPr>
                <w:rFonts w:hint="eastAsia"/>
                <w:color w:val="auto"/>
                <w:highlight w:val="none"/>
                <w:u w:val="single" w:color="auto"/>
                <w:lang w:val="en-US" w:eastAsia="zh-CN"/>
              </w:rPr>
            </w:pPr>
          </w:p>
          <w:p w14:paraId="34FC2BE6">
            <w:pPr>
              <w:pStyle w:val="67"/>
              <w:numPr>
                <w:ilvl w:val="0"/>
                <w:numId w:val="0"/>
              </w:numPr>
              <w:bidi w:val="0"/>
              <w:ind w:leftChars="0"/>
              <w:jc w:val="center"/>
              <w:rPr>
                <w:rFonts w:hint="default"/>
                <w:color w:val="auto"/>
                <w:highlight w:val="none"/>
                <w:u w:val="none" w:color="auto"/>
              </w:rPr>
            </w:pPr>
            <w:r>
              <w:rPr>
                <w:rFonts w:hint="eastAsia"/>
                <w:color w:val="auto"/>
                <w:highlight w:val="none"/>
                <w:u w:val="none" w:color="auto"/>
                <w:lang w:val="en-US" w:eastAsia="zh-CN"/>
              </w:rPr>
              <w:t xml:space="preserve">表1-2  </w:t>
            </w:r>
            <w:r>
              <w:rPr>
                <w:rFonts w:hint="default"/>
                <w:b/>
                <w:bCs/>
                <w:sz w:val="24"/>
                <w:szCs w:val="24"/>
                <w:highlight w:val="none"/>
                <w:u w:val="none" w:color="auto"/>
                <w:lang w:val="en-US" w:eastAsia="zh-CN"/>
              </w:rPr>
              <w:t>与</w:t>
            </w:r>
            <w:r>
              <w:rPr>
                <w:rFonts w:hint="eastAsia"/>
                <w:b/>
                <w:bCs/>
                <w:sz w:val="24"/>
                <w:szCs w:val="24"/>
                <w:highlight w:val="none"/>
                <w:u w:val="none" w:color="auto"/>
                <w:lang w:val="en-US" w:eastAsia="zh-CN"/>
              </w:rPr>
              <w:t>YLJ流域</w:t>
            </w:r>
            <w:r>
              <w:rPr>
                <w:rFonts w:hint="default"/>
                <w:b/>
                <w:bCs/>
                <w:sz w:val="24"/>
                <w:szCs w:val="24"/>
                <w:highlight w:val="none"/>
                <w:u w:val="none" w:color="auto"/>
                <w:lang w:val="en-US" w:eastAsia="zh-CN"/>
              </w:rPr>
              <w:t>总体准入要求符合性</w:t>
            </w:r>
          </w:p>
          <w:tbl>
            <w:tblPr>
              <w:tblStyle w:val="22"/>
              <w:tblW w:w="4993"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346"/>
              <w:gridCol w:w="2219"/>
              <w:gridCol w:w="562"/>
            </w:tblGrid>
            <w:tr w14:paraId="66B7E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97" w:type="pct"/>
                  <w:tcBorders>
                    <w:tl2br w:val="nil"/>
                    <w:tr2bl w:val="nil"/>
                  </w:tcBorders>
                  <w:noWrap w:val="0"/>
                  <w:vAlign w:val="center"/>
                </w:tcPr>
                <w:p w14:paraId="3522B9FB">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Lines="0" w:beforeAutospacing="0" w:after="0" w:afterLines="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kern w:val="21"/>
                      <w:sz w:val="21"/>
                      <w:szCs w:val="21"/>
                      <w:u w:val="none" w:color="auto"/>
                      <w:lang w:eastAsia="zh-CN"/>
                    </w:rPr>
                    <w:t>管控领域</w:t>
                  </w:r>
                </w:p>
              </w:tc>
              <w:tc>
                <w:tcPr>
                  <w:tcW w:w="2185" w:type="pct"/>
                  <w:tcBorders>
                    <w:tl2br w:val="nil"/>
                    <w:tr2bl w:val="nil"/>
                  </w:tcBorders>
                  <w:noWrap w:val="0"/>
                  <w:vAlign w:val="center"/>
                </w:tcPr>
                <w:p w14:paraId="18A6F4A0">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管控要求</w:t>
                  </w:r>
                </w:p>
              </w:tc>
              <w:tc>
                <w:tcPr>
                  <w:tcW w:w="1449" w:type="pct"/>
                  <w:tcBorders>
                    <w:tl2br w:val="nil"/>
                    <w:tr2bl w:val="nil"/>
                  </w:tcBorders>
                  <w:noWrap w:val="0"/>
                  <w:vAlign w:val="center"/>
                </w:tcPr>
                <w:p w14:paraId="6BD0DBD2">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项目符合性分析</w:t>
                  </w:r>
                </w:p>
              </w:tc>
              <w:tc>
                <w:tcPr>
                  <w:tcW w:w="367" w:type="pct"/>
                  <w:tcBorders>
                    <w:tl2br w:val="nil"/>
                    <w:tr2bl w:val="nil"/>
                  </w:tcBorders>
                  <w:noWrap w:val="0"/>
                  <w:vAlign w:val="center"/>
                </w:tcPr>
                <w:p w14:paraId="3165D05A">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符合性</w:t>
                  </w:r>
                </w:p>
              </w:tc>
            </w:tr>
            <w:tr w14:paraId="0B7941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restart"/>
                  <w:tcBorders>
                    <w:tl2br w:val="nil"/>
                    <w:tr2bl w:val="nil"/>
                  </w:tcBorders>
                  <w:noWrap w:val="0"/>
                  <w:vAlign w:val="center"/>
                </w:tcPr>
                <w:p w14:paraId="46262E9C">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kern w:val="2"/>
                      <w:sz w:val="21"/>
                      <w:szCs w:val="21"/>
                      <w:u w:val="none" w:color="auto"/>
                      <w:lang w:val="zh-CN" w:eastAsia="zh-CN" w:bidi="ar-SA"/>
                    </w:rPr>
                  </w:pPr>
                  <w:r>
                    <w:rPr>
                      <w:rFonts w:hint="default" w:ascii="Times New Roman" w:hAnsi="Times New Roman" w:eastAsia="宋体" w:cs="Times New Roman"/>
                      <w:color w:val="auto"/>
                      <w:sz w:val="21"/>
                      <w:szCs w:val="21"/>
                      <w:u w:val="none" w:color="auto"/>
                      <w:lang w:eastAsia="zh-CN"/>
                    </w:rPr>
                    <w:t>空间布局约束</w:t>
                  </w:r>
                </w:p>
              </w:tc>
              <w:tc>
                <w:tcPr>
                  <w:tcW w:w="2185" w:type="pct"/>
                  <w:tcBorders>
                    <w:tl2br w:val="nil"/>
                    <w:tr2bl w:val="nil"/>
                  </w:tcBorders>
                  <w:noWrap w:val="0"/>
                  <w:vAlign w:val="center"/>
                </w:tcPr>
                <w:p w14:paraId="190423EE">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Lines="0" w:beforeAutospacing="0" w:after="0" w:afterLines="0" w:afterAutospacing="0" w:line="240" w:lineRule="auto"/>
                    <w:ind w:left="-63" w:leftChars="-30" w:right="-63" w:rightChars="-30" w:firstLine="0" w:firstLineChars="0"/>
                    <w:jc w:val="both"/>
                    <w:textAlignment w:val="baseline"/>
                    <w:rPr>
                      <w:rFonts w:hint="default" w:ascii="Times New Roman" w:hAnsi="Times New Roman" w:eastAsia="宋体" w:cs="Times New Roman"/>
                      <w:color w:val="auto"/>
                      <w:kern w:val="2"/>
                      <w:sz w:val="21"/>
                      <w:szCs w:val="21"/>
                      <w:u w:val="none" w:color="auto"/>
                      <w:lang w:val="zh-CN" w:eastAsia="zh-CN" w:bidi="ar-SA"/>
                    </w:rPr>
                  </w:pPr>
                  <w:r>
                    <w:rPr>
                      <w:rFonts w:hint="default" w:ascii="Times New Roman" w:hAnsi="Times New Roman" w:eastAsia="宋体" w:cs="Times New Roman"/>
                      <w:color w:val="auto"/>
                      <w:sz w:val="21"/>
                      <w:szCs w:val="21"/>
                      <w:u w:val="none" w:color="auto"/>
                      <w:lang w:eastAsia="zh-CN"/>
                    </w:rPr>
                    <w:t>严格控制YLJ流域矿产加工制造和有色金属冶炼等项目建设。</w:t>
                  </w:r>
                </w:p>
              </w:tc>
              <w:tc>
                <w:tcPr>
                  <w:tcW w:w="1449" w:type="pct"/>
                  <w:tcBorders>
                    <w:tl2br w:val="nil"/>
                    <w:tr2bl w:val="nil"/>
                  </w:tcBorders>
                  <w:noWrap w:val="0"/>
                  <w:vAlign w:val="center"/>
                </w:tcPr>
                <w:p w14:paraId="69EB56B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本项目为商品混凝土制造项目，不属于</w:t>
                  </w:r>
                  <w:r>
                    <w:rPr>
                      <w:rFonts w:hint="default" w:ascii="Times New Roman" w:hAnsi="Times New Roman" w:eastAsia="宋体" w:cs="Times New Roman"/>
                      <w:color w:val="auto"/>
                      <w:sz w:val="21"/>
                      <w:szCs w:val="21"/>
                      <w:u w:val="none" w:color="auto"/>
                      <w:lang w:eastAsia="zh-CN"/>
                    </w:rPr>
                    <w:t>矿产加工制造和有色金属冶炼等项目</w:t>
                  </w:r>
                  <w:r>
                    <w:rPr>
                      <w:rFonts w:hint="eastAsia" w:cs="Times New Roman"/>
                      <w:color w:val="auto"/>
                      <w:sz w:val="21"/>
                      <w:szCs w:val="21"/>
                      <w:highlight w:val="none"/>
                      <w:u w:val="none" w:color="auto"/>
                      <w:vertAlign w:val="baseline"/>
                      <w:lang w:val="en-US" w:eastAsia="zh-CN"/>
                    </w:rPr>
                    <w:t>。</w:t>
                  </w:r>
                </w:p>
              </w:tc>
              <w:tc>
                <w:tcPr>
                  <w:tcW w:w="367" w:type="pct"/>
                  <w:tcBorders>
                    <w:tl2br w:val="nil"/>
                    <w:tr2bl w:val="nil"/>
                  </w:tcBorders>
                  <w:noWrap w:val="0"/>
                  <w:vAlign w:val="center"/>
                </w:tcPr>
                <w:p w14:paraId="6E568371">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kern w:val="0"/>
                      <w:sz w:val="21"/>
                      <w:szCs w:val="21"/>
                      <w:highlight w:val="none"/>
                      <w:u w:val="none" w:color="auto"/>
                      <w:vertAlign w:val="baseline"/>
                      <w:lang w:val="en-US" w:eastAsia="zh-CN" w:bidi="ar-SA"/>
                    </w:rPr>
                    <w:t>符合</w:t>
                  </w:r>
                </w:p>
              </w:tc>
            </w:tr>
            <w:tr w14:paraId="3C252E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tcBorders>
                    <w:tl2br w:val="nil"/>
                    <w:tr2bl w:val="nil"/>
                  </w:tcBorders>
                  <w:noWrap w:val="0"/>
                  <w:vAlign w:val="center"/>
                </w:tcPr>
                <w:p w14:paraId="655680F3">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u w:val="none" w:color="auto"/>
                      <w:lang w:eastAsia="zh-CN"/>
                    </w:rPr>
                  </w:pPr>
                </w:p>
              </w:tc>
              <w:tc>
                <w:tcPr>
                  <w:tcW w:w="2185" w:type="pct"/>
                  <w:tcBorders>
                    <w:tl2br w:val="nil"/>
                    <w:tr2bl w:val="nil"/>
                  </w:tcBorders>
                  <w:noWrap w:val="0"/>
                  <w:vAlign w:val="center"/>
                </w:tcPr>
                <w:p w14:paraId="35F8091C">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Lines="0" w:beforeAutospacing="0" w:after="0" w:afterLines="0" w:afterAutospacing="0" w:line="240" w:lineRule="auto"/>
                    <w:ind w:left="-63" w:leftChars="-30" w:right="-63" w:rightChars="-30" w:firstLine="0" w:firstLineChars="0"/>
                    <w:jc w:val="both"/>
                    <w:textAlignment w:val="baseline"/>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kern w:val="0"/>
                      <w:sz w:val="21"/>
                      <w:szCs w:val="21"/>
                      <w:highlight w:val="none"/>
                      <w:u w:val="none" w:color="auto"/>
                      <w:lang w:val="en-US" w:eastAsia="zh-CN" w:bidi="ar"/>
                    </w:rPr>
                    <w:t>实施生态修复，合理建设生态隔离带。</w:t>
                  </w:r>
                </w:p>
              </w:tc>
              <w:tc>
                <w:tcPr>
                  <w:tcW w:w="1449" w:type="pct"/>
                  <w:tcBorders>
                    <w:tl2br w:val="nil"/>
                    <w:tr2bl w:val="nil"/>
                  </w:tcBorders>
                  <w:noWrap w:val="0"/>
                  <w:vAlign w:val="center"/>
                </w:tcPr>
                <w:p w14:paraId="79AA604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zh-CN"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tcBorders>
                    <w:tl2br w:val="nil"/>
                    <w:tr2bl w:val="nil"/>
                  </w:tcBorders>
                  <w:noWrap w:val="0"/>
                  <w:vAlign w:val="center"/>
                </w:tcPr>
                <w:p w14:paraId="158700E5">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30E19C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tcBorders>
                    <w:tl2br w:val="nil"/>
                    <w:tr2bl w:val="nil"/>
                  </w:tcBorders>
                  <w:noWrap w:val="0"/>
                  <w:vAlign w:val="center"/>
                </w:tcPr>
                <w:p w14:paraId="5A2B5561">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u w:val="none" w:color="auto"/>
                      <w:lang w:eastAsia="zh-CN"/>
                    </w:rPr>
                  </w:pPr>
                </w:p>
              </w:tc>
              <w:tc>
                <w:tcPr>
                  <w:tcW w:w="2185" w:type="pct"/>
                  <w:tcBorders>
                    <w:tl2br w:val="nil"/>
                    <w:tr2bl w:val="nil"/>
                  </w:tcBorders>
                  <w:noWrap w:val="0"/>
                  <w:vAlign w:val="center"/>
                </w:tcPr>
                <w:p w14:paraId="40814368">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Lines="0" w:beforeAutospacing="0" w:after="0" w:afterLines="0" w:afterAutospacing="0" w:line="240" w:lineRule="auto"/>
                    <w:ind w:left="-63" w:leftChars="-30" w:right="-63" w:rightChars="-30" w:firstLine="0" w:firstLineChars="0"/>
                    <w:jc w:val="both"/>
                    <w:textAlignment w:val="baseline"/>
                    <w:rPr>
                      <w:rFonts w:hint="default" w:ascii="Times New Roman" w:hAnsi="Times New Roman" w:eastAsia="宋体" w:cs="Times New Roman"/>
                      <w:color w:val="auto"/>
                      <w:kern w:val="0"/>
                      <w:sz w:val="21"/>
                      <w:szCs w:val="21"/>
                      <w:highlight w:val="none"/>
                      <w:u w:val="none" w:color="auto"/>
                      <w:lang w:val="en-US" w:eastAsia="zh-CN" w:bidi="ar"/>
                    </w:rPr>
                  </w:pPr>
                  <w:r>
                    <w:rPr>
                      <w:rFonts w:hint="default" w:ascii="Times New Roman" w:hAnsi="Times New Roman" w:eastAsia="宋体" w:cs="Times New Roman"/>
                      <w:color w:val="auto"/>
                      <w:kern w:val="0"/>
                      <w:sz w:val="21"/>
                      <w:szCs w:val="21"/>
                      <w:highlight w:val="none"/>
                      <w:u w:val="none" w:color="auto"/>
                      <w:lang w:val="en-US" w:eastAsia="zh-CN" w:bidi="ar"/>
                    </w:rPr>
                    <w:t>禁止在崩塌、滑坡危险区和泥石流易发区从事取土、挖砂、采石等可能造成水土流失的活动。禁止开垦、开发植物保护带。禁止在二十度以上陡坡地开垦种植农作物，种植人参开垦坡度不得超过二十五度。禁止毁林、毁草开垦。禁止在水土流失重点预防区和重点治理区铲草皮、挖树蔸等。</w:t>
                  </w:r>
                </w:p>
              </w:tc>
              <w:tc>
                <w:tcPr>
                  <w:tcW w:w="1449" w:type="pct"/>
                  <w:tcBorders>
                    <w:tl2br w:val="nil"/>
                    <w:tr2bl w:val="nil"/>
                  </w:tcBorders>
                  <w:shd w:val="clear" w:color="auto" w:fill="auto"/>
                  <w:noWrap w:val="0"/>
                  <w:vAlign w:val="center"/>
                </w:tcPr>
                <w:p w14:paraId="7AF7C20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tcBorders>
                    <w:tl2br w:val="nil"/>
                    <w:tr2bl w:val="nil"/>
                  </w:tcBorders>
                  <w:shd w:val="clear" w:color="auto" w:fill="auto"/>
                  <w:noWrap w:val="0"/>
                  <w:vAlign w:val="center"/>
                </w:tcPr>
                <w:p w14:paraId="613D61D0">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20E1A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restart"/>
                  <w:noWrap w:val="0"/>
                  <w:vAlign w:val="center"/>
                </w:tcPr>
                <w:p w14:paraId="6BB6AD14">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kern w:val="2"/>
                      <w:sz w:val="21"/>
                      <w:szCs w:val="21"/>
                      <w:u w:val="none" w:color="auto"/>
                      <w:lang w:val="en-US" w:eastAsia="zh-CN" w:bidi="ar-SA"/>
                    </w:rPr>
                    <w:t>污染物排放管控</w:t>
                  </w:r>
                </w:p>
              </w:tc>
              <w:tc>
                <w:tcPr>
                  <w:tcW w:w="2185" w:type="pct"/>
                  <w:noWrap w:val="0"/>
                  <w:vAlign w:val="center"/>
                </w:tcPr>
                <w:p w14:paraId="33760F41">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kern w:val="2"/>
                      <w:sz w:val="21"/>
                      <w:szCs w:val="21"/>
                      <w:u w:val="none" w:color="auto"/>
                      <w:lang w:val="zh-CN" w:eastAsia="zh-CN" w:bidi="ar-SA"/>
                    </w:rPr>
                  </w:pPr>
                  <w:r>
                    <w:rPr>
                      <w:rFonts w:hint="default" w:ascii="Times New Roman" w:hAnsi="Times New Roman" w:eastAsia="宋体" w:cs="Times New Roman"/>
                      <w:color w:val="auto"/>
                      <w:sz w:val="21"/>
                      <w:szCs w:val="21"/>
                      <w:u w:val="none" w:color="auto"/>
                      <w:lang w:val="zh-CN"/>
                    </w:rPr>
                    <w:t>推进城镇污水处理设施及配套管网建设与改造，加快实施雨污分流。</w:t>
                  </w:r>
                </w:p>
              </w:tc>
              <w:tc>
                <w:tcPr>
                  <w:tcW w:w="1449" w:type="pct"/>
                  <w:shd w:val="clear" w:color="auto" w:fill="auto"/>
                  <w:noWrap w:val="0"/>
                  <w:vAlign w:val="center"/>
                </w:tcPr>
                <w:p w14:paraId="5C5A600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084DD46D">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7C31F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top"/>
                </w:tcPr>
                <w:p w14:paraId="23BE1035">
                  <w:pPr>
                    <w:keepNext w:val="0"/>
                    <w:keepLines w:val="0"/>
                    <w:pageBreakBefore w:val="0"/>
                    <w:widowControl w:val="0"/>
                    <w:kinsoku/>
                    <w:wordWrap/>
                    <w:overflowPunct/>
                    <w:topLinePunct w:val="0"/>
                    <w:autoSpaceDE/>
                    <w:autoSpaceDN/>
                    <w:bidi w:val="0"/>
                    <w:spacing w:beforeLines="0" w:afterLines="0" w:line="240" w:lineRule="auto"/>
                    <w:jc w:val="left"/>
                    <w:rPr>
                      <w:rFonts w:hint="default" w:ascii="Times New Roman" w:hAnsi="Times New Roman" w:eastAsia="宋体" w:cs="Times New Roman"/>
                      <w:color w:val="auto"/>
                      <w:sz w:val="21"/>
                      <w:szCs w:val="21"/>
                      <w:u w:val="none" w:color="auto"/>
                      <w:lang w:val="zh-CN"/>
                    </w:rPr>
                  </w:pPr>
                </w:p>
              </w:tc>
              <w:tc>
                <w:tcPr>
                  <w:tcW w:w="2185" w:type="pct"/>
                  <w:noWrap w:val="0"/>
                  <w:vAlign w:val="center"/>
                </w:tcPr>
                <w:p w14:paraId="13722F60">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kern w:val="2"/>
                      <w:sz w:val="21"/>
                      <w:szCs w:val="21"/>
                      <w:u w:val="none" w:color="auto"/>
                      <w:lang w:val="zh-CN" w:eastAsia="zh-CN" w:bidi="ar-SA"/>
                    </w:rPr>
                  </w:pPr>
                  <w:r>
                    <w:rPr>
                      <w:rFonts w:hint="default" w:ascii="Times New Roman" w:hAnsi="Times New Roman" w:eastAsia="宋体" w:cs="Times New Roman"/>
                      <w:color w:val="auto"/>
                      <w:sz w:val="21"/>
                      <w:szCs w:val="21"/>
                      <w:u w:val="none" w:color="auto"/>
                      <w:lang w:val="zh-CN" w:eastAsia="zh-CN"/>
                    </w:rPr>
                    <w:t>加快推进乡镇和农村生活污水处理设施建设，推进农村生活污水治理。</w:t>
                  </w:r>
                </w:p>
              </w:tc>
              <w:tc>
                <w:tcPr>
                  <w:tcW w:w="1449" w:type="pct"/>
                  <w:shd w:val="clear" w:color="auto" w:fill="auto"/>
                  <w:noWrap w:val="0"/>
                  <w:vAlign w:val="center"/>
                </w:tcPr>
                <w:p w14:paraId="3039D46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22AA7478">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63D08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top"/>
                </w:tcPr>
                <w:p w14:paraId="58D382D3">
                  <w:pPr>
                    <w:keepNext w:val="0"/>
                    <w:keepLines w:val="0"/>
                    <w:pageBreakBefore w:val="0"/>
                    <w:widowControl w:val="0"/>
                    <w:kinsoku/>
                    <w:wordWrap/>
                    <w:overflowPunct/>
                    <w:topLinePunct w:val="0"/>
                    <w:autoSpaceDE/>
                    <w:autoSpaceDN/>
                    <w:bidi w:val="0"/>
                    <w:spacing w:beforeLines="0" w:afterLines="0" w:line="240" w:lineRule="auto"/>
                    <w:jc w:val="left"/>
                    <w:rPr>
                      <w:rFonts w:hint="default" w:ascii="Times New Roman" w:hAnsi="Times New Roman" w:eastAsia="宋体" w:cs="Times New Roman"/>
                      <w:color w:val="auto"/>
                      <w:sz w:val="21"/>
                      <w:szCs w:val="21"/>
                      <w:u w:val="none" w:color="auto"/>
                      <w:lang w:val="zh-CN"/>
                    </w:rPr>
                  </w:pPr>
                </w:p>
              </w:tc>
              <w:tc>
                <w:tcPr>
                  <w:tcW w:w="2185" w:type="pct"/>
                  <w:noWrap w:val="0"/>
                  <w:vAlign w:val="center"/>
                </w:tcPr>
                <w:p w14:paraId="6604C5E7">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sz w:val="21"/>
                      <w:szCs w:val="21"/>
                      <w:u w:val="none" w:color="auto"/>
                      <w:lang w:val="zh-CN" w:eastAsia="zh-CN"/>
                    </w:rPr>
                  </w:pPr>
                  <w:r>
                    <w:rPr>
                      <w:rFonts w:hint="eastAsia" w:cs="Times New Roman"/>
                      <w:color w:val="auto"/>
                      <w:sz w:val="21"/>
                      <w:szCs w:val="21"/>
                      <w:u w:val="none" w:color="auto"/>
                      <w:lang w:val="zh-CN" w:eastAsia="zh-CN"/>
                    </w:rPr>
                    <w:t>加快入江（河、湖、库）排污口规范化建设，严控入江、河、湖、库污染源。</w:t>
                  </w:r>
                </w:p>
              </w:tc>
              <w:tc>
                <w:tcPr>
                  <w:tcW w:w="1449" w:type="pct"/>
                  <w:shd w:val="clear" w:color="auto" w:fill="auto"/>
                  <w:noWrap w:val="0"/>
                  <w:vAlign w:val="center"/>
                </w:tcPr>
                <w:p w14:paraId="3F98C8C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47377F4D">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u w:val="none" w:color="auto"/>
                      <w:vertAlign w:val="baseline"/>
                      <w:lang w:val="en-US" w:eastAsia="zh-CN" w:bidi="ar-SA"/>
                    </w:rPr>
                  </w:pPr>
                  <w:r>
                    <w:rPr>
                      <w:rFonts w:hint="eastAsia" w:cs="Times New Roman"/>
                      <w:color w:val="auto"/>
                      <w:sz w:val="21"/>
                      <w:szCs w:val="21"/>
                      <w:highlight w:val="none"/>
                      <w:u w:val="none" w:color="auto"/>
                      <w:vertAlign w:val="baseline"/>
                      <w:lang w:val="en-US" w:eastAsia="zh-CN"/>
                    </w:rPr>
                    <w:t>--</w:t>
                  </w:r>
                </w:p>
              </w:tc>
            </w:tr>
            <w:tr w14:paraId="3944CB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top"/>
                </w:tcPr>
                <w:p w14:paraId="28D3140C">
                  <w:pPr>
                    <w:keepNext w:val="0"/>
                    <w:keepLines w:val="0"/>
                    <w:pageBreakBefore w:val="0"/>
                    <w:widowControl w:val="0"/>
                    <w:kinsoku/>
                    <w:wordWrap/>
                    <w:overflowPunct/>
                    <w:topLinePunct w:val="0"/>
                    <w:autoSpaceDE/>
                    <w:autoSpaceDN/>
                    <w:bidi w:val="0"/>
                    <w:spacing w:beforeLines="0" w:afterLines="0" w:line="240" w:lineRule="auto"/>
                    <w:jc w:val="left"/>
                    <w:rPr>
                      <w:rFonts w:hint="default" w:ascii="Times New Roman" w:hAnsi="Times New Roman" w:eastAsia="宋体" w:cs="Times New Roman"/>
                      <w:color w:val="auto"/>
                      <w:sz w:val="21"/>
                      <w:szCs w:val="21"/>
                      <w:u w:val="none" w:color="auto"/>
                      <w:lang w:val="zh-CN"/>
                    </w:rPr>
                  </w:pPr>
                </w:p>
              </w:tc>
              <w:tc>
                <w:tcPr>
                  <w:tcW w:w="2185" w:type="pct"/>
                  <w:noWrap w:val="0"/>
                  <w:vAlign w:val="center"/>
                </w:tcPr>
                <w:p w14:paraId="128AD0F2">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sz w:val="21"/>
                      <w:szCs w:val="21"/>
                      <w:u w:val="none" w:color="auto"/>
                      <w:lang w:val="zh-CN" w:eastAsia="zh-CN"/>
                    </w:rPr>
                  </w:pPr>
                  <w:r>
                    <w:rPr>
                      <w:rFonts w:hint="eastAsia" w:cs="Times New Roman"/>
                      <w:color w:val="auto"/>
                      <w:sz w:val="21"/>
                      <w:szCs w:val="21"/>
                      <w:u w:val="none" w:color="auto"/>
                      <w:lang w:val="zh-CN" w:eastAsia="zh-CN"/>
                    </w:rPr>
                    <w:t>推广“户分类、村收集、乡转运、县处理”的生活垃圾处理模式，推进农村生活垃圾分类和资源化利用，实现生活垃圾源头分类减量。</w:t>
                  </w:r>
                </w:p>
              </w:tc>
              <w:tc>
                <w:tcPr>
                  <w:tcW w:w="1449" w:type="pct"/>
                  <w:shd w:val="clear" w:color="auto" w:fill="auto"/>
                  <w:noWrap w:val="0"/>
                  <w:vAlign w:val="center"/>
                </w:tcPr>
                <w:p w14:paraId="20E46FF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5243C68F">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u w:val="none" w:color="auto"/>
                      <w:vertAlign w:val="baseline"/>
                      <w:lang w:val="en-US" w:eastAsia="zh-CN" w:bidi="ar-SA"/>
                    </w:rPr>
                  </w:pPr>
                  <w:r>
                    <w:rPr>
                      <w:rFonts w:hint="eastAsia" w:cs="Times New Roman"/>
                      <w:color w:val="auto"/>
                      <w:sz w:val="21"/>
                      <w:szCs w:val="21"/>
                      <w:highlight w:val="none"/>
                      <w:u w:val="none" w:color="auto"/>
                      <w:vertAlign w:val="baseline"/>
                      <w:lang w:val="en-US" w:eastAsia="zh-CN"/>
                    </w:rPr>
                    <w:t>--</w:t>
                  </w:r>
                </w:p>
              </w:tc>
            </w:tr>
            <w:tr w14:paraId="7042D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top"/>
                </w:tcPr>
                <w:p w14:paraId="405E62EE">
                  <w:pPr>
                    <w:keepNext w:val="0"/>
                    <w:keepLines w:val="0"/>
                    <w:pageBreakBefore w:val="0"/>
                    <w:widowControl w:val="0"/>
                    <w:kinsoku/>
                    <w:wordWrap/>
                    <w:overflowPunct/>
                    <w:topLinePunct w:val="0"/>
                    <w:autoSpaceDE/>
                    <w:autoSpaceDN/>
                    <w:bidi w:val="0"/>
                    <w:spacing w:beforeLines="0" w:afterLines="0" w:line="240" w:lineRule="auto"/>
                    <w:jc w:val="left"/>
                    <w:rPr>
                      <w:rFonts w:hint="default" w:ascii="Times New Roman" w:hAnsi="Times New Roman" w:eastAsia="宋体" w:cs="Times New Roman"/>
                      <w:color w:val="auto"/>
                      <w:sz w:val="21"/>
                      <w:szCs w:val="21"/>
                      <w:u w:val="none" w:color="auto"/>
                      <w:lang w:val="zh-CN"/>
                    </w:rPr>
                  </w:pPr>
                </w:p>
              </w:tc>
              <w:tc>
                <w:tcPr>
                  <w:tcW w:w="2185" w:type="pct"/>
                  <w:noWrap w:val="0"/>
                  <w:vAlign w:val="center"/>
                </w:tcPr>
                <w:p w14:paraId="0D7AD4A2">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both"/>
                    <w:textAlignment w:val="auto"/>
                    <w:rPr>
                      <w:rFonts w:hint="eastAsia" w:cs="Times New Roman"/>
                      <w:color w:val="auto"/>
                      <w:sz w:val="21"/>
                      <w:szCs w:val="21"/>
                      <w:u w:val="none" w:color="auto"/>
                      <w:lang w:val="zh-CN" w:eastAsia="zh-CN"/>
                    </w:rPr>
                  </w:pPr>
                  <w:r>
                    <w:rPr>
                      <w:rFonts w:hint="eastAsia" w:cs="Times New Roman"/>
                      <w:color w:val="auto"/>
                      <w:sz w:val="21"/>
                      <w:szCs w:val="21"/>
                      <w:u w:val="none" w:color="auto"/>
                      <w:lang w:val="zh-CN" w:eastAsia="zh-CN"/>
                    </w:rPr>
                    <w:t>严格控制农业面源污染，推广测土配方施肥和高效、低毒、低残留农药等减量控害技术和统防统治，控制化肥和农药使用量。</w:t>
                  </w:r>
                </w:p>
              </w:tc>
              <w:tc>
                <w:tcPr>
                  <w:tcW w:w="1449" w:type="pct"/>
                  <w:shd w:val="clear" w:color="auto" w:fill="auto"/>
                  <w:noWrap w:val="0"/>
                  <w:vAlign w:val="center"/>
                </w:tcPr>
                <w:p w14:paraId="454E095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57AFBC5A">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482DBA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top"/>
                </w:tcPr>
                <w:p w14:paraId="4D7CD7BB">
                  <w:pPr>
                    <w:keepNext w:val="0"/>
                    <w:keepLines w:val="0"/>
                    <w:pageBreakBefore w:val="0"/>
                    <w:widowControl w:val="0"/>
                    <w:kinsoku/>
                    <w:wordWrap/>
                    <w:overflowPunct/>
                    <w:topLinePunct w:val="0"/>
                    <w:autoSpaceDE/>
                    <w:autoSpaceDN/>
                    <w:bidi w:val="0"/>
                    <w:spacing w:beforeLines="0" w:afterLines="0" w:line="240" w:lineRule="auto"/>
                    <w:jc w:val="left"/>
                    <w:rPr>
                      <w:rFonts w:hint="default" w:ascii="Times New Roman" w:hAnsi="Times New Roman" w:eastAsia="宋体" w:cs="Times New Roman"/>
                      <w:color w:val="auto"/>
                      <w:sz w:val="21"/>
                      <w:szCs w:val="21"/>
                      <w:u w:val="none" w:color="auto"/>
                      <w:lang w:val="zh-CN"/>
                    </w:rPr>
                  </w:pPr>
                </w:p>
              </w:tc>
              <w:tc>
                <w:tcPr>
                  <w:tcW w:w="2185" w:type="pct"/>
                  <w:noWrap w:val="0"/>
                  <w:vAlign w:val="center"/>
                </w:tcPr>
                <w:p w14:paraId="7DD9B07B">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eastAsia" w:cs="Times New Roman"/>
                      <w:color w:val="auto"/>
                      <w:sz w:val="21"/>
                      <w:szCs w:val="21"/>
                      <w:u w:val="none" w:color="auto"/>
                      <w:lang w:val="zh-CN" w:eastAsia="zh-CN"/>
                    </w:rPr>
                  </w:pPr>
                  <w:r>
                    <w:rPr>
                      <w:rFonts w:hint="eastAsia" w:cs="Times New Roman"/>
                      <w:color w:val="auto"/>
                      <w:sz w:val="21"/>
                      <w:szCs w:val="21"/>
                      <w:u w:val="none" w:color="auto"/>
                      <w:lang w:val="zh-CN" w:eastAsia="zh-CN"/>
                    </w:rPr>
                    <w:t>开展规模化养殖场标准化建设，防治畜禽养殖污染。</w:t>
                  </w:r>
                </w:p>
              </w:tc>
              <w:tc>
                <w:tcPr>
                  <w:tcW w:w="1449" w:type="pct"/>
                  <w:shd w:val="clear" w:color="auto" w:fill="auto"/>
                  <w:noWrap w:val="0"/>
                  <w:vAlign w:val="center"/>
                </w:tcPr>
                <w:p w14:paraId="6577723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3CA8ED26">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54C1FF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7" w:type="pct"/>
                  <w:vMerge w:val="restart"/>
                  <w:noWrap w:val="0"/>
                  <w:vAlign w:val="center"/>
                </w:tcPr>
                <w:p w14:paraId="48612A37">
                  <w:pPr>
                    <w:keepNext w:val="0"/>
                    <w:keepLines w:val="0"/>
                    <w:pageBreakBefore w:val="0"/>
                    <w:widowControl w:val="0"/>
                    <w:kinsoku/>
                    <w:wordWrap/>
                    <w:overflowPunct/>
                    <w:topLinePunct w:val="0"/>
                    <w:autoSpaceDE/>
                    <w:autoSpaceDN/>
                    <w:bidi w:val="0"/>
                    <w:spacing w:beforeLines="0" w:afterLines="0" w:line="240" w:lineRule="auto"/>
                    <w:jc w:val="center"/>
                    <w:rPr>
                      <w:rFonts w:hint="eastAsia" w:cs="Times New Roman"/>
                      <w:color w:val="auto"/>
                      <w:sz w:val="21"/>
                      <w:szCs w:val="21"/>
                      <w:u w:val="none" w:color="auto"/>
                      <w:lang w:val="zh-CN"/>
                    </w:rPr>
                  </w:pPr>
                  <w:r>
                    <w:rPr>
                      <w:rFonts w:hint="eastAsia" w:cs="Times New Roman"/>
                      <w:color w:val="auto"/>
                      <w:sz w:val="21"/>
                      <w:szCs w:val="21"/>
                      <w:u w:val="none" w:color="auto"/>
                      <w:lang w:val="zh-CN"/>
                    </w:rPr>
                    <w:t>环境风险防控</w:t>
                  </w:r>
                </w:p>
              </w:tc>
              <w:tc>
                <w:tcPr>
                  <w:tcW w:w="2185" w:type="pct"/>
                  <w:noWrap w:val="0"/>
                  <w:vAlign w:val="center"/>
                </w:tcPr>
                <w:p w14:paraId="0078084A">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both"/>
                    <w:textAlignment w:val="auto"/>
                    <w:rPr>
                      <w:rFonts w:hint="default" w:ascii="Times New Roman" w:hAnsi="Times New Roman" w:eastAsia="宋体" w:cs="Times New Roman"/>
                      <w:kern w:val="2"/>
                      <w:sz w:val="21"/>
                      <w:szCs w:val="24"/>
                      <w:u w:val="none" w:color="auto"/>
                      <w:lang w:val="zh-CN" w:eastAsia="zh-CN" w:bidi="ar-SA"/>
                    </w:rPr>
                  </w:pPr>
                  <w:r>
                    <w:rPr>
                      <w:rFonts w:hint="eastAsia" w:cs="Times New Roman"/>
                      <w:color w:val="auto"/>
                      <w:sz w:val="21"/>
                      <w:szCs w:val="21"/>
                      <w:u w:val="none" w:color="auto"/>
                      <w:lang w:val="zh-CN" w:eastAsia="zh-CN"/>
                    </w:rPr>
                    <w:t>防范水环境风险。建立防渗层系统防止尾矿坝的渗滤液污染地表水和地下水，设置截洪沟、排水沟防止雨水进入尾矿坝和污染地表水，强化尾矿坝边坡的护坡、拦渣、植被措施防止尾矿坝滑坡等突发环境事件对水体的环境污染。</w:t>
                  </w:r>
                </w:p>
              </w:tc>
              <w:tc>
                <w:tcPr>
                  <w:tcW w:w="1449" w:type="pct"/>
                  <w:shd w:val="clear" w:color="auto" w:fill="auto"/>
                  <w:noWrap w:val="0"/>
                  <w:vAlign w:val="center"/>
                </w:tcPr>
                <w:p w14:paraId="39E233B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4FBAB4DB">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43FCEB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7" w:type="pct"/>
                  <w:vMerge w:val="continue"/>
                  <w:noWrap w:val="0"/>
                  <w:vAlign w:val="center"/>
                </w:tcPr>
                <w:p w14:paraId="4A344EA3">
                  <w:pPr>
                    <w:keepNext w:val="0"/>
                    <w:keepLines w:val="0"/>
                    <w:pageBreakBefore w:val="0"/>
                    <w:widowControl w:val="0"/>
                    <w:kinsoku/>
                    <w:wordWrap/>
                    <w:overflowPunct/>
                    <w:topLinePunct w:val="0"/>
                    <w:autoSpaceDE/>
                    <w:autoSpaceDN/>
                    <w:bidi w:val="0"/>
                    <w:spacing w:beforeLines="0" w:afterLines="0" w:line="240" w:lineRule="auto"/>
                    <w:jc w:val="center"/>
                    <w:rPr>
                      <w:rFonts w:hint="eastAsia" w:cs="Times New Roman"/>
                      <w:color w:val="auto"/>
                      <w:sz w:val="21"/>
                      <w:szCs w:val="21"/>
                      <w:u w:val="none" w:color="auto"/>
                      <w:lang w:val="zh-CN"/>
                    </w:rPr>
                  </w:pPr>
                </w:p>
              </w:tc>
              <w:tc>
                <w:tcPr>
                  <w:tcW w:w="2185" w:type="pct"/>
                  <w:noWrap w:val="0"/>
                  <w:vAlign w:val="center"/>
                </w:tcPr>
                <w:p w14:paraId="48C89A85">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both"/>
                    <w:textAlignment w:val="auto"/>
                    <w:rPr>
                      <w:rFonts w:hint="eastAsia" w:cs="Times New Roman"/>
                      <w:color w:val="auto"/>
                      <w:sz w:val="21"/>
                      <w:szCs w:val="21"/>
                      <w:u w:val="none" w:color="auto"/>
                      <w:lang w:val="zh-CN" w:eastAsia="zh-CN"/>
                    </w:rPr>
                  </w:pPr>
                  <w:r>
                    <w:rPr>
                      <w:rFonts w:hint="eastAsia" w:cs="Times New Roman"/>
                      <w:color w:val="auto"/>
                      <w:sz w:val="21"/>
                      <w:szCs w:val="21"/>
                      <w:u w:val="none" w:color="auto"/>
                      <w:lang w:val="zh-CN" w:eastAsia="zh-CN"/>
                    </w:rPr>
                    <w:t>加强饮用水水源地环境风险管控，完善风险防控与应急能力建设和相关管理措施，保证饮用水水源水质达标和安全。</w:t>
                  </w:r>
                </w:p>
              </w:tc>
              <w:tc>
                <w:tcPr>
                  <w:tcW w:w="1449" w:type="pct"/>
                  <w:shd w:val="clear" w:color="auto" w:fill="auto"/>
                  <w:noWrap w:val="0"/>
                  <w:vAlign w:val="center"/>
                </w:tcPr>
                <w:p w14:paraId="09C4D0B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534E5ECB">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3B6748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restart"/>
                  <w:noWrap w:val="0"/>
                  <w:vAlign w:val="center"/>
                </w:tcPr>
                <w:p w14:paraId="1B4452E0">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资源利用要求</w:t>
                  </w:r>
                </w:p>
              </w:tc>
              <w:tc>
                <w:tcPr>
                  <w:tcW w:w="2185" w:type="pct"/>
                  <w:noWrap w:val="0"/>
                  <w:vAlign w:val="center"/>
                </w:tcPr>
                <w:p w14:paraId="3E1E4D35">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sz w:val="21"/>
                      <w:szCs w:val="21"/>
                      <w:u w:val="none" w:color="auto"/>
                      <w:lang w:val="zh-CN" w:eastAsia="zh-CN"/>
                    </w:rPr>
                  </w:pPr>
                  <w:r>
                    <w:rPr>
                      <w:rFonts w:hint="default" w:ascii="Times New Roman" w:hAnsi="Times New Roman" w:eastAsia="宋体" w:cs="Times New Roman"/>
                      <w:color w:val="auto"/>
                      <w:sz w:val="21"/>
                      <w:szCs w:val="21"/>
                      <w:u w:val="none" w:color="auto"/>
                      <w:lang w:val="zh-CN"/>
                    </w:rPr>
                    <w:t>提升水源涵养能力，恢复河湖生态系统；加大水土保持恢复力度，改善水生态环境，控制水土流失。</w:t>
                  </w:r>
                </w:p>
              </w:tc>
              <w:tc>
                <w:tcPr>
                  <w:tcW w:w="1449" w:type="pct"/>
                  <w:shd w:val="clear" w:color="auto" w:fill="auto"/>
                  <w:noWrap w:val="0"/>
                  <w:vAlign w:val="center"/>
                </w:tcPr>
                <w:p w14:paraId="1B18BEC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3AB0E47B">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507DF2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center"/>
                </w:tcPr>
                <w:p w14:paraId="6233B00D">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kern w:val="2"/>
                      <w:sz w:val="21"/>
                      <w:szCs w:val="21"/>
                      <w:u w:val="none" w:color="auto"/>
                      <w:lang w:val="zh-CN" w:eastAsia="zh-CN" w:bidi="ar-SA"/>
                    </w:rPr>
                  </w:pPr>
                </w:p>
              </w:tc>
              <w:tc>
                <w:tcPr>
                  <w:tcW w:w="2185" w:type="pct"/>
                  <w:noWrap w:val="0"/>
                  <w:vAlign w:val="center"/>
                </w:tcPr>
                <w:p w14:paraId="36E2BC11">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sz w:val="21"/>
                      <w:szCs w:val="21"/>
                      <w:u w:val="none" w:color="auto"/>
                      <w:lang w:val="zh-CN" w:eastAsia="zh-CN"/>
                    </w:rPr>
                  </w:pPr>
                  <w:r>
                    <w:rPr>
                      <w:rFonts w:hint="default" w:ascii="Times New Roman" w:hAnsi="Times New Roman" w:eastAsia="宋体" w:cs="Times New Roman"/>
                      <w:color w:val="auto"/>
                      <w:sz w:val="21"/>
                      <w:szCs w:val="21"/>
                      <w:u w:val="none" w:color="auto"/>
                      <w:lang w:val="zh-CN"/>
                    </w:rPr>
                    <w:t>推进污水处理厂再生水生态利用，完善区域再生水循环利用体系。</w:t>
                  </w:r>
                </w:p>
              </w:tc>
              <w:tc>
                <w:tcPr>
                  <w:tcW w:w="1449" w:type="pct"/>
                  <w:shd w:val="clear" w:color="auto" w:fill="auto"/>
                  <w:noWrap w:val="0"/>
                  <w:vAlign w:val="center"/>
                </w:tcPr>
                <w:p w14:paraId="6D44EAF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631E183E">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3175DC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top"/>
                </w:tcPr>
                <w:p w14:paraId="053CD7BD">
                  <w:pPr>
                    <w:keepNext w:val="0"/>
                    <w:keepLines w:val="0"/>
                    <w:pageBreakBefore w:val="0"/>
                    <w:widowControl w:val="0"/>
                    <w:kinsoku/>
                    <w:wordWrap/>
                    <w:overflowPunct/>
                    <w:topLinePunct w:val="0"/>
                    <w:autoSpaceDE/>
                    <w:autoSpaceDN/>
                    <w:bidi w:val="0"/>
                    <w:adjustRightInd/>
                    <w:snapToGrid/>
                    <w:spacing w:beforeLines="0" w:afterLines="0" w:line="240" w:lineRule="auto"/>
                    <w:ind w:left="-105" w:leftChars="-50" w:right="-105" w:rightChars="-50"/>
                    <w:jc w:val="center"/>
                    <w:textAlignment w:val="auto"/>
                    <w:rPr>
                      <w:rFonts w:hint="default" w:ascii="Times New Roman" w:hAnsi="Times New Roman" w:eastAsia="宋体" w:cs="Times New Roman"/>
                      <w:color w:val="auto"/>
                      <w:sz w:val="21"/>
                      <w:szCs w:val="21"/>
                      <w:u w:val="none" w:color="auto"/>
                      <w:lang w:val="zh-CN"/>
                    </w:rPr>
                  </w:pPr>
                </w:p>
              </w:tc>
              <w:tc>
                <w:tcPr>
                  <w:tcW w:w="2185" w:type="pct"/>
                  <w:noWrap w:val="0"/>
                  <w:vAlign w:val="center"/>
                </w:tcPr>
                <w:p w14:paraId="646053F1">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kern w:val="2"/>
                      <w:sz w:val="21"/>
                      <w:szCs w:val="21"/>
                      <w:u w:val="none" w:color="auto"/>
                      <w:lang w:val="zh-CN" w:eastAsia="zh-CN" w:bidi="ar-SA"/>
                    </w:rPr>
                  </w:pPr>
                  <w:r>
                    <w:rPr>
                      <w:rFonts w:hint="default" w:ascii="Times New Roman" w:hAnsi="Times New Roman" w:eastAsia="宋体" w:cs="Times New Roman"/>
                      <w:color w:val="auto"/>
                      <w:sz w:val="21"/>
                      <w:szCs w:val="21"/>
                      <w:u w:val="none" w:color="auto"/>
                      <w:lang w:val="zh-CN"/>
                    </w:rPr>
                    <w:t>提升土著鱼类的种群丰富度，改善和优化水域的群落结构，提升水生态能力。</w:t>
                  </w:r>
                </w:p>
              </w:tc>
              <w:tc>
                <w:tcPr>
                  <w:tcW w:w="1449" w:type="pct"/>
                  <w:shd w:val="clear" w:color="auto" w:fill="auto"/>
                  <w:noWrap w:val="0"/>
                  <w:vAlign w:val="center"/>
                </w:tcPr>
                <w:p w14:paraId="5A8A814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16101966">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08F822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top"/>
                </w:tcPr>
                <w:p w14:paraId="2603BED3">
                  <w:pPr>
                    <w:keepNext w:val="0"/>
                    <w:keepLines w:val="0"/>
                    <w:pageBreakBefore w:val="0"/>
                    <w:widowControl w:val="0"/>
                    <w:kinsoku/>
                    <w:wordWrap/>
                    <w:overflowPunct/>
                    <w:topLinePunct w:val="0"/>
                    <w:autoSpaceDE/>
                    <w:autoSpaceDN/>
                    <w:bidi w:val="0"/>
                    <w:adjustRightInd/>
                    <w:snapToGrid/>
                    <w:spacing w:beforeLines="0" w:afterLines="0" w:line="240" w:lineRule="auto"/>
                    <w:ind w:left="-105" w:leftChars="-50" w:right="-105" w:rightChars="-50"/>
                    <w:jc w:val="center"/>
                    <w:textAlignment w:val="auto"/>
                    <w:rPr>
                      <w:rFonts w:hint="default" w:ascii="Times New Roman" w:hAnsi="Times New Roman" w:eastAsia="宋体" w:cs="Times New Roman"/>
                      <w:color w:val="auto"/>
                      <w:sz w:val="21"/>
                      <w:szCs w:val="21"/>
                      <w:u w:val="none" w:color="auto"/>
                      <w:lang w:val="zh-CN"/>
                    </w:rPr>
                  </w:pPr>
                </w:p>
              </w:tc>
              <w:tc>
                <w:tcPr>
                  <w:tcW w:w="2185" w:type="pct"/>
                  <w:noWrap w:val="0"/>
                  <w:vAlign w:val="center"/>
                </w:tcPr>
                <w:p w14:paraId="62EDF2A4">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sz w:val="21"/>
                      <w:szCs w:val="21"/>
                      <w:u w:val="none" w:color="auto"/>
                      <w:lang w:val="zh-CN"/>
                    </w:rPr>
                  </w:pPr>
                  <w:r>
                    <w:rPr>
                      <w:rFonts w:hint="default" w:ascii="Times New Roman" w:hAnsi="Times New Roman" w:eastAsia="宋体" w:cs="Times New Roman"/>
                      <w:color w:val="auto"/>
                      <w:sz w:val="21"/>
                      <w:szCs w:val="21"/>
                      <w:u w:val="none" w:color="auto"/>
                      <w:lang w:val="zh-CN"/>
                    </w:rPr>
                    <w:t>水产种质资源保护区执行《水产种质资源保护区管理办法》相关要求。</w:t>
                  </w:r>
                </w:p>
              </w:tc>
              <w:tc>
                <w:tcPr>
                  <w:tcW w:w="1449" w:type="pct"/>
                  <w:shd w:val="clear" w:color="auto" w:fill="auto"/>
                  <w:noWrap w:val="0"/>
                  <w:vAlign w:val="center"/>
                </w:tcPr>
                <w:p w14:paraId="3F3C3BA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367" w:type="pct"/>
                  <w:shd w:val="clear" w:color="auto" w:fill="auto"/>
                  <w:noWrap w:val="0"/>
                  <w:vAlign w:val="center"/>
                </w:tcPr>
                <w:p w14:paraId="6107DA85">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kern w:val="0"/>
                      <w:sz w:val="21"/>
                      <w:szCs w:val="21"/>
                      <w:highlight w:val="none"/>
                      <w:u w:val="none" w:color="auto"/>
                      <w:vertAlign w:val="baseline"/>
                      <w:lang w:val="en-US" w:eastAsia="zh-CN" w:bidi="ar-SA"/>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3AFE1E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97" w:type="pct"/>
                  <w:vMerge w:val="continue"/>
                  <w:noWrap w:val="0"/>
                  <w:vAlign w:val="top"/>
                </w:tcPr>
                <w:p w14:paraId="2CC432BD">
                  <w:pPr>
                    <w:keepNext w:val="0"/>
                    <w:keepLines w:val="0"/>
                    <w:pageBreakBefore w:val="0"/>
                    <w:widowControl w:val="0"/>
                    <w:kinsoku/>
                    <w:wordWrap/>
                    <w:overflowPunct/>
                    <w:topLinePunct w:val="0"/>
                    <w:autoSpaceDE/>
                    <w:autoSpaceDN/>
                    <w:bidi w:val="0"/>
                    <w:adjustRightInd/>
                    <w:snapToGrid/>
                    <w:spacing w:beforeLines="0" w:afterLines="0" w:line="240" w:lineRule="auto"/>
                    <w:ind w:left="-105" w:leftChars="-50" w:right="-105" w:rightChars="-50"/>
                    <w:jc w:val="center"/>
                    <w:textAlignment w:val="auto"/>
                    <w:rPr>
                      <w:rFonts w:hint="default" w:ascii="Times New Roman" w:hAnsi="Times New Roman" w:eastAsia="宋体" w:cs="Times New Roman"/>
                      <w:color w:val="auto"/>
                      <w:sz w:val="21"/>
                      <w:szCs w:val="21"/>
                      <w:u w:val="none" w:color="auto"/>
                      <w:lang w:val="zh-CN"/>
                    </w:rPr>
                  </w:pPr>
                </w:p>
              </w:tc>
              <w:tc>
                <w:tcPr>
                  <w:tcW w:w="2185" w:type="pct"/>
                  <w:noWrap w:val="0"/>
                  <w:vAlign w:val="center"/>
                </w:tcPr>
                <w:p w14:paraId="5340D2C2">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sz w:val="21"/>
                      <w:szCs w:val="21"/>
                      <w:u w:val="none" w:color="auto"/>
                      <w:lang w:val="zh-CN"/>
                    </w:rPr>
                  </w:pPr>
                  <w:r>
                    <w:rPr>
                      <w:rFonts w:hint="default" w:ascii="Times New Roman" w:hAnsi="Times New Roman" w:eastAsia="宋体" w:cs="Times New Roman"/>
                      <w:color w:val="auto"/>
                      <w:sz w:val="21"/>
                      <w:szCs w:val="21"/>
                      <w:u w:val="none" w:color="auto"/>
                      <w:lang w:val="zh-CN"/>
                    </w:rPr>
                    <w:t>落实最严格水资源管理制度，严控河湖水资源开发强度。</w:t>
                  </w:r>
                </w:p>
              </w:tc>
              <w:tc>
                <w:tcPr>
                  <w:tcW w:w="1449" w:type="pct"/>
                  <w:shd w:val="clear" w:color="auto" w:fill="auto"/>
                  <w:noWrap w:val="0"/>
                  <w:vAlign w:val="center"/>
                </w:tcPr>
                <w:p w14:paraId="4E4804EC">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项目生活用水采用桶装水，生产</w:t>
                  </w:r>
                  <w:r>
                    <w:rPr>
                      <w:rFonts w:hint="eastAsia" w:ascii="Times New Roman" w:hAnsi="Times New Roman" w:eastAsia="宋体" w:cs="Times New Roman"/>
                      <w:color w:val="auto"/>
                      <w:sz w:val="21"/>
                      <w:szCs w:val="21"/>
                      <w:u w:val="none" w:color="auto"/>
                      <w:lang w:val="en-US" w:eastAsia="zh-CN"/>
                    </w:rPr>
                    <w:t>用水采用地表水，取水证目前正在办理中，</w:t>
                  </w:r>
                  <w:r>
                    <w:rPr>
                      <w:rFonts w:hint="default" w:ascii="Times New Roman" w:hAnsi="Times New Roman" w:eastAsia="宋体" w:cs="Times New Roman"/>
                      <w:color w:val="auto"/>
                      <w:sz w:val="21"/>
                      <w:szCs w:val="21"/>
                      <w:u w:val="none" w:color="auto"/>
                      <w:lang w:val="en-US" w:eastAsia="zh-CN"/>
                    </w:rPr>
                    <w:t>消耗新鲜水量</w:t>
                  </w:r>
                  <w:r>
                    <w:rPr>
                      <w:rFonts w:hint="eastAsia" w:ascii="Times New Roman" w:hAnsi="Times New Roman" w:eastAsia="宋体" w:cs="Times New Roman"/>
                      <w:color w:val="auto"/>
                      <w:sz w:val="21"/>
                      <w:szCs w:val="21"/>
                      <w:u w:val="none" w:color="auto"/>
                      <w:lang w:val="en-US" w:eastAsia="zh-CN"/>
                    </w:rPr>
                    <w:t>较</w:t>
                  </w:r>
                  <w:r>
                    <w:rPr>
                      <w:rFonts w:hint="default" w:ascii="Times New Roman" w:hAnsi="Times New Roman" w:eastAsia="宋体" w:cs="Times New Roman"/>
                      <w:color w:val="auto"/>
                      <w:sz w:val="21"/>
                      <w:szCs w:val="21"/>
                      <w:u w:val="none" w:color="auto"/>
                      <w:lang w:val="en-US" w:eastAsia="zh-CN"/>
                    </w:rPr>
                    <w:t>少，不会对区域</w:t>
                  </w:r>
                  <w:r>
                    <w:rPr>
                      <w:rFonts w:hint="eastAsia" w:ascii="Times New Roman" w:hAnsi="Times New Roman" w:eastAsia="宋体" w:cs="Times New Roman"/>
                      <w:color w:val="auto"/>
                      <w:sz w:val="21"/>
                      <w:szCs w:val="21"/>
                      <w:u w:val="none" w:color="auto"/>
                      <w:lang w:val="en-US" w:eastAsia="zh-CN"/>
                    </w:rPr>
                    <w:t>水资源</w:t>
                  </w:r>
                  <w:r>
                    <w:rPr>
                      <w:rFonts w:hint="default" w:ascii="Times New Roman" w:hAnsi="Times New Roman" w:eastAsia="宋体" w:cs="Times New Roman"/>
                      <w:color w:val="auto"/>
                      <w:sz w:val="21"/>
                      <w:szCs w:val="21"/>
                      <w:u w:val="none" w:color="auto"/>
                      <w:lang w:val="en-US" w:eastAsia="zh-CN"/>
                    </w:rPr>
                    <w:t>产生明显影响</w:t>
                  </w:r>
                  <w:r>
                    <w:rPr>
                      <w:rFonts w:hint="eastAsia" w:ascii="Times New Roman" w:hAnsi="Times New Roman" w:eastAsia="宋体" w:cs="Times New Roman"/>
                      <w:color w:val="auto"/>
                      <w:sz w:val="21"/>
                      <w:szCs w:val="21"/>
                      <w:u w:val="none" w:color="auto"/>
                      <w:lang w:val="en-US" w:eastAsia="zh-CN"/>
                    </w:rPr>
                    <w:t>，符合</w:t>
                  </w:r>
                  <w:r>
                    <w:rPr>
                      <w:rFonts w:hint="default" w:ascii="Times New Roman" w:hAnsi="Times New Roman" w:eastAsia="宋体" w:cs="Times New Roman"/>
                      <w:color w:val="auto"/>
                      <w:sz w:val="21"/>
                      <w:szCs w:val="21"/>
                      <w:u w:val="none" w:color="auto"/>
                      <w:lang w:val="zh-CN"/>
                    </w:rPr>
                    <w:t>开发强度</w:t>
                  </w:r>
                  <w:r>
                    <w:rPr>
                      <w:rFonts w:hint="eastAsia" w:ascii="Times New Roman" w:hAnsi="Times New Roman" w:eastAsia="宋体" w:cs="Times New Roman"/>
                      <w:color w:val="auto"/>
                      <w:sz w:val="21"/>
                      <w:szCs w:val="21"/>
                      <w:u w:val="none" w:color="auto"/>
                      <w:lang w:val="zh-CN"/>
                    </w:rPr>
                    <w:t>要求</w:t>
                  </w:r>
                  <w:r>
                    <w:rPr>
                      <w:rFonts w:hint="default" w:ascii="Times New Roman" w:hAnsi="Times New Roman" w:eastAsia="宋体" w:cs="Times New Roman"/>
                      <w:color w:val="auto"/>
                      <w:kern w:val="2"/>
                      <w:sz w:val="21"/>
                      <w:szCs w:val="21"/>
                      <w:u w:val="none" w:color="auto"/>
                      <w:lang w:val="en-US" w:eastAsia="zh-CN" w:bidi="ar-SA"/>
                    </w:rPr>
                    <w:t>。</w:t>
                  </w:r>
                </w:p>
              </w:tc>
              <w:tc>
                <w:tcPr>
                  <w:tcW w:w="367" w:type="pct"/>
                  <w:shd w:val="clear" w:color="auto" w:fill="auto"/>
                  <w:noWrap w:val="0"/>
                  <w:vAlign w:val="center"/>
                </w:tcPr>
                <w:p w14:paraId="5E668800">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符合</w:t>
                  </w:r>
                </w:p>
              </w:tc>
            </w:tr>
          </w:tbl>
          <w:p w14:paraId="524695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color="auto"/>
                <w:lang w:val="en-US" w:eastAsia="zh-CN"/>
              </w:rPr>
            </w:pPr>
          </w:p>
          <w:p w14:paraId="46D8A5C0">
            <w:pPr>
              <w:pStyle w:val="67"/>
              <w:numPr>
                <w:ilvl w:val="0"/>
                <w:numId w:val="0"/>
              </w:numPr>
              <w:bidi w:val="0"/>
              <w:ind w:leftChars="0"/>
              <w:jc w:val="center"/>
              <w:rPr>
                <w:rFonts w:hint="default"/>
                <w:color w:val="auto"/>
                <w:highlight w:val="none"/>
                <w:u w:val="none" w:color="auto"/>
              </w:rPr>
            </w:pPr>
            <w:r>
              <w:rPr>
                <w:rFonts w:hint="eastAsia"/>
                <w:color w:val="auto"/>
                <w:highlight w:val="none"/>
                <w:u w:val="none" w:color="auto"/>
                <w:lang w:eastAsia="zh-CN"/>
              </w:rPr>
              <w:t>表</w:t>
            </w:r>
            <w:r>
              <w:rPr>
                <w:rFonts w:hint="eastAsia"/>
                <w:color w:val="auto"/>
                <w:highlight w:val="none"/>
                <w:u w:val="none" w:color="auto"/>
                <w:lang w:val="en-US" w:eastAsia="zh-CN"/>
              </w:rPr>
              <w:t xml:space="preserve">1-3  </w:t>
            </w:r>
            <w:r>
              <w:rPr>
                <w:rFonts w:hint="default"/>
                <w:b/>
                <w:bCs/>
                <w:sz w:val="24"/>
                <w:szCs w:val="24"/>
                <w:highlight w:val="none"/>
                <w:u w:val="none" w:color="auto"/>
                <w:lang w:val="en-US" w:eastAsia="zh-CN"/>
              </w:rPr>
              <w:t>与</w:t>
            </w:r>
            <w:r>
              <w:rPr>
                <w:rFonts w:hint="eastAsia"/>
                <w:b/>
                <w:bCs/>
                <w:sz w:val="24"/>
                <w:szCs w:val="24"/>
                <w:highlight w:val="none"/>
                <w:u w:val="none" w:color="auto"/>
                <w:lang w:val="en-US" w:eastAsia="zh-CN"/>
              </w:rPr>
              <w:t>白山市</w:t>
            </w:r>
            <w:r>
              <w:rPr>
                <w:rFonts w:hint="default"/>
                <w:b/>
                <w:bCs/>
                <w:sz w:val="24"/>
                <w:szCs w:val="24"/>
                <w:highlight w:val="none"/>
                <w:u w:val="none" w:color="auto"/>
                <w:lang w:val="en-US" w:eastAsia="zh-CN"/>
              </w:rPr>
              <w:t>生态环境准入清单符合性</w:t>
            </w:r>
            <w:r>
              <w:rPr>
                <w:rFonts w:hint="eastAsia"/>
                <w:b/>
                <w:bCs/>
                <w:sz w:val="24"/>
                <w:szCs w:val="24"/>
                <w:highlight w:val="none"/>
                <w:u w:val="none" w:color="auto"/>
                <w:lang w:val="en-US" w:eastAsia="zh-CN"/>
              </w:rPr>
              <w:t>分析</w:t>
            </w:r>
          </w:p>
          <w:tbl>
            <w:tblPr>
              <w:tblStyle w:val="22"/>
              <w:tblW w:w="4996"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008"/>
              <w:gridCol w:w="910"/>
              <w:gridCol w:w="3370"/>
              <w:gridCol w:w="1678"/>
              <w:gridCol w:w="693"/>
            </w:tblGrid>
            <w:tr w14:paraId="44B792AC">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94" w:hRule="atLeast"/>
              </w:trPr>
              <w:tc>
                <w:tcPr>
                  <w:tcW w:w="658" w:type="pct"/>
                  <w:tcBorders>
                    <w:tl2br w:val="nil"/>
                    <w:tr2bl w:val="nil"/>
                  </w:tcBorders>
                  <w:noWrap w:val="0"/>
                  <w:vAlign w:val="center"/>
                </w:tcPr>
                <w:p w14:paraId="1615C9A0">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管控类别</w:t>
                  </w:r>
                </w:p>
              </w:tc>
              <w:tc>
                <w:tcPr>
                  <w:tcW w:w="2793" w:type="pct"/>
                  <w:gridSpan w:val="2"/>
                  <w:tcBorders>
                    <w:tl2br w:val="nil"/>
                    <w:tr2bl w:val="nil"/>
                  </w:tcBorders>
                  <w:noWrap w:val="0"/>
                  <w:vAlign w:val="center"/>
                </w:tcPr>
                <w:p w14:paraId="730359E0">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管控要求</w:t>
                  </w:r>
                </w:p>
              </w:tc>
              <w:tc>
                <w:tcPr>
                  <w:tcW w:w="1095" w:type="pct"/>
                  <w:tcBorders>
                    <w:tl2br w:val="nil"/>
                    <w:tr2bl w:val="nil"/>
                  </w:tcBorders>
                  <w:noWrap w:val="0"/>
                  <w:vAlign w:val="center"/>
                </w:tcPr>
                <w:p w14:paraId="506E2067">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本项目</w:t>
                  </w:r>
                </w:p>
              </w:tc>
              <w:tc>
                <w:tcPr>
                  <w:tcW w:w="452" w:type="pct"/>
                  <w:tcBorders>
                    <w:tl2br w:val="nil"/>
                    <w:tr2bl w:val="nil"/>
                  </w:tcBorders>
                  <w:noWrap w:val="0"/>
                  <w:vAlign w:val="center"/>
                </w:tcPr>
                <w:p w14:paraId="3434A823">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是否符合</w:t>
                  </w:r>
                </w:p>
              </w:tc>
            </w:tr>
            <w:tr w14:paraId="2355AEB5">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trPr>
              <w:tc>
                <w:tcPr>
                  <w:tcW w:w="658" w:type="pct"/>
                  <w:vMerge w:val="restart"/>
                  <w:tcBorders>
                    <w:tl2br w:val="nil"/>
                    <w:tr2bl w:val="nil"/>
                  </w:tcBorders>
                  <w:noWrap w:val="0"/>
                  <w:vAlign w:val="center"/>
                </w:tcPr>
                <w:p w14:paraId="1BDF2AB8">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空间布局约束</w:t>
                  </w:r>
                </w:p>
              </w:tc>
              <w:tc>
                <w:tcPr>
                  <w:tcW w:w="2793" w:type="pct"/>
                  <w:gridSpan w:val="2"/>
                  <w:tcBorders>
                    <w:tl2br w:val="nil"/>
                    <w:tr2bl w:val="nil"/>
                  </w:tcBorders>
                  <w:noWrap w:val="0"/>
                  <w:vAlign w:val="center"/>
                </w:tcPr>
                <w:p w14:paraId="54C145DF">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禁止新建、扩建《产业结构调整指导目录》（现行）明确的淘汰类项目和引入《市场准入负面清单》（现行）禁止准入类事项，引入项目应符合园区规划、规划环境影响评价和区域产业准入负面清单要求。</w:t>
                  </w:r>
                </w:p>
              </w:tc>
              <w:tc>
                <w:tcPr>
                  <w:tcW w:w="1095" w:type="pct"/>
                  <w:tcBorders>
                    <w:tl2br w:val="nil"/>
                    <w:tr2bl w:val="nil"/>
                  </w:tcBorders>
                  <w:noWrap w:val="0"/>
                  <w:vAlign w:val="center"/>
                </w:tcPr>
                <w:p w14:paraId="14D8B78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both"/>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lang w:eastAsia="zh-CN"/>
                    </w:rPr>
                    <w:t>本项目不属于</w:t>
                  </w:r>
                  <w:r>
                    <w:rPr>
                      <w:rFonts w:hint="eastAsia" w:ascii="Times New Roman" w:eastAsia="宋体" w:cs="Times New Roman"/>
                      <w:b w:val="0"/>
                      <w:bCs w:val="0"/>
                      <w:color w:val="auto"/>
                      <w:sz w:val="21"/>
                      <w:szCs w:val="21"/>
                      <w:highlight w:val="none"/>
                      <w:u w:val="none" w:color="auto"/>
                      <w:lang w:val="en-US" w:eastAsia="zh-CN"/>
                    </w:rPr>
                    <w:t>现行《产业结构调整指导目录》中</w:t>
                  </w:r>
                  <w:r>
                    <w:rPr>
                      <w:rFonts w:hint="default" w:ascii="Times New Roman" w:hAnsi="Times New Roman" w:eastAsia="宋体" w:cs="Times New Roman"/>
                      <w:b w:val="0"/>
                      <w:bCs w:val="0"/>
                      <w:color w:val="auto"/>
                      <w:sz w:val="21"/>
                      <w:szCs w:val="21"/>
                      <w:highlight w:val="none"/>
                      <w:u w:val="none" w:color="auto"/>
                      <w:lang w:eastAsia="zh-CN"/>
                    </w:rPr>
                    <w:t>“鼓励类”、“限制类”和“淘汰类”范围内，</w:t>
                  </w:r>
                  <w:r>
                    <w:rPr>
                      <w:rFonts w:hint="default" w:ascii="Times New Roman" w:hAnsi="Times New Roman" w:eastAsia="宋体" w:cs="Times New Roman"/>
                      <w:b w:val="0"/>
                      <w:bCs w:val="0"/>
                      <w:color w:val="auto"/>
                      <w:sz w:val="21"/>
                      <w:szCs w:val="21"/>
                      <w:highlight w:val="none"/>
                      <w:u w:val="none" w:color="auto"/>
                      <w:lang w:val="en-US" w:eastAsia="zh-CN"/>
                    </w:rPr>
                    <w:t>视为</w:t>
                  </w:r>
                  <w:r>
                    <w:rPr>
                      <w:rFonts w:hint="default" w:ascii="Times New Roman" w:hAnsi="Times New Roman" w:eastAsia="宋体" w:cs="Times New Roman"/>
                      <w:b w:val="0"/>
                      <w:bCs w:val="0"/>
                      <w:color w:val="auto"/>
                      <w:sz w:val="21"/>
                      <w:szCs w:val="21"/>
                      <w:highlight w:val="none"/>
                      <w:u w:val="none" w:color="auto"/>
                      <w:lang w:eastAsia="zh-CN"/>
                    </w:rPr>
                    <w:t>允许类，不属于</w:t>
                  </w:r>
                  <w:r>
                    <w:rPr>
                      <w:rFonts w:hint="eastAsia" w:ascii="Times New Roman" w:eastAsia="宋体" w:cs="Times New Roman"/>
                      <w:b w:val="0"/>
                      <w:bCs w:val="0"/>
                      <w:color w:val="auto"/>
                      <w:sz w:val="21"/>
                      <w:szCs w:val="21"/>
                      <w:highlight w:val="none"/>
                      <w:u w:val="none" w:color="auto"/>
                      <w:lang w:val="en-US" w:eastAsia="zh-CN"/>
                    </w:rPr>
                    <w:t>现行</w:t>
                  </w:r>
                  <w:r>
                    <w:rPr>
                      <w:rFonts w:hint="default" w:ascii="Times New Roman" w:hAnsi="Times New Roman" w:eastAsia="宋体" w:cs="Times New Roman"/>
                      <w:b w:val="0"/>
                      <w:bCs w:val="0"/>
                      <w:color w:val="auto"/>
                      <w:sz w:val="21"/>
                      <w:szCs w:val="21"/>
                      <w:highlight w:val="none"/>
                      <w:u w:val="none" w:color="auto"/>
                      <w:lang w:eastAsia="zh-CN"/>
                    </w:rPr>
                    <w:t>《市场准入负面清单》中禁止准入类事项</w:t>
                  </w:r>
                  <w:r>
                    <w:rPr>
                      <w:rFonts w:hint="eastAsia" w:cs="Times New Roman"/>
                      <w:color w:val="auto"/>
                      <w:sz w:val="21"/>
                      <w:szCs w:val="21"/>
                      <w:highlight w:val="none"/>
                      <w:u w:val="none" w:color="auto"/>
                      <w:vertAlign w:val="baseline"/>
                      <w:lang w:val="en-US" w:eastAsia="zh-CN"/>
                    </w:rPr>
                    <w:t>。</w:t>
                  </w:r>
                </w:p>
              </w:tc>
              <w:tc>
                <w:tcPr>
                  <w:tcW w:w="452" w:type="pct"/>
                  <w:tcBorders>
                    <w:tl2br w:val="nil"/>
                    <w:tr2bl w:val="nil"/>
                  </w:tcBorders>
                  <w:noWrap w:val="0"/>
                  <w:vAlign w:val="center"/>
                </w:tcPr>
                <w:p w14:paraId="5A3E1F71">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符合</w:t>
                  </w:r>
                </w:p>
              </w:tc>
            </w:tr>
            <w:tr w14:paraId="37E5BDC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605" w:hRule="atLeast"/>
              </w:trPr>
              <w:tc>
                <w:tcPr>
                  <w:tcW w:w="658" w:type="pct"/>
                  <w:vMerge w:val="continue"/>
                  <w:tcBorders>
                    <w:tl2br w:val="nil"/>
                    <w:tr2bl w:val="nil"/>
                  </w:tcBorders>
                  <w:noWrap w:val="0"/>
                  <w:vAlign w:val="center"/>
                </w:tcPr>
                <w:p w14:paraId="56995D87">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793" w:type="pct"/>
                  <w:gridSpan w:val="2"/>
                  <w:tcBorders>
                    <w:tl2br w:val="nil"/>
                    <w:tr2bl w:val="nil"/>
                  </w:tcBorders>
                  <w:noWrap w:val="0"/>
                  <w:vAlign w:val="center"/>
                </w:tcPr>
                <w:p w14:paraId="62994628">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default" w:ascii="Times New Roman" w:hAnsi="Times New Roman" w:eastAsia="宋体" w:cs="Times New Roman"/>
                      <w:color w:val="auto"/>
                      <w:kern w:val="0"/>
                      <w:sz w:val="21"/>
                      <w:szCs w:val="21"/>
                      <w:highlight w:val="none"/>
                      <w:u w:val="none" w:color="auto"/>
                      <w:lang w:val="en-US" w:eastAsia="zh-CN" w:bidi="ar"/>
                    </w:rPr>
                  </w:pPr>
                  <w:r>
                    <w:rPr>
                      <w:rFonts w:hint="default" w:ascii="Times New Roman" w:hAnsi="Times New Roman" w:eastAsia="宋体" w:cs="Times New Roman"/>
                      <w:color w:val="auto"/>
                      <w:kern w:val="0"/>
                      <w:sz w:val="21"/>
                      <w:szCs w:val="21"/>
                      <w:highlight w:val="none"/>
                      <w:u w:val="none" w:color="auto"/>
                      <w:lang w:val="en-US" w:eastAsia="zh-CN" w:bidi="ar"/>
                    </w:rPr>
                    <w:t>新建化工类“两高”项目必须进入已认定的化工园区，有色金属冶炼、平板玻璃项目应布局在依法合规设立并经规划环评的产业园区，在已认定的化工园区外，禁止新(扩)建危险化学品和化工项目；同时严禁“两高”项目盲目上马。</w:t>
                  </w:r>
                </w:p>
              </w:tc>
              <w:tc>
                <w:tcPr>
                  <w:tcW w:w="1095" w:type="pct"/>
                  <w:tcBorders>
                    <w:tl2br w:val="nil"/>
                    <w:tr2bl w:val="nil"/>
                  </w:tcBorders>
                  <w:noWrap w:val="0"/>
                  <w:vAlign w:val="center"/>
                </w:tcPr>
                <w:p w14:paraId="69873E95">
                  <w:pPr>
                    <w:keepNext w:val="0"/>
                    <w:keepLines w:val="0"/>
                    <w:pageBreakBefore w:val="0"/>
                    <w:widowControl/>
                    <w:suppressLineNumbers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本项目不属于两高项目、危险化学品和化工项目</w:t>
                  </w:r>
                </w:p>
              </w:tc>
              <w:tc>
                <w:tcPr>
                  <w:tcW w:w="452" w:type="pct"/>
                  <w:tcBorders>
                    <w:tl2br w:val="nil"/>
                    <w:tr2bl w:val="nil"/>
                  </w:tcBorders>
                  <w:noWrap w:val="0"/>
                  <w:vAlign w:val="center"/>
                </w:tcPr>
                <w:p w14:paraId="1C8AD484">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不涉及</w:t>
                  </w:r>
                </w:p>
              </w:tc>
            </w:tr>
            <w:tr w14:paraId="2355A97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605" w:hRule="atLeast"/>
              </w:trPr>
              <w:tc>
                <w:tcPr>
                  <w:tcW w:w="658" w:type="pct"/>
                  <w:vMerge w:val="continue"/>
                  <w:tcBorders>
                    <w:tl2br w:val="nil"/>
                    <w:tr2bl w:val="nil"/>
                  </w:tcBorders>
                  <w:noWrap w:val="0"/>
                  <w:vAlign w:val="center"/>
                </w:tcPr>
                <w:p w14:paraId="195B62C8">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793" w:type="pct"/>
                  <w:gridSpan w:val="2"/>
                  <w:tcBorders>
                    <w:tl2br w:val="nil"/>
                    <w:tr2bl w:val="nil"/>
                  </w:tcBorders>
                  <w:noWrap w:val="0"/>
                  <w:vAlign w:val="center"/>
                </w:tcPr>
                <w:p w14:paraId="4B33A63A">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default" w:ascii="Times New Roman" w:hAnsi="Times New Roman" w:eastAsia="宋体" w:cs="Times New Roman"/>
                      <w:color w:val="auto"/>
                      <w:kern w:val="0"/>
                      <w:sz w:val="21"/>
                      <w:szCs w:val="21"/>
                      <w:highlight w:val="none"/>
                      <w:u w:val="none" w:color="auto"/>
                      <w:lang w:val="en-US" w:eastAsia="zh-CN" w:bidi="ar"/>
                    </w:rPr>
                  </w:pPr>
                  <w:r>
                    <w:rPr>
                      <w:rFonts w:hint="default" w:ascii="Times New Roman" w:hAnsi="Times New Roman" w:eastAsia="宋体" w:cs="Times New Roman"/>
                      <w:color w:val="auto"/>
                      <w:kern w:val="0"/>
                      <w:sz w:val="21"/>
                      <w:szCs w:val="21"/>
                      <w:highlight w:val="none"/>
                      <w:u w:val="none" w:color="auto"/>
                      <w:lang w:val="en-US" w:eastAsia="zh-CN" w:bidi="ar"/>
                    </w:rPr>
                    <w:t>禁止在下列林地的采伐迹地种植人参：（1）自然保护区、森林公园、景区及其附近林地；（2）江河源头和两岸林地；（3）水库、湖泊周围等生态重要区位林地；（4）国道、省道、县道两侧第一层山脊内林地；（5）坡度在25度以上的林地；（6）山脊、沟壑等林地；（7）不符合人参种植标准和要求的其他林地。</w:t>
                  </w:r>
                </w:p>
              </w:tc>
              <w:tc>
                <w:tcPr>
                  <w:tcW w:w="1095" w:type="pct"/>
                  <w:tcBorders>
                    <w:tl2br w:val="nil"/>
                    <w:tr2bl w:val="nil"/>
                  </w:tcBorders>
                  <w:noWrap w:val="0"/>
                  <w:vAlign w:val="center"/>
                </w:tcPr>
                <w:p w14:paraId="02ED06EC">
                  <w:pPr>
                    <w:keepNext w:val="0"/>
                    <w:keepLines w:val="0"/>
                    <w:pageBreakBefore w:val="0"/>
                    <w:widowControl/>
                    <w:suppressLineNumbers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不涉及</w:t>
                  </w:r>
                </w:p>
              </w:tc>
              <w:tc>
                <w:tcPr>
                  <w:tcW w:w="452" w:type="pct"/>
                  <w:tcBorders>
                    <w:tl2br w:val="nil"/>
                    <w:tr2bl w:val="nil"/>
                  </w:tcBorders>
                  <w:noWrap w:val="0"/>
                  <w:vAlign w:val="center"/>
                </w:tcPr>
                <w:p w14:paraId="40FBC72D">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不涉及</w:t>
                  </w:r>
                </w:p>
              </w:tc>
            </w:tr>
            <w:tr w14:paraId="443EC87C">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637" w:hRule="atLeast"/>
              </w:trPr>
              <w:tc>
                <w:tcPr>
                  <w:tcW w:w="658" w:type="pct"/>
                  <w:vMerge w:val="restart"/>
                  <w:tcBorders>
                    <w:tl2br w:val="nil"/>
                    <w:tr2bl w:val="nil"/>
                  </w:tcBorders>
                  <w:noWrap w:val="0"/>
                  <w:vAlign w:val="center"/>
                </w:tcPr>
                <w:p w14:paraId="05D97367">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污染物排放管控</w:t>
                  </w:r>
                </w:p>
              </w:tc>
              <w:tc>
                <w:tcPr>
                  <w:tcW w:w="594" w:type="pct"/>
                  <w:vMerge w:val="restart"/>
                  <w:tcBorders>
                    <w:tl2br w:val="nil"/>
                    <w:tr2bl w:val="nil"/>
                  </w:tcBorders>
                  <w:noWrap w:val="0"/>
                  <w:vAlign w:val="center"/>
                </w:tcPr>
                <w:p w14:paraId="0219E5E0">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center"/>
                    <w:textAlignment w:val="auto"/>
                    <w:rPr>
                      <w:rFonts w:hint="default" w:ascii="Times New Roman" w:hAnsi="Times New Roman" w:eastAsia="宋体" w:cs="Times New Roman"/>
                      <w:color w:val="auto"/>
                      <w:kern w:val="0"/>
                      <w:sz w:val="21"/>
                      <w:szCs w:val="21"/>
                      <w:highlight w:val="none"/>
                      <w:u w:val="none" w:color="auto"/>
                      <w:lang w:val="en-US" w:eastAsia="zh-CN" w:bidi="ar"/>
                    </w:rPr>
                  </w:pPr>
                  <w:r>
                    <w:rPr>
                      <w:rFonts w:hint="default" w:ascii="Times New Roman" w:hAnsi="Times New Roman" w:eastAsia="宋体" w:cs="Times New Roman"/>
                      <w:color w:val="auto"/>
                      <w:sz w:val="21"/>
                      <w:szCs w:val="21"/>
                      <w:u w:val="none" w:color="auto"/>
                    </w:rPr>
                    <w:t>环境质量目标</w:t>
                  </w:r>
                </w:p>
              </w:tc>
              <w:tc>
                <w:tcPr>
                  <w:tcW w:w="2199" w:type="pct"/>
                  <w:tcBorders>
                    <w:tl2br w:val="nil"/>
                    <w:tr2bl w:val="nil"/>
                  </w:tcBorders>
                  <w:noWrap w:val="0"/>
                  <w:vAlign w:val="center"/>
                </w:tcPr>
                <w:p w14:paraId="47BD788F">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default" w:ascii="Times New Roman" w:hAnsi="Times New Roman" w:eastAsia="宋体" w:cs="Times New Roman"/>
                      <w:color w:val="auto"/>
                      <w:kern w:val="0"/>
                      <w:sz w:val="21"/>
                      <w:szCs w:val="21"/>
                      <w:highlight w:val="none"/>
                      <w:u w:val="none" w:color="auto"/>
                      <w:lang w:val="en-US" w:eastAsia="zh-CN" w:bidi="ar"/>
                    </w:rPr>
                  </w:pPr>
                  <w:r>
                    <w:rPr>
                      <w:rFonts w:hint="eastAsia" w:ascii="Times New Roman" w:hAnsi="Times New Roman" w:eastAsia="宋体" w:cs="Times New Roman"/>
                      <w:color w:val="auto"/>
                      <w:kern w:val="0"/>
                      <w:sz w:val="21"/>
                      <w:szCs w:val="21"/>
                      <w:highlight w:val="none"/>
                      <w:u w:val="none" w:color="auto"/>
                      <w:lang w:val="en-US" w:eastAsia="zh-CN" w:bidi="ar"/>
                    </w:rPr>
                    <w:t>大气环境质量持续改善。2025年全市PM</w:t>
                  </w:r>
                  <w:r>
                    <w:rPr>
                      <w:rFonts w:hint="eastAsia" w:ascii="Times New Roman" w:hAnsi="Times New Roman" w:eastAsia="宋体" w:cs="Times New Roman"/>
                      <w:color w:val="auto"/>
                      <w:kern w:val="0"/>
                      <w:sz w:val="21"/>
                      <w:szCs w:val="21"/>
                      <w:highlight w:val="none"/>
                      <w:u w:val="none" w:color="auto"/>
                      <w:vertAlign w:val="subscript"/>
                      <w:lang w:val="en-US" w:eastAsia="zh-CN" w:bidi="ar"/>
                    </w:rPr>
                    <w:t>2.5</w:t>
                  </w:r>
                  <w:r>
                    <w:rPr>
                      <w:rFonts w:hint="eastAsia" w:ascii="Times New Roman" w:hAnsi="Times New Roman" w:eastAsia="宋体" w:cs="Times New Roman"/>
                      <w:color w:val="auto"/>
                      <w:kern w:val="0"/>
                      <w:sz w:val="21"/>
                      <w:szCs w:val="21"/>
                      <w:highlight w:val="none"/>
                      <w:u w:val="none" w:color="auto"/>
                      <w:lang w:val="en-US" w:eastAsia="zh-CN" w:bidi="ar"/>
                    </w:rPr>
                    <w:t>年均浓度达到25微克/立方米，优良天数比例保持在98%左右；2035年允许波动，不能恶化（沙尘影响不计入）。</w:t>
                  </w:r>
                </w:p>
              </w:tc>
              <w:tc>
                <w:tcPr>
                  <w:tcW w:w="1095" w:type="pct"/>
                  <w:tcBorders>
                    <w:tl2br w:val="nil"/>
                    <w:tr2bl w:val="nil"/>
                  </w:tcBorders>
                  <w:noWrap w:val="0"/>
                  <w:vAlign w:val="center"/>
                </w:tcPr>
                <w:p w14:paraId="623D741C">
                  <w:pPr>
                    <w:keepNext w:val="0"/>
                    <w:keepLines w:val="0"/>
                    <w:pageBreakBefore w:val="0"/>
                    <w:widowControl/>
                    <w:suppressLineNumbers w:val="0"/>
                    <w:kinsoku/>
                    <w:wordWrap/>
                    <w:overflowPunct/>
                    <w:topLinePunct w:val="0"/>
                    <w:autoSpaceDE/>
                    <w:autoSpaceDN/>
                    <w:bidi w:val="0"/>
                    <w:adjustRightInd/>
                    <w:snapToGrid/>
                    <w:spacing w:line="240" w:lineRule="auto"/>
                    <w:ind w:right="0" w:firstLine="0" w:firstLineChars="0"/>
                    <w:jc w:val="both"/>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本项目排放的废气为筒仓粉尘、搅拌机粉尘、装卸扬尘、堆场粉尘、上料粉尘、运输扬尘，废气均可达标排放，不会对环境造成污染负荷。</w:t>
                  </w:r>
                </w:p>
              </w:tc>
              <w:tc>
                <w:tcPr>
                  <w:tcW w:w="452" w:type="pct"/>
                  <w:tcBorders>
                    <w:tl2br w:val="nil"/>
                    <w:tr2bl w:val="nil"/>
                  </w:tcBorders>
                  <w:noWrap w:val="0"/>
                  <w:vAlign w:val="center"/>
                </w:tcPr>
                <w:p w14:paraId="75314F3A">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符合</w:t>
                  </w:r>
                </w:p>
              </w:tc>
            </w:tr>
            <w:tr w14:paraId="4ACA8D6D">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7" w:hRule="atLeast"/>
              </w:trPr>
              <w:tc>
                <w:tcPr>
                  <w:tcW w:w="658" w:type="pct"/>
                  <w:vMerge w:val="continue"/>
                  <w:tcBorders>
                    <w:tl2br w:val="nil"/>
                    <w:tr2bl w:val="nil"/>
                  </w:tcBorders>
                  <w:noWrap w:val="0"/>
                  <w:vAlign w:val="center"/>
                </w:tcPr>
                <w:p w14:paraId="750F31FF">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594" w:type="pct"/>
                  <w:vMerge w:val="continue"/>
                  <w:tcBorders>
                    <w:tl2br w:val="nil"/>
                    <w:tr2bl w:val="nil"/>
                  </w:tcBorders>
                  <w:noWrap w:val="0"/>
                  <w:vAlign w:val="center"/>
                </w:tcPr>
                <w:p w14:paraId="058EACBB">
                  <w:pPr>
                    <w:keepNext w:val="0"/>
                    <w:keepLines w:val="0"/>
                    <w:pageBreakBefore w:val="0"/>
                    <w:widowControl/>
                    <w:suppressLineNumbers w:val="0"/>
                    <w:kinsoku/>
                    <w:wordWrap/>
                    <w:overflowPunct/>
                    <w:topLinePunct w:val="0"/>
                    <w:autoSpaceDE/>
                    <w:autoSpaceDN/>
                    <w:bidi w:val="0"/>
                    <w:adjustRightInd/>
                    <w:snapToGrid/>
                    <w:spacing w:line="240" w:lineRule="auto"/>
                    <w:ind w:right="0" w:firstLine="0" w:firstLineChars="0"/>
                    <w:jc w:val="both"/>
                    <w:textAlignment w:val="auto"/>
                    <w:rPr>
                      <w:rFonts w:hint="default" w:ascii="Times New Roman" w:hAnsi="Times New Roman" w:eastAsia="宋体" w:cs="Times New Roman"/>
                      <w:color w:val="auto"/>
                      <w:kern w:val="0"/>
                      <w:sz w:val="21"/>
                      <w:szCs w:val="21"/>
                      <w:highlight w:val="none"/>
                      <w:u w:val="none" w:color="auto"/>
                      <w:lang w:val="en-US" w:eastAsia="zh-CN" w:bidi="ar"/>
                    </w:rPr>
                  </w:pPr>
                </w:p>
              </w:tc>
              <w:tc>
                <w:tcPr>
                  <w:tcW w:w="2199" w:type="pct"/>
                  <w:tcBorders>
                    <w:tl2br w:val="nil"/>
                    <w:tr2bl w:val="nil"/>
                  </w:tcBorders>
                  <w:noWrap w:val="0"/>
                  <w:vAlign w:val="center"/>
                </w:tcPr>
                <w:p w14:paraId="3D42B30D">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default" w:ascii="Times New Roman" w:hAnsi="Times New Roman" w:eastAsia="宋体" w:cs="Times New Roman"/>
                      <w:color w:val="auto"/>
                      <w:kern w:val="0"/>
                      <w:sz w:val="21"/>
                      <w:szCs w:val="21"/>
                      <w:highlight w:val="none"/>
                      <w:u w:val="none" w:color="auto"/>
                      <w:lang w:val="en-US" w:eastAsia="zh-CN" w:bidi="ar"/>
                    </w:rPr>
                  </w:pPr>
                  <w:r>
                    <w:rPr>
                      <w:rFonts w:hint="default" w:ascii="Times New Roman" w:hAnsi="Times New Roman" w:eastAsia="宋体" w:cs="Times New Roman"/>
                      <w:color w:val="auto"/>
                      <w:kern w:val="0"/>
                      <w:sz w:val="21"/>
                      <w:szCs w:val="21"/>
                      <w:highlight w:val="none"/>
                      <w:u w:val="none" w:color="auto"/>
                      <w:lang w:val="en-US" w:eastAsia="zh-CN" w:bidi="ar"/>
                    </w:rPr>
                    <w:t>水环境质量持续改善。2025年地表水国控断面达到或优于Ⅲ类水体比例保持100%，饮用水水源地水质稳定达标。</w:t>
                  </w:r>
                </w:p>
              </w:tc>
              <w:tc>
                <w:tcPr>
                  <w:tcW w:w="1095" w:type="pct"/>
                  <w:tcBorders>
                    <w:tl2br w:val="nil"/>
                    <w:tr2bl w:val="nil"/>
                  </w:tcBorders>
                  <w:noWrap w:val="0"/>
                  <w:vAlign w:val="center"/>
                </w:tcPr>
                <w:p w14:paraId="36CA1338">
                  <w:pPr>
                    <w:keepNext w:val="0"/>
                    <w:keepLines w:val="0"/>
                    <w:pageBreakBefore w:val="0"/>
                    <w:widowControl/>
                    <w:suppressLineNumbers w:val="0"/>
                    <w:kinsoku/>
                    <w:wordWrap/>
                    <w:overflowPunct/>
                    <w:topLinePunct w:val="0"/>
                    <w:autoSpaceDE/>
                    <w:autoSpaceDN/>
                    <w:bidi w:val="0"/>
                    <w:adjustRightInd/>
                    <w:snapToGrid/>
                    <w:spacing w:line="240" w:lineRule="auto"/>
                    <w:ind w:right="0" w:firstLine="0" w:firstLineChars="0"/>
                    <w:jc w:val="both"/>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本项目</w:t>
                  </w:r>
                  <w:r>
                    <w:rPr>
                      <w:rFonts w:hint="eastAsia" w:cs="Times New Roman"/>
                      <w:color w:val="auto"/>
                      <w:sz w:val="21"/>
                      <w:szCs w:val="21"/>
                      <w:highlight w:val="none"/>
                      <w:u w:val="none" w:color="auto"/>
                      <w:vertAlign w:val="baseline"/>
                      <w:lang w:val="en-US" w:eastAsia="zh-CN"/>
                    </w:rPr>
                    <w:t>无生产废水排放，生活污水排入防渗旱厕，定期清掏作农肥</w:t>
                  </w:r>
                  <w:r>
                    <w:rPr>
                      <w:rFonts w:hint="eastAsia" w:ascii="Times New Roman" w:hAnsi="Times New Roman" w:eastAsia="宋体" w:cs="Times New Roman"/>
                      <w:color w:val="auto"/>
                      <w:sz w:val="21"/>
                      <w:szCs w:val="21"/>
                      <w:highlight w:val="none"/>
                      <w:u w:val="none" w:color="auto"/>
                      <w:vertAlign w:val="baseline"/>
                      <w:lang w:val="en-US" w:eastAsia="zh-CN"/>
                    </w:rPr>
                    <w:t>。</w:t>
                  </w:r>
                </w:p>
              </w:tc>
              <w:tc>
                <w:tcPr>
                  <w:tcW w:w="452" w:type="pct"/>
                  <w:tcBorders>
                    <w:tl2br w:val="nil"/>
                    <w:tr2bl w:val="nil"/>
                  </w:tcBorders>
                  <w:noWrap w:val="0"/>
                  <w:vAlign w:val="center"/>
                </w:tcPr>
                <w:p w14:paraId="2914FD54">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不涉及</w:t>
                  </w:r>
                </w:p>
              </w:tc>
            </w:tr>
            <w:tr w14:paraId="05A53E17">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7" w:hRule="atLeast"/>
              </w:trPr>
              <w:tc>
                <w:tcPr>
                  <w:tcW w:w="658" w:type="pct"/>
                  <w:vMerge w:val="restart"/>
                  <w:tcBorders>
                    <w:tl2br w:val="nil"/>
                    <w:tr2bl w:val="nil"/>
                  </w:tcBorders>
                  <w:noWrap w:val="0"/>
                  <w:vAlign w:val="center"/>
                </w:tcPr>
                <w:p w14:paraId="3E0C0C7C">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环境风险防控</w:t>
                  </w:r>
                </w:p>
              </w:tc>
              <w:tc>
                <w:tcPr>
                  <w:tcW w:w="2793" w:type="pct"/>
                  <w:gridSpan w:val="2"/>
                  <w:tcBorders>
                    <w:tl2br w:val="nil"/>
                    <w:tr2bl w:val="nil"/>
                  </w:tcBorders>
                  <w:noWrap w:val="0"/>
                  <w:vAlign w:val="center"/>
                </w:tcPr>
                <w:p w14:paraId="57D7EF86">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eastAsia" w:ascii="宋体" w:hAnsi="宋体" w:eastAsia="宋体" w:cs="宋体"/>
                      <w:color w:val="auto"/>
                      <w:kern w:val="0"/>
                      <w:sz w:val="21"/>
                      <w:szCs w:val="21"/>
                      <w:highlight w:val="none"/>
                      <w:u w:val="none" w:color="auto"/>
                      <w:lang w:val="en-US" w:eastAsia="zh-CN" w:bidi="ar"/>
                    </w:rPr>
                  </w:pPr>
                  <w:r>
                    <w:rPr>
                      <w:rFonts w:hint="eastAsia" w:ascii="宋体" w:hAnsi="宋体" w:eastAsia="宋体" w:cs="宋体"/>
                      <w:b w:val="0"/>
                      <w:bCs w:val="0"/>
                      <w:color w:val="000000"/>
                      <w:sz w:val="21"/>
                      <w:szCs w:val="21"/>
                      <w:u w:val="none" w:color="auto"/>
                    </w:rPr>
                    <w:t>加强饮用水水源地环境风险管控，完善风险防控与应急能力建设和相关管理措施，保证饮用水水源水质达标和饮水安全。</w:t>
                  </w:r>
                </w:p>
              </w:tc>
              <w:tc>
                <w:tcPr>
                  <w:tcW w:w="1743" w:type="dxa"/>
                  <w:tcBorders>
                    <w:tl2br w:val="nil"/>
                    <w:tr2bl w:val="nil"/>
                  </w:tcBorders>
                  <w:noWrap w:val="0"/>
                  <w:vAlign w:val="center"/>
                </w:tcPr>
                <w:p w14:paraId="4F05E30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720" w:type="dxa"/>
                  <w:tcBorders>
                    <w:tl2br w:val="nil"/>
                    <w:tr2bl w:val="nil"/>
                  </w:tcBorders>
                  <w:noWrap w:val="0"/>
                  <w:vAlign w:val="center"/>
                </w:tcPr>
                <w:p w14:paraId="115CD18A">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54CDDE3B">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7" w:hRule="atLeast"/>
              </w:trPr>
              <w:tc>
                <w:tcPr>
                  <w:tcW w:w="658" w:type="pct"/>
                  <w:vMerge w:val="continue"/>
                  <w:tcBorders>
                    <w:tl2br w:val="nil"/>
                    <w:tr2bl w:val="nil"/>
                  </w:tcBorders>
                  <w:noWrap w:val="0"/>
                  <w:vAlign w:val="center"/>
                </w:tcPr>
                <w:p w14:paraId="129F5619">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2793" w:type="pct"/>
                  <w:gridSpan w:val="2"/>
                  <w:tcBorders>
                    <w:tl2br w:val="nil"/>
                    <w:tr2bl w:val="nil"/>
                  </w:tcBorders>
                  <w:noWrap w:val="0"/>
                  <w:vAlign w:val="center"/>
                </w:tcPr>
                <w:p w14:paraId="149F611A">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eastAsia" w:ascii="宋体" w:hAnsi="宋体" w:eastAsia="宋体" w:cs="宋体"/>
                      <w:color w:val="auto"/>
                      <w:kern w:val="0"/>
                      <w:sz w:val="21"/>
                      <w:szCs w:val="21"/>
                      <w:highlight w:val="none"/>
                      <w:u w:val="none" w:color="auto"/>
                      <w:lang w:val="en-US" w:eastAsia="zh-CN" w:bidi="ar"/>
                    </w:rPr>
                  </w:pPr>
                  <w:r>
                    <w:rPr>
                      <w:rFonts w:hint="eastAsia" w:ascii="宋体" w:hAnsi="宋体" w:eastAsia="宋体" w:cs="宋体"/>
                      <w:b w:val="0"/>
                      <w:bCs w:val="0"/>
                      <w:color w:val="000000"/>
                      <w:sz w:val="21"/>
                      <w:szCs w:val="21"/>
                      <w:u w:val="none" w:color="auto"/>
                    </w:rPr>
                    <w:t>建立防渗层系统防止尾矿坝的渗滤液污染地表水和地下水，设置截洪沟、排水沟防止雨水进入尾矿坝和污染地表水，强化尾矿坝边坡的护坡、拦渣、植被措施防止尾矿坝滑坡等突发环境事件对水体的环境污染。</w:t>
                  </w:r>
                </w:p>
              </w:tc>
              <w:tc>
                <w:tcPr>
                  <w:tcW w:w="1743" w:type="dxa"/>
                  <w:tcBorders>
                    <w:tl2br w:val="nil"/>
                    <w:tr2bl w:val="nil"/>
                  </w:tcBorders>
                  <w:noWrap w:val="0"/>
                  <w:vAlign w:val="center"/>
                </w:tcPr>
                <w:p w14:paraId="5286223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不涉及</w:t>
                  </w:r>
                </w:p>
              </w:tc>
              <w:tc>
                <w:tcPr>
                  <w:tcW w:w="720" w:type="dxa"/>
                  <w:tcBorders>
                    <w:tl2br w:val="nil"/>
                    <w:tr2bl w:val="nil"/>
                  </w:tcBorders>
                  <w:noWrap w:val="0"/>
                  <w:vAlign w:val="center"/>
                </w:tcPr>
                <w:p w14:paraId="501A2B6A">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vertAlign w:val="baseline"/>
                      <w:lang w:val="en-US" w:eastAsia="zh-CN"/>
                    </w:rPr>
                    <w:t>--</w:t>
                  </w:r>
                </w:p>
              </w:tc>
            </w:tr>
            <w:tr w14:paraId="47FE9A7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23" w:hRule="atLeast"/>
              </w:trPr>
              <w:tc>
                <w:tcPr>
                  <w:tcW w:w="658" w:type="pct"/>
                  <w:vMerge w:val="restart"/>
                  <w:tcBorders>
                    <w:tl2br w:val="nil"/>
                    <w:tr2bl w:val="nil"/>
                  </w:tcBorders>
                  <w:noWrap w:val="0"/>
                  <w:vAlign w:val="center"/>
                </w:tcPr>
                <w:p w14:paraId="41D6FDFC">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资源利用要求</w:t>
                  </w:r>
                </w:p>
              </w:tc>
              <w:tc>
                <w:tcPr>
                  <w:tcW w:w="594" w:type="pct"/>
                  <w:tcBorders>
                    <w:tl2br w:val="nil"/>
                    <w:tr2bl w:val="nil"/>
                  </w:tcBorders>
                  <w:noWrap w:val="0"/>
                  <w:vAlign w:val="center"/>
                </w:tcPr>
                <w:p w14:paraId="7E591DC6">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水资源</w:t>
                  </w:r>
                </w:p>
              </w:tc>
              <w:tc>
                <w:tcPr>
                  <w:tcW w:w="2199" w:type="pct"/>
                  <w:tcBorders>
                    <w:tl2br w:val="nil"/>
                    <w:tr2bl w:val="nil"/>
                  </w:tcBorders>
                  <w:noWrap w:val="0"/>
                  <w:vAlign w:val="center"/>
                </w:tcPr>
                <w:p w14:paraId="16EBDE70">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2025年用水量控制在2.24亿立方米，2035年用水量控制在4.8亿立方米。</w:t>
                  </w:r>
                </w:p>
              </w:tc>
              <w:tc>
                <w:tcPr>
                  <w:tcW w:w="1095" w:type="pct"/>
                  <w:tcBorders>
                    <w:tl2br w:val="nil"/>
                    <w:tr2bl w:val="nil"/>
                  </w:tcBorders>
                  <w:noWrap w:val="0"/>
                  <w:vAlign w:val="center"/>
                </w:tcPr>
                <w:p w14:paraId="56CC9873">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项目</w:t>
                  </w:r>
                  <w:r>
                    <w:rPr>
                      <w:rFonts w:hint="eastAsia" w:ascii="Times New Roman" w:hAnsi="Times New Roman" w:eastAsia="宋体" w:cs="Times New Roman"/>
                      <w:color w:val="auto"/>
                      <w:sz w:val="21"/>
                      <w:szCs w:val="21"/>
                      <w:highlight w:val="none"/>
                      <w:u w:val="none" w:color="auto"/>
                      <w:lang w:val="en-US" w:eastAsia="zh-CN"/>
                    </w:rPr>
                    <w:t>生产</w:t>
                  </w:r>
                  <w:r>
                    <w:rPr>
                      <w:rFonts w:hint="eastAsia" w:ascii="Times New Roman" w:hAnsi="Times New Roman" w:eastAsia="宋体" w:cs="Times New Roman"/>
                      <w:color w:val="auto"/>
                      <w:sz w:val="21"/>
                      <w:szCs w:val="21"/>
                      <w:u w:val="none" w:color="auto"/>
                      <w:lang w:val="en-US" w:eastAsia="zh-CN"/>
                    </w:rPr>
                    <w:t>用水</w:t>
                  </w:r>
                  <w:r>
                    <w:rPr>
                      <w:rFonts w:hint="default" w:ascii="Times New Roman" w:hAnsi="Times New Roman" w:eastAsia="宋体" w:cs="Times New Roman"/>
                      <w:color w:val="auto"/>
                      <w:sz w:val="21"/>
                      <w:szCs w:val="21"/>
                      <w:u w:val="none" w:color="auto"/>
                      <w:lang w:val="en-US" w:eastAsia="zh-CN"/>
                    </w:rPr>
                    <w:t>消耗新鲜水量</w:t>
                  </w:r>
                  <w:r>
                    <w:rPr>
                      <w:rFonts w:hint="eastAsia" w:ascii="Times New Roman" w:hAnsi="Times New Roman" w:eastAsia="宋体" w:cs="Times New Roman"/>
                      <w:color w:val="auto"/>
                      <w:sz w:val="21"/>
                      <w:szCs w:val="21"/>
                      <w:u w:val="none" w:color="auto"/>
                      <w:lang w:val="en-US" w:eastAsia="zh-CN"/>
                    </w:rPr>
                    <w:t>较</w:t>
                  </w:r>
                  <w:r>
                    <w:rPr>
                      <w:rFonts w:hint="default" w:ascii="Times New Roman" w:hAnsi="Times New Roman" w:eastAsia="宋体" w:cs="Times New Roman"/>
                      <w:color w:val="auto"/>
                      <w:sz w:val="21"/>
                      <w:szCs w:val="21"/>
                      <w:u w:val="none" w:color="auto"/>
                      <w:lang w:val="en-US" w:eastAsia="zh-CN"/>
                    </w:rPr>
                    <w:t>少，不会对区域用水量产生明显影响</w:t>
                  </w:r>
                  <w:r>
                    <w:rPr>
                      <w:rFonts w:hint="eastAsia" w:ascii="Times New Roman" w:hAnsi="Times New Roman" w:eastAsia="宋体" w:cs="Times New Roman"/>
                      <w:color w:val="auto"/>
                      <w:sz w:val="21"/>
                      <w:szCs w:val="21"/>
                      <w:u w:val="none" w:color="auto"/>
                      <w:lang w:val="en-US" w:eastAsia="zh-CN"/>
                    </w:rPr>
                    <w:t>，</w:t>
                  </w:r>
                  <w:r>
                    <w:rPr>
                      <w:rFonts w:hint="default" w:ascii="Times New Roman" w:hAnsi="Times New Roman" w:eastAsia="宋体" w:cs="Times New Roman"/>
                      <w:color w:val="auto"/>
                      <w:sz w:val="21"/>
                      <w:szCs w:val="21"/>
                      <w:u w:val="none" w:color="auto"/>
                      <w:lang w:val="en-US" w:eastAsia="zh-CN"/>
                    </w:rPr>
                    <w:t>符合水量指标要求</w:t>
                  </w:r>
                  <w:r>
                    <w:rPr>
                      <w:rFonts w:hint="eastAsia" w:cs="Times New Roman"/>
                      <w:color w:val="auto"/>
                      <w:sz w:val="21"/>
                      <w:szCs w:val="21"/>
                      <w:u w:val="none" w:color="auto"/>
                      <w:lang w:val="en-US" w:eastAsia="zh-CN"/>
                    </w:rPr>
                    <w:t>，取水证正在办理中</w:t>
                  </w:r>
                  <w:r>
                    <w:rPr>
                      <w:rFonts w:hint="default" w:ascii="Times New Roman" w:hAnsi="Times New Roman" w:eastAsia="宋体" w:cs="Times New Roman"/>
                      <w:color w:val="auto"/>
                      <w:sz w:val="21"/>
                      <w:szCs w:val="21"/>
                      <w:u w:val="none" w:color="auto"/>
                      <w:lang w:val="en-US" w:eastAsia="zh-CN"/>
                    </w:rPr>
                    <w:t>。</w:t>
                  </w:r>
                </w:p>
              </w:tc>
              <w:tc>
                <w:tcPr>
                  <w:tcW w:w="452" w:type="pct"/>
                  <w:tcBorders>
                    <w:tl2br w:val="nil"/>
                    <w:tr2bl w:val="nil"/>
                  </w:tcBorders>
                  <w:noWrap w:val="0"/>
                  <w:vAlign w:val="center"/>
                </w:tcPr>
                <w:p w14:paraId="4C70E335">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符合</w:t>
                  </w:r>
                </w:p>
              </w:tc>
            </w:tr>
            <w:tr w14:paraId="574ED65F">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23" w:hRule="atLeast"/>
              </w:trPr>
              <w:tc>
                <w:tcPr>
                  <w:tcW w:w="658" w:type="pct"/>
                  <w:vMerge w:val="continue"/>
                  <w:tcBorders>
                    <w:tl2br w:val="nil"/>
                    <w:tr2bl w:val="nil"/>
                  </w:tcBorders>
                  <w:noWrap w:val="0"/>
                  <w:vAlign w:val="center"/>
                </w:tcPr>
                <w:p w14:paraId="4BB59858">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594" w:type="pct"/>
                  <w:tcBorders>
                    <w:tl2br w:val="nil"/>
                    <w:tr2bl w:val="nil"/>
                  </w:tcBorders>
                  <w:shd w:val="clear" w:color="auto" w:fill="auto"/>
                  <w:noWrap w:val="0"/>
                  <w:vAlign w:val="center"/>
                </w:tcPr>
                <w:p w14:paraId="01B219EA">
                  <w:pPr>
                    <w:keepNext w:val="0"/>
                    <w:keepLines w:val="0"/>
                    <w:pageBreakBefore w:val="0"/>
                    <w:widowControl/>
                    <w:kinsoku/>
                    <w:wordWrap/>
                    <w:overflowPunct/>
                    <w:topLinePunct w:val="0"/>
                    <w:autoSpaceDE/>
                    <w:autoSpaceDN/>
                    <w:bidi w:val="0"/>
                    <w:adjustRightInd/>
                    <w:snapToGrid/>
                    <w:spacing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土地资源</w:t>
                  </w:r>
                </w:p>
              </w:tc>
              <w:tc>
                <w:tcPr>
                  <w:tcW w:w="2199" w:type="pct"/>
                  <w:tcBorders>
                    <w:tl2br w:val="nil"/>
                    <w:tr2bl w:val="nil"/>
                  </w:tcBorders>
                  <w:shd w:val="clear" w:color="auto" w:fill="auto"/>
                  <w:noWrap w:val="0"/>
                  <w:vAlign w:val="center"/>
                </w:tcPr>
                <w:p w14:paraId="48AD0539">
                  <w:pPr>
                    <w:keepNext w:val="0"/>
                    <w:keepLines w:val="0"/>
                    <w:pageBreakBefore w:val="0"/>
                    <w:widowControl/>
                    <w:kinsoku/>
                    <w:wordWrap/>
                    <w:overflowPunct/>
                    <w:topLinePunct w:val="0"/>
                    <w:autoSpaceDE/>
                    <w:autoSpaceDN/>
                    <w:bidi w:val="0"/>
                    <w:adjustRightInd/>
                    <w:snapToGrid/>
                    <w:spacing w:after="0" w:line="240" w:lineRule="auto"/>
                    <w:ind w:right="0" w:rightChars="0" w:firstLine="0" w:firstLineChars="0"/>
                    <w:jc w:val="both"/>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2025年耕地保有量不低于1059.01平方千米；永久基本农田保护面积不低于708.71平方千米；城镇开发边界控制在184.25平方千米以内。</w:t>
                  </w:r>
                </w:p>
              </w:tc>
              <w:tc>
                <w:tcPr>
                  <w:tcW w:w="1095" w:type="pct"/>
                  <w:tcBorders>
                    <w:tl2br w:val="nil"/>
                    <w:tr2bl w:val="nil"/>
                  </w:tcBorders>
                  <w:shd w:val="clear" w:color="auto" w:fill="auto"/>
                  <w:noWrap w:val="0"/>
                  <w:vAlign w:val="center"/>
                </w:tcPr>
                <w:p w14:paraId="451DA52B">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本项目</w:t>
                  </w:r>
                  <w:r>
                    <w:rPr>
                      <w:rFonts w:hint="eastAsia" w:cs="Times New Roman"/>
                      <w:color w:val="auto"/>
                      <w:kern w:val="2"/>
                      <w:sz w:val="21"/>
                      <w:szCs w:val="21"/>
                      <w:u w:val="none" w:color="auto"/>
                      <w:lang w:val="en-US" w:eastAsia="zh-CN" w:bidi="ar-SA"/>
                    </w:rPr>
                    <w:t>占地工业用地</w:t>
                  </w: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不</w:t>
                  </w:r>
                  <w:r>
                    <w:rPr>
                      <w:rFonts w:hint="eastAsia" w:cs="Times New Roman"/>
                      <w:color w:val="auto"/>
                      <w:kern w:val="2"/>
                      <w:sz w:val="21"/>
                      <w:szCs w:val="21"/>
                      <w:u w:val="none" w:color="auto"/>
                      <w:lang w:val="en-US" w:eastAsia="zh-CN" w:bidi="ar-SA"/>
                    </w:rPr>
                    <w:t>占用耕地</w:t>
                  </w:r>
                  <w:r>
                    <w:rPr>
                      <w:rFonts w:hint="eastAsia" w:ascii="Times New Roman" w:hAnsi="Times New Roman" w:eastAsia="宋体" w:cs="Times New Roman"/>
                      <w:color w:val="auto"/>
                      <w:kern w:val="2"/>
                      <w:sz w:val="21"/>
                      <w:szCs w:val="21"/>
                      <w:u w:val="none" w:color="auto"/>
                      <w:lang w:val="en-US" w:eastAsia="zh-CN" w:bidi="ar-SA"/>
                    </w:rPr>
                    <w:t>，</w:t>
                  </w:r>
                  <w:r>
                    <w:rPr>
                      <w:rFonts w:hint="default" w:ascii="Times New Roman" w:hAnsi="Times New Roman" w:eastAsia="宋体" w:cs="Times New Roman"/>
                      <w:color w:val="auto"/>
                      <w:kern w:val="2"/>
                      <w:sz w:val="21"/>
                      <w:szCs w:val="21"/>
                      <w:u w:val="none" w:color="auto"/>
                      <w:lang w:val="en-US" w:eastAsia="zh-CN" w:bidi="ar-SA"/>
                    </w:rPr>
                    <w:t>不突破市定指标。</w:t>
                  </w:r>
                </w:p>
              </w:tc>
              <w:tc>
                <w:tcPr>
                  <w:tcW w:w="452" w:type="pct"/>
                  <w:tcBorders>
                    <w:tl2br w:val="nil"/>
                    <w:tr2bl w:val="nil"/>
                  </w:tcBorders>
                  <w:shd w:val="clear" w:color="auto" w:fill="auto"/>
                  <w:noWrap w:val="0"/>
                  <w:vAlign w:val="center"/>
                </w:tcPr>
                <w:p w14:paraId="7E8BA147">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符合</w:t>
                  </w:r>
                </w:p>
              </w:tc>
            </w:tr>
            <w:tr w14:paraId="37C0FD9D">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81" w:hRule="atLeast"/>
              </w:trPr>
              <w:tc>
                <w:tcPr>
                  <w:tcW w:w="658" w:type="pct"/>
                  <w:vMerge w:val="continue"/>
                  <w:tcBorders>
                    <w:tl2br w:val="nil"/>
                    <w:tr2bl w:val="nil"/>
                  </w:tcBorders>
                  <w:noWrap w:val="0"/>
                  <w:vAlign w:val="center"/>
                </w:tcPr>
                <w:p w14:paraId="4D8C7D59">
                  <w:pPr>
                    <w:pStyle w:val="3"/>
                    <w:keepNext w:val="0"/>
                    <w:keepLines w:val="0"/>
                    <w:pageBreakBefore w:val="0"/>
                    <w:kinsoku/>
                    <w:wordWrap/>
                    <w:overflowPunct/>
                    <w:topLinePunct w:val="0"/>
                    <w:autoSpaceDE/>
                    <w:autoSpaceDN/>
                    <w:bidi w:val="0"/>
                    <w:adjustRightInd/>
                    <w:snapToGrid/>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594" w:type="pct"/>
                  <w:tcBorders>
                    <w:tl2br w:val="nil"/>
                    <w:tr2bl w:val="nil"/>
                  </w:tcBorders>
                  <w:noWrap w:val="0"/>
                  <w:vAlign w:val="center"/>
                </w:tcPr>
                <w:p w14:paraId="4FC1C328">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能源</w:t>
                  </w:r>
                </w:p>
              </w:tc>
              <w:tc>
                <w:tcPr>
                  <w:tcW w:w="2199" w:type="pct"/>
                  <w:tcBorders>
                    <w:tl2br w:val="nil"/>
                    <w:tr2bl w:val="nil"/>
                  </w:tcBorders>
                  <w:noWrap w:val="0"/>
                  <w:vAlign w:val="center"/>
                </w:tcPr>
                <w:p w14:paraId="1EB40051">
                  <w:pPr>
                    <w:keepNext w:val="0"/>
                    <w:keepLines w:val="0"/>
                    <w:pageBreakBefore w:val="0"/>
                    <w:widowControl/>
                    <w:kinsoku/>
                    <w:wordWrap/>
                    <w:overflowPunct/>
                    <w:topLinePunct w:val="0"/>
                    <w:autoSpaceDE/>
                    <w:autoSpaceDN/>
                    <w:bidi w:val="0"/>
                    <w:adjustRightInd/>
                    <w:snapToGrid/>
                    <w:spacing w:after="0" w:line="240" w:lineRule="auto"/>
                    <w:ind w:right="0" w:firstLine="0" w:firstLineChars="0"/>
                    <w:jc w:val="both"/>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2025年煤炭消费总量控制在451.74万吨以内，非化石能源消费比重达到15%。</w:t>
                  </w:r>
                </w:p>
              </w:tc>
              <w:tc>
                <w:tcPr>
                  <w:tcW w:w="1095" w:type="pct"/>
                  <w:tcBorders>
                    <w:tl2br w:val="nil"/>
                    <w:tr2bl w:val="nil"/>
                  </w:tcBorders>
                  <w:noWrap w:val="0"/>
                  <w:vAlign w:val="center"/>
                </w:tcPr>
                <w:p w14:paraId="42DB512C">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firstLine="0" w:firstLineChars="0"/>
                    <w:jc w:val="both"/>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本项目涉及能源主要为电能，用量较小。</w:t>
                  </w:r>
                </w:p>
              </w:tc>
              <w:tc>
                <w:tcPr>
                  <w:tcW w:w="452" w:type="pct"/>
                  <w:tcBorders>
                    <w:tl2br w:val="nil"/>
                    <w:tr2bl w:val="nil"/>
                  </w:tcBorders>
                  <w:noWrap w:val="0"/>
                  <w:vAlign w:val="center"/>
                </w:tcPr>
                <w:p w14:paraId="1C40104E">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符合</w:t>
                  </w:r>
                </w:p>
              </w:tc>
            </w:tr>
          </w:tbl>
          <w:p w14:paraId="249C7FFF">
            <w:pPr>
              <w:pStyle w:val="69"/>
              <w:bidi w:val="0"/>
              <w:rPr>
                <w:rFonts w:hint="default"/>
                <w:color w:val="auto"/>
                <w:highlight w:val="none"/>
                <w:u w:val="none" w:color="auto"/>
              </w:rPr>
            </w:pPr>
          </w:p>
          <w:p w14:paraId="5901B0B0">
            <w:pPr>
              <w:pStyle w:val="67"/>
              <w:numPr>
                <w:ilvl w:val="0"/>
                <w:numId w:val="0"/>
              </w:numPr>
              <w:bidi w:val="0"/>
              <w:ind w:leftChars="0"/>
              <w:jc w:val="center"/>
              <w:rPr>
                <w:rFonts w:hint="default"/>
                <w:highlight w:val="none"/>
                <w:u w:val="none" w:color="auto"/>
              </w:rPr>
            </w:pPr>
            <w:r>
              <w:rPr>
                <w:rFonts w:hint="eastAsia"/>
                <w:highlight w:val="none"/>
                <w:u w:val="none" w:color="auto"/>
                <w:lang w:val="en-US" w:eastAsia="zh-CN"/>
              </w:rPr>
              <w:t>表1-4  与环境管控单元生态环境准入清单</w:t>
            </w:r>
            <w:r>
              <w:rPr>
                <w:rFonts w:hint="default"/>
                <w:highlight w:val="none"/>
                <w:u w:val="none" w:color="auto"/>
              </w:rPr>
              <w:t>符合性分析</w:t>
            </w:r>
          </w:p>
          <w:tbl>
            <w:tblPr>
              <w:tblStyle w:val="22"/>
              <w:tblW w:w="767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750"/>
              <w:gridCol w:w="641"/>
              <w:gridCol w:w="668"/>
              <w:gridCol w:w="3109"/>
              <w:gridCol w:w="1446"/>
              <w:gridCol w:w="377"/>
            </w:tblGrid>
            <w:tr w14:paraId="7E2CED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87" w:type="dxa"/>
                  <w:noWrap w:val="0"/>
                  <w:vAlign w:val="center"/>
                </w:tcPr>
                <w:p w14:paraId="76FE2DDC">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b w:val="0"/>
                      <w:bCs w:val="0"/>
                      <w:color w:val="auto"/>
                      <w:sz w:val="21"/>
                      <w:szCs w:val="21"/>
                      <w:u w:val="none" w:color="auto"/>
                      <w:vertAlign w:val="baseline"/>
                    </w:rPr>
                  </w:pPr>
                  <w:r>
                    <w:rPr>
                      <w:rFonts w:hint="default" w:ascii="Times New Roman" w:hAnsi="Times New Roman" w:eastAsia="宋体" w:cs="Times New Roman"/>
                      <w:b w:val="0"/>
                      <w:bCs w:val="0"/>
                      <w:color w:val="auto"/>
                      <w:sz w:val="21"/>
                      <w:szCs w:val="21"/>
                      <w:u w:val="none" w:color="auto"/>
                      <w:vertAlign w:val="baseline"/>
                    </w:rPr>
                    <w:t>环境管控单元编码</w:t>
                  </w:r>
                </w:p>
              </w:tc>
              <w:tc>
                <w:tcPr>
                  <w:tcW w:w="750" w:type="dxa"/>
                  <w:noWrap w:val="0"/>
                  <w:vAlign w:val="center"/>
                </w:tcPr>
                <w:p w14:paraId="235B6D3B">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b w:val="0"/>
                      <w:bCs w:val="0"/>
                      <w:color w:val="auto"/>
                      <w:sz w:val="21"/>
                      <w:szCs w:val="21"/>
                      <w:u w:val="none" w:color="auto"/>
                      <w:vertAlign w:val="baseline"/>
                    </w:rPr>
                  </w:pPr>
                  <w:r>
                    <w:rPr>
                      <w:rFonts w:hint="default" w:ascii="Times New Roman" w:hAnsi="Times New Roman" w:eastAsia="宋体" w:cs="Times New Roman"/>
                      <w:b w:val="0"/>
                      <w:bCs w:val="0"/>
                      <w:color w:val="auto"/>
                      <w:sz w:val="21"/>
                      <w:szCs w:val="21"/>
                      <w:u w:val="none" w:color="auto"/>
                      <w:vertAlign w:val="baseline"/>
                    </w:rPr>
                    <w:t>环境管控单元名称</w:t>
                  </w:r>
                </w:p>
              </w:tc>
              <w:tc>
                <w:tcPr>
                  <w:tcW w:w="641" w:type="dxa"/>
                  <w:noWrap w:val="0"/>
                  <w:vAlign w:val="center"/>
                </w:tcPr>
                <w:p w14:paraId="0BE35DD7">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b w:val="0"/>
                      <w:bCs w:val="0"/>
                      <w:color w:val="auto"/>
                      <w:sz w:val="21"/>
                      <w:szCs w:val="21"/>
                      <w:u w:val="none" w:color="auto"/>
                      <w:vertAlign w:val="baseline"/>
                    </w:rPr>
                  </w:pPr>
                  <w:r>
                    <w:rPr>
                      <w:rFonts w:hint="default" w:ascii="Times New Roman" w:hAnsi="Times New Roman" w:eastAsia="宋体" w:cs="Times New Roman"/>
                      <w:b w:val="0"/>
                      <w:bCs w:val="0"/>
                      <w:color w:val="auto"/>
                      <w:sz w:val="21"/>
                      <w:szCs w:val="21"/>
                      <w:u w:val="none" w:color="auto"/>
                      <w:vertAlign w:val="baseline"/>
                    </w:rPr>
                    <w:t>管控单元分类</w:t>
                  </w:r>
                </w:p>
              </w:tc>
              <w:tc>
                <w:tcPr>
                  <w:tcW w:w="668" w:type="dxa"/>
                  <w:noWrap w:val="0"/>
                  <w:vAlign w:val="center"/>
                </w:tcPr>
                <w:p w14:paraId="7AB7370C">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b w:val="0"/>
                      <w:bCs w:val="0"/>
                      <w:color w:val="auto"/>
                      <w:sz w:val="21"/>
                      <w:szCs w:val="21"/>
                      <w:u w:val="none" w:color="auto"/>
                      <w:vertAlign w:val="baseline"/>
                    </w:rPr>
                  </w:pPr>
                  <w:r>
                    <w:rPr>
                      <w:rFonts w:hint="default" w:ascii="Times New Roman" w:hAnsi="Times New Roman" w:eastAsia="宋体" w:cs="Times New Roman"/>
                      <w:b w:val="0"/>
                      <w:bCs w:val="0"/>
                      <w:color w:val="auto"/>
                      <w:sz w:val="21"/>
                      <w:szCs w:val="21"/>
                      <w:u w:val="none" w:color="auto"/>
                      <w:vertAlign w:val="baseline"/>
                    </w:rPr>
                    <w:t>管控类型</w:t>
                  </w:r>
                </w:p>
              </w:tc>
              <w:tc>
                <w:tcPr>
                  <w:tcW w:w="3109" w:type="dxa"/>
                  <w:noWrap w:val="0"/>
                  <w:vAlign w:val="center"/>
                </w:tcPr>
                <w:p w14:paraId="427A063B">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b w:val="0"/>
                      <w:bCs w:val="0"/>
                      <w:color w:val="auto"/>
                      <w:sz w:val="21"/>
                      <w:szCs w:val="21"/>
                      <w:u w:val="none" w:color="auto"/>
                      <w:vertAlign w:val="baseline"/>
                    </w:rPr>
                  </w:pPr>
                  <w:r>
                    <w:rPr>
                      <w:rFonts w:hint="default" w:ascii="Times New Roman" w:hAnsi="Times New Roman" w:eastAsia="宋体" w:cs="Times New Roman"/>
                      <w:b w:val="0"/>
                      <w:bCs w:val="0"/>
                      <w:color w:val="auto"/>
                      <w:sz w:val="21"/>
                      <w:szCs w:val="21"/>
                      <w:u w:val="none" w:color="auto"/>
                      <w:vertAlign w:val="baseline"/>
                    </w:rPr>
                    <w:t>管控要求</w:t>
                  </w:r>
                </w:p>
              </w:tc>
              <w:tc>
                <w:tcPr>
                  <w:tcW w:w="1446" w:type="dxa"/>
                  <w:noWrap w:val="0"/>
                  <w:vAlign w:val="center"/>
                </w:tcPr>
                <w:p w14:paraId="34342265">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none" w:color="auto"/>
                      <w:vertAlign w:val="baseline"/>
                    </w:rPr>
                  </w:pPr>
                  <w:r>
                    <w:rPr>
                      <w:rFonts w:hint="default" w:ascii="Times New Roman" w:hAnsi="Times New Roman" w:eastAsia="宋体" w:cs="Times New Roman"/>
                      <w:color w:val="auto"/>
                      <w:sz w:val="21"/>
                      <w:szCs w:val="21"/>
                      <w:highlight w:val="none"/>
                      <w:u w:val="none" w:color="auto"/>
                      <w:vertAlign w:val="baseline"/>
                      <w:lang w:val="en-US" w:eastAsia="zh-CN"/>
                    </w:rPr>
                    <w:t>本项目</w:t>
                  </w:r>
                </w:p>
              </w:tc>
              <w:tc>
                <w:tcPr>
                  <w:tcW w:w="377" w:type="dxa"/>
                  <w:noWrap w:val="0"/>
                  <w:vAlign w:val="center"/>
                </w:tcPr>
                <w:p w14:paraId="05EB62B7">
                  <w:pPr>
                    <w:pStyle w:val="3"/>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none" w:color="auto"/>
                      <w:vertAlign w:val="baseline"/>
                    </w:rPr>
                  </w:pPr>
                  <w:r>
                    <w:rPr>
                      <w:rFonts w:hint="default" w:ascii="Times New Roman" w:hAnsi="Times New Roman" w:eastAsia="宋体" w:cs="Times New Roman"/>
                      <w:color w:val="auto"/>
                      <w:sz w:val="21"/>
                      <w:szCs w:val="21"/>
                      <w:highlight w:val="none"/>
                      <w:u w:val="none" w:color="auto"/>
                      <w:vertAlign w:val="baseline"/>
                      <w:lang w:val="en-US" w:eastAsia="zh-CN"/>
                    </w:rPr>
                    <w:t>符合</w:t>
                  </w:r>
                  <w:r>
                    <w:rPr>
                      <w:rFonts w:hint="eastAsia" w:ascii="Times New Roman" w:hAnsi="Times New Roman" w:eastAsia="宋体" w:cs="Times New Roman"/>
                      <w:color w:val="auto"/>
                      <w:sz w:val="21"/>
                      <w:szCs w:val="21"/>
                      <w:highlight w:val="none"/>
                      <w:u w:val="none" w:color="auto"/>
                      <w:vertAlign w:val="baseline"/>
                      <w:lang w:val="en-US" w:eastAsia="zh-CN"/>
                    </w:rPr>
                    <w:t>性</w:t>
                  </w:r>
                </w:p>
              </w:tc>
            </w:tr>
            <w:tr w14:paraId="046831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87" w:type="dxa"/>
                  <w:vMerge w:val="restart"/>
                  <w:noWrap w:val="0"/>
                  <w:vAlign w:val="center"/>
                </w:tcPr>
                <w:p w14:paraId="1AD22117">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ZH22068120001</w:t>
                  </w:r>
                </w:p>
              </w:tc>
              <w:tc>
                <w:tcPr>
                  <w:tcW w:w="750" w:type="dxa"/>
                  <w:vMerge w:val="restart"/>
                  <w:noWrap w:val="0"/>
                  <w:vAlign w:val="center"/>
                </w:tcPr>
                <w:p w14:paraId="1482919A">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rPr>
                    <w:t>吉林临江边境经济合作区</w:t>
                  </w:r>
                </w:p>
              </w:tc>
              <w:tc>
                <w:tcPr>
                  <w:tcW w:w="641" w:type="dxa"/>
                  <w:vMerge w:val="restart"/>
                  <w:noWrap w:val="0"/>
                  <w:vAlign w:val="center"/>
                </w:tcPr>
                <w:p w14:paraId="5338FCBB">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rPr>
                    <w:t>重点管控</w:t>
                  </w:r>
                  <w:r>
                    <w:rPr>
                      <w:rFonts w:hint="eastAsia" w:cs="Times New Roman"/>
                      <w:color w:val="auto"/>
                      <w:sz w:val="21"/>
                      <w:szCs w:val="21"/>
                      <w:u w:val="none" w:color="auto"/>
                      <w:vertAlign w:val="baseline"/>
                      <w:lang w:eastAsia="zh-CN"/>
                    </w:rPr>
                    <w:t>单元</w:t>
                  </w:r>
                </w:p>
              </w:tc>
              <w:tc>
                <w:tcPr>
                  <w:tcW w:w="668" w:type="dxa"/>
                  <w:noWrap w:val="0"/>
                  <w:vAlign w:val="center"/>
                </w:tcPr>
                <w:p w14:paraId="628E3D6F">
                  <w:pPr>
                    <w:jc w:val="center"/>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rPr>
                    <w:t>空间布局约束</w:t>
                  </w:r>
                </w:p>
              </w:tc>
              <w:tc>
                <w:tcPr>
                  <w:tcW w:w="3109" w:type="dxa"/>
                  <w:noWrap w:val="0"/>
                  <w:vAlign w:val="center"/>
                </w:tcPr>
                <w:p w14:paraId="1B746214">
                  <w:pPr>
                    <w:widowControl/>
                    <w:jc w:val="both"/>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主导产业：矿泉水、农林特产品加工、药品、保健品，绿色食品以及休闲养生、健康养老、电子产品加工、机电设备装配、轻纺工业、建材加工、硅藻土加工。</w:t>
                  </w:r>
                </w:p>
                <w:p w14:paraId="309AD53A">
                  <w:pPr>
                    <w:widowControl/>
                    <w:jc w:val="both"/>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rPr>
                    <w:t>1严格控制高耗水、高污染行业发展。2严格落实规划环评及其批复文件行业规范准入条件。</w:t>
                  </w:r>
                </w:p>
              </w:tc>
              <w:tc>
                <w:tcPr>
                  <w:tcW w:w="1446" w:type="dxa"/>
                  <w:noWrap w:val="0"/>
                  <w:vAlign w:val="center"/>
                </w:tcPr>
                <w:p w14:paraId="15D9142A">
                  <w:pPr>
                    <w:pStyle w:val="2"/>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eastAsia" w:ascii="Times New Roman" w:hAnsi="Times New Roman" w:eastAsia="宋体" w:cs="Times New Roman"/>
                      <w:color w:val="auto"/>
                      <w:sz w:val="21"/>
                      <w:szCs w:val="21"/>
                      <w:u w:val="none" w:color="auto"/>
                      <w:vertAlign w:val="baseline"/>
                      <w:lang w:eastAsia="zh-CN"/>
                    </w:rPr>
                  </w:pPr>
                  <w:r>
                    <w:rPr>
                      <w:rFonts w:hint="eastAsia" w:cs="Times New Roman"/>
                      <w:color w:val="auto"/>
                      <w:sz w:val="21"/>
                      <w:szCs w:val="21"/>
                      <w:u w:val="none" w:color="auto"/>
                      <w:vertAlign w:val="baseline"/>
                      <w:lang w:eastAsia="zh-CN"/>
                    </w:rPr>
                    <w:t>本项目为商品混凝土生产项目，企业各项污染物</w:t>
                  </w:r>
                  <w:r>
                    <w:rPr>
                      <w:rFonts w:hint="eastAsia" w:cs="Times New Roman"/>
                      <w:color w:val="auto"/>
                      <w:sz w:val="21"/>
                      <w:szCs w:val="21"/>
                      <w:u w:val="none" w:color="auto"/>
                      <w:vertAlign w:val="baseline"/>
                      <w:lang w:val="en-US" w:eastAsia="zh-CN"/>
                    </w:rPr>
                    <w:t>采取有效防治措施后，</w:t>
                  </w:r>
                  <w:r>
                    <w:rPr>
                      <w:rFonts w:hint="eastAsia" w:cs="Times New Roman"/>
                      <w:color w:val="auto"/>
                      <w:sz w:val="21"/>
                      <w:szCs w:val="21"/>
                      <w:u w:val="none" w:color="auto"/>
                      <w:vertAlign w:val="baseline"/>
                      <w:lang w:eastAsia="zh-CN"/>
                    </w:rPr>
                    <w:t>均可达标排放，生产废水全部回用，不属于大规模废气、废水排放项目</w:t>
                  </w:r>
                  <w:r>
                    <w:rPr>
                      <w:rFonts w:hint="eastAsia" w:ascii="Times New Roman" w:hAnsi="Times New Roman" w:eastAsia="宋体" w:cs="Times New Roman"/>
                      <w:color w:val="auto"/>
                      <w:sz w:val="21"/>
                      <w:szCs w:val="21"/>
                      <w:u w:val="none" w:color="auto"/>
                      <w:lang w:eastAsia="zh-CN"/>
                    </w:rPr>
                    <w:t>。</w:t>
                  </w:r>
                </w:p>
              </w:tc>
              <w:tc>
                <w:tcPr>
                  <w:tcW w:w="377" w:type="dxa"/>
                  <w:noWrap w:val="0"/>
                  <w:vAlign w:val="center"/>
                </w:tcPr>
                <w:p w14:paraId="1A8594F7">
                  <w:pPr>
                    <w:pStyle w:val="2"/>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eastAsia" w:cs="Times New Roman"/>
                      <w:color w:val="auto"/>
                      <w:sz w:val="21"/>
                      <w:szCs w:val="21"/>
                      <w:u w:val="none" w:color="auto"/>
                      <w:vertAlign w:val="baseline"/>
                      <w:lang w:eastAsia="zh-CN"/>
                    </w:rPr>
                  </w:pPr>
                  <w:r>
                    <w:rPr>
                      <w:rFonts w:hint="eastAsia" w:cs="Times New Roman"/>
                      <w:color w:val="auto"/>
                      <w:sz w:val="21"/>
                      <w:szCs w:val="21"/>
                      <w:u w:val="none" w:color="auto"/>
                      <w:vertAlign w:val="baseline"/>
                      <w:lang w:eastAsia="zh-CN"/>
                    </w:rPr>
                    <w:t>符合</w:t>
                  </w:r>
                </w:p>
              </w:tc>
            </w:tr>
            <w:tr w14:paraId="1F0356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87" w:type="dxa"/>
                  <w:vMerge w:val="continue"/>
                  <w:noWrap w:val="0"/>
                  <w:vAlign w:val="center"/>
                </w:tcPr>
                <w:p w14:paraId="2AE482C0">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p>
              </w:tc>
              <w:tc>
                <w:tcPr>
                  <w:tcW w:w="750" w:type="dxa"/>
                  <w:vMerge w:val="continue"/>
                  <w:noWrap w:val="0"/>
                  <w:vAlign w:val="center"/>
                </w:tcPr>
                <w:p w14:paraId="7BA482BE">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p>
              </w:tc>
              <w:tc>
                <w:tcPr>
                  <w:tcW w:w="641" w:type="dxa"/>
                  <w:vMerge w:val="continue"/>
                  <w:noWrap w:val="0"/>
                  <w:vAlign w:val="center"/>
                </w:tcPr>
                <w:p w14:paraId="56701CAE">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p>
              </w:tc>
              <w:tc>
                <w:tcPr>
                  <w:tcW w:w="668" w:type="dxa"/>
                  <w:noWrap w:val="0"/>
                  <w:vAlign w:val="center"/>
                </w:tcPr>
                <w:p w14:paraId="7CFED8EA">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污染物排放管控</w:t>
                  </w:r>
                </w:p>
              </w:tc>
              <w:tc>
                <w:tcPr>
                  <w:tcW w:w="3109" w:type="dxa"/>
                  <w:noWrap w:val="0"/>
                  <w:vAlign w:val="center"/>
                </w:tcPr>
                <w:p w14:paraId="72B0A789">
                  <w:pPr>
                    <w:widowControl/>
                    <w:jc w:val="both"/>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1工业涂装等涉及挥发性有机物排放的行业企业属于控制重点，应推广使用低（无）挥发性有机物含量的原辅材料，安装高效集气装置等措施，提升工艺废气、尾气收集处置率。</w:t>
                  </w:r>
                </w:p>
                <w:p w14:paraId="0E24E5BF">
                  <w:pPr>
                    <w:widowControl/>
                    <w:jc w:val="both"/>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2重点行业污染治理升级改造，推进各类园区循环化改造。</w:t>
                  </w:r>
                </w:p>
                <w:p w14:paraId="4D8D69D4">
                  <w:pPr>
                    <w:widowControl/>
                    <w:jc w:val="both"/>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一体推进重点行业大气污染深度治理与节能降碳，推动大型燃煤锅炉、钢铁、水泥等行业超低排放改造，推动重点行业、重点领域氮氧化物减排，探索开展大气污染物与温室气体排放协同控制改造提升工程试点。</w:t>
                  </w:r>
                </w:p>
                <w:p w14:paraId="40695F4D">
                  <w:pPr>
                    <w:widowControl/>
                    <w:jc w:val="both"/>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4执行《吉林省新污染物治理实施方案》相关要求，加强新污染物多环境介质协同治理，全面强化清洁生产和绿色制造。</w:t>
                  </w:r>
                </w:p>
              </w:tc>
              <w:tc>
                <w:tcPr>
                  <w:tcW w:w="1446" w:type="dxa"/>
                  <w:noWrap w:val="0"/>
                  <w:vAlign w:val="center"/>
                </w:tcPr>
                <w:p w14:paraId="0EC5F419">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不涉及</w:t>
                  </w:r>
                </w:p>
              </w:tc>
              <w:tc>
                <w:tcPr>
                  <w:tcW w:w="377" w:type="dxa"/>
                  <w:noWrap w:val="0"/>
                  <w:vAlign w:val="center"/>
                </w:tcPr>
                <w:p w14:paraId="0BD55990">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r>
            <w:tr w14:paraId="25104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687" w:type="dxa"/>
                  <w:vMerge w:val="continue"/>
                  <w:noWrap w:val="0"/>
                  <w:vAlign w:val="center"/>
                </w:tcPr>
                <w:p w14:paraId="4BCE172D">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p>
              </w:tc>
              <w:tc>
                <w:tcPr>
                  <w:tcW w:w="750" w:type="dxa"/>
                  <w:vMerge w:val="continue"/>
                  <w:noWrap w:val="0"/>
                  <w:vAlign w:val="center"/>
                </w:tcPr>
                <w:p w14:paraId="3220F4EC">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p>
              </w:tc>
              <w:tc>
                <w:tcPr>
                  <w:tcW w:w="641" w:type="dxa"/>
                  <w:vMerge w:val="continue"/>
                  <w:noWrap w:val="0"/>
                  <w:vAlign w:val="center"/>
                </w:tcPr>
                <w:p w14:paraId="113205E7">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cs="Times New Roman"/>
                      <w:color w:val="auto"/>
                      <w:sz w:val="21"/>
                      <w:szCs w:val="21"/>
                      <w:u w:val="none" w:color="auto"/>
                      <w:vertAlign w:val="baseline"/>
                      <w:lang w:val="en-US" w:eastAsia="zh-CN"/>
                    </w:rPr>
                  </w:pPr>
                </w:p>
              </w:tc>
              <w:tc>
                <w:tcPr>
                  <w:tcW w:w="668" w:type="dxa"/>
                  <w:noWrap w:val="0"/>
                  <w:vAlign w:val="center"/>
                </w:tcPr>
                <w:p w14:paraId="5BC3EDB2">
                  <w:pPr>
                    <w:widowControl/>
                    <w:jc w:val="center"/>
                    <w:rPr>
                      <w:rFonts w:hint="eastAsia" w:ascii="Times New Roman" w:hAnsi="Times New Roman" w:eastAsia="宋体" w:cs="Times New Roman"/>
                      <w:color w:val="auto"/>
                      <w:sz w:val="21"/>
                      <w:szCs w:val="21"/>
                      <w:u w:val="none" w:color="auto"/>
                      <w:vertAlign w:val="baseline"/>
                      <w:lang w:eastAsia="zh-CN"/>
                    </w:rPr>
                  </w:pPr>
                  <w:r>
                    <w:rPr>
                      <w:rFonts w:hint="eastAsia" w:cs="Times New Roman"/>
                      <w:color w:val="auto"/>
                      <w:kern w:val="0"/>
                      <w:sz w:val="21"/>
                      <w:szCs w:val="21"/>
                      <w:u w:val="none" w:color="auto"/>
                      <w:lang w:eastAsia="zh-CN"/>
                    </w:rPr>
                    <w:t>环境风险管控</w:t>
                  </w:r>
                </w:p>
              </w:tc>
              <w:tc>
                <w:tcPr>
                  <w:tcW w:w="3109" w:type="dxa"/>
                  <w:noWrap w:val="0"/>
                  <w:vAlign w:val="center"/>
                </w:tcPr>
                <w:p w14:paraId="68B1F29F">
                  <w:pPr>
                    <w:widowControl/>
                    <w:jc w:val="both"/>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kern w:val="0"/>
                      <w:sz w:val="21"/>
                      <w:szCs w:val="21"/>
                      <w:u w:val="none" w:color="auto"/>
                    </w:rPr>
                    <w:t>1开发区应制定环境风险应急预案，成立应急组织机构，定期开展应急演练，提高区域环境风险防范能力。 2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 3严格管理涉及易导致环境风险的有毒有害和易燃易爆物质的生产、使用、排放、贮运等新建、改扩建项目。 4严格落实规划环评及其批复文件制定的环境风险防范措施。</w:t>
                  </w:r>
                </w:p>
              </w:tc>
              <w:tc>
                <w:tcPr>
                  <w:tcW w:w="1446" w:type="dxa"/>
                  <w:noWrap w:val="0"/>
                  <w:vAlign w:val="center"/>
                </w:tcPr>
                <w:p w14:paraId="44A52694">
                  <w:pPr>
                    <w:pStyle w:val="2"/>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eastAsia" w:eastAsia="宋体" w:cs="Times New Roman"/>
                      <w:color w:val="auto"/>
                      <w:sz w:val="21"/>
                      <w:szCs w:val="21"/>
                      <w:u w:val="none" w:color="auto"/>
                      <w:vertAlign w:val="baseline"/>
                      <w:lang w:eastAsia="zh-CN"/>
                    </w:rPr>
                  </w:pPr>
                  <w:r>
                    <w:rPr>
                      <w:rFonts w:hint="eastAsia" w:cs="Times New Roman"/>
                      <w:color w:val="auto"/>
                      <w:sz w:val="21"/>
                      <w:szCs w:val="21"/>
                      <w:u w:val="none" w:color="auto"/>
                      <w:vertAlign w:val="baseline"/>
                      <w:lang w:eastAsia="zh-CN"/>
                    </w:rPr>
                    <w:t>本项目使用的具有环境风险的物质较少，严格管理，做好环境风险防范措施，事故风险可以控制在可接受的范围内。</w:t>
                  </w:r>
                  <w:r>
                    <w:rPr>
                      <w:rFonts w:hint="eastAsia" w:ascii="Times New Roman" w:hAnsi="Times New Roman" w:cs="Times New Roman"/>
                      <w:color w:val="auto"/>
                      <w:kern w:val="0"/>
                      <w:sz w:val="21"/>
                      <w:szCs w:val="21"/>
                      <w:u w:val="none" w:color="auto"/>
                      <w:lang w:eastAsia="zh-CN"/>
                    </w:rPr>
                    <w:t>项目所在地不属于污染地块</w:t>
                  </w:r>
                  <w:r>
                    <w:rPr>
                      <w:rFonts w:hint="eastAsia" w:cs="Times New Roman"/>
                      <w:color w:val="auto"/>
                      <w:kern w:val="0"/>
                      <w:sz w:val="21"/>
                      <w:szCs w:val="21"/>
                      <w:u w:val="none" w:color="auto"/>
                      <w:lang w:eastAsia="zh-CN"/>
                    </w:rPr>
                    <w:t>，</w:t>
                  </w:r>
                  <w:r>
                    <w:rPr>
                      <w:rFonts w:hint="eastAsia" w:cs="Times New Roman"/>
                      <w:color w:val="auto"/>
                      <w:kern w:val="0"/>
                      <w:sz w:val="21"/>
                      <w:szCs w:val="21"/>
                      <w:u w:val="none" w:color="auto"/>
                      <w:lang w:val="en-US" w:eastAsia="zh-CN"/>
                    </w:rPr>
                    <w:t>不属于</w:t>
                  </w:r>
                  <w:r>
                    <w:rPr>
                      <w:rFonts w:hint="default" w:ascii="Times New Roman" w:hAnsi="Times New Roman" w:eastAsia="宋体" w:cs="Times New Roman"/>
                      <w:color w:val="auto"/>
                      <w:kern w:val="0"/>
                      <w:sz w:val="21"/>
                      <w:szCs w:val="21"/>
                      <w:u w:val="none" w:color="auto"/>
                    </w:rPr>
                    <w:t>土壤环境污染重点监管企业、危化品仓储企业</w:t>
                  </w:r>
                  <w:r>
                    <w:rPr>
                      <w:rFonts w:hint="eastAsia" w:ascii="Times New Roman" w:hAnsi="Times New Roman" w:cs="Times New Roman"/>
                      <w:color w:val="auto"/>
                      <w:kern w:val="0"/>
                      <w:sz w:val="21"/>
                      <w:szCs w:val="21"/>
                      <w:u w:val="none" w:color="auto"/>
                      <w:lang w:eastAsia="zh-CN"/>
                    </w:rPr>
                    <w:t>。</w:t>
                  </w:r>
                </w:p>
              </w:tc>
              <w:tc>
                <w:tcPr>
                  <w:tcW w:w="377" w:type="dxa"/>
                  <w:noWrap w:val="0"/>
                  <w:vAlign w:val="center"/>
                </w:tcPr>
                <w:p w14:paraId="312EAA11">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cs="Times New Roman"/>
                      <w:color w:val="auto"/>
                      <w:sz w:val="21"/>
                      <w:szCs w:val="21"/>
                      <w:u w:val="none" w:color="auto"/>
                      <w:vertAlign w:val="baseline"/>
                      <w:lang w:eastAsia="zh-CN"/>
                    </w:rPr>
                  </w:pPr>
                  <w:r>
                    <w:rPr>
                      <w:rFonts w:hint="eastAsia" w:cs="Times New Roman"/>
                      <w:color w:val="auto"/>
                      <w:sz w:val="21"/>
                      <w:szCs w:val="21"/>
                      <w:u w:val="none" w:color="auto"/>
                      <w:vertAlign w:val="baseline"/>
                      <w:lang w:eastAsia="zh-CN"/>
                    </w:rPr>
                    <w:t>符合</w:t>
                  </w:r>
                </w:p>
              </w:tc>
            </w:tr>
            <w:tr w14:paraId="032A27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687" w:type="dxa"/>
                  <w:vMerge w:val="continue"/>
                  <w:noWrap w:val="0"/>
                  <w:vAlign w:val="center"/>
                </w:tcPr>
                <w:p w14:paraId="18FDCD43">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p>
              </w:tc>
              <w:tc>
                <w:tcPr>
                  <w:tcW w:w="750" w:type="dxa"/>
                  <w:vMerge w:val="continue"/>
                  <w:noWrap w:val="0"/>
                  <w:vAlign w:val="center"/>
                </w:tcPr>
                <w:p w14:paraId="64677566">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eastAsia="宋体" w:cs="Times New Roman"/>
                      <w:color w:val="auto"/>
                      <w:sz w:val="21"/>
                      <w:szCs w:val="21"/>
                      <w:u w:val="none" w:color="auto"/>
                      <w:vertAlign w:val="baseline"/>
                    </w:rPr>
                  </w:pPr>
                </w:p>
              </w:tc>
              <w:tc>
                <w:tcPr>
                  <w:tcW w:w="641" w:type="dxa"/>
                  <w:vMerge w:val="continue"/>
                  <w:noWrap w:val="0"/>
                  <w:vAlign w:val="center"/>
                </w:tcPr>
                <w:p w14:paraId="2CB52EC9">
                  <w:pPr>
                    <w:pStyle w:val="2"/>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cs="Times New Roman"/>
                      <w:color w:val="auto"/>
                      <w:sz w:val="21"/>
                      <w:szCs w:val="21"/>
                      <w:u w:val="none" w:color="auto"/>
                      <w:vertAlign w:val="baseline"/>
                      <w:lang w:val="en-US" w:eastAsia="zh-CN"/>
                    </w:rPr>
                  </w:pPr>
                </w:p>
              </w:tc>
              <w:tc>
                <w:tcPr>
                  <w:tcW w:w="668" w:type="dxa"/>
                  <w:noWrap w:val="0"/>
                  <w:vAlign w:val="center"/>
                </w:tcPr>
                <w:p w14:paraId="3618D2B3">
                  <w:pPr>
                    <w:widowControl/>
                    <w:jc w:val="center"/>
                    <w:rPr>
                      <w:rFonts w:hint="eastAsia" w:cs="Times New Roman"/>
                      <w:color w:val="auto"/>
                      <w:kern w:val="0"/>
                      <w:sz w:val="21"/>
                      <w:szCs w:val="21"/>
                      <w:u w:val="none" w:color="auto"/>
                      <w:lang w:eastAsia="zh-CN"/>
                    </w:rPr>
                  </w:pPr>
                  <w:r>
                    <w:rPr>
                      <w:rFonts w:hint="eastAsia" w:cs="Times New Roman"/>
                      <w:color w:val="auto"/>
                      <w:kern w:val="0"/>
                      <w:sz w:val="21"/>
                      <w:szCs w:val="21"/>
                      <w:u w:val="none" w:color="auto"/>
                      <w:lang w:eastAsia="zh-CN"/>
                    </w:rPr>
                    <w:t>资源开发利用</w:t>
                  </w:r>
                </w:p>
              </w:tc>
              <w:tc>
                <w:tcPr>
                  <w:tcW w:w="3109" w:type="dxa"/>
                  <w:noWrap w:val="0"/>
                  <w:vAlign w:val="center"/>
                </w:tcPr>
                <w:p w14:paraId="3CFF5D23">
                  <w:pPr>
                    <w:widowControl/>
                    <w:jc w:val="both"/>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 xml:space="preserve">1推广园区集中供热，园区新建供热设施须执行排放浓度限值。 </w:t>
                  </w:r>
                </w:p>
                <w:p w14:paraId="73F73147">
                  <w:pPr>
                    <w:widowControl/>
                    <w:jc w:val="both"/>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2完成吉林省下达的产能置换要求。各产业执行对应的清洁生产标准。</w:t>
                  </w:r>
                </w:p>
              </w:tc>
              <w:tc>
                <w:tcPr>
                  <w:tcW w:w="1446" w:type="dxa"/>
                  <w:noWrap w:val="0"/>
                  <w:vAlign w:val="center"/>
                </w:tcPr>
                <w:p w14:paraId="6D11D5A8">
                  <w:pPr>
                    <w:pStyle w:val="2"/>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eastAsia" w:cs="Times New Roman"/>
                      <w:color w:val="auto"/>
                      <w:sz w:val="21"/>
                      <w:szCs w:val="21"/>
                      <w:u w:val="none" w:color="auto"/>
                      <w:vertAlign w:val="baseline"/>
                      <w:lang w:eastAsia="zh-CN"/>
                    </w:rPr>
                  </w:pPr>
                  <w:r>
                    <w:rPr>
                      <w:rFonts w:hint="eastAsia" w:cs="Times New Roman"/>
                      <w:color w:val="auto"/>
                      <w:sz w:val="21"/>
                      <w:szCs w:val="21"/>
                      <w:u w:val="none" w:color="auto"/>
                      <w:vertAlign w:val="baseline"/>
                      <w:lang w:eastAsia="zh-CN"/>
                    </w:rPr>
                    <w:t>本项目冬季不生产，无需取暖。本项目不涉及产能置换。</w:t>
                  </w:r>
                </w:p>
              </w:tc>
              <w:tc>
                <w:tcPr>
                  <w:tcW w:w="377" w:type="dxa"/>
                  <w:noWrap w:val="0"/>
                  <w:vAlign w:val="center"/>
                </w:tcPr>
                <w:p w14:paraId="2E61A36D">
                  <w:pPr>
                    <w:pStyle w:val="2"/>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eastAsia" w:cs="Times New Roman"/>
                      <w:color w:val="auto"/>
                      <w:sz w:val="21"/>
                      <w:szCs w:val="21"/>
                      <w:u w:val="none" w:color="auto"/>
                      <w:vertAlign w:val="baseline"/>
                      <w:lang w:eastAsia="zh-CN"/>
                    </w:rPr>
                  </w:pPr>
                  <w:r>
                    <w:rPr>
                      <w:rFonts w:hint="eastAsia" w:cs="Times New Roman"/>
                      <w:color w:val="auto"/>
                      <w:sz w:val="21"/>
                      <w:szCs w:val="21"/>
                      <w:u w:val="none" w:color="auto"/>
                      <w:vertAlign w:val="baseline"/>
                      <w:lang w:eastAsia="zh-CN"/>
                    </w:rPr>
                    <w:t>符合</w:t>
                  </w:r>
                </w:p>
              </w:tc>
            </w:tr>
          </w:tbl>
          <w:p w14:paraId="0CC6D4E1">
            <w:pPr>
              <w:pStyle w:val="7"/>
              <w:spacing w:line="360" w:lineRule="auto"/>
              <w:ind w:firstLine="482" w:firstLineChars="200"/>
              <w:rPr>
                <w:b/>
                <w:bCs/>
                <w:sz w:val="24"/>
                <w:szCs w:val="24"/>
              </w:rPr>
            </w:pPr>
            <w:r>
              <w:rPr>
                <w:rFonts w:hint="eastAsia"/>
                <w:b/>
                <w:bCs/>
                <w:sz w:val="24"/>
                <w:szCs w:val="24"/>
                <w:lang w:val="en-US" w:eastAsia="zh-CN"/>
              </w:rPr>
              <w:t>3</w:t>
            </w:r>
            <w:r>
              <w:rPr>
                <w:b/>
                <w:bCs/>
                <w:sz w:val="24"/>
                <w:szCs w:val="24"/>
              </w:rPr>
              <w:t>、选址合理性分析</w:t>
            </w:r>
          </w:p>
          <w:p w14:paraId="3ED33B62">
            <w:pPr>
              <w:pStyle w:val="7"/>
              <w:spacing w:line="360" w:lineRule="auto"/>
              <w:ind w:firstLine="480" w:firstLineChars="200"/>
              <w:jc w:val="both"/>
              <w:rPr>
                <w:sz w:val="24"/>
                <w:szCs w:val="24"/>
              </w:rPr>
            </w:pPr>
            <w:r>
              <w:rPr>
                <w:color w:val="000000"/>
                <w:sz w:val="24"/>
                <w:szCs w:val="24"/>
              </w:rPr>
              <w:t>本项目位于</w:t>
            </w:r>
            <w:r>
              <w:rPr>
                <w:rFonts w:hint="eastAsia"/>
                <w:color w:val="000000"/>
                <w:sz w:val="24"/>
                <w:szCs w:val="24"/>
              </w:rPr>
              <w:t>吉林省</w:t>
            </w:r>
            <w:r>
              <w:rPr>
                <w:rFonts w:hint="eastAsia"/>
                <w:color w:val="000000"/>
                <w:sz w:val="24"/>
                <w:szCs w:val="24"/>
                <w:lang w:eastAsia="zh-CN"/>
              </w:rPr>
              <w:t>临江市大湖街道临城村6社</w:t>
            </w:r>
            <w:r>
              <w:rPr>
                <w:rFonts w:hint="eastAsia"/>
                <w:color w:val="000000"/>
                <w:sz w:val="24"/>
                <w:szCs w:val="24"/>
                <w:highlight w:val="none"/>
                <w:lang w:val="en-US" w:eastAsia="zh-CN"/>
              </w:rPr>
              <w:t>，用地</w:t>
            </w:r>
            <w:r>
              <w:rPr>
                <w:color w:val="000000"/>
                <w:sz w:val="24"/>
                <w:szCs w:val="24"/>
                <w:highlight w:val="none"/>
              </w:rPr>
              <w:t>性质为</w:t>
            </w:r>
            <w:r>
              <w:rPr>
                <w:rFonts w:hint="eastAsia"/>
                <w:color w:val="000000"/>
                <w:sz w:val="24"/>
                <w:szCs w:val="24"/>
                <w:highlight w:val="none"/>
                <w:lang w:val="en-US" w:eastAsia="zh-CN"/>
              </w:rPr>
              <w:t>工业用地</w:t>
            </w:r>
            <w:r>
              <w:rPr>
                <w:rFonts w:hint="eastAsia"/>
                <w:color w:val="000000"/>
                <w:sz w:val="24"/>
                <w:szCs w:val="24"/>
                <w:highlight w:val="none"/>
              </w:rPr>
              <w:t>，</w:t>
            </w:r>
            <w:r>
              <w:rPr>
                <w:color w:val="auto"/>
                <w:sz w:val="24"/>
                <w:szCs w:val="24"/>
                <w:highlight w:val="none"/>
              </w:rPr>
              <w:t>项目厂</w:t>
            </w:r>
            <w:r>
              <w:rPr>
                <w:rFonts w:hint="eastAsia"/>
                <w:color w:val="auto"/>
                <w:sz w:val="24"/>
                <w:szCs w:val="24"/>
                <w:lang w:eastAsia="zh-CN"/>
              </w:rPr>
              <w:t>区</w:t>
            </w:r>
            <w:r>
              <w:rPr>
                <w:rFonts w:hint="eastAsia"/>
                <w:color w:val="auto"/>
                <w:sz w:val="24"/>
                <w:szCs w:val="24"/>
                <w:highlight w:val="none"/>
                <w:lang w:val="en-US" w:eastAsia="zh-CN"/>
              </w:rPr>
              <w:t>东侧隔空地为三道沟河、南侧为闲置厂房，西侧和北侧为德爱地板厂</w:t>
            </w:r>
            <w:r>
              <w:rPr>
                <w:rFonts w:hint="eastAsia"/>
                <w:color w:val="auto"/>
                <w:sz w:val="24"/>
                <w:szCs w:val="24"/>
                <w:lang w:val="en-US" w:eastAsia="zh-CN"/>
              </w:rPr>
              <w:t>，</w:t>
            </w:r>
            <w:r>
              <w:rPr>
                <w:rFonts w:hint="default" w:ascii="Times New Roman" w:hAnsi="Times New Roman" w:cs="Times New Roman"/>
                <w:b w:val="0"/>
                <w:bCs w:val="0"/>
                <w:color w:val="auto"/>
                <w:sz w:val="24"/>
                <w:u w:val="none" w:color="auto"/>
              </w:rPr>
              <w:t>最近敏感点为</w:t>
            </w:r>
            <w:r>
              <w:rPr>
                <w:rFonts w:hint="eastAsia" w:cs="Times New Roman"/>
                <w:b w:val="0"/>
                <w:bCs w:val="0"/>
                <w:color w:val="auto"/>
                <w:sz w:val="24"/>
                <w:u w:val="none" w:color="auto"/>
                <w:lang w:eastAsia="zh-CN"/>
              </w:rPr>
              <w:t>厂区南侧320m处临城村8社居民</w:t>
            </w:r>
            <w:r>
              <w:rPr>
                <w:rFonts w:hint="eastAsia"/>
                <w:color w:val="auto"/>
                <w:sz w:val="24"/>
                <w:szCs w:val="24"/>
                <w:highlight w:val="none"/>
              </w:rPr>
              <w:t>。</w:t>
            </w:r>
          </w:p>
          <w:p w14:paraId="11AE7EC7">
            <w:pPr>
              <w:autoSpaceDE w:val="0"/>
              <w:autoSpaceDN w:val="0"/>
              <w:adjustRightInd w:val="0"/>
              <w:snapToGrid w:val="0"/>
              <w:spacing w:line="360" w:lineRule="auto"/>
              <w:ind w:firstLine="480" w:firstLineChars="200"/>
              <w:jc w:val="left"/>
              <w:rPr>
                <w:rFonts w:hint="default" w:ascii="Times New Roman" w:hAnsi="Times New Roman" w:cs="Times New Roman"/>
                <w:sz w:val="24"/>
                <w:highlight w:val="none"/>
                <w:u w:val="none" w:color="auto"/>
                <w:lang w:val="en-US" w:eastAsia="zh-CN"/>
              </w:rPr>
            </w:pPr>
            <w:r>
              <w:rPr>
                <w:sz w:val="24"/>
                <w:szCs w:val="24"/>
              </w:rPr>
              <w:t>本项目</w:t>
            </w:r>
            <w:r>
              <w:rPr>
                <w:rFonts w:hint="eastAsia"/>
                <w:sz w:val="24"/>
                <w:szCs w:val="24"/>
                <w:lang w:eastAsia="zh-CN"/>
              </w:rPr>
              <w:t>位于</w:t>
            </w:r>
            <w:r>
              <w:rPr>
                <w:rFonts w:hint="eastAsia" w:ascii="Times New Roman" w:hAnsi="Times New Roman" w:cs="Times New Roman"/>
                <w:color w:val="auto"/>
                <w:kern w:val="0"/>
                <w:sz w:val="24"/>
                <w:szCs w:val="24"/>
                <w:highlight w:val="none"/>
                <w:lang w:eastAsia="zh-CN"/>
              </w:rPr>
              <w:t>吉林临江边境经济合作区，</w:t>
            </w:r>
            <w:r>
              <w:rPr>
                <w:sz w:val="24"/>
                <w:szCs w:val="24"/>
              </w:rPr>
              <w:t>所在区域既不是饮用水源保护区、自然保护区等经规划确定或县级以上政府批准的需特殊保护地区，也不是严重缺水区、重要湿地等生态敏感与脆弱区，同时也不是文教区、疗养地及具历史、文化、科学、民族意义的保护区等社会关注区。</w:t>
            </w:r>
            <w:r>
              <w:rPr>
                <w:rFonts w:hint="eastAsia" w:cs="Times New Roman"/>
                <w:sz w:val="24"/>
                <w:highlight w:val="none"/>
                <w:u w:val="none" w:color="auto"/>
                <w:lang w:val="en-US" w:eastAsia="zh-CN"/>
              </w:rPr>
              <w:t>项目不涉及生态保护红线</w:t>
            </w:r>
            <w:r>
              <w:rPr>
                <w:rFonts w:hint="default" w:ascii="Times New Roman" w:hAnsi="Times New Roman" w:eastAsia="宋体" w:cs="Times New Roman"/>
                <w:sz w:val="24"/>
                <w:szCs w:val="24"/>
                <w:highlight w:val="none"/>
                <w:u w:val="none" w:color="auto"/>
                <w:lang w:val="en-US" w:eastAsia="zh-CN"/>
              </w:rPr>
              <w:t>划定区</w:t>
            </w:r>
            <w:r>
              <w:rPr>
                <w:rFonts w:hint="eastAsia" w:cs="Times New Roman"/>
                <w:sz w:val="24"/>
                <w:highlight w:val="none"/>
                <w:u w:val="none" w:color="auto"/>
                <w:lang w:val="en-US" w:eastAsia="zh-CN"/>
              </w:rPr>
              <w:t>，</w:t>
            </w:r>
            <w:r>
              <w:rPr>
                <w:rFonts w:hint="default" w:ascii="Times New Roman" w:hAnsi="Times New Roman" w:eastAsia="宋体" w:cs="Times New Roman"/>
                <w:sz w:val="24"/>
                <w:szCs w:val="24"/>
                <w:highlight w:val="none"/>
                <w:u w:val="none" w:color="auto"/>
                <w:lang w:val="en-US" w:eastAsia="zh-CN"/>
              </w:rPr>
              <w:t>符合环境质量底线的原则</w:t>
            </w:r>
            <w:r>
              <w:rPr>
                <w:rFonts w:hint="eastAsia" w:ascii="Times New Roman" w:hAnsi="Times New Roman" w:eastAsia="宋体" w:cs="Times New Roman"/>
                <w:sz w:val="24"/>
                <w:szCs w:val="24"/>
                <w:highlight w:val="none"/>
                <w:u w:val="none" w:color="auto"/>
                <w:lang w:val="en-US" w:eastAsia="zh-CN"/>
              </w:rPr>
              <w:t>，</w:t>
            </w:r>
            <w:r>
              <w:rPr>
                <w:rFonts w:hint="default" w:ascii="Times New Roman" w:hAnsi="Times New Roman" w:eastAsia="宋体" w:cs="Times New Roman"/>
                <w:sz w:val="24"/>
                <w:szCs w:val="24"/>
                <w:highlight w:val="none"/>
                <w:u w:val="none" w:color="auto"/>
                <w:lang w:val="en-US" w:eastAsia="zh-CN"/>
              </w:rPr>
              <w:t>符合资源利用上线要求</w:t>
            </w:r>
            <w:r>
              <w:rPr>
                <w:rFonts w:hint="eastAsia" w:ascii="Times New Roman" w:hAnsi="Times New Roman" w:eastAsia="宋体" w:cs="Times New Roman"/>
                <w:sz w:val="24"/>
                <w:szCs w:val="24"/>
                <w:highlight w:val="none"/>
                <w:u w:val="none" w:color="auto"/>
                <w:lang w:val="en-US" w:eastAsia="zh-CN"/>
              </w:rPr>
              <w:t>。</w:t>
            </w:r>
            <w:r>
              <w:rPr>
                <w:rFonts w:hint="eastAsia"/>
                <w:kern w:val="0"/>
                <w:sz w:val="24"/>
                <w:u w:val="none" w:color="auto"/>
                <w:lang w:val="en-US" w:eastAsia="zh-CN" w:bidi="ar"/>
              </w:rPr>
              <w:t>本项目位于白山市环境管控单元中的重点管控单元——吉林临江边境经济合作区，经对比分析，项目符合吉林省生态环境准入清单总体准入要求、YLJ流域总体准入要求、白山市生态环境准入清单总体准入要求、环境管控单元生态环境准入清单准入要求，符合</w:t>
            </w:r>
            <w:r>
              <w:rPr>
                <w:rFonts w:hint="eastAsia" w:ascii="Times New Roman" w:hAnsi="Times New Roman" w:cs="Times New Roman"/>
                <w:color w:val="auto"/>
                <w:kern w:val="0"/>
                <w:sz w:val="24"/>
                <w:szCs w:val="24"/>
                <w:highlight w:val="none"/>
                <w:lang w:eastAsia="zh-CN"/>
              </w:rPr>
              <w:t>《吉林临江边境经济合作区总体规划</w:t>
            </w:r>
            <w:r>
              <w:rPr>
                <w:rFonts w:hint="default" w:ascii="Times New Roman" w:hAnsi="Times New Roman" w:cs="Times New Roman"/>
                <w:color w:val="auto"/>
                <w:kern w:val="0"/>
                <w:sz w:val="24"/>
                <w:szCs w:val="24"/>
                <w:highlight w:val="none"/>
              </w:rPr>
              <w:t>（2018-2035）</w:t>
            </w:r>
            <w:r>
              <w:rPr>
                <w:rFonts w:hint="eastAsia" w:ascii="Times New Roman" w:hAnsi="Times New Roman" w:cs="Times New Roman"/>
                <w:color w:val="auto"/>
                <w:kern w:val="0"/>
                <w:sz w:val="24"/>
                <w:szCs w:val="24"/>
                <w:highlight w:val="none"/>
                <w:lang w:eastAsia="zh-CN"/>
              </w:rPr>
              <w:t>》相关要求</w:t>
            </w:r>
            <w:r>
              <w:rPr>
                <w:rFonts w:hint="eastAsia"/>
                <w:kern w:val="0"/>
                <w:sz w:val="24"/>
                <w:u w:val="none" w:color="auto"/>
                <w:lang w:val="en-US" w:eastAsia="zh-CN" w:bidi="ar"/>
              </w:rPr>
              <w:t>。</w:t>
            </w:r>
          </w:p>
          <w:p w14:paraId="60119BA6">
            <w:pPr>
              <w:autoSpaceDE w:val="0"/>
              <w:autoSpaceDN w:val="0"/>
              <w:adjustRightInd w:val="0"/>
              <w:snapToGrid w:val="0"/>
              <w:spacing w:line="360" w:lineRule="auto"/>
              <w:ind w:firstLine="480" w:firstLineChars="200"/>
              <w:jc w:val="both"/>
              <w:rPr>
                <w:rFonts w:hint="default" w:ascii="Times New Roman" w:hAnsi="Times New Roman" w:cs="Times New Roman"/>
                <w:sz w:val="24"/>
                <w:highlight w:val="none"/>
                <w:u w:val="none"/>
                <w:lang w:val="en-US" w:eastAsia="zh-CN"/>
              </w:rPr>
            </w:pPr>
            <w:r>
              <w:rPr>
                <w:rFonts w:hint="eastAsia" w:cs="Times New Roman"/>
                <w:sz w:val="24"/>
                <w:highlight w:val="none"/>
                <w:u w:val="none"/>
                <w:lang w:val="en-US" w:eastAsia="zh-CN"/>
              </w:rPr>
              <w:t>综上，</w:t>
            </w:r>
            <w:r>
              <w:rPr>
                <w:rFonts w:hint="default" w:ascii="Times New Roman" w:hAnsi="Times New Roman" w:cs="Times New Roman"/>
                <w:sz w:val="24"/>
                <w:highlight w:val="none"/>
                <w:u w:val="none"/>
                <w:lang w:val="en-US" w:eastAsia="zh-CN"/>
              </w:rPr>
              <w:t>项目对外环境无明显制约因素，因此本项目选址合理。</w:t>
            </w:r>
          </w:p>
          <w:p w14:paraId="6ABD7AF8">
            <w:pPr>
              <w:pStyle w:val="7"/>
              <w:spacing w:line="360" w:lineRule="auto"/>
              <w:ind w:firstLine="482" w:firstLineChars="200"/>
              <w:rPr>
                <w:b/>
                <w:bCs/>
                <w:sz w:val="24"/>
                <w:szCs w:val="24"/>
              </w:rPr>
            </w:pPr>
            <w:r>
              <w:rPr>
                <w:rFonts w:hint="eastAsia"/>
                <w:b/>
                <w:bCs/>
                <w:sz w:val="24"/>
                <w:szCs w:val="24"/>
                <w:lang w:val="en-US" w:eastAsia="zh-CN"/>
              </w:rPr>
              <w:t>4</w:t>
            </w:r>
            <w:r>
              <w:rPr>
                <w:b/>
                <w:bCs/>
                <w:sz w:val="24"/>
                <w:szCs w:val="24"/>
              </w:rPr>
              <w:t>、环境功能区划的符合性分析</w:t>
            </w:r>
          </w:p>
          <w:p w14:paraId="65FEB185">
            <w:pPr>
              <w:pStyle w:val="7"/>
              <w:spacing w:line="360" w:lineRule="auto"/>
              <w:ind w:firstLine="480" w:firstLineChars="200"/>
              <w:rPr>
                <w:rFonts w:hint="eastAsia"/>
                <w:sz w:val="24"/>
                <w:szCs w:val="24"/>
              </w:rPr>
            </w:pPr>
            <w:r>
              <w:rPr>
                <w:sz w:val="24"/>
                <w:szCs w:val="24"/>
              </w:rPr>
              <w:t>本项目产生的污染物经采取相应治理措施后均能实现达标排放，对周围环境影响较小，不会改变区域环境功能，因此项目建设符合区域环境</w:t>
            </w:r>
            <w:r>
              <w:rPr>
                <w:rFonts w:hint="eastAsia"/>
                <w:sz w:val="24"/>
                <w:szCs w:val="24"/>
                <w:lang w:val="en-US" w:eastAsia="zh-CN"/>
              </w:rPr>
              <w:t>功能</w:t>
            </w:r>
            <w:r>
              <w:rPr>
                <w:sz w:val="24"/>
                <w:szCs w:val="24"/>
              </w:rPr>
              <w:t>区划</w:t>
            </w:r>
            <w:r>
              <w:rPr>
                <w:rFonts w:hint="eastAsia"/>
                <w:sz w:val="24"/>
                <w:szCs w:val="24"/>
                <w:lang w:eastAsia="zh-CN"/>
              </w:rPr>
              <w:t>要求</w:t>
            </w:r>
            <w:r>
              <w:rPr>
                <w:rFonts w:hint="eastAsia"/>
                <w:sz w:val="24"/>
                <w:szCs w:val="24"/>
              </w:rPr>
              <w:t>。</w:t>
            </w:r>
          </w:p>
          <w:p w14:paraId="234CB577">
            <w:pPr>
              <w:pStyle w:val="7"/>
              <w:spacing w:line="360" w:lineRule="auto"/>
              <w:ind w:firstLine="482" w:firstLineChars="200"/>
              <w:rPr>
                <w:rFonts w:hint="eastAsia"/>
                <w:b/>
                <w:bCs/>
                <w:sz w:val="24"/>
                <w:szCs w:val="24"/>
              </w:rPr>
            </w:pPr>
            <w:r>
              <w:rPr>
                <w:rFonts w:hint="eastAsia"/>
                <w:b/>
                <w:bCs/>
                <w:sz w:val="24"/>
                <w:szCs w:val="24"/>
                <w:lang w:val="en-US" w:eastAsia="zh-CN"/>
              </w:rPr>
              <w:t>5</w:t>
            </w:r>
            <w:r>
              <w:rPr>
                <w:rFonts w:hint="eastAsia"/>
                <w:b/>
                <w:bCs/>
                <w:sz w:val="24"/>
                <w:szCs w:val="24"/>
              </w:rPr>
              <w:t>、与《中华人民共和国大气污染防治法》的符合性分析</w:t>
            </w:r>
          </w:p>
          <w:p w14:paraId="2AFEB21C">
            <w:pPr>
              <w:pStyle w:val="7"/>
              <w:spacing w:line="360" w:lineRule="auto"/>
              <w:ind w:firstLine="480" w:firstLineChars="200"/>
              <w:rPr>
                <w:rFonts w:hint="eastAsia"/>
                <w:sz w:val="24"/>
                <w:szCs w:val="24"/>
              </w:rPr>
            </w:pPr>
            <w:r>
              <w:rPr>
                <w:rFonts w:hint="eastAsia"/>
                <w:sz w:val="24"/>
                <w:szCs w:val="24"/>
              </w:rPr>
              <w:t>根据《中华人民共和国大气污染防治法》的有关规定</w:t>
            </w:r>
            <w:r>
              <w:rPr>
                <w:rFonts w:hint="eastAsia"/>
                <w:sz w:val="24"/>
                <w:szCs w:val="24"/>
                <w:lang w:eastAsia="zh-CN"/>
              </w:rPr>
              <w:t>：</w:t>
            </w:r>
            <w:r>
              <w:rPr>
                <w:rFonts w:hint="eastAsia"/>
                <w:sz w:val="24"/>
                <w:szCs w:val="24"/>
              </w:rPr>
              <w:t>“工业生产企业应当采取密闭、围挡、遮盖、清扫、洒水等措施，减少内部物料的堆存、传输、装卸等环节产生的粉尘和气态污染物的排放。”</w:t>
            </w:r>
          </w:p>
          <w:p w14:paraId="495E8C43">
            <w:pPr>
              <w:pStyle w:val="7"/>
              <w:spacing w:line="360" w:lineRule="auto"/>
              <w:ind w:firstLine="480" w:firstLineChars="200"/>
              <w:rPr>
                <w:rFonts w:hint="eastAsia"/>
                <w:sz w:val="24"/>
                <w:szCs w:val="24"/>
              </w:rPr>
            </w:pPr>
            <w:r>
              <w:rPr>
                <w:rFonts w:hint="eastAsia"/>
                <w:sz w:val="24"/>
                <w:szCs w:val="24"/>
              </w:rPr>
              <w:t>本项目产生扬尘污染主要是原料堆放及搅拌站上料工序产生的，为了避免对周围环境产生较大污染，本项目采取的环保措施主要是厂区地面</w:t>
            </w:r>
            <w:r>
              <w:rPr>
                <w:rFonts w:hint="eastAsia"/>
                <w:sz w:val="24"/>
                <w:szCs w:val="24"/>
                <w:lang w:val="en-US" w:eastAsia="zh-CN"/>
              </w:rPr>
              <w:t>全部进行</w:t>
            </w:r>
            <w:r>
              <w:rPr>
                <w:rFonts w:hint="eastAsia"/>
                <w:sz w:val="24"/>
                <w:szCs w:val="24"/>
              </w:rPr>
              <w:t>水泥硬化，粉状原料采用密闭筒仓储存，</w:t>
            </w:r>
            <w:r>
              <w:rPr>
                <w:rFonts w:hint="eastAsia"/>
                <w:sz w:val="24"/>
                <w:szCs w:val="24"/>
                <w:lang w:eastAsia="zh-CN"/>
              </w:rPr>
              <w:t>骨</w:t>
            </w:r>
            <w:r>
              <w:rPr>
                <w:rFonts w:hint="eastAsia"/>
                <w:sz w:val="24"/>
                <w:szCs w:val="24"/>
              </w:rPr>
              <w:t>料堆</w:t>
            </w:r>
            <w:r>
              <w:rPr>
                <w:rFonts w:hint="eastAsia"/>
                <w:sz w:val="24"/>
                <w:szCs w:val="24"/>
                <w:lang w:val="en-US" w:eastAsia="zh-CN"/>
              </w:rPr>
              <w:t>场采用封闭料库、洒水降尘</w:t>
            </w:r>
            <w:r>
              <w:rPr>
                <w:rFonts w:hint="eastAsia"/>
                <w:sz w:val="24"/>
                <w:szCs w:val="24"/>
              </w:rPr>
              <w:t>，搅拌</w:t>
            </w:r>
            <w:r>
              <w:rPr>
                <w:rFonts w:hint="eastAsia"/>
                <w:sz w:val="24"/>
                <w:szCs w:val="24"/>
                <w:lang w:eastAsia="zh-CN"/>
              </w:rPr>
              <w:t>楼</w:t>
            </w:r>
            <w:r>
              <w:rPr>
                <w:rFonts w:hint="eastAsia"/>
                <w:sz w:val="24"/>
                <w:szCs w:val="24"/>
              </w:rPr>
              <w:t>进行全封闭处理，厂区进行定期洒水降尘，在大风天气要增加洒水降尘频次。厂区内道路运输扬尘采取定期清扫运输道路，并采用洒水车进行洒水降尘。经采取上述有效治理措施后，本项目符合《中华人民共和国大气污染防治法》的规定要求。</w:t>
            </w:r>
          </w:p>
          <w:p w14:paraId="2DB75463">
            <w:pPr>
              <w:pStyle w:val="7"/>
              <w:spacing w:line="360" w:lineRule="auto"/>
              <w:ind w:firstLine="482" w:firstLineChars="200"/>
              <w:rPr>
                <w:rFonts w:hint="eastAsia"/>
                <w:b/>
                <w:bCs/>
                <w:sz w:val="24"/>
                <w:szCs w:val="24"/>
                <w:u w:val="single"/>
              </w:rPr>
            </w:pPr>
            <w:r>
              <w:rPr>
                <w:rFonts w:hint="eastAsia"/>
                <w:b/>
                <w:bCs/>
                <w:sz w:val="24"/>
                <w:szCs w:val="24"/>
                <w:u w:val="single"/>
                <w:lang w:val="en-US" w:eastAsia="zh-CN"/>
              </w:rPr>
              <w:t>6</w:t>
            </w:r>
            <w:r>
              <w:rPr>
                <w:rFonts w:hint="eastAsia"/>
                <w:b/>
                <w:bCs/>
                <w:sz w:val="24"/>
                <w:szCs w:val="24"/>
                <w:u w:val="single"/>
              </w:rPr>
              <w:t>、与</w:t>
            </w:r>
            <w:r>
              <w:rPr>
                <w:rFonts w:hint="eastAsia"/>
                <w:b/>
                <w:bCs/>
                <w:sz w:val="24"/>
                <w:szCs w:val="24"/>
                <w:u w:val="single"/>
                <w:lang w:val="en-US" w:eastAsia="zh-CN"/>
              </w:rPr>
              <w:t>《空气质量持续改善行动计划》</w:t>
            </w:r>
            <w:r>
              <w:rPr>
                <w:rFonts w:hint="eastAsia"/>
                <w:b/>
                <w:bCs/>
                <w:sz w:val="24"/>
                <w:szCs w:val="24"/>
                <w:u w:val="single"/>
              </w:rPr>
              <w:t>符合性分析</w:t>
            </w:r>
          </w:p>
          <w:p w14:paraId="20688E33">
            <w:pPr>
              <w:pStyle w:val="7"/>
              <w:spacing w:line="360" w:lineRule="auto"/>
              <w:ind w:firstLine="480" w:firstLineChars="200"/>
              <w:rPr>
                <w:rFonts w:hint="eastAsia"/>
                <w:b/>
                <w:bCs/>
                <w:sz w:val="24"/>
                <w:szCs w:val="24"/>
                <w:u w:val="single"/>
                <w:lang w:val="en-US" w:eastAsia="zh-CN"/>
              </w:rPr>
            </w:pPr>
            <w:r>
              <w:rPr>
                <w:rFonts w:hint="eastAsia" w:ascii="Times New Roman" w:hAnsi="Times New Roman" w:eastAsia="宋体" w:cs="Times New Roman"/>
                <w:kern w:val="2"/>
                <w:sz w:val="24"/>
                <w:szCs w:val="24"/>
                <w:u w:val="single"/>
                <w:lang w:val="en-US" w:eastAsia="zh-CN" w:bidi="ar-SA"/>
              </w:rPr>
              <w:t>《空气质量持续改善行动计划》</w:t>
            </w:r>
            <w:r>
              <w:rPr>
                <w:rFonts w:hint="eastAsia" w:cs="Times New Roman"/>
                <w:kern w:val="2"/>
                <w:sz w:val="24"/>
                <w:szCs w:val="24"/>
                <w:u w:val="single"/>
                <w:lang w:val="en-US" w:eastAsia="zh-CN" w:bidi="ar-SA"/>
              </w:rPr>
              <w:t>要求“（十八）深化扬尘污染综合治理。将防治扬尘污染费用纳入工程造价。”</w:t>
            </w:r>
          </w:p>
          <w:p w14:paraId="3FEE176A">
            <w:pPr>
              <w:pStyle w:val="7"/>
              <w:spacing w:line="360" w:lineRule="auto"/>
              <w:ind w:firstLine="480" w:firstLineChars="200"/>
              <w:rPr>
                <w:rFonts w:hint="eastAsia"/>
                <w:b/>
                <w:bCs/>
                <w:sz w:val="24"/>
                <w:szCs w:val="24"/>
                <w:u w:val="single"/>
                <w:lang w:val="en-US" w:eastAsia="zh-CN"/>
              </w:rPr>
            </w:pPr>
            <w:r>
              <w:rPr>
                <w:rFonts w:hint="eastAsia"/>
                <w:sz w:val="24"/>
                <w:szCs w:val="24"/>
                <w:u w:val="single"/>
                <w:lang w:eastAsia="zh-CN"/>
              </w:rPr>
              <w:t>本项目</w:t>
            </w:r>
            <w:r>
              <w:rPr>
                <w:rFonts w:hint="eastAsia"/>
                <w:sz w:val="24"/>
                <w:szCs w:val="24"/>
                <w:u w:val="single"/>
              </w:rPr>
              <w:t>粉状原料采用密闭筒仓储存，</w:t>
            </w:r>
            <w:r>
              <w:rPr>
                <w:rFonts w:hint="eastAsia"/>
                <w:sz w:val="24"/>
                <w:szCs w:val="24"/>
                <w:u w:val="single"/>
                <w:lang w:eastAsia="zh-CN"/>
              </w:rPr>
              <w:t>骨</w:t>
            </w:r>
            <w:r>
              <w:rPr>
                <w:rFonts w:hint="eastAsia"/>
                <w:sz w:val="24"/>
                <w:szCs w:val="24"/>
                <w:u w:val="single"/>
              </w:rPr>
              <w:t>料堆</w:t>
            </w:r>
            <w:r>
              <w:rPr>
                <w:rFonts w:hint="eastAsia"/>
                <w:sz w:val="24"/>
                <w:szCs w:val="24"/>
                <w:u w:val="single"/>
                <w:lang w:val="en-US" w:eastAsia="zh-CN"/>
              </w:rPr>
              <w:t>场采用封闭料库、洒水降尘，治理费用已纳入总投资。</w:t>
            </w:r>
          </w:p>
          <w:p w14:paraId="43B60536">
            <w:pPr>
              <w:pStyle w:val="7"/>
              <w:spacing w:line="360" w:lineRule="auto"/>
              <w:ind w:firstLine="482" w:firstLineChars="200"/>
              <w:rPr>
                <w:rFonts w:hint="eastAsia"/>
                <w:b/>
                <w:bCs/>
                <w:sz w:val="24"/>
                <w:szCs w:val="24"/>
                <w:u w:val="single"/>
              </w:rPr>
            </w:pPr>
            <w:r>
              <w:rPr>
                <w:rFonts w:hint="eastAsia"/>
                <w:b/>
                <w:bCs/>
                <w:sz w:val="24"/>
                <w:szCs w:val="24"/>
                <w:u w:val="single"/>
                <w:lang w:val="en-US" w:eastAsia="zh-CN"/>
              </w:rPr>
              <w:t>7</w:t>
            </w:r>
            <w:r>
              <w:rPr>
                <w:rFonts w:hint="eastAsia"/>
                <w:b/>
                <w:bCs/>
                <w:sz w:val="24"/>
                <w:szCs w:val="24"/>
                <w:u w:val="single"/>
              </w:rPr>
              <w:t>、与</w:t>
            </w:r>
            <w:r>
              <w:rPr>
                <w:rFonts w:hint="eastAsia"/>
                <w:b/>
                <w:bCs/>
                <w:sz w:val="24"/>
                <w:szCs w:val="24"/>
                <w:u w:val="single"/>
                <w:lang w:val="en-US" w:eastAsia="zh-CN"/>
              </w:rPr>
              <w:t>《吉林省落实〈空气质量持续改善行动计划〉实施方案》</w:t>
            </w:r>
            <w:r>
              <w:rPr>
                <w:rFonts w:hint="eastAsia"/>
                <w:b/>
                <w:bCs/>
                <w:sz w:val="24"/>
                <w:szCs w:val="24"/>
                <w:u w:val="single"/>
              </w:rPr>
              <w:t>符合性分析</w:t>
            </w:r>
          </w:p>
          <w:p w14:paraId="44E26A01">
            <w:pPr>
              <w:pStyle w:val="7"/>
              <w:spacing w:line="360" w:lineRule="auto"/>
              <w:ind w:firstLine="480" w:firstLineChars="200"/>
              <w:rPr>
                <w:rFonts w:hint="eastAsia"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《吉林省落实〈空气质量持续改善行动计划〉实施方案》要求“17深化扬尘污染综合治理。规范施工场地、工业企业堆场料场和城市道路、裸地扬尘污染管理。将防治扬尘污染费用纳入工程造价。”</w:t>
            </w:r>
          </w:p>
          <w:p w14:paraId="2A8BA419">
            <w:pPr>
              <w:pStyle w:val="7"/>
              <w:spacing w:line="360" w:lineRule="auto"/>
              <w:ind w:firstLine="480" w:firstLineChars="200"/>
              <w:rPr>
                <w:rFonts w:hint="eastAsia"/>
                <w:b/>
                <w:bCs/>
                <w:sz w:val="24"/>
                <w:szCs w:val="24"/>
                <w:u w:val="single"/>
                <w:lang w:val="en-US" w:eastAsia="zh-CN"/>
              </w:rPr>
            </w:pPr>
            <w:r>
              <w:rPr>
                <w:rFonts w:hint="eastAsia"/>
                <w:sz w:val="24"/>
                <w:szCs w:val="24"/>
                <w:u w:val="single"/>
                <w:lang w:eastAsia="zh-CN"/>
              </w:rPr>
              <w:t>本项目</w:t>
            </w:r>
            <w:r>
              <w:rPr>
                <w:rFonts w:hint="eastAsia"/>
                <w:sz w:val="24"/>
                <w:szCs w:val="24"/>
                <w:u w:val="single"/>
              </w:rPr>
              <w:t>粉状原料采用密闭筒仓储存，</w:t>
            </w:r>
            <w:r>
              <w:rPr>
                <w:rFonts w:hint="eastAsia"/>
                <w:sz w:val="24"/>
                <w:szCs w:val="24"/>
                <w:u w:val="single"/>
                <w:lang w:eastAsia="zh-CN"/>
              </w:rPr>
              <w:t>骨</w:t>
            </w:r>
            <w:r>
              <w:rPr>
                <w:rFonts w:hint="eastAsia"/>
                <w:sz w:val="24"/>
                <w:szCs w:val="24"/>
                <w:u w:val="single"/>
              </w:rPr>
              <w:t>料堆</w:t>
            </w:r>
            <w:r>
              <w:rPr>
                <w:rFonts w:hint="eastAsia"/>
                <w:sz w:val="24"/>
                <w:szCs w:val="24"/>
                <w:u w:val="single"/>
                <w:lang w:val="en-US" w:eastAsia="zh-CN"/>
              </w:rPr>
              <w:t>场采用封闭料库、洒水降尘，治理费用已纳入总投资。</w:t>
            </w:r>
          </w:p>
          <w:p w14:paraId="695E994C">
            <w:pPr>
              <w:pStyle w:val="7"/>
              <w:spacing w:line="360" w:lineRule="auto"/>
              <w:ind w:firstLine="723" w:firstLineChars="300"/>
              <w:rPr>
                <w:rFonts w:hint="eastAsia"/>
                <w:b/>
                <w:bCs/>
                <w:sz w:val="24"/>
                <w:szCs w:val="24"/>
              </w:rPr>
            </w:pPr>
            <w:r>
              <w:rPr>
                <w:rFonts w:hint="eastAsia"/>
                <w:b/>
                <w:bCs/>
                <w:sz w:val="24"/>
                <w:szCs w:val="24"/>
                <w:lang w:val="en-US" w:eastAsia="zh-CN"/>
              </w:rPr>
              <w:t>8</w:t>
            </w:r>
            <w:r>
              <w:rPr>
                <w:rFonts w:hint="eastAsia"/>
                <w:b/>
                <w:bCs/>
                <w:sz w:val="24"/>
                <w:szCs w:val="24"/>
              </w:rPr>
              <w:t>、与《</w:t>
            </w:r>
            <w:r>
              <w:rPr>
                <w:rFonts w:hint="eastAsia"/>
                <w:b/>
                <w:bCs/>
                <w:sz w:val="24"/>
                <w:szCs w:val="24"/>
                <w:lang w:val="en-US" w:eastAsia="zh-CN"/>
              </w:rPr>
              <w:t>吉林省大气污染防治条例</w:t>
            </w:r>
            <w:r>
              <w:rPr>
                <w:rFonts w:hint="eastAsia"/>
                <w:b/>
                <w:bCs/>
                <w:sz w:val="24"/>
                <w:szCs w:val="24"/>
              </w:rPr>
              <w:t>》符合性分析</w:t>
            </w:r>
          </w:p>
          <w:p w14:paraId="7B41AEA8">
            <w:pPr>
              <w:pStyle w:val="7"/>
              <w:spacing w:line="360" w:lineRule="auto"/>
              <w:ind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吉林省大气污染防治条例》要求“贮存煤炭、煤矸石、煤渣、煤灰、水泥、石灰、石膏、砂土等易产生扬尘的物料应当密闭；不能密闭的，应当设置不低于堆放物高度的严密围挡，并采取有效覆盖措施防治扬尘污染。大型煤场、物料堆放场所应当建立密闭料仓和传送装置。”</w:t>
            </w:r>
          </w:p>
          <w:p w14:paraId="512AE5BC">
            <w:pPr>
              <w:pStyle w:val="7"/>
              <w:spacing w:line="360" w:lineRule="auto"/>
              <w:ind w:firstLine="480" w:firstLineChars="200"/>
              <w:jc w:val="both"/>
              <w:rPr>
                <w:rFonts w:hint="eastAsia" w:ascii="Times New Roman" w:hAnsi="Times New Roman" w:eastAsia="宋体" w:cs="Times New Roman"/>
                <w:kern w:val="2"/>
                <w:sz w:val="24"/>
                <w:szCs w:val="24"/>
                <w:lang w:val="en-US" w:eastAsia="zh-CN" w:bidi="ar-SA"/>
              </w:rPr>
            </w:pPr>
            <w:r>
              <w:rPr>
                <w:rFonts w:hint="eastAsia"/>
                <w:sz w:val="24"/>
                <w:szCs w:val="24"/>
                <w:lang w:eastAsia="zh-CN"/>
              </w:rPr>
              <w:t>本项目</w:t>
            </w:r>
            <w:r>
              <w:rPr>
                <w:rFonts w:hint="eastAsia"/>
                <w:sz w:val="24"/>
                <w:szCs w:val="24"/>
              </w:rPr>
              <w:t>粉状原料采用密闭筒仓储存，</w:t>
            </w:r>
            <w:r>
              <w:rPr>
                <w:rFonts w:hint="eastAsia"/>
                <w:sz w:val="24"/>
                <w:szCs w:val="24"/>
                <w:lang w:eastAsia="zh-CN"/>
              </w:rPr>
              <w:t>骨</w:t>
            </w:r>
            <w:r>
              <w:rPr>
                <w:rFonts w:hint="eastAsia"/>
                <w:sz w:val="24"/>
                <w:szCs w:val="24"/>
              </w:rPr>
              <w:t>料堆</w:t>
            </w:r>
            <w:r>
              <w:rPr>
                <w:rFonts w:hint="eastAsia"/>
                <w:sz w:val="24"/>
                <w:szCs w:val="24"/>
                <w:lang w:val="en-US" w:eastAsia="zh-CN"/>
              </w:rPr>
              <w:t>场采用封闭料库、洒水降尘，属于密闭措施，符合</w:t>
            </w:r>
            <w:r>
              <w:rPr>
                <w:rFonts w:hint="eastAsia" w:ascii="Times New Roman" w:hAnsi="Times New Roman" w:eastAsia="宋体" w:cs="Times New Roman"/>
                <w:kern w:val="2"/>
                <w:sz w:val="24"/>
                <w:szCs w:val="24"/>
                <w:lang w:val="en-US" w:eastAsia="zh-CN" w:bidi="ar-SA"/>
              </w:rPr>
              <w:t>《吉林省大气污染防治条例》相关要求。</w:t>
            </w:r>
          </w:p>
          <w:p w14:paraId="3F33ACE5">
            <w:pPr>
              <w:pStyle w:val="7"/>
              <w:spacing w:line="360" w:lineRule="auto"/>
              <w:ind w:firstLine="482" w:firstLineChars="200"/>
              <w:rPr>
                <w:b/>
                <w:bCs/>
                <w:sz w:val="24"/>
                <w:szCs w:val="24"/>
              </w:rPr>
            </w:pPr>
            <w:r>
              <w:rPr>
                <w:rFonts w:hint="eastAsia"/>
                <w:b/>
                <w:bCs/>
                <w:sz w:val="24"/>
                <w:szCs w:val="24"/>
                <w:lang w:val="en-US" w:eastAsia="zh-CN"/>
              </w:rPr>
              <w:t>9</w:t>
            </w:r>
            <w:r>
              <w:rPr>
                <w:rFonts w:hint="eastAsia"/>
                <w:b/>
                <w:bCs/>
                <w:sz w:val="24"/>
                <w:szCs w:val="24"/>
              </w:rPr>
              <w:t>、与《关于印发吉林省空气、水环境、土壤环境质量巩固提升三个行动方案的通知》符合性分析</w:t>
            </w:r>
          </w:p>
          <w:p w14:paraId="58E573D6">
            <w:pPr>
              <w:adjustRightInd w:val="0"/>
              <w:snapToGrid w:val="0"/>
              <w:spacing w:line="360" w:lineRule="auto"/>
              <w:ind w:firstLine="480" w:firstLineChars="200"/>
              <w:rPr>
                <w:rFonts w:hint="eastAsia"/>
                <w:sz w:val="24"/>
                <w:szCs w:val="24"/>
              </w:rPr>
            </w:pPr>
            <w:r>
              <w:rPr>
                <w:rFonts w:hint="eastAsia"/>
                <w:sz w:val="24"/>
                <w:szCs w:val="24"/>
              </w:rPr>
              <w:t>根据吉林省人民政府（吉政办发〔2021〕10 号）《关于印发吉林省空气、水环境、土壤环境质量巩固提升三个行动方案的通知》的有关规定：</w:t>
            </w:r>
          </w:p>
          <w:p w14:paraId="26BC9569">
            <w:pPr>
              <w:adjustRightInd w:val="0"/>
              <w:snapToGrid w:val="0"/>
              <w:spacing w:line="360" w:lineRule="auto"/>
              <w:ind w:firstLine="480" w:firstLineChars="200"/>
              <w:rPr>
                <w:rFonts w:hint="eastAsia"/>
                <w:sz w:val="24"/>
                <w:szCs w:val="24"/>
              </w:rPr>
            </w:pPr>
            <w:r>
              <w:rPr>
                <w:rFonts w:hint="eastAsia"/>
                <w:sz w:val="24"/>
                <w:szCs w:val="24"/>
              </w:rPr>
              <w:t>“（三）深入推进工业污染源治理。10.持续推进工业污染源全面达标排放。加大工业污染源烟气高效脱硫脱硝、除尘改造力度，确保各项污染物稳定达标排放。重点排污单位全部安装自动监控设备并与生态环境部门联网。对排放不达标的企业按照“一企一策”的原则，限期整改到位。全面加强工业无组织排放管控。（省生态环境厅负责）；11.推进重点行业污染深度治理；12.加强“散乱污”企业监管；13.深化重点行业挥发性有机物（VOCs）治理；14.加强油气回收装置管理。</w:t>
            </w:r>
          </w:p>
          <w:p w14:paraId="2B27F6F5">
            <w:pPr>
              <w:adjustRightInd w:val="0"/>
              <w:snapToGrid w:val="0"/>
              <w:spacing w:line="360" w:lineRule="auto"/>
              <w:ind w:firstLine="480" w:firstLineChars="200"/>
              <w:rPr>
                <w:rFonts w:hint="eastAsia"/>
                <w:sz w:val="24"/>
                <w:szCs w:val="24"/>
              </w:rPr>
            </w:pPr>
            <w:r>
              <w:rPr>
                <w:rFonts w:hint="eastAsia"/>
                <w:sz w:val="24"/>
                <w:szCs w:val="24"/>
              </w:rPr>
              <w:t>（五）深入推进扬尘污染治理。19.严格建筑施工扬尘管控。严格实施建筑施工标准化管理，建立建筑工地项目清单和台账，将扬尘治理费用列入工程造价，加大监管力度，对不达标的施工现场限期整改，情节严重的停工整改。加强建筑渣土及运输车辆规范管理工作，严格落实密闭运输，依法打击不按规定路线行驶、渣土抛撒滴漏以及车轮带泥行驶、随意倾倒等违法行为。加大混凝土搅拌车监管，混凝土搅拌站内必须配备抑尘设施，出站前对混凝土搅拌车辆进行冲洗。混凝土搅拌车辆要在出料口处加装防漏撒设施，进入工地作业时应遵守工地扬尘防治要求。（省住房城乡建设厅、省公安厅、省生态环境厅按职责分工负责）”。</w:t>
            </w:r>
          </w:p>
          <w:p w14:paraId="620F4FAD">
            <w:pPr>
              <w:pStyle w:val="7"/>
              <w:spacing w:line="360" w:lineRule="auto"/>
              <w:ind w:firstLine="480" w:firstLineChars="200"/>
              <w:rPr>
                <w:rFonts w:hint="eastAsia"/>
                <w:sz w:val="24"/>
                <w:szCs w:val="24"/>
              </w:rPr>
            </w:pPr>
            <w:r>
              <w:rPr>
                <w:rFonts w:hint="eastAsia"/>
                <w:sz w:val="24"/>
                <w:szCs w:val="24"/>
              </w:rPr>
              <w:t>本项目</w:t>
            </w:r>
            <w:r>
              <w:rPr>
                <w:rFonts w:hint="eastAsia"/>
                <w:sz w:val="24"/>
                <w:szCs w:val="24"/>
                <w:lang w:eastAsia="zh-CN"/>
              </w:rPr>
              <w:t>不属于重点行业，不属于</w:t>
            </w:r>
            <w:r>
              <w:rPr>
                <w:rFonts w:hint="eastAsia"/>
                <w:sz w:val="24"/>
                <w:szCs w:val="24"/>
              </w:rPr>
              <w:t>重点排污单位</w:t>
            </w:r>
            <w:r>
              <w:rPr>
                <w:rFonts w:hint="eastAsia"/>
                <w:sz w:val="24"/>
                <w:szCs w:val="24"/>
                <w:lang w:eastAsia="zh-CN"/>
              </w:rPr>
              <w:t>与</w:t>
            </w:r>
            <w:r>
              <w:rPr>
                <w:rFonts w:hint="eastAsia"/>
                <w:sz w:val="24"/>
                <w:szCs w:val="24"/>
              </w:rPr>
              <w:t>“散乱污”企业</w:t>
            </w:r>
            <w:r>
              <w:rPr>
                <w:rFonts w:hint="eastAsia"/>
                <w:sz w:val="24"/>
                <w:szCs w:val="24"/>
                <w:lang w:eastAsia="zh-CN"/>
              </w:rPr>
              <w:t>，</w:t>
            </w:r>
            <w:r>
              <w:rPr>
                <w:rFonts w:hint="eastAsia"/>
                <w:sz w:val="24"/>
                <w:szCs w:val="24"/>
              </w:rPr>
              <w:t>厂区地面</w:t>
            </w:r>
            <w:r>
              <w:rPr>
                <w:rFonts w:hint="eastAsia"/>
                <w:sz w:val="24"/>
                <w:szCs w:val="24"/>
                <w:lang w:val="en-US" w:eastAsia="zh-CN"/>
              </w:rPr>
              <w:t>全部</w:t>
            </w:r>
            <w:r>
              <w:rPr>
                <w:rFonts w:hint="eastAsia"/>
                <w:sz w:val="24"/>
                <w:szCs w:val="24"/>
              </w:rPr>
              <w:t>进行水泥硬化</w:t>
            </w:r>
            <w:r>
              <w:rPr>
                <w:rFonts w:hint="eastAsia"/>
                <w:sz w:val="24"/>
                <w:szCs w:val="24"/>
                <w:lang w:val="en-US" w:eastAsia="zh-CN"/>
              </w:rPr>
              <w:t>处理</w:t>
            </w:r>
            <w:r>
              <w:rPr>
                <w:rFonts w:hint="eastAsia"/>
                <w:sz w:val="24"/>
                <w:szCs w:val="24"/>
              </w:rPr>
              <w:t>，</w:t>
            </w:r>
            <w:r>
              <w:rPr>
                <w:rFonts w:hint="eastAsia"/>
                <w:sz w:val="24"/>
                <w:szCs w:val="24"/>
                <w:lang w:eastAsia="zh-CN"/>
              </w:rPr>
              <w:t>骨</w:t>
            </w:r>
            <w:r>
              <w:rPr>
                <w:rFonts w:hint="eastAsia"/>
                <w:sz w:val="24"/>
                <w:szCs w:val="24"/>
              </w:rPr>
              <w:t>料堆</w:t>
            </w:r>
            <w:r>
              <w:rPr>
                <w:rFonts w:hint="eastAsia"/>
                <w:sz w:val="24"/>
                <w:szCs w:val="24"/>
                <w:lang w:val="en-US" w:eastAsia="zh-CN"/>
              </w:rPr>
              <w:t>场采用封闭料库、洒水降尘</w:t>
            </w:r>
            <w:r>
              <w:rPr>
                <w:rFonts w:hint="eastAsia"/>
                <w:sz w:val="24"/>
                <w:szCs w:val="24"/>
              </w:rPr>
              <w:t>，搅拌</w:t>
            </w:r>
            <w:r>
              <w:rPr>
                <w:rFonts w:hint="eastAsia"/>
                <w:sz w:val="24"/>
                <w:szCs w:val="24"/>
                <w:lang w:eastAsia="zh-CN"/>
              </w:rPr>
              <w:t>楼</w:t>
            </w:r>
            <w:r>
              <w:rPr>
                <w:rFonts w:hint="eastAsia"/>
                <w:sz w:val="24"/>
                <w:szCs w:val="24"/>
              </w:rPr>
              <w:t>进行全封闭处理，粉状原料采用密闭</w:t>
            </w:r>
            <w:r>
              <w:rPr>
                <w:rFonts w:hint="eastAsia"/>
                <w:sz w:val="24"/>
                <w:szCs w:val="24"/>
                <w:lang w:eastAsia="zh-CN"/>
              </w:rPr>
              <w:t>筒</w:t>
            </w:r>
            <w:r>
              <w:rPr>
                <w:rFonts w:hint="eastAsia"/>
                <w:sz w:val="24"/>
                <w:szCs w:val="24"/>
              </w:rPr>
              <w:t>仓</w:t>
            </w:r>
            <w:r>
              <w:rPr>
                <w:rFonts w:hint="eastAsia"/>
                <w:sz w:val="24"/>
                <w:szCs w:val="24"/>
                <w:lang w:eastAsia="zh-CN"/>
              </w:rPr>
              <w:t>储存</w:t>
            </w:r>
            <w:r>
              <w:rPr>
                <w:rFonts w:hint="eastAsia"/>
                <w:sz w:val="24"/>
                <w:szCs w:val="24"/>
              </w:rPr>
              <w:t>，进出厂区车辆进行清洗，厂区随时清扫，定期洒水降尘，</w:t>
            </w:r>
            <w:r>
              <w:rPr>
                <w:rFonts w:hint="eastAsia"/>
                <w:sz w:val="24"/>
                <w:szCs w:val="24"/>
                <w:lang w:eastAsia="zh-CN"/>
              </w:rPr>
              <w:t>污染物达标排放，</w:t>
            </w:r>
            <w:r>
              <w:rPr>
                <w:rFonts w:hint="eastAsia"/>
                <w:sz w:val="24"/>
                <w:szCs w:val="24"/>
              </w:rPr>
              <w:t>符合《关于印发吉林省空气、水环境、土壤环境质量巩固提升三个行动方案的通知》的有关规定。</w:t>
            </w:r>
          </w:p>
          <w:p w14:paraId="61A1F6D5">
            <w:pPr>
              <w:pStyle w:val="7"/>
              <w:spacing w:line="360" w:lineRule="auto"/>
              <w:ind w:firstLine="480" w:firstLineChars="200"/>
              <w:rPr>
                <w:rFonts w:hint="eastAsia"/>
                <w:sz w:val="24"/>
                <w:szCs w:val="24"/>
              </w:rPr>
            </w:pPr>
          </w:p>
          <w:p w14:paraId="0BAB5741">
            <w:pPr>
              <w:pStyle w:val="7"/>
              <w:spacing w:line="360" w:lineRule="auto"/>
              <w:ind w:firstLine="480" w:firstLineChars="200"/>
              <w:rPr>
                <w:rFonts w:hint="eastAsia"/>
                <w:sz w:val="24"/>
                <w:szCs w:val="24"/>
              </w:rPr>
            </w:pPr>
          </w:p>
          <w:p w14:paraId="751D83C6">
            <w:pPr>
              <w:pStyle w:val="7"/>
              <w:spacing w:line="360" w:lineRule="auto"/>
              <w:ind w:firstLine="480" w:firstLineChars="200"/>
              <w:rPr>
                <w:rFonts w:hint="eastAsia"/>
                <w:sz w:val="24"/>
                <w:szCs w:val="24"/>
              </w:rPr>
            </w:pPr>
          </w:p>
          <w:p w14:paraId="6C8DE8C7">
            <w:pPr>
              <w:pStyle w:val="7"/>
              <w:spacing w:line="360" w:lineRule="auto"/>
              <w:ind w:firstLine="480" w:firstLineChars="200"/>
              <w:rPr>
                <w:rFonts w:hint="default"/>
                <w:sz w:val="24"/>
                <w:szCs w:val="24"/>
                <w:lang w:val="en-US" w:eastAsia="zh-CN"/>
              </w:rPr>
            </w:pPr>
          </w:p>
        </w:tc>
      </w:tr>
    </w:tbl>
    <w:p w14:paraId="706B232B">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4A50650F">
      <w:pPr>
        <w:pStyle w:val="18"/>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228"/>
      </w:tblGrid>
      <w:tr w14:paraId="531C7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3042BF7F">
            <w:pPr>
              <w:pStyle w:val="18"/>
              <w:adjustRightInd w:val="0"/>
              <w:snapToGrid w:val="0"/>
              <w:spacing w:before="0" w:beforeAutospacing="0" w:after="0" w:afterAutospacing="0"/>
              <w:jc w:val="center"/>
              <w:rPr>
                <w:rFonts w:cs="宋体"/>
                <w:sz w:val="24"/>
                <w:szCs w:val="24"/>
              </w:rPr>
            </w:pPr>
            <w:r>
              <w:rPr>
                <w:rFonts w:hint="eastAsia" w:cs="宋体"/>
                <w:sz w:val="24"/>
                <w:szCs w:val="24"/>
              </w:rPr>
              <w:t>建设内容</w:t>
            </w:r>
          </w:p>
        </w:tc>
        <w:tc>
          <w:tcPr>
            <w:tcW w:w="8228" w:type="dxa"/>
            <w:noWrap w:val="0"/>
            <w:vAlign w:val="top"/>
          </w:tcPr>
          <w:p w14:paraId="315DB0E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default" w:ascii="Times New Roman" w:hAnsi="Times New Roman" w:eastAsia="宋体" w:cs="Times New Roman"/>
                <w:b w:val="0"/>
                <w:bCs w:val="0"/>
                <w:sz w:val="24"/>
                <w:szCs w:val="24"/>
                <w:highlight w:val="none"/>
                <w:u w:val="none" w:color="auto"/>
                <w:lang w:val="en-US" w:eastAsia="zh-CN"/>
              </w:rPr>
            </w:pPr>
            <w:r>
              <w:rPr>
                <w:rFonts w:hint="eastAsia" w:ascii="Times New Roman" w:hAnsi="Times New Roman" w:eastAsia="宋体" w:cs="Times New Roman"/>
                <w:b/>
                <w:bCs/>
                <w:kern w:val="2"/>
                <w:sz w:val="24"/>
                <w:szCs w:val="24"/>
                <w:highlight w:val="none"/>
                <w:u w:val="none"/>
                <w:lang w:val="en-US" w:eastAsia="zh-CN" w:bidi="ar-SA"/>
              </w:rPr>
              <w:t>1、</w:t>
            </w:r>
            <w:r>
              <w:rPr>
                <w:rFonts w:hint="default" w:ascii="Times New Roman" w:hAnsi="Times New Roman" w:eastAsia="宋体" w:cs="Times New Roman"/>
                <w:b/>
                <w:bCs/>
                <w:sz w:val="24"/>
                <w:szCs w:val="24"/>
                <w:highlight w:val="none"/>
                <w:u w:val="none" w:color="auto"/>
                <w:lang w:val="en-US" w:eastAsia="zh-CN"/>
              </w:rPr>
              <w:t>建设项目概况</w:t>
            </w:r>
          </w:p>
          <w:p w14:paraId="5A00DF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b/>
                <w:bCs/>
                <w:sz w:val="24"/>
                <w:szCs w:val="24"/>
                <w:highlight w:val="none"/>
                <w:u w:val="none" w:color="auto"/>
                <w:lang w:val="en-US" w:eastAsia="zh-CN"/>
              </w:rPr>
              <w:t>项目名称：</w:t>
            </w:r>
            <w:r>
              <w:rPr>
                <w:rFonts w:hint="eastAsia" w:ascii="宋体" w:hAnsi="宋体" w:cs="宋体"/>
                <w:sz w:val="24"/>
                <w:szCs w:val="24"/>
                <w:lang w:eastAsia="zh-CN"/>
              </w:rPr>
              <w:t>白山市诚斌建筑材料有限公司临江分公司混凝土生产项目</w:t>
            </w:r>
          </w:p>
          <w:p w14:paraId="310675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b/>
                <w:bCs/>
                <w:sz w:val="24"/>
                <w:szCs w:val="24"/>
                <w:highlight w:val="none"/>
                <w:u w:val="none" w:color="auto"/>
                <w:lang w:val="en-US" w:eastAsia="zh-CN"/>
              </w:rPr>
              <w:t>建设性质：</w:t>
            </w:r>
            <w:r>
              <w:rPr>
                <w:rFonts w:hint="eastAsia" w:ascii="Times New Roman" w:hAnsi="Times New Roman" w:eastAsia="宋体" w:cs="Times New Roman"/>
                <w:sz w:val="24"/>
                <w:szCs w:val="24"/>
                <w:highlight w:val="none"/>
                <w:u w:val="none" w:color="auto"/>
                <w:lang w:val="en-US" w:eastAsia="zh-CN"/>
              </w:rPr>
              <w:t>新</w:t>
            </w:r>
            <w:r>
              <w:rPr>
                <w:rFonts w:hint="default" w:ascii="Times New Roman" w:hAnsi="Times New Roman" w:eastAsia="宋体" w:cs="Times New Roman"/>
                <w:sz w:val="24"/>
                <w:szCs w:val="24"/>
                <w:highlight w:val="none"/>
                <w:u w:val="none" w:color="auto"/>
                <w:lang w:val="en-US" w:eastAsia="zh-CN"/>
              </w:rPr>
              <w:t>建</w:t>
            </w:r>
          </w:p>
          <w:p w14:paraId="397977C4">
            <w:pPr>
              <w:pStyle w:val="71"/>
              <w:ind w:firstLine="504"/>
              <w:jc w:val="both"/>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b/>
                <w:bCs/>
                <w:sz w:val="24"/>
                <w:szCs w:val="24"/>
                <w:highlight w:val="none"/>
                <w:u w:val="none" w:color="auto"/>
                <w:lang w:val="en-US" w:eastAsia="zh-CN"/>
              </w:rPr>
              <w:t>建设地点及周围环境情况：</w:t>
            </w:r>
            <w:r>
              <w:rPr>
                <w:rFonts w:hint="default" w:ascii="Times New Roman" w:hAnsi="Times New Roman" w:eastAsia="宋体" w:cs="Times New Roman"/>
                <w:highlight w:val="none"/>
                <w:u w:val="none" w:color="auto"/>
              </w:rPr>
              <w:t>本项目位于</w:t>
            </w:r>
            <w:bookmarkStart w:id="4" w:name="OLE_LINK13"/>
            <w:r>
              <w:rPr>
                <w:rFonts w:hint="default" w:ascii="Times New Roman" w:hAnsi="Times New Roman" w:cs="Times New Roman"/>
                <w:highlight w:val="none"/>
                <w:u w:val="none" w:color="auto"/>
                <w:lang w:val="en-US" w:eastAsia="zh-CN"/>
              </w:rPr>
              <w:t>白山市临江市临城村6社</w:t>
            </w:r>
            <w:r>
              <w:rPr>
                <w:rFonts w:hint="default" w:ascii="Times New Roman" w:hAnsi="Times New Roman" w:eastAsia="宋体" w:cs="Times New Roman"/>
                <w:highlight w:val="none"/>
                <w:u w:val="none" w:color="auto"/>
                <w:lang w:val="en-US" w:eastAsia="zh-CN"/>
              </w:rPr>
              <w:t>，</w:t>
            </w:r>
            <w:bookmarkEnd w:id="4"/>
            <w:r>
              <w:rPr>
                <w:rFonts w:hint="default" w:ascii="Times New Roman" w:hAnsi="Times New Roman" w:cs="Times New Roman"/>
                <w:highlight w:val="none"/>
                <w:u w:val="none" w:color="auto"/>
                <w:lang w:val="en-US" w:eastAsia="zh-CN"/>
              </w:rPr>
              <w:t>占地面积为6997.74m</w:t>
            </w:r>
            <w:r>
              <w:rPr>
                <w:rFonts w:hint="default" w:ascii="Times New Roman" w:hAnsi="Times New Roman" w:cs="Times New Roman"/>
                <w:b w:val="0"/>
                <w:bCs w:val="0"/>
                <w:sz w:val="24"/>
                <w:szCs w:val="24"/>
                <w:highlight w:val="none"/>
                <w:u w:val="none" w:color="auto"/>
                <w:vertAlign w:val="superscript"/>
                <w:lang w:val="en-US" w:eastAsia="zh-CN"/>
              </w:rPr>
              <w:t>2</w:t>
            </w:r>
            <w:r>
              <w:rPr>
                <w:rFonts w:hint="default" w:ascii="Times New Roman" w:hAnsi="Times New Roman" w:cs="Times New Roman"/>
                <w:b w:val="0"/>
                <w:bCs w:val="0"/>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用地性质为</w:t>
            </w:r>
            <w:r>
              <w:rPr>
                <w:rFonts w:hint="default" w:ascii="Times New Roman" w:hAnsi="Times New Roman" w:cs="Times New Roman"/>
                <w:color w:val="auto"/>
                <w:sz w:val="24"/>
                <w:szCs w:val="24"/>
                <w:highlight w:val="none"/>
                <w:u w:val="none" w:color="auto"/>
                <w:lang w:val="en-US" w:eastAsia="zh-CN"/>
              </w:rPr>
              <w:t>工业用地，</w:t>
            </w:r>
            <w:r>
              <w:rPr>
                <w:rFonts w:hint="default" w:ascii="Times New Roman" w:hAnsi="Times New Roman" w:eastAsia="宋体" w:cs="Times New Roman"/>
                <w:highlight w:val="none"/>
                <w:u w:val="none" w:color="auto"/>
              </w:rPr>
              <w:t>项目</w:t>
            </w:r>
            <w:r>
              <w:rPr>
                <w:rFonts w:hint="default" w:ascii="Times New Roman" w:hAnsi="Times New Roman" w:eastAsia="宋体" w:cs="Times New Roman"/>
                <w:color w:val="auto"/>
                <w:sz w:val="24"/>
                <w:szCs w:val="24"/>
                <w:highlight w:val="none"/>
                <w:u w:val="none" w:color="auto"/>
                <w:lang w:val="en-US" w:eastAsia="zh-CN"/>
              </w:rPr>
              <w:t>中心坐标为：东经</w:t>
            </w:r>
            <w:r>
              <w:rPr>
                <w:rFonts w:hint="default" w:ascii="Times New Roman" w:hAnsi="Times New Roman" w:cs="Times New Roman"/>
                <w:color w:val="auto"/>
                <w:sz w:val="24"/>
                <w:szCs w:val="24"/>
                <w:highlight w:val="none"/>
                <w:u w:val="none" w:color="auto"/>
                <w:lang w:val="en-US" w:eastAsia="zh-CN"/>
              </w:rPr>
              <w:t>126°58′2.729″</w:t>
            </w:r>
            <w:r>
              <w:rPr>
                <w:rFonts w:hint="default" w:ascii="Times New Roman" w:hAnsi="Times New Roman" w:eastAsia="宋体" w:cs="Times New Roman"/>
                <w:color w:val="auto"/>
                <w:sz w:val="24"/>
                <w:szCs w:val="24"/>
                <w:highlight w:val="none"/>
                <w:u w:val="none" w:color="auto"/>
                <w:lang w:val="en-US" w:eastAsia="zh-CN"/>
              </w:rPr>
              <w:t>，北纬</w:t>
            </w:r>
            <w:r>
              <w:rPr>
                <w:rFonts w:hint="default" w:ascii="Times New Roman" w:hAnsi="Times New Roman" w:cs="Times New Roman"/>
                <w:color w:val="auto"/>
                <w:sz w:val="24"/>
                <w:szCs w:val="24"/>
                <w:highlight w:val="none"/>
                <w:u w:val="none" w:color="auto"/>
                <w:lang w:val="en-US" w:eastAsia="zh-CN"/>
              </w:rPr>
              <w:t>41°48′29.561″</w:t>
            </w:r>
            <w:r>
              <w:rPr>
                <w:rFonts w:hint="default" w:ascii="Times New Roman" w:hAnsi="Times New Roman" w:eastAsia="宋体" w:cs="Times New Roman"/>
                <w:color w:val="auto"/>
                <w:sz w:val="24"/>
                <w:szCs w:val="24"/>
                <w:highlight w:val="none"/>
                <w:u w:val="none" w:color="auto"/>
                <w:lang w:val="en-US" w:eastAsia="zh-CN"/>
              </w:rPr>
              <w:t>。</w:t>
            </w:r>
            <w:r>
              <w:rPr>
                <w:rFonts w:hint="default" w:ascii="Times New Roman" w:hAnsi="Times New Roman" w:cs="Times New Roman"/>
                <w:color w:val="000000"/>
                <w:sz w:val="24"/>
                <w:szCs w:val="24"/>
                <w:highlight w:val="none"/>
              </w:rPr>
              <w:t>项目厂</w:t>
            </w:r>
            <w:r>
              <w:rPr>
                <w:rFonts w:hint="default" w:ascii="Times New Roman" w:hAnsi="Times New Roman" w:cs="Times New Roman"/>
                <w:color w:val="000000"/>
                <w:sz w:val="24"/>
                <w:szCs w:val="24"/>
                <w:lang w:eastAsia="zh-CN"/>
              </w:rPr>
              <w:t>区</w:t>
            </w:r>
            <w:r>
              <w:rPr>
                <w:rFonts w:hint="default" w:ascii="Times New Roman" w:hAnsi="Times New Roman" w:cs="Times New Roman"/>
                <w:color w:val="000000"/>
                <w:sz w:val="24"/>
                <w:szCs w:val="24"/>
                <w:highlight w:val="none"/>
                <w:lang w:val="en-US" w:eastAsia="zh-CN"/>
              </w:rPr>
              <w:t>东侧隔空地为三道沟河、南侧为闲置厂房，西侧和北侧为德爱地板厂</w:t>
            </w:r>
            <w:r>
              <w:rPr>
                <w:rFonts w:hint="default" w:ascii="Times New Roman" w:hAnsi="Times New Roman" w:cs="Times New Roman"/>
                <w:color w:val="000000"/>
                <w:sz w:val="24"/>
                <w:szCs w:val="24"/>
                <w:lang w:val="en-US" w:eastAsia="zh-CN"/>
              </w:rPr>
              <w:t>，</w:t>
            </w:r>
            <w:r>
              <w:rPr>
                <w:rFonts w:hint="default" w:ascii="Times New Roman" w:hAnsi="Times New Roman" w:cs="Times New Roman"/>
                <w:b w:val="0"/>
                <w:bCs w:val="0"/>
                <w:color w:val="auto"/>
                <w:sz w:val="24"/>
                <w:u w:val="none" w:color="auto"/>
              </w:rPr>
              <w:t>最近敏感点为</w:t>
            </w:r>
            <w:r>
              <w:rPr>
                <w:rFonts w:hint="eastAsia" w:ascii="Times New Roman" w:hAnsi="Times New Roman" w:cs="Times New Roman"/>
                <w:b w:val="0"/>
                <w:bCs w:val="0"/>
                <w:color w:val="auto"/>
                <w:sz w:val="24"/>
                <w:u w:val="none" w:color="auto"/>
                <w:lang w:eastAsia="zh-CN"/>
              </w:rPr>
              <w:t>厂区南侧320m处临城村8社居民</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auto"/>
                <w:sz w:val="24"/>
                <w:szCs w:val="24"/>
                <w:highlight w:val="none"/>
                <w:u w:val="none" w:color="auto"/>
              </w:rPr>
              <w:t>项目地理位置</w:t>
            </w:r>
            <w:r>
              <w:rPr>
                <w:rFonts w:hint="default" w:ascii="Times New Roman" w:hAnsi="Times New Roman" w:eastAsia="宋体" w:cs="Times New Roman"/>
                <w:color w:val="auto"/>
                <w:sz w:val="24"/>
                <w:szCs w:val="24"/>
                <w:highlight w:val="none"/>
                <w:u w:val="none" w:color="auto"/>
                <w:lang w:val="en-US" w:eastAsia="zh-CN"/>
              </w:rPr>
              <w:t>详见附图1</w:t>
            </w:r>
            <w:r>
              <w:rPr>
                <w:rFonts w:hint="default" w:ascii="Times New Roman" w:hAnsi="Times New Roman" w:eastAsia="宋体" w:cs="Times New Roman"/>
                <w:color w:val="auto"/>
                <w:sz w:val="24"/>
                <w:szCs w:val="24"/>
                <w:highlight w:val="none"/>
                <w:u w:val="none" w:color="auto"/>
              </w:rPr>
              <w:t>。</w:t>
            </w:r>
          </w:p>
          <w:p w14:paraId="4E020606">
            <w:pPr>
              <w:pStyle w:val="71"/>
              <w:ind w:firstLine="504"/>
              <w:rPr>
                <w:rFonts w:hint="default" w:ascii="Times New Roman" w:hAnsi="Times New Roman" w:eastAsia="宋体" w:cs="Times New Roman"/>
                <w:highlight w:val="none"/>
                <w:u w:val="none" w:color="auto"/>
              </w:rPr>
            </w:pPr>
            <w:r>
              <w:rPr>
                <w:rFonts w:hint="default" w:ascii="Times New Roman" w:hAnsi="Times New Roman" w:eastAsia="宋体" w:cs="Times New Roman"/>
                <w:b/>
                <w:bCs/>
                <w:sz w:val="24"/>
                <w:szCs w:val="24"/>
                <w:highlight w:val="none"/>
                <w:u w:val="none" w:color="auto"/>
                <w:lang w:val="en-US" w:eastAsia="zh-CN"/>
              </w:rPr>
              <w:t>总投资：</w:t>
            </w:r>
            <w:r>
              <w:rPr>
                <w:rFonts w:hint="default" w:ascii="Times New Roman" w:hAnsi="Times New Roman" w:eastAsia="宋体" w:cs="Times New Roman"/>
                <w:highlight w:val="none"/>
                <w:u w:val="none" w:color="auto"/>
              </w:rPr>
              <w:t>本项目总投资为</w:t>
            </w:r>
            <w:r>
              <w:rPr>
                <w:rFonts w:hint="eastAsia" w:ascii="Times New Roman" w:hAnsi="Times New Roman" w:cs="Times New Roman"/>
                <w:highlight w:val="none"/>
                <w:u w:val="none" w:color="auto"/>
                <w:lang w:val="en-US" w:eastAsia="zh-CN"/>
              </w:rPr>
              <w:t>5</w:t>
            </w:r>
            <w:r>
              <w:rPr>
                <w:rFonts w:hint="default" w:ascii="Times New Roman" w:hAnsi="Times New Roman" w:eastAsia="宋体" w:cs="Times New Roman"/>
                <w:highlight w:val="none"/>
                <w:u w:val="none" w:color="auto"/>
                <w:lang w:val="en-US" w:eastAsia="zh-CN"/>
              </w:rPr>
              <w:t>00</w:t>
            </w:r>
            <w:r>
              <w:rPr>
                <w:rFonts w:hint="default" w:ascii="Times New Roman" w:hAnsi="Times New Roman" w:eastAsia="宋体" w:cs="Times New Roman"/>
                <w:highlight w:val="none"/>
                <w:u w:val="none" w:color="auto"/>
              </w:rPr>
              <w:t>万元，</w:t>
            </w:r>
            <w:r>
              <w:rPr>
                <w:rFonts w:hint="eastAsia" w:ascii="Times New Roman" w:hAnsi="Times New Roman" w:cs="Times New Roman"/>
                <w:highlight w:val="none"/>
                <w:u w:val="none" w:color="auto"/>
                <w:lang w:eastAsia="zh-CN"/>
              </w:rPr>
              <w:t>全部</w:t>
            </w:r>
            <w:r>
              <w:rPr>
                <w:rFonts w:hint="default" w:ascii="Times New Roman" w:hAnsi="Times New Roman" w:eastAsia="宋体" w:cs="Times New Roman"/>
                <w:highlight w:val="none"/>
                <w:u w:val="none" w:color="auto"/>
                <w:lang w:eastAsia="zh-CN"/>
              </w:rPr>
              <w:t>由</w:t>
            </w:r>
            <w:r>
              <w:rPr>
                <w:rFonts w:hint="default" w:ascii="Times New Roman" w:hAnsi="Times New Roman" w:eastAsia="宋体" w:cs="Times New Roman"/>
                <w:highlight w:val="none"/>
                <w:u w:val="none" w:color="auto"/>
              </w:rPr>
              <w:t>企业自筹。</w:t>
            </w:r>
          </w:p>
          <w:p w14:paraId="701BBF3B">
            <w:pPr>
              <w:adjustRightInd w:val="0"/>
              <w:spacing w:line="360" w:lineRule="auto"/>
              <w:ind w:firstLine="482" w:firstLineChars="200"/>
              <w:rPr>
                <w:rFonts w:hint="eastAsia" w:eastAsia="宋体"/>
                <w:b/>
                <w:bCs/>
                <w:sz w:val="24"/>
                <w:szCs w:val="24"/>
                <w:lang w:eastAsia="zh-CN"/>
              </w:rPr>
            </w:pPr>
            <w:r>
              <w:rPr>
                <w:rFonts w:hint="eastAsia"/>
                <w:b/>
                <w:bCs/>
                <w:sz w:val="24"/>
                <w:szCs w:val="24"/>
                <w:lang w:val="en-US" w:eastAsia="zh-CN"/>
              </w:rPr>
              <w:t>2</w:t>
            </w:r>
            <w:r>
              <w:rPr>
                <w:rFonts w:hint="eastAsia"/>
                <w:b/>
                <w:bCs/>
                <w:sz w:val="24"/>
                <w:szCs w:val="24"/>
              </w:rPr>
              <w:t>、</w:t>
            </w:r>
            <w:r>
              <w:rPr>
                <w:rFonts w:hint="eastAsia"/>
                <w:b/>
                <w:bCs/>
                <w:sz w:val="24"/>
                <w:szCs w:val="24"/>
                <w:lang w:eastAsia="zh-CN"/>
              </w:rPr>
              <w:t>建设规模及内容</w:t>
            </w:r>
          </w:p>
          <w:p w14:paraId="6C7E2914">
            <w:pPr>
              <w:pStyle w:val="28"/>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80" w:firstLineChars="200"/>
              <w:textAlignment w:val="auto"/>
              <w:rPr>
                <w:rFonts w:hint="default" w:ascii="Times New Roman" w:hAnsi="Times New Roman" w:eastAsia="宋体" w:cs="Times New Roman"/>
                <w:sz w:val="24"/>
                <w:szCs w:val="24"/>
                <w:highlight w:val="none"/>
                <w:u w:val="none" w:color="auto"/>
                <w:lang w:eastAsia="zh-CN"/>
              </w:rPr>
            </w:pPr>
            <w:r>
              <w:rPr>
                <w:rFonts w:hint="default" w:ascii="Times New Roman" w:hAnsi="Times New Roman" w:eastAsia="宋体" w:cs="Times New Roman"/>
                <w:highlight w:val="none"/>
                <w:u w:val="none" w:color="auto"/>
              </w:rPr>
              <w:t>本项目位于</w:t>
            </w:r>
            <w:r>
              <w:rPr>
                <w:rFonts w:hint="eastAsia" w:ascii="宋体" w:hAnsi="宋体" w:eastAsia="宋体" w:cs="宋体"/>
                <w:sz w:val="24"/>
                <w:szCs w:val="24"/>
                <w:u w:val="none" w:color="auto"/>
                <w:lang w:val="en-US" w:eastAsia="zh-CN"/>
              </w:rPr>
              <w:t>白山市临江市</w:t>
            </w:r>
            <w:r>
              <w:rPr>
                <w:rFonts w:hint="default" w:ascii="Times New Roman" w:hAnsi="Times New Roman" w:eastAsia="宋体" w:cs="Times New Roman"/>
                <w:sz w:val="24"/>
                <w:szCs w:val="24"/>
                <w:u w:val="none" w:color="auto"/>
                <w:lang w:val="en-US" w:eastAsia="zh-CN"/>
              </w:rPr>
              <w:t>临城村6社</w:t>
            </w:r>
            <w:r>
              <w:rPr>
                <w:rFonts w:hint="default" w:ascii="Times New Roman" w:hAnsi="Times New Roman" w:eastAsia="宋体" w:cs="Times New Roman"/>
                <w:highlight w:val="none"/>
                <w:u w:val="none" w:color="auto"/>
                <w:lang w:val="en-US" w:eastAsia="zh-CN"/>
              </w:rPr>
              <w:t>，</w:t>
            </w:r>
            <w:r>
              <w:rPr>
                <w:rFonts w:hint="default" w:ascii="Times New Roman" w:hAnsi="Times New Roman" w:eastAsia="宋体" w:cs="Times New Roman"/>
                <w:sz w:val="24"/>
                <w:highlight w:val="none"/>
                <w:u w:val="none" w:color="auto"/>
                <w:lang w:eastAsia="zh-CN"/>
              </w:rPr>
              <w:t>总占地面积</w:t>
            </w:r>
            <w:r>
              <w:rPr>
                <w:rFonts w:hint="eastAsia" w:ascii="Times New Roman" w:hAnsi="Times New Roman" w:cs="Times New Roman"/>
                <w:highlight w:val="none"/>
                <w:u w:val="none" w:color="auto"/>
                <w:lang w:val="en-US" w:eastAsia="zh-CN"/>
              </w:rPr>
              <w:t>6997.74m</w:t>
            </w:r>
            <w:r>
              <w:rPr>
                <w:rFonts w:hint="default" w:ascii="Times New Roman" w:hAnsi="Times New Roman" w:eastAsia="宋体" w:cs="Times New Roman"/>
                <w:sz w:val="24"/>
                <w:highlight w:val="none"/>
                <w:u w:val="none" w:color="auto"/>
                <w:vertAlign w:val="superscript"/>
                <w:lang w:val="en-US" w:eastAsia="zh-CN"/>
              </w:rPr>
              <w:t>2</w:t>
            </w:r>
            <w:r>
              <w:rPr>
                <w:rFonts w:hint="default" w:ascii="Times New Roman" w:hAnsi="Times New Roman" w:eastAsia="宋体" w:cs="Times New Roman"/>
                <w:sz w:val="24"/>
                <w:highlight w:val="none"/>
                <w:u w:val="none" w:color="auto"/>
                <w:lang w:val="en-US" w:eastAsia="zh-CN"/>
              </w:rPr>
              <w:t>，</w:t>
            </w:r>
            <w:r>
              <w:rPr>
                <w:rFonts w:hint="eastAsia" w:ascii="Times New Roman" w:hAnsi="Times New Roman" w:eastAsia="宋体" w:cs="Times New Roman"/>
                <w:sz w:val="24"/>
                <w:highlight w:val="none"/>
                <w:u w:val="none" w:color="auto"/>
                <w:lang w:val="en-US" w:eastAsia="zh-CN"/>
              </w:rPr>
              <w:t>用地性质为工业用地</w:t>
            </w:r>
            <w:r>
              <w:rPr>
                <w:rFonts w:hint="eastAsia" w:ascii="Times New Roman" w:hAnsi="Times New Roman" w:eastAsia="宋体" w:cs="Times New Roman"/>
                <w:sz w:val="24"/>
                <w:highlight w:val="none"/>
                <w:u w:val="none" w:color="auto"/>
                <w:lang w:eastAsia="zh-CN"/>
              </w:rPr>
              <w:t>。</w:t>
            </w:r>
            <w:r>
              <w:rPr>
                <w:rFonts w:hint="eastAsia" w:ascii="Times New Roman" w:hAnsi="Times New Roman" w:eastAsia="宋体" w:cs="Times New Roman"/>
                <w:sz w:val="24"/>
                <w:szCs w:val="24"/>
                <w:highlight w:val="none"/>
                <w:u w:val="none" w:color="auto"/>
                <w:lang w:eastAsia="zh-CN"/>
              </w:rPr>
              <w:t>主要建设</w:t>
            </w:r>
            <w:bookmarkStart w:id="18" w:name="_GoBack"/>
            <w:bookmarkEnd w:id="18"/>
            <w:r>
              <w:rPr>
                <w:rFonts w:hint="eastAsia" w:ascii="Times New Roman" w:hAnsi="Times New Roman" w:eastAsia="宋体" w:cs="Times New Roman"/>
                <w:sz w:val="24"/>
                <w:szCs w:val="24"/>
                <w:highlight w:val="none"/>
                <w:u w:val="none" w:color="auto"/>
                <w:lang w:val="en-US" w:eastAsia="zh-CN"/>
              </w:rPr>
              <w:t>1</w:t>
            </w:r>
            <w:r>
              <w:rPr>
                <w:rFonts w:hint="eastAsia" w:ascii="Times New Roman" w:hAnsi="Times New Roman" w:eastAsia="宋体" w:cs="Times New Roman"/>
                <w:sz w:val="24"/>
                <w:szCs w:val="24"/>
                <w:highlight w:val="none"/>
                <w:u w:val="none" w:color="auto"/>
                <w:lang w:eastAsia="zh-CN"/>
              </w:rPr>
              <w:t>条商品混凝土生产线，年产商品混凝土</w:t>
            </w:r>
            <w:r>
              <w:rPr>
                <w:rFonts w:hint="eastAsia" w:ascii="Times New Roman" w:hAnsi="Times New Roman" w:eastAsia="宋体" w:cs="Times New Roman"/>
                <w:sz w:val="24"/>
                <w:szCs w:val="24"/>
                <w:highlight w:val="none"/>
                <w:u w:val="none" w:color="auto"/>
                <w:lang w:val="en-US" w:eastAsia="zh-CN"/>
              </w:rPr>
              <w:t>6万m</w:t>
            </w:r>
            <w:r>
              <w:rPr>
                <w:rFonts w:hint="eastAsia" w:ascii="Times New Roman" w:hAnsi="Times New Roman" w:eastAsia="宋体" w:cs="Times New Roman"/>
                <w:sz w:val="24"/>
                <w:szCs w:val="24"/>
                <w:highlight w:val="none"/>
                <w:u w:val="none" w:color="auto"/>
                <w:vertAlign w:val="superscript"/>
                <w:lang w:val="en-US" w:eastAsia="zh-CN"/>
              </w:rPr>
              <w:t>3</w:t>
            </w:r>
            <w:r>
              <w:rPr>
                <w:rFonts w:hint="eastAsia" w:ascii="Times New Roman" w:hAnsi="Times New Roman" w:eastAsia="宋体" w:cs="Times New Roman"/>
                <w:sz w:val="24"/>
                <w:szCs w:val="24"/>
                <w:highlight w:val="none"/>
                <w:u w:val="none" w:color="auto"/>
                <w:lang w:eastAsia="zh-CN"/>
              </w:rPr>
              <w:t>。</w:t>
            </w:r>
          </w:p>
          <w:p w14:paraId="6744FD8F">
            <w:pPr>
              <w:pStyle w:val="28"/>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80" w:firstLineChars="200"/>
              <w:textAlignment w:val="auto"/>
              <w:rPr>
                <w:rFonts w:hint="eastAsia" w:eastAsia="仿宋_GB2312"/>
                <w:sz w:val="24"/>
                <w:szCs w:val="24"/>
                <w:highlight w:val="none"/>
                <w:u w:val="none"/>
                <w:lang w:eastAsia="zh-CN"/>
              </w:rPr>
            </w:pPr>
            <w:r>
              <w:rPr>
                <w:rFonts w:hint="eastAsia" w:ascii="宋体" w:hAnsi="宋体" w:eastAsia="宋体" w:cs="宋体"/>
                <w:sz w:val="24"/>
                <w:szCs w:val="24"/>
                <w:highlight w:val="none"/>
                <w:u w:val="none"/>
                <w:lang w:eastAsia="zh-CN"/>
              </w:rPr>
              <w:t>项目工程组成一览表详见下表。</w:t>
            </w:r>
          </w:p>
          <w:p w14:paraId="4B6BAB7B">
            <w:pPr>
              <w:pStyle w:val="48"/>
              <w:keepNext w:val="0"/>
              <w:keepLines w:val="0"/>
              <w:pageBreakBefore w:val="0"/>
              <w:widowControl/>
              <w:kinsoku/>
              <w:wordWrap/>
              <w:overflowPunct/>
              <w:topLinePunct w:val="0"/>
              <w:autoSpaceDE/>
              <w:autoSpaceDN/>
              <w:bidi w:val="0"/>
              <w:adjustRightInd/>
              <w:snapToGrid/>
              <w:spacing w:beforeLines="0" w:afterLines="0"/>
              <w:textAlignment w:val="auto"/>
              <w:rPr>
                <w:u w:val="none" w:color="auto"/>
              </w:rPr>
            </w:pPr>
            <w:r>
              <w:rPr>
                <w:u w:val="none" w:color="auto"/>
              </w:rPr>
              <w:t>表</w:t>
            </w:r>
            <w:r>
              <w:rPr>
                <w:rFonts w:hint="eastAsia"/>
                <w:u w:val="none" w:color="auto"/>
                <w:lang w:val="en-US" w:eastAsia="zh-CN"/>
              </w:rPr>
              <w:t>2-1</w:t>
            </w:r>
            <w:r>
              <w:rPr>
                <w:u w:val="none" w:color="auto"/>
              </w:rPr>
              <w:t xml:space="preserve">  项目组成一览表</w:t>
            </w:r>
          </w:p>
          <w:tbl>
            <w:tblPr>
              <w:tblStyle w:val="21"/>
              <w:tblW w:w="499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23"/>
              <w:gridCol w:w="5343"/>
              <w:gridCol w:w="931"/>
            </w:tblGrid>
            <w:tr w14:paraId="2E1BD4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76" w:type="pct"/>
                  <w:gridSpan w:val="2"/>
                  <w:noWrap w:val="0"/>
                  <w:tcMar>
                    <w:left w:w="57" w:type="dxa"/>
                    <w:right w:w="57" w:type="dxa"/>
                  </w:tcMar>
                  <w:vAlign w:val="center"/>
                </w:tcPr>
                <w:p w14:paraId="150D8423">
                  <w:pPr>
                    <w:jc w:val="center"/>
                    <w:rPr>
                      <w:color w:val="000000" w:themeColor="text1"/>
                      <w:sz w:val="21"/>
                      <w:szCs w:val="21"/>
                      <w:highlight w:val="none"/>
                      <w:u w:val="single" w:color="auto"/>
                      <w14:textFill>
                        <w14:solidFill>
                          <w14:schemeClr w14:val="tx1"/>
                        </w14:solidFill>
                      </w14:textFill>
                    </w:rPr>
                  </w:pPr>
                  <w:r>
                    <w:rPr>
                      <w:color w:val="000000" w:themeColor="text1"/>
                      <w:sz w:val="21"/>
                      <w:szCs w:val="21"/>
                      <w:highlight w:val="none"/>
                      <w:u w:val="single" w:color="auto"/>
                      <w14:textFill>
                        <w14:solidFill>
                          <w14:schemeClr w14:val="tx1"/>
                        </w14:solidFill>
                      </w14:textFill>
                    </w:rPr>
                    <w:t>项目组成</w:t>
                  </w:r>
                </w:p>
              </w:tc>
              <w:tc>
                <w:tcPr>
                  <w:tcW w:w="3341" w:type="pct"/>
                  <w:noWrap w:val="0"/>
                  <w:vAlign w:val="center"/>
                </w:tcPr>
                <w:p w14:paraId="426B1D0D">
                  <w:pPr>
                    <w:jc w:val="center"/>
                    <w:rPr>
                      <w:color w:val="000000" w:themeColor="text1"/>
                      <w:sz w:val="21"/>
                      <w:szCs w:val="21"/>
                      <w:highlight w:val="none"/>
                      <w:u w:val="single" w:color="auto"/>
                      <w14:textFill>
                        <w14:solidFill>
                          <w14:schemeClr w14:val="tx1"/>
                        </w14:solidFill>
                      </w14:textFill>
                    </w:rPr>
                  </w:pPr>
                  <w:r>
                    <w:rPr>
                      <w:rFonts w:hint="eastAsia"/>
                      <w:color w:val="000000" w:themeColor="text1"/>
                      <w:sz w:val="21"/>
                      <w:szCs w:val="21"/>
                      <w:highlight w:val="none"/>
                      <w:u w:val="single" w:color="auto"/>
                      <w14:textFill>
                        <w14:solidFill>
                          <w14:schemeClr w14:val="tx1"/>
                        </w14:solidFill>
                      </w14:textFill>
                    </w:rPr>
                    <w:t>建设内容</w:t>
                  </w:r>
                </w:p>
              </w:tc>
              <w:tc>
                <w:tcPr>
                  <w:tcW w:w="582" w:type="pct"/>
                  <w:noWrap w:val="0"/>
                  <w:vAlign w:val="center"/>
                </w:tcPr>
                <w:p w14:paraId="66ACB315">
                  <w:pPr>
                    <w:jc w:val="center"/>
                    <w:rPr>
                      <w:rFonts w:hint="eastAsia"/>
                      <w:color w:val="000000" w:themeColor="text1"/>
                      <w:sz w:val="21"/>
                      <w:szCs w:val="21"/>
                      <w:highlight w:val="none"/>
                      <w:u w:val="single" w:color="auto"/>
                      <w14:textFill>
                        <w14:solidFill>
                          <w14:schemeClr w14:val="tx1"/>
                        </w14:solidFill>
                      </w14:textFill>
                    </w:rPr>
                  </w:pPr>
                  <w:r>
                    <w:rPr>
                      <w:rFonts w:hint="eastAsia"/>
                      <w:color w:val="000000" w:themeColor="text1"/>
                      <w:sz w:val="21"/>
                      <w:szCs w:val="21"/>
                      <w:highlight w:val="none"/>
                      <w:u w:val="single" w:color="auto"/>
                      <w14:textFill>
                        <w14:solidFill>
                          <w14:schemeClr w14:val="tx1"/>
                        </w14:solidFill>
                      </w14:textFill>
                    </w:rPr>
                    <w:t>备注</w:t>
                  </w:r>
                </w:p>
              </w:tc>
            </w:tr>
            <w:tr w14:paraId="770239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62" w:hRule="atLeast"/>
              </w:trPr>
              <w:tc>
                <w:tcPr>
                  <w:tcW w:w="437" w:type="pct"/>
                  <w:noWrap w:val="0"/>
                  <w:tcMar>
                    <w:left w:w="57" w:type="dxa"/>
                    <w:right w:w="57" w:type="dxa"/>
                  </w:tcMar>
                  <w:vAlign w:val="center"/>
                </w:tcPr>
                <w:p w14:paraId="37B19906">
                  <w:pPr>
                    <w:jc w:val="center"/>
                    <w:rPr>
                      <w:color w:val="000000" w:themeColor="text1"/>
                      <w:sz w:val="21"/>
                      <w:szCs w:val="21"/>
                      <w:highlight w:val="none"/>
                      <w:u w:val="single" w:color="auto"/>
                      <w14:textFill>
                        <w14:solidFill>
                          <w14:schemeClr w14:val="tx1"/>
                        </w14:solidFill>
                      </w14:textFill>
                    </w:rPr>
                  </w:pPr>
                  <w:r>
                    <w:rPr>
                      <w:color w:val="000000" w:themeColor="text1"/>
                      <w:sz w:val="21"/>
                      <w:szCs w:val="21"/>
                      <w:highlight w:val="none"/>
                      <w:u w:val="single" w:color="auto"/>
                      <w14:textFill>
                        <w14:solidFill>
                          <w14:schemeClr w14:val="tx1"/>
                        </w14:solidFill>
                      </w14:textFill>
                    </w:rPr>
                    <w:t>主体工程</w:t>
                  </w:r>
                </w:p>
              </w:tc>
              <w:tc>
                <w:tcPr>
                  <w:tcW w:w="639" w:type="pct"/>
                  <w:noWrap w:val="0"/>
                  <w:vAlign w:val="center"/>
                </w:tcPr>
                <w:p w14:paraId="5219E547">
                  <w:pPr>
                    <w:jc w:val="center"/>
                    <w:rPr>
                      <w:color w:val="000000" w:themeColor="text1"/>
                      <w:sz w:val="21"/>
                      <w:szCs w:val="21"/>
                      <w:highlight w:val="none"/>
                      <w:u w:val="single" w:color="auto"/>
                      <w14:textFill>
                        <w14:solidFill>
                          <w14:schemeClr w14:val="tx1"/>
                        </w14:solidFill>
                      </w14:textFill>
                    </w:rPr>
                  </w:pPr>
                  <w:r>
                    <w:rPr>
                      <w:rFonts w:hint="eastAsia"/>
                      <w:color w:val="000000" w:themeColor="text1"/>
                      <w:sz w:val="21"/>
                      <w:szCs w:val="21"/>
                      <w:highlight w:val="none"/>
                      <w:u w:val="single" w:color="auto"/>
                      <w:lang w:eastAsia="zh-CN"/>
                      <w14:textFill>
                        <w14:solidFill>
                          <w14:schemeClr w14:val="tx1"/>
                        </w14:solidFill>
                      </w14:textFill>
                    </w:rPr>
                    <w:t>搅拌站</w:t>
                  </w:r>
                  <w:r>
                    <w:rPr>
                      <w:color w:val="000000" w:themeColor="text1"/>
                      <w:sz w:val="21"/>
                      <w:szCs w:val="21"/>
                      <w:highlight w:val="none"/>
                      <w:u w:val="single" w:color="auto"/>
                      <w14:textFill>
                        <w14:solidFill>
                          <w14:schemeClr w14:val="tx1"/>
                        </w14:solidFill>
                      </w14:textFill>
                    </w:rPr>
                    <w:t>作业区</w:t>
                  </w:r>
                </w:p>
              </w:tc>
              <w:tc>
                <w:tcPr>
                  <w:tcW w:w="3341" w:type="pct"/>
                  <w:noWrap w:val="0"/>
                  <w:vAlign w:val="center"/>
                </w:tcPr>
                <w:p w14:paraId="194E44B1">
                  <w:pPr>
                    <w:rPr>
                      <w:rFonts w:hint="eastAsia"/>
                      <w:color w:val="000000" w:themeColor="text1"/>
                      <w:sz w:val="21"/>
                      <w:szCs w:val="21"/>
                      <w:highlight w:val="none"/>
                      <w:u w:val="single" w:color="auto"/>
                      <w14:textFill>
                        <w14:solidFill>
                          <w14:schemeClr w14:val="tx1"/>
                        </w14:solidFill>
                      </w14:textFill>
                    </w:rPr>
                  </w:pPr>
                  <w:r>
                    <w:rPr>
                      <w:rFonts w:hint="eastAsia"/>
                      <w:bCs/>
                      <w:iCs/>
                      <w:color w:val="000000" w:themeColor="text1"/>
                      <w:sz w:val="21"/>
                      <w:szCs w:val="21"/>
                      <w:highlight w:val="none"/>
                      <w:u w:val="single" w:color="auto"/>
                      <w14:textFill>
                        <w14:solidFill>
                          <w14:schemeClr w14:val="tx1"/>
                        </w14:solidFill>
                      </w14:textFill>
                    </w:rPr>
                    <w:t>项目混凝土</w:t>
                  </w:r>
                  <w:r>
                    <w:rPr>
                      <w:rFonts w:hint="eastAsia"/>
                      <w:bCs/>
                      <w:iCs/>
                      <w:color w:val="000000" w:themeColor="text1"/>
                      <w:sz w:val="21"/>
                      <w:szCs w:val="21"/>
                      <w:highlight w:val="none"/>
                      <w:u w:val="single" w:color="auto"/>
                      <w:lang w:eastAsia="zh-CN"/>
                      <w14:textFill>
                        <w14:solidFill>
                          <w14:schemeClr w14:val="tx1"/>
                        </w14:solidFill>
                      </w14:textFill>
                    </w:rPr>
                    <w:t>搅拌</w:t>
                  </w:r>
                  <w:r>
                    <w:rPr>
                      <w:rFonts w:hint="eastAsia"/>
                      <w:bCs/>
                      <w:iCs/>
                      <w:color w:val="000000" w:themeColor="text1"/>
                      <w:sz w:val="21"/>
                      <w:szCs w:val="21"/>
                      <w:highlight w:val="none"/>
                      <w:u w:val="single" w:color="auto"/>
                      <w14:textFill>
                        <w14:solidFill>
                          <w14:schemeClr w14:val="tx1"/>
                        </w14:solidFill>
                      </w14:textFill>
                    </w:rPr>
                    <w:t>站占地</w:t>
                  </w:r>
                  <w:r>
                    <w:rPr>
                      <w:rFonts w:hint="eastAsia"/>
                      <w:bCs/>
                      <w:iCs/>
                      <w:color w:val="000000" w:themeColor="text1"/>
                      <w:sz w:val="21"/>
                      <w:szCs w:val="21"/>
                      <w:highlight w:val="none"/>
                      <w:u w:val="single" w:color="auto"/>
                      <w:lang w:val="en-US" w:eastAsia="zh-CN"/>
                      <w14:textFill>
                        <w14:solidFill>
                          <w14:schemeClr w14:val="tx1"/>
                        </w14:solidFill>
                      </w14:textFill>
                    </w:rPr>
                    <w:t>1200</w:t>
                  </w:r>
                  <w:r>
                    <w:rPr>
                      <w:rFonts w:hint="eastAsia"/>
                      <w:bCs/>
                      <w:iCs/>
                      <w:color w:val="000000" w:themeColor="text1"/>
                      <w:sz w:val="21"/>
                      <w:szCs w:val="21"/>
                      <w:highlight w:val="none"/>
                      <w:u w:val="single" w:color="auto"/>
                      <w14:textFill>
                        <w14:solidFill>
                          <w14:schemeClr w14:val="tx1"/>
                        </w14:solidFill>
                      </w14:textFill>
                    </w:rPr>
                    <w:t>m</w:t>
                  </w:r>
                  <w:r>
                    <w:rPr>
                      <w:rFonts w:hint="eastAsia"/>
                      <w:bCs/>
                      <w:iCs/>
                      <w:color w:val="000000" w:themeColor="text1"/>
                      <w:sz w:val="21"/>
                      <w:szCs w:val="21"/>
                      <w:highlight w:val="none"/>
                      <w:u w:val="single" w:color="auto"/>
                      <w:vertAlign w:val="superscript"/>
                      <w14:textFill>
                        <w14:solidFill>
                          <w14:schemeClr w14:val="tx1"/>
                        </w14:solidFill>
                      </w14:textFill>
                    </w:rPr>
                    <w:t>2</w:t>
                  </w:r>
                  <w:r>
                    <w:rPr>
                      <w:rFonts w:hint="eastAsia"/>
                      <w:bCs/>
                      <w:iCs/>
                      <w:color w:val="000000" w:themeColor="text1"/>
                      <w:sz w:val="21"/>
                      <w:szCs w:val="21"/>
                      <w:highlight w:val="none"/>
                      <w:u w:val="single" w:color="auto"/>
                      <w14:textFill>
                        <w14:solidFill>
                          <w14:schemeClr w14:val="tx1"/>
                        </w14:solidFill>
                      </w14:textFill>
                    </w:rPr>
                    <w:t>，混凝土生产线</w:t>
                  </w:r>
                  <w:r>
                    <w:rPr>
                      <w:rFonts w:hint="eastAsia"/>
                      <w:bCs/>
                      <w:iCs/>
                      <w:color w:val="000000" w:themeColor="text1"/>
                      <w:sz w:val="21"/>
                      <w:szCs w:val="21"/>
                      <w:highlight w:val="none"/>
                      <w:u w:val="single" w:color="auto"/>
                      <w:lang w:val="en-US" w:eastAsia="zh-CN"/>
                      <w14:textFill>
                        <w14:solidFill>
                          <w14:schemeClr w14:val="tx1"/>
                        </w14:solidFill>
                      </w14:textFill>
                    </w:rPr>
                    <w:t>1</w:t>
                  </w:r>
                  <w:r>
                    <w:rPr>
                      <w:rFonts w:hint="eastAsia"/>
                      <w:bCs/>
                      <w:iCs/>
                      <w:color w:val="000000" w:themeColor="text1"/>
                      <w:sz w:val="21"/>
                      <w:szCs w:val="21"/>
                      <w:highlight w:val="none"/>
                      <w:u w:val="single" w:color="auto"/>
                      <w14:textFill>
                        <w14:solidFill>
                          <w14:schemeClr w14:val="tx1"/>
                        </w14:solidFill>
                      </w14:textFill>
                    </w:rPr>
                    <w:t>条</w:t>
                  </w:r>
                  <w:r>
                    <w:rPr>
                      <w:rFonts w:hint="eastAsia"/>
                      <w:bCs/>
                      <w:iCs/>
                      <w:color w:val="000000" w:themeColor="text1"/>
                      <w:sz w:val="21"/>
                      <w:szCs w:val="21"/>
                      <w:highlight w:val="none"/>
                      <w:u w:val="single" w:color="auto"/>
                      <w:lang w:eastAsia="zh-CN"/>
                      <w14:textFill>
                        <w14:solidFill>
                          <w14:schemeClr w14:val="tx1"/>
                        </w14:solidFill>
                      </w14:textFill>
                    </w:rPr>
                    <w:t>，设置</w:t>
                  </w:r>
                  <w:r>
                    <w:rPr>
                      <w:rFonts w:hint="eastAsia"/>
                      <w:bCs/>
                      <w:iCs/>
                      <w:color w:val="000000" w:themeColor="text1"/>
                      <w:sz w:val="21"/>
                      <w:szCs w:val="21"/>
                      <w:highlight w:val="none"/>
                      <w:u w:val="single" w:color="auto"/>
                      <w:lang w:val="en-US" w:eastAsia="zh-CN"/>
                      <w14:textFill>
                        <w14:solidFill>
                          <w14:schemeClr w14:val="tx1"/>
                        </w14:solidFill>
                      </w14:textFill>
                    </w:rPr>
                    <w:t>1</w:t>
                  </w:r>
                  <w:r>
                    <w:rPr>
                      <w:rFonts w:hint="eastAsia"/>
                      <w:bCs/>
                      <w:iCs/>
                      <w:color w:val="000000" w:themeColor="text1"/>
                      <w:sz w:val="21"/>
                      <w:szCs w:val="21"/>
                      <w:highlight w:val="none"/>
                      <w:u w:val="single" w:color="auto"/>
                      <w:lang w:eastAsia="zh-CN"/>
                      <w14:textFill>
                        <w14:solidFill>
                          <w14:schemeClr w14:val="tx1"/>
                        </w14:solidFill>
                      </w14:textFill>
                    </w:rPr>
                    <w:t>台搅拌机、电子称量系统（独立骨料秤、水泥秤、粉煤灰秤、</w:t>
                  </w:r>
                  <w:r>
                    <w:rPr>
                      <w:rFonts w:hint="eastAsia"/>
                      <w:bCs/>
                      <w:iCs/>
                      <w:color w:val="000000" w:themeColor="text1"/>
                      <w:sz w:val="21"/>
                      <w:szCs w:val="21"/>
                      <w:highlight w:val="none"/>
                      <w:u w:val="single" w:color="auto"/>
                      <w:lang w:val="en-US" w:eastAsia="zh-CN"/>
                      <w14:textFill>
                        <w14:solidFill>
                          <w14:schemeClr w14:val="tx1"/>
                        </w14:solidFill>
                      </w14:textFill>
                    </w:rPr>
                    <w:t>矿粉称、</w:t>
                  </w:r>
                  <w:r>
                    <w:rPr>
                      <w:rFonts w:hint="eastAsia"/>
                      <w:bCs/>
                      <w:iCs/>
                      <w:color w:val="000000" w:themeColor="text1"/>
                      <w:sz w:val="21"/>
                      <w:szCs w:val="21"/>
                      <w:highlight w:val="none"/>
                      <w:u w:val="single" w:color="auto"/>
                      <w:lang w:eastAsia="zh-CN"/>
                      <w14:textFill>
                        <w14:solidFill>
                          <w14:schemeClr w14:val="tx1"/>
                        </w14:solidFill>
                      </w14:textFill>
                    </w:rPr>
                    <w:t>水秤、加外剂秤）、物料输送装置等生产设备</w:t>
                  </w:r>
                  <w:r>
                    <w:rPr>
                      <w:rFonts w:hint="eastAsia"/>
                      <w:bCs/>
                      <w:iCs/>
                      <w:color w:val="000000" w:themeColor="text1"/>
                      <w:sz w:val="21"/>
                      <w:szCs w:val="21"/>
                      <w:highlight w:val="none"/>
                      <w:u w:val="single" w:color="auto"/>
                      <w:lang w:val="en-US" w:eastAsia="zh-CN"/>
                      <w14:textFill>
                        <w14:solidFill>
                          <w14:schemeClr w14:val="tx1"/>
                        </w14:solidFill>
                      </w14:textFill>
                    </w:rPr>
                    <w:t>及搅拌机操作室1间，占地面积16</w:t>
                  </w:r>
                  <w:r>
                    <w:rPr>
                      <w:rFonts w:hint="eastAsia"/>
                      <w:color w:val="000000" w:themeColor="text1"/>
                      <w:sz w:val="21"/>
                      <w:szCs w:val="21"/>
                      <w:u w:val="single" w:color="auto"/>
                      <w14:textFill>
                        <w14:solidFill>
                          <w14:schemeClr w14:val="tx1"/>
                        </w14:solidFill>
                      </w14:textFill>
                    </w:rPr>
                    <w:t>m</w:t>
                  </w:r>
                  <w:r>
                    <w:rPr>
                      <w:rFonts w:hint="eastAsia"/>
                      <w:color w:val="000000" w:themeColor="text1"/>
                      <w:sz w:val="21"/>
                      <w:szCs w:val="21"/>
                      <w:u w:val="single" w:color="auto"/>
                      <w:vertAlign w:val="superscript"/>
                      <w14:textFill>
                        <w14:solidFill>
                          <w14:schemeClr w14:val="tx1"/>
                        </w14:solidFill>
                      </w14:textFill>
                    </w:rPr>
                    <w:t>2</w:t>
                  </w:r>
                  <w:r>
                    <w:rPr>
                      <w:rFonts w:hint="eastAsia"/>
                      <w:color w:val="000000" w:themeColor="text1"/>
                      <w:sz w:val="21"/>
                      <w:szCs w:val="21"/>
                      <w:u w:val="single" w:color="auto"/>
                      <w:vertAlign w:val="baseline"/>
                      <w:lang w:eastAsia="zh-CN"/>
                      <w14:textFill>
                        <w14:solidFill>
                          <w14:schemeClr w14:val="tx1"/>
                        </w14:solidFill>
                      </w14:textFill>
                    </w:rPr>
                    <w:t>，</w:t>
                  </w:r>
                  <w:r>
                    <w:rPr>
                      <w:rFonts w:hint="eastAsia"/>
                      <w:color w:val="000000" w:themeColor="text1"/>
                      <w:sz w:val="21"/>
                      <w:szCs w:val="21"/>
                      <w:u w:val="single" w:color="auto"/>
                      <w:vertAlign w:val="baseline"/>
                      <w:lang w:val="en-US" w:eastAsia="zh-CN"/>
                      <w14:textFill>
                        <w14:solidFill>
                          <w14:schemeClr w14:val="tx1"/>
                        </w14:solidFill>
                      </w14:textFill>
                    </w:rPr>
                    <w:t>1层</w:t>
                  </w:r>
                  <w:r>
                    <w:rPr>
                      <w:rFonts w:hint="eastAsia"/>
                      <w:color w:val="000000" w:themeColor="text1"/>
                      <w:sz w:val="21"/>
                      <w:szCs w:val="21"/>
                      <w:u w:val="single" w:color="auto"/>
                      <w:lang w:eastAsia="zh-CN"/>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彩钢</w:t>
                  </w:r>
                  <w:r>
                    <w:rPr>
                      <w:rFonts w:hint="eastAsia"/>
                      <w:color w:val="000000" w:themeColor="text1"/>
                      <w:sz w:val="21"/>
                      <w:szCs w:val="21"/>
                      <w:highlight w:val="none"/>
                      <w:u w:val="single" w:color="auto"/>
                      <w:lang w:val="en-US" w:eastAsia="zh-CN"/>
                      <w14:textFill>
                        <w14:solidFill>
                          <w14:schemeClr w14:val="tx1"/>
                        </w14:solidFill>
                      </w14:textFill>
                    </w:rPr>
                    <w:t>结构</w:t>
                  </w:r>
                  <w:r>
                    <w:rPr>
                      <w:rFonts w:hint="eastAsia"/>
                      <w:bCs/>
                      <w:iCs/>
                      <w:color w:val="000000" w:themeColor="text1"/>
                      <w:sz w:val="21"/>
                      <w:szCs w:val="21"/>
                      <w:highlight w:val="none"/>
                      <w:u w:val="single" w:color="auto"/>
                      <w14:textFill>
                        <w14:solidFill>
                          <w14:schemeClr w14:val="tx1"/>
                        </w14:solidFill>
                      </w14:textFill>
                    </w:rPr>
                    <w:t>。</w:t>
                  </w:r>
                </w:p>
              </w:tc>
              <w:tc>
                <w:tcPr>
                  <w:tcW w:w="582" w:type="pct"/>
                  <w:noWrap w:val="0"/>
                  <w:vAlign w:val="center"/>
                </w:tcPr>
                <w:p w14:paraId="7B0DCFE2">
                  <w:pPr>
                    <w:jc w:val="center"/>
                    <w:rPr>
                      <w:rFonts w:hint="eastAsia" w:eastAsia="宋体"/>
                      <w:color w:val="000000" w:themeColor="text1"/>
                      <w:sz w:val="21"/>
                      <w:szCs w:val="21"/>
                      <w:highlight w:val="none"/>
                      <w:u w:val="single" w:color="auto"/>
                      <w:lang w:eastAsia="zh-CN"/>
                      <w14:textFill>
                        <w14:solidFill>
                          <w14:schemeClr w14:val="tx1"/>
                        </w14:solidFill>
                      </w14:textFill>
                    </w:rPr>
                  </w:pPr>
                  <w:r>
                    <w:rPr>
                      <w:rFonts w:hint="eastAsia"/>
                      <w:color w:val="000000" w:themeColor="text1"/>
                      <w:sz w:val="21"/>
                      <w:szCs w:val="21"/>
                      <w:highlight w:val="none"/>
                      <w:u w:val="single" w:color="auto"/>
                      <w:lang w:val="en-US" w:eastAsia="zh-CN"/>
                      <w14:textFill>
                        <w14:solidFill>
                          <w14:schemeClr w14:val="tx1"/>
                        </w14:solidFill>
                      </w14:textFill>
                    </w:rPr>
                    <w:t>新建</w:t>
                  </w:r>
                </w:p>
              </w:tc>
            </w:tr>
            <w:tr w14:paraId="75CBFC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437" w:type="pct"/>
                  <w:noWrap w:val="0"/>
                  <w:tcMar>
                    <w:left w:w="57" w:type="dxa"/>
                    <w:right w:w="57" w:type="dxa"/>
                  </w:tcMar>
                  <w:vAlign w:val="center"/>
                </w:tcPr>
                <w:p w14:paraId="56B6FDDF">
                  <w:pPr>
                    <w:jc w:val="center"/>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辅助</w:t>
                  </w:r>
                </w:p>
                <w:p w14:paraId="1BCE3B33">
                  <w:pPr>
                    <w:jc w:val="center"/>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工程</w:t>
                  </w:r>
                </w:p>
              </w:tc>
              <w:tc>
                <w:tcPr>
                  <w:tcW w:w="639" w:type="pct"/>
                  <w:noWrap w:val="0"/>
                  <w:vAlign w:val="center"/>
                </w:tcPr>
                <w:p w14:paraId="533018DC">
                  <w:pPr>
                    <w:jc w:val="center"/>
                    <w:rPr>
                      <w:rFonts w:hint="eastAsia" w:eastAsia="宋体"/>
                      <w:color w:val="000000" w:themeColor="text1"/>
                      <w:sz w:val="21"/>
                      <w:szCs w:val="21"/>
                      <w:u w:val="single" w:color="auto"/>
                      <w:lang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办公综合楼</w:t>
                  </w:r>
                </w:p>
              </w:tc>
              <w:tc>
                <w:tcPr>
                  <w:tcW w:w="3341" w:type="pct"/>
                  <w:noWrap w:val="0"/>
                  <w:vAlign w:val="center"/>
                </w:tcPr>
                <w:p w14:paraId="795C124B">
                  <w:pPr>
                    <w:rPr>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利用厂区现有1座办公综合楼作为厂区办公和实验室使用</w:t>
                  </w:r>
                  <w:r>
                    <w:rPr>
                      <w:rFonts w:hint="eastAsia"/>
                      <w:color w:val="000000" w:themeColor="text1"/>
                      <w:sz w:val="21"/>
                      <w:szCs w:val="21"/>
                      <w:u w:val="single" w:color="auto"/>
                      <w:vertAlign w:val="baseline"/>
                      <w:lang w:eastAsia="zh-CN"/>
                      <w14:textFill>
                        <w14:solidFill>
                          <w14:schemeClr w14:val="tx1"/>
                        </w14:solidFill>
                      </w14:textFill>
                    </w:rPr>
                    <w:t>，</w:t>
                  </w:r>
                  <w:r>
                    <w:rPr>
                      <w:rFonts w:hint="eastAsia"/>
                      <w:color w:val="000000" w:themeColor="text1"/>
                      <w:sz w:val="21"/>
                      <w:szCs w:val="21"/>
                      <w:u w:val="single" w:color="auto"/>
                      <w:vertAlign w:val="baseline"/>
                      <w:lang w:val="en-US" w:eastAsia="zh-CN"/>
                      <w14:textFill>
                        <w14:solidFill>
                          <w14:schemeClr w14:val="tx1"/>
                        </w14:solidFill>
                      </w14:textFill>
                    </w:rPr>
                    <w:t>2层</w:t>
                  </w:r>
                  <w:r>
                    <w:rPr>
                      <w:rFonts w:hint="eastAsia"/>
                      <w:color w:val="000000" w:themeColor="text1"/>
                      <w:sz w:val="21"/>
                      <w:szCs w:val="21"/>
                      <w:u w:val="single" w:color="auto"/>
                      <w:lang w:eastAsia="zh-CN"/>
                      <w14:textFill>
                        <w14:solidFill>
                          <w14:schemeClr w14:val="tx1"/>
                        </w14:solidFill>
                      </w14:textFill>
                    </w:rPr>
                    <w:t>，</w:t>
                  </w:r>
                  <w:r>
                    <w:rPr>
                      <w:rFonts w:hint="eastAsia"/>
                      <w:color w:val="000000" w:themeColor="text1"/>
                      <w:sz w:val="21"/>
                      <w:szCs w:val="21"/>
                      <w:u w:val="single" w:color="auto"/>
                      <w:vertAlign w:val="baseline"/>
                      <w:lang w:eastAsia="zh-CN"/>
                      <w14:textFill>
                        <w14:solidFill>
                          <w14:schemeClr w14:val="tx1"/>
                        </w14:solidFill>
                      </w14:textFill>
                    </w:rPr>
                    <w:t>占地面积</w:t>
                  </w:r>
                  <w:r>
                    <w:rPr>
                      <w:rFonts w:hint="eastAsia"/>
                      <w:color w:val="000000" w:themeColor="text1"/>
                      <w:sz w:val="21"/>
                      <w:szCs w:val="21"/>
                      <w:u w:val="single" w:color="auto"/>
                      <w:vertAlign w:val="baseline"/>
                      <w:lang w:val="en-US" w:eastAsia="zh-CN"/>
                      <w14:textFill>
                        <w14:solidFill>
                          <w14:schemeClr w14:val="tx1"/>
                        </w14:solidFill>
                      </w14:textFill>
                    </w:rPr>
                    <w:t>287m</w:t>
                  </w:r>
                  <w:r>
                    <w:rPr>
                      <w:rFonts w:hint="eastAsia"/>
                      <w:color w:val="000000" w:themeColor="text1"/>
                      <w:sz w:val="21"/>
                      <w:szCs w:val="21"/>
                      <w:u w:val="single" w:color="auto"/>
                      <w:vertAlign w:val="superscript"/>
                      <w:lang w:val="en-US" w:eastAsia="zh-CN"/>
                      <w14:textFill>
                        <w14:solidFill>
                          <w14:schemeClr w14:val="tx1"/>
                        </w14:solidFill>
                      </w14:textFill>
                    </w:rPr>
                    <w:t>2</w:t>
                  </w:r>
                  <w:r>
                    <w:rPr>
                      <w:rFonts w:hint="eastAsia"/>
                      <w:color w:val="000000" w:themeColor="text1"/>
                      <w:sz w:val="21"/>
                      <w:szCs w:val="21"/>
                      <w:u w:val="single" w:color="auto"/>
                      <w:lang w:eastAsia="zh-CN"/>
                      <w14:textFill>
                        <w14:solidFill>
                          <w14:schemeClr w14:val="tx1"/>
                        </w14:solidFill>
                      </w14:textFill>
                    </w:rPr>
                    <w:t>，</w:t>
                  </w:r>
                  <w:r>
                    <w:rPr>
                      <w:rFonts w:hint="eastAsia"/>
                      <w:color w:val="000000" w:themeColor="text1"/>
                      <w:sz w:val="21"/>
                      <w:szCs w:val="21"/>
                      <w:u w:val="single" w:color="auto"/>
                      <w:vertAlign w:val="baseline"/>
                      <w:lang w:eastAsia="zh-CN"/>
                      <w14:textFill>
                        <w14:solidFill>
                          <w14:schemeClr w14:val="tx1"/>
                        </w14:solidFill>
                      </w14:textFill>
                    </w:rPr>
                    <w:t>建筑面积</w:t>
                  </w:r>
                  <w:r>
                    <w:rPr>
                      <w:rFonts w:hint="eastAsia"/>
                      <w:color w:val="000000" w:themeColor="text1"/>
                      <w:sz w:val="21"/>
                      <w:szCs w:val="21"/>
                      <w:u w:val="single" w:color="auto"/>
                      <w:vertAlign w:val="baseline"/>
                      <w:lang w:val="en-US" w:eastAsia="zh-CN"/>
                      <w14:textFill>
                        <w14:solidFill>
                          <w14:schemeClr w14:val="tx1"/>
                        </w14:solidFill>
                      </w14:textFill>
                    </w:rPr>
                    <w:t>574m</w:t>
                  </w:r>
                  <w:r>
                    <w:rPr>
                      <w:rFonts w:hint="eastAsia"/>
                      <w:color w:val="000000" w:themeColor="text1"/>
                      <w:sz w:val="21"/>
                      <w:szCs w:val="21"/>
                      <w:u w:val="single" w:color="auto"/>
                      <w:vertAlign w:val="superscript"/>
                      <w:lang w:val="en-US" w:eastAsia="zh-CN"/>
                      <w14:textFill>
                        <w14:solidFill>
                          <w14:schemeClr w14:val="tx1"/>
                        </w14:solidFill>
                      </w14:textFill>
                    </w:rPr>
                    <w:t>2</w:t>
                  </w:r>
                  <w:r>
                    <w:rPr>
                      <w:rFonts w:hint="eastAsia"/>
                      <w:color w:val="000000" w:themeColor="text1"/>
                      <w:sz w:val="21"/>
                      <w:szCs w:val="21"/>
                      <w:u w:val="single" w:color="auto"/>
                      <w:lang w:eastAsia="zh-CN"/>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商混</w:t>
                  </w:r>
                  <w:r>
                    <w:rPr>
                      <w:rFonts w:hint="eastAsia"/>
                      <w:color w:val="000000" w:themeColor="text1"/>
                      <w:sz w:val="21"/>
                      <w:szCs w:val="21"/>
                      <w:highlight w:val="none"/>
                      <w:u w:val="single" w:color="auto"/>
                      <w:lang w:val="en-US" w:eastAsia="zh-CN"/>
                      <w14:textFill>
                        <w14:solidFill>
                          <w14:schemeClr w14:val="tx1"/>
                        </w14:solidFill>
                      </w14:textFill>
                    </w:rPr>
                    <w:t>结构</w:t>
                  </w:r>
                  <w:r>
                    <w:rPr>
                      <w:rFonts w:hint="eastAsia"/>
                      <w:color w:val="000000" w:themeColor="text1"/>
                      <w:sz w:val="21"/>
                      <w:szCs w:val="21"/>
                      <w:u w:val="single" w:color="auto"/>
                      <w:lang w:val="en-US" w:eastAsia="zh-CN"/>
                      <w14:textFill>
                        <w14:solidFill>
                          <w14:schemeClr w14:val="tx1"/>
                        </w14:solidFill>
                      </w14:textFill>
                    </w:rPr>
                    <w:t>。</w:t>
                  </w:r>
                  <w:r>
                    <w:rPr>
                      <w:rFonts w:hint="eastAsia"/>
                      <w:color w:val="000000" w:themeColor="text1"/>
                      <w:sz w:val="21"/>
                      <w:szCs w:val="21"/>
                      <w:u w:val="single" w:color="auto"/>
                      <w:vertAlign w:val="baseline"/>
                      <w:lang w:val="en-US" w:eastAsia="zh-CN"/>
                      <w14:textFill>
                        <w14:solidFill>
                          <w14:schemeClr w14:val="tx1"/>
                        </w14:solidFill>
                      </w14:textFill>
                    </w:rPr>
                    <w:t>本项目化验室仅对混凝土强度等进行检测，不涉及化学药品，无废水产生</w:t>
                  </w:r>
                  <w:r>
                    <w:rPr>
                      <w:rFonts w:hint="eastAsia"/>
                      <w:color w:val="000000" w:themeColor="text1"/>
                      <w:sz w:val="21"/>
                      <w:szCs w:val="21"/>
                      <w:u w:val="single" w:color="auto"/>
                      <w14:textFill>
                        <w14:solidFill>
                          <w14:schemeClr w14:val="tx1"/>
                        </w14:solidFill>
                      </w14:textFill>
                    </w:rPr>
                    <w:t>。</w:t>
                  </w:r>
                </w:p>
              </w:tc>
              <w:tc>
                <w:tcPr>
                  <w:tcW w:w="582" w:type="pct"/>
                  <w:noWrap w:val="0"/>
                  <w:vAlign w:val="center"/>
                </w:tcPr>
                <w:p w14:paraId="46432573">
                  <w:pPr>
                    <w:jc w:val="center"/>
                    <w:rPr>
                      <w:rFonts w:hint="default"/>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highlight w:val="none"/>
                      <w:u w:val="single" w:color="auto"/>
                      <w:lang w:val="en-US" w:eastAsia="zh-CN"/>
                      <w14:textFill>
                        <w14:solidFill>
                          <w14:schemeClr w14:val="tx1"/>
                        </w14:solidFill>
                      </w14:textFill>
                    </w:rPr>
                    <w:t>利旧</w:t>
                  </w:r>
                </w:p>
              </w:tc>
            </w:tr>
            <w:tr w14:paraId="55327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37" w:type="pct"/>
                  <w:vMerge w:val="restart"/>
                  <w:noWrap w:val="0"/>
                  <w:tcMar>
                    <w:left w:w="57" w:type="dxa"/>
                    <w:right w:w="57" w:type="dxa"/>
                  </w:tcMar>
                  <w:vAlign w:val="center"/>
                </w:tcPr>
                <w:p w14:paraId="47715910">
                  <w:pPr>
                    <w:jc w:val="center"/>
                    <w:rPr>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14:textFill>
                        <w14:solidFill>
                          <w14:schemeClr w14:val="tx1"/>
                        </w14:solidFill>
                      </w14:textFill>
                    </w:rPr>
                    <w:t>储运工程</w:t>
                  </w:r>
                </w:p>
              </w:tc>
              <w:tc>
                <w:tcPr>
                  <w:tcW w:w="639" w:type="pct"/>
                  <w:noWrap w:val="0"/>
                  <w:vAlign w:val="center"/>
                </w:tcPr>
                <w:p w14:paraId="54BB5BEC">
                  <w:pPr>
                    <w:jc w:val="center"/>
                    <w:rPr>
                      <w:rFonts w:hint="eastAsia" w:eastAsia="宋体"/>
                      <w:color w:val="000000" w:themeColor="text1"/>
                      <w:sz w:val="21"/>
                      <w:szCs w:val="21"/>
                      <w:u w:val="single" w:color="auto"/>
                      <w:lang w:eastAsia="zh-CN"/>
                      <w14:textFill>
                        <w14:solidFill>
                          <w14:schemeClr w14:val="tx1"/>
                        </w14:solidFill>
                      </w14:textFill>
                    </w:rPr>
                  </w:pPr>
                  <w:r>
                    <w:rPr>
                      <w:rFonts w:hint="eastAsia"/>
                      <w:color w:val="000000" w:themeColor="text1"/>
                      <w:sz w:val="21"/>
                      <w:szCs w:val="21"/>
                      <w:u w:val="single" w:color="auto"/>
                      <w:lang w:eastAsia="zh-CN"/>
                      <w14:textFill>
                        <w14:solidFill>
                          <w14:schemeClr w14:val="tx1"/>
                        </w14:solidFill>
                      </w14:textFill>
                    </w:rPr>
                    <w:t>原料筒仓</w:t>
                  </w:r>
                </w:p>
              </w:tc>
              <w:tc>
                <w:tcPr>
                  <w:tcW w:w="3341" w:type="pct"/>
                  <w:noWrap w:val="0"/>
                  <w:vAlign w:val="center"/>
                </w:tcPr>
                <w:p w14:paraId="7BB57A13">
                  <w:pPr>
                    <w:rPr>
                      <w:color w:val="000000" w:themeColor="text1"/>
                      <w:sz w:val="21"/>
                      <w:szCs w:val="21"/>
                      <w:highlight w:val="none"/>
                      <w:u w:val="single" w:color="auto"/>
                      <w14:textFill>
                        <w14:solidFill>
                          <w14:schemeClr w14:val="tx1"/>
                        </w14:solidFill>
                      </w14:textFill>
                    </w:rPr>
                  </w:pPr>
                  <w:r>
                    <w:rPr>
                      <w:rFonts w:hint="eastAsia"/>
                      <w:color w:val="000000" w:themeColor="text1"/>
                      <w:sz w:val="21"/>
                      <w:szCs w:val="21"/>
                      <w:highlight w:val="none"/>
                      <w:u w:val="single" w:color="auto"/>
                      <w14:textFill>
                        <w14:solidFill>
                          <w14:schemeClr w14:val="tx1"/>
                        </w14:solidFill>
                      </w14:textFill>
                    </w:rPr>
                    <w:t>厂区设置</w:t>
                  </w:r>
                  <w:r>
                    <w:rPr>
                      <w:rFonts w:hint="eastAsia"/>
                      <w:color w:val="000000" w:themeColor="text1"/>
                      <w:sz w:val="21"/>
                      <w:szCs w:val="21"/>
                      <w:highlight w:val="none"/>
                      <w:u w:val="single" w:color="auto"/>
                      <w:lang w:val="en-US" w:eastAsia="zh-CN"/>
                      <w14:textFill>
                        <w14:solidFill>
                          <w14:schemeClr w14:val="tx1"/>
                        </w14:solidFill>
                      </w14:textFill>
                    </w:rPr>
                    <w:t>2</w:t>
                  </w:r>
                  <w:r>
                    <w:rPr>
                      <w:rFonts w:hint="eastAsia"/>
                      <w:color w:val="000000" w:themeColor="text1"/>
                      <w:sz w:val="21"/>
                      <w:szCs w:val="21"/>
                      <w:highlight w:val="none"/>
                      <w:u w:val="single" w:color="auto"/>
                      <w14:textFill>
                        <w14:solidFill>
                          <w14:schemeClr w14:val="tx1"/>
                        </w14:solidFill>
                      </w14:textFill>
                    </w:rPr>
                    <w:t>座</w:t>
                  </w:r>
                  <w:r>
                    <w:rPr>
                      <w:rFonts w:hint="eastAsia"/>
                      <w:color w:val="000000" w:themeColor="text1"/>
                      <w:sz w:val="21"/>
                      <w:szCs w:val="21"/>
                      <w:highlight w:val="none"/>
                      <w:u w:val="single" w:color="auto"/>
                      <w:lang w:val="en-US" w:eastAsia="zh-CN"/>
                      <w14:textFill>
                        <w14:solidFill>
                          <w14:schemeClr w14:val="tx1"/>
                        </w14:solidFill>
                      </w14:textFill>
                    </w:rPr>
                    <w:t>水泥筒仓（储罐）</w:t>
                  </w:r>
                  <w:r>
                    <w:rPr>
                      <w:rFonts w:hint="eastAsia"/>
                      <w:color w:val="000000" w:themeColor="text1"/>
                      <w:sz w:val="21"/>
                      <w:szCs w:val="21"/>
                      <w:highlight w:val="none"/>
                      <w:u w:val="single" w:color="auto"/>
                      <w14:textFill>
                        <w14:solidFill>
                          <w14:schemeClr w14:val="tx1"/>
                        </w14:solidFill>
                      </w14:textFill>
                    </w:rPr>
                    <w:t>，</w:t>
                  </w:r>
                  <w:r>
                    <w:rPr>
                      <w:rFonts w:hint="eastAsia"/>
                      <w:color w:val="000000" w:themeColor="text1"/>
                      <w:sz w:val="21"/>
                      <w:szCs w:val="21"/>
                      <w:highlight w:val="none"/>
                      <w:u w:val="single" w:color="auto"/>
                      <w:lang w:val="en-US" w:eastAsia="zh-CN"/>
                      <w14:textFill>
                        <w14:solidFill>
                          <w14:schemeClr w14:val="tx1"/>
                        </w14:solidFill>
                      </w14:textFill>
                    </w:rPr>
                    <w:t>卧式</w:t>
                  </w:r>
                  <w:r>
                    <w:rPr>
                      <w:rFonts w:hint="eastAsia"/>
                      <w:color w:val="000000" w:themeColor="text1"/>
                      <w:sz w:val="21"/>
                      <w:szCs w:val="21"/>
                      <w:highlight w:val="none"/>
                      <w:u w:val="single" w:color="auto"/>
                      <w14:textFill>
                        <w14:solidFill>
                          <w14:schemeClr w14:val="tx1"/>
                        </w14:solidFill>
                      </w14:textFill>
                    </w:rPr>
                    <w:t>，钢结构，容积为</w:t>
                  </w:r>
                  <w:r>
                    <w:rPr>
                      <w:rFonts w:hint="eastAsia"/>
                      <w:color w:val="000000" w:themeColor="text1"/>
                      <w:sz w:val="21"/>
                      <w:szCs w:val="21"/>
                      <w:highlight w:val="none"/>
                      <w:u w:val="single" w:color="auto"/>
                      <w:lang w:val="en-US" w:eastAsia="zh-CN"/>
                      <w14:textFill>
                        <w14:solidFill>
                          <w14:schemeClr w14:val="tx1"/>
                        </w14:solidFill>
                      </w14:textFill>
                    </w:rPr>
                    <w:t>100</w:t>
                  </w:r>
                  <w:r>
                    <w:rPr>
                      <w:rFonts w:hint="eastAsia"/>
                      <w:color w:val="000000" w:themeColor="text1"/>
                      <w:sz w:val="21"/>
                      <w:szCs w:val="21"/>
                      <w:highlight w:val="none"/>
                      <w:u w:val="single" w:color="auto"/>
                      <w14:textFill>
                        <w14:solidFill>
                          <w14:schemeClr w14:val="tx1"/>
                        </w14:solidFill>
                      </w14:textFill>
                    </w:rPr>
                    <w:t>t，</w:t>
                  </w:r>
                  <w:r>
                    <w:rPr>
                      <w:rFonts w:hint="eastAsia"/>
                      <w:color w:val="000000" w:themeColor="text1"/>
                      <w:sz w:val="21"/>
                      <w:szCs w:val="21"/>
                      <w:highlight w:val="none"/>
                      <w:u w:val="single" w:color="auto"/>
                      <w:lang w:eastAsia="zh-CN"/>
                      <w14:textFill>
                        <w14:solidFill>
                          <w14:schemeClr w14:val="tx1"/>
                        </w14:solidFill>
                      </w14:textFill>
                    </w:rPr>
                    <w:t>直径</w:t>
                  </w:r>
                  <w:r>
                    <w:rPr>
                      <w:rFonts w:hint="eastAsia"/>
                      <w:color w:val="000000" w:themeColor="text1"/>
                      <w:sz w:val="21"/>
                      <w:szCs w:val="21"/>
                      <w:highlight w:val="none"/>
                      <w:u w:val="single" w:color="auto"/>
                      <w:lang w:val="en-US" w:eastAsia="zh-CN"/>
                      <w14:textFill>
                        <w14:solidFill>
                          <w14:schemeClr w14:val="tx1"/>
                        </w14:solidFill>
                      </w14:textFill>
                    </w:rPr>
                    <w:t>3m，</w:t>
                  </w:r>
                  <w:r>
                    <w:rPr>
                      <w:rFonts w:hint="eastAsia"/>
                      <w:color w:val="000000" w:themeColor="text1"/>
                      <w:sz w:val="21"/>
                      <w:szCs w:val="21"/>
                      <w:highlight w:val="none"/>
                      <w:u w:val="single" w:color="auto"/>
                      <w:lang w:eastAsia="zh-CN"/>
                      <w14:textFill>
                        <w14:solidFill>
                          <w14:schemeClr w14:val="tx1"/>
                        </w14:solidFill>
                      </w14:textFill>
                    </w:rPr>
                    <w:t>筒仓</w:t>
                  </w:r>
                  <w:r>
                    <w:rPr>
                      <w:rFonts w:hint="eastAsia"/>
                      <w:color w:val="000000" w:themeColor="text1"/>
                      <w:sz w:val="21"/>
                      <w:szCs w:val="21"/>
                      <w:highlight w:val="none"/>
                      <w:u w:val="single" w:color="auto"/>
                      <w14:textFill>
                        <w14:solidFill>
                          <w14:schemeClr w14:val="tx1"/>
                        </w14:solidFill>
                      </w14:textFill>
                    </w:rPr>
                    <w:t>密封，负压，顶部设有</w:t>
                  </w:r>
                  <w:r>
                    <w:rPr>
                      <w:rFonts w:hint="eastAsia"/>
                      <w:color w:val="000000" w:themeColor="text1"/>
                      <w:sz w:val="21"/>
                      <w:szCs w:val="21"/>
                      <w:highlight w:val="none"/>
                      <w:u w:val="single" w:color="auto"/>
                      <w:lang w:eastAsia="zh-CN"/>
                      <w14:textFill>
                        <w14:solidFill>
                          <w14:schemeClr w14:val="tx1"/>
                        </w14:solidFill>
                      </w14:textFill>
                    </w:rPr>
                    <w:t>脉冲袋式</w:t>
                  </w:r>
                  <w:r>
                    <w:rPr>
                      <w:rFonts w:hint="eastAsia"/>
                      <w:color w:val="000000" w:themeColor="text1"/>
                      <w:sz w:val="21"/>
                      <w:szCs w:val="21"/>
                      <w:highlight w:val="none"/>
                      <w:u w:val="single" w:color="auto"/>
                      <w14:textFill>
                        <w14:solidFill>
                          <w14:schemeClr w14:val="tx1"/>
                        </w14:solidFill>
                      </w14:textFill>
                    </w:rPr>
                    <w:t>除尘装置；</w:t>
                  </w:r>
                </w:p>
                <w:p w14:paraId="6970833E">
                  <w:pPr>
                    <w:rPr>
                      <w:rFonts w:hint="eastAsia"/>
                      <w:color w:val="000000" w:themeColor="text1"/>
                      <w:sz w:val="21"/>
                      <w:szCs w:val="21"/>
                      <w:highlight w:val="none"/>
                      <w:u w:val="single" w:color="auto"/>
                      <w14:textFill>
                        <w14:solidFill>
                          <w14:schemeClr w14:val="tx1"/>
                        </w14:solidFill>
                      </w14:textFill>
                    </w:rPr>
                  </w:pPr>
                  <w:r>
                    <w:rPr>
                      <w:rFonts w:hint="eastAsia"/>
                      <w:color w:val="000000" w:themeColor="text1"/>
                      <w:sz w:val="21"/>
                      <w:szCs w:val="21"/>
                      <w:highlight w:val="none"/>
                      <w:u w:val="single" w:color="auto"/>
                      <w14:textFill>
                        <w14:solidFill>
                          <w14:schemeClr w14:val="tx1"/>
                        </w14:solidFill>
                      </w14:textFill>
                    </w:rPr>
                    <w:t>设置</w:t>
                  </w:r>
                  <w:r>
                    <w:rPr>
                      <w:rFonts w:hint="eastAsia"/>
                      <w:color w:val="000000" w:themeColor="text1"/>
                      <w:sz w:val="21"/>
                      <w:szCs w:val="21"/>
                      <w:highlight w:val="none"/>
                      <w:u w:val="single" w:color="auto"/>
                      <w:lang w:val="en-US" w:eastAsia="zh-CN"/>
                      <w14:textFill>
                        <w14:solidFill>
                          <w14:schemeClr w14:val="tx1"/>
                        </w14:solidFill>
                      </w14:textFill>
                    </w:rPr>
                    <w:t>1</w:t>
                  </w:r>
                  <w:r>
                    <w:rPr>
                      <w:rFonts w:hint="eastAsia"/>
                      <w:color w:val="000000" w:themeColor="text1"/>
                      <w:sz w:val="21"/>
                      <w:szCs w:val="21"/>
                      <w:highlight w:val="none"/>
                      <w:u w:val="single" w:color="auto"/>
                      <w14:textFill>
                        <w14:solidFill>
                          <w14:schemeClr w14:val="tx1"/>
                        </w14:solidFill>
                      </w14:textFill>
                    </w:rPr>
                    <w:t>座</w:t>
                  </w:r>
                  <w:r>
                    <w:rPr>
                      <w:rFonts w:hint="eastAsia"/>
                      <w:color w:val="000000" w:themeColor="text1"/>
                      <w:sz w:val="21"/>
                      <w:szCs w:val="21"/>
                      <w:highlight w:val="none"/>
                      <w:u w:val="single" w:color="auto"/>
                      <w:lang w:val="en-US" w:eastAsia="zh-CN"/>
                      <w14:textFill>
                        <w14:solidFill>
                          <w14:schemeClr w14:val="tx1"/>
                        </w14:solidFill>
                      </w14:textFill>
                    </w:rPr>
                    <w:t>粉煤灰</w:t>
                  </w:r>
                  <w:r>
                    <w:rPr>
                      <w:rFonts w:hint="eastAsia"/>
                      <w:color w:val="000000" w:themeColor="text1"/>
                      <w:sz w:val="21"/>
                      <w:szCs w:val="21"/>
                      <w:highlight w:val="none"/>
                      <w:u w:val="single" w:color="auto"/>
                      <w:lang w:eastAsia="zh-CN"/>
                      <w14:textFill>
                        <w14:solidFill>
                          <w14:schemeClr w14:val="tx1"/>
                        </w14:solidFill>
                      </w14:textFill>
                    </w:rPr>
                    <w:t>筒仓</w:t>
                  </w:r>
                  <w:r>
                    <w:rPr>
                      <w:rFonts w:hint="eastAsia"/>
                      <w:color w:val="000000" w:themeColor="text1"/>
                      <w:sz w:val="21"/>
                      <w:szCs w:val="21"/>
                      <w:highlight w:val="none"/>
                      <w:u w:val="single" w:color="auto"/>
                      <w:lang w:val="en-US" w:eastAsia="zh-CN"/>
                      <w14:textFill>
                        <w14:solidFill>
                          <w14:schemeClr w14:val="tx1"/>
                        </w14:solidFill>
                      </w14:textFill>
                    </w:rPr>
                    <w:t>（储罐）</w:t>
                  </w:r>
                  <w:r>
                    <w:rPr>
                      <w:rFonts w:hint="eastAsia"/>
                      <w:color w:val="000000" w:themeColor="text1"/>
                      <w:sz w:val="21"/>
                      <w:szCs w:val="21"/>
                      <w:highlight w:val="none"/>
                      <w:u w:val="single" w:color="auto"/>
                      <w14:textFill>
                        <w14:solidFill>
                          <w14:schemeClr w14:val="tx1"/>
                        </w14:solidFill>
                      </w14:textFill>
                    </w:rPr>
                    <w:t>，</w:t>
                  </w:r>
                  <w:r>
                    <w:rPr>
                      <w:rFonts w:hint="eastAsia"/>
                      <w:color w:val="000000" w:themeColor="text1"/>
                      <w:sz w:val="21"/>
                      <w:szCs w:val="21"/>
                      <w:highlight w:val="none"/>
                      <w:u w:val="single" w:color="auto"/>
                      <w:lang w:val="en-US" w:eastAsia="zh-CN"/>
                      <w14:textFill>
                        <w14:solidFill>
                          <w14:schemeClr w14:val="tx1"/>
                        </w14:solidFill>
                      </w14:textFill>
                    </w:rPr>
                    <w:t>卧式</w:t>
                  </w:r>
                  <w:r>
                    <w:rPr>
                      <w:rFonts w:hint="eastAsia"/>
                      <w:color w:val="000000" w:themeColor="text1"/>
                      <w:sz w:val="21"/>
                      <w:szCs w:val="21"/>
                      <w:highlight w:val="none"/>
                      <w:u w:val="single" w:color="auto"/>
                      <w14:textFill>
                        <w14:solidFill>
                          <w14:schemeClr w14:val="tx1"/>
                        </w14:solidFill>
                      </w14:textFill>
                    </w:rPr>
                    <w:t>，钢结构，容积为</w:t>
                  </w:r>
                  <w:r>
                    <w:rPr>
                      <w:rFonts w:hint="eastAsia"/>
                      <w:color w:val="000000" w:themeColor="text1"/>
                      <w:sz w:val="21"/>
                      <w:szCs w:val="21"/>
                      <w:highlight w:val="none"/>
                      <w:u w:val="single" w:color="auto"/>
                      <w:lang w:val="en-US" w:eastAsia="zh-CN"/>
                      <w14:textFill>
                        <w14:solidFill>
                          <w14:schemeClr w14:val="tx1"/>
                        </w14:solidFill>
                      </w14:textFill>
                    </w:rPr>
                    <w:t>100</w:t>
                  </w:r>
                  <w:r>
                    <w:rPr>
                      <w:rFonts w:hint="eastAsia"/>
                      <w:color w:val="000000" w:themeColor="text1"/>
                      <w:sz w:val="21"/>
                      <w:szCs w:val="21"/>
                      <w:highlight w:val="none"/>
                      <w:u w:val="single" w:color="auto"/>
                      <w14:textFill>
                        <w14:solidFill>
                          <w14:schemeClr w14:val="tx1"/>
                        </w14:solidFill>
                      </w14:textFill>
                    </w:rPr>
                    <w:t>t，</w:t>
                  </w:r>
                  <w:r>
                    <w:rPr>
                      <w:rFonts w:hint="eastAsia"/>
                      <w:color w:val="000000" w:themeColor="text1"/>
                      <w:sz w:val="21"/>
                      <w:szCs w:val="21"/>
                      <w:highlight w:val="none"/>
                      <w:u w:val="single" w:color="auto"/>
                      <w:lang w:eastAsia="zh-CN"/>
                      <w14:textFill>
                        <w14:solidFill>
                          <w14:schemeClr w14:val="tx1"/>
                        </w14:solidFill>
                      </w14:textFill>
                    </w:rPr>
                    <w:t>直径</w:t>
                  </w:r>
                  <w:r>
                    <w:rPr>
                      <w:rFonts w:hint="eastAsia"/>
                      <w:color w:val="000000" w:themeColor="text1"/>
                      <w:sz w:val="21"/>
                      <w:szCs w:val="21"/>
                      <w:highlight w:val="none"/>
                      <w:u w:val="single" w:color="auto"/>
                      <w:lang w:val="en-US" w:eastAsia="zh-CN"/>
                      <w14:textFill>
                        <w14:solidFill>
                          <w14:schemeClr w14:val="tx1"/>
                        </w14:solidFill>
                      </w14:textFill>
                    </w:rPr>
                    <w:t>3m，</w:t>
                  </w:r>
                  <w:r>
                    <w:rPr>
                      <w:rFonts w:hint="eastAsia"/>
                      <w:color w:val="000000" w:themeColor="text1"/>
                      <w:sz w:val="21"/>
                      <w:szCs w:val="21"/>
                      <w:highlight w:val="none"/>
                      <w:u w:val="single" w:color="auto"/>
                      <w:lang w:eastAsia="zh-CN"/>
                      <w14:textFill>
                        <w14:solidFill>
                          <w14:schemeClr w14:val="tx1"/>
                        </w14:solidFill>
                      </w14:textFill>
                    </w:rPr>
                    <w:t>筒仓</w:t>
                  </w:r>
                  <w:r>
                    <w:rPr>
                      <w:rFonts w:hint="eastAsia"/>
                      <w:color w:val="000000" w:themeColor="text1"/>
                      <w:sz w:val="21"/>
                      <w:szCs w:val="21"/>
                      <w:highlight w:val="none"/>
                      <w:u w:val="single" w:color="auto"/>
                      <w14:textFill>
                        <w14:solidFill>
                          <w14:schemeClr w14:val="tx1"/>
                        </w14:solidFill>
                      </w14:textFill>
                    </w:rPr>
                    <w:t>密封，负压，顶部设有</w:t>
                  </w:r>
                  <w:r>
                    <w:rPr>
                      <w:rFonts w:hint="eastAsia"/>
                      <w:color w:val="000000" w:themeColor="text1"/>
                      <w:sz w:val="21"/>
                      <w:szCs w:val="21"/>
                      <w:highlight w:val="none"/>
                      <w:u w:val="single" w:color="auto"/>
                      <w:lang w:eastAsia="zh-CN"/>
                      <w14:textFill>
                        <w14:solidFill>
                          <w14:schemeClr w14:val="tx1"/>
                        </w14:solidFill>
                      </w14:textFill>
                    </w:rPr>
                    <w:t>脉冲袋式</w:t>
                  </w:r>
                  <w:r>
                    <w:rPr>
                      <w:rFonts w:hint="eastAsia"/>
                      <w:color w:val="000000" w:themeColor="text1"/>
                      <w:sz w:val="21"/>
                      <w:szCs w:val="21"/>
                      <w:highlight w:val="none"/>
                      <w:u w:val="single" w:color="auto"/>
                      <w14:textFill>
                        <w14:solidFill>
                          <w14:schemeClr w14:val="tx1"/>
                        </w14:solidFill>
                      </w14:textFill>
                    </w:rPr>
                    <w:t>除尘装置；</w:t>
                  </w:r>
                </w:p>
                <w:p w14:paraId="25F7B345">
                  <w:pPr>
                    <w:pStyle w:val="50"/>
                    <w:ind w:left="0" w:leftChars="0" w:firstLine="0" w:firstLineChars="0"/>
                    <w:rPr>
                      <w:rFonts w:hint="eastAsia" w:eastAsia="宋体"/>
                      <w:color w:val="000000" w:themeColor="text1"/>
                      <w:sz w:val="21"/>
                      <w:szCs w:val="21"/>
                      <w:highlight w:val="none"/>
                      <w:u w:val="single" w:color="auto"/>
                      <w:lang w:val="en-US" w:eastAsia="zh-CN"/>
                      <w14:textFill>
                        <w14:solidFill>
                          <w14:schemeClr w14:val="tx1"/>
                        </w14:solidFill>
                      </w14:textFill>
                    </w:rPr>
                  </w:pPr>
                  <w:r>
                    <w:rPr>
                      <w:rFonts w:hint="eastAsia"/>
                      <w:color w:val="000000" w:themeColor="text1"/>
                      <w:sz w:val="21"/>
                      <w:szCs w:val="21"/>
                      <w:highlight w:val="none"/>
                      <w:u w:val="single" w:color="auto"/>
                      <w:lang w:val="en-US" w:eastAsia="zh-CN"/>
                      <w14:textFill>
                        <w14:solidFill>
                          <w14:schemeClr w14:val="tx1"/>
                        </w14:solidFill>
                      </w14:textFill>
                    </w:rPr>
                    <w:t>设置</w:t>
                  </w:r>
                  <w:r>
                    <w:rPr>
                      <w:rFonts w:hint="eastAsia" w:ascii="Times New Roman" w:hAnsi="Times New Roman" w:cs="Times New Roman"/>
                      <w:color w:val="000000" w:themeColor="text1"/>
                      <w:sz w:val="21"/>
                      <w:szCs w:val="21"/>
                      <w:highlight w:val="none"/>
                      <w:u w:val="single" w:color="auto"/>
                      <w:lang w:val="en-US" w:eastAsia="zh-CN"/>
                      <w14:textFill>
                        <w14:solidFill>
                          <w14:schemeClr w14:val="tx1"/>
                        </w14:solidFill>
                      </w14:textFill>
                    </w:rPr>
                    <w:t>1</w:t>
                  </w:r>
                  <w:r>
                    <w:rPr>
                      <w:rFonts w:hint="eastAsia"/>
                      <w:color w:val="000000" w:themeColor="text1"/>
                      <w:sz w:val="21"/>
                      <w:szCs w:val="21"/>
                      <w:highlight w:val="none"/>
                      <w:u w:val="single" w:color="auto"/>
                      <w14:textFill>
                        <w14:solidFill>
                          <w14:schemeClr w14:val="tx1"/>
                        </w14:solidFill>
                      </w14:textFill>
                    </w:rPr>
                    <w:t>座</w:t>
                  </w:r>
                  <w:r>
                    <w:rPr>
                      <w:rFonts w:hint="eastAsia"/>
                      <w:color w:val="000000" w:themeColor="text1"/>
                      <w:sz w:val="21"/>
                      <w:szCs w:val="21"/>
                      <w:highlight w:val="none"/>
                      <w:u w:val="single" w:color="auto"/>
                      <w:lang w:val="en-US" w:eastAsia="zh-CN"/>
                      <w14:textFill>
                        <w14:solidFill>
                          <w14:schemeClr w14:val="tx1"/>
                        </w14:solidFill>
                      </w14:textFill>
                    </w:rPr>
                    <w:t>矿粉</w:t>
                  </w:r>
                  <w:r>
                    <w:rPr>
                      <w:rFonts w:hint="eastAsia"/>
                      <w:color w:val="000000" w:themeColor="text1"/>
                      <w:sz w:val="21"/>
                      <w:szCs w:val="21"/>
                      <w:highlight w:val="none"/>
                      <w:u w:val="single" w:color="auto"/>
                      <w:lang w:eastAsia="zh-CN"/>
                      <w14:textFill>
                        <w14:solidFill>
                          <w14:schemeClr w14:val="tx1"/>
                        </w14:solidFill>
                      </w14:textFill>
                    </w:rPr>
                    <w:t>筒仓</w:t>
                  </w:r>
                  <w:r>
                    <w:rPr>
                      <w:rFonts w:hint="eastAsia"/>
                      <w:color w:val="000000" w:themeColor="text1"/>
                      <w:sz w:val="21"/>
                      <w:szCs w:val="21"/>
                      <w:highlight w:val="none"/>
                      <w:u w:val="single" w:color="auto"/>
                      <w:lang w:val="en-US" w:eastAsia="zh-CN"/>
                      <w14:textFill>
                        <w14:solidFill>
                          <w14:schemeClr w14:val="tx1"/>
                        </w14:solidFill>
                      </w14:textFill>
                    </w:rPr>
                    <w:t>（储罐）</w:t>
                  </w:r>
                  <w:r>
                    <w:rPr>
                      <w:rFonts w:hint="eastAsia"/>
                      <w:color w:val="000000" w:themeColor="text1"/>
                      <w:sz w:val="21"/>
                      <w:szCs w:val="21"/>
                      <w:highlight w:val="none"/>
                      <w:u w:val="single" w:color="auto"/>
                      <w14:textFill>
                        <w14:solidFill>
                          <w14:schemeClr w14:val="tx1"/>
                        </w14:solidFill>
                      </w14:textFill>
                    </w:rPr>
                    <w:t>，</w:t>
                  </w:r>
                  <w:r>
                    <w:rPr>
                      <w:rFonts w:hint="eastAsia"/>
                      <w:color w:val="000000" w:themeColor="text1"/>
                      <w:sz w:val="21"/>
                      <w:szCs w:val="21"/>
                      <w:highlight w:val="none"/>
                      <w:u w:val="single" w:color="auto"/>
                      <w:lang w:val="en-US" w:eastAsia="zh-CN"/>
                      <w14:textFill>
                        <w14:solidFill>
                          <w14:schemeClr w14:val="tx1"/>
                        </w14:solidFill>
                      </w14:textFill>
                    </w:rPr>
                    <w:t>卧式</w:t>
                  </w:r>
                  <w:r>
                    <w:rPr>
                      <w:rFonts w:hint="eastAsia"/>
                      <w:color w:val="000000" w:themeColor="text1"/>
                      <w:sz w:val="21"/>
                      <w:szCs w:val="21"/>
                      <w:highlight w:val="none"/>
                      <w:u w:val="single" w:color="auto"/>
                      <w14:textFill>
                        <w14:solidFill>
                          <w14:schemeClr w14:val="tx1"/>
                        </w14:solidFill>
                      </w14:textFill>
                    </w:rPr>
                    <w:t>，钢结构，容积为</w:t>
                  </w:r>
                  <w:r>
                    <w:rPr>
                      <w:rFonts w:hint="eastAsia" w:ascii="Times New Roman" w:hAnsi="Times New Roman" w:cs="Times New Roman"/>
                      <w:color w:val="000000" w:themeColor="text1"/>
                      <w:sz w:val="21"/>
                      <w:szCs w:val="21"/>
                      <w:highlight w:val="none"/>
                      <w:u w:val="single" w:color="auto"/>
                      <w:lang w:val="en-US" w:eastAsia="zh-CN"/>
                      <w14:textFill>
                        <w14:solidFill>
                          <w14:schemeClr w14:val="tx1"/>
                        </w14:solidFill>
                      </w14:textFill>
                    </w:rPr>
                    <w:t>10</w:t>
                  </w:r>
                  <w:r>
                    <w:rPr>
                      <w:rFonts w:hint="default" w:ascii="Times New Roman" w:hAnsi="Times New Roman" w:cs="Times New Roman"/>
                      <w:color w:val="000000" w:themeColor="text1"/>
                      <w:sz w:val="21"/>
                      <w:szCs w:val="21"/>
                      <w:highlight w:val="none"/>
                      <w:u w:val="single" w:color="auto"/>
                      <w:lang w:val="en-US" w:eastAsia="zh-CN"/>
                      <w14:textFill>
                        <w14:solidFill>
                          <w14:schemeClr w14:val="tx1"/>
                        </w14:solidFill>
                      </w14:textFill>
                    </w:rPr>
                    <w:t>0</w:t>
                  </w:r>
                  <w:r>
                    <w:rPr>
                      <w:rFonts w:hint="default" w:ascii="Times New Roman" w:hAnsi="Times New Roman" w:cs="Times New Roman"/>
                      <w:color w:val="000000" w:themeColor="text1"/>
                      <w:sz w:val="21"/>
                      <w:szCs w:val="21"/>
                      <w:highlight w:val="none"/>
                      <w:u w:val="single" w:color="auto"/>
                      <w14:textFill>
                        <w14:solidFill>
                          <w14:schemeClr w14:val="tx1"/>
                        </w14:solidFill>
                      </w14:textFill>
                    </w:rPr>
                    <w:t>t</w:t>
                  </w:r>
                  <w:r>
                    <w:rPr>
                      <w:rFonts w:hint="eastAsia"/>
                      <w:color w:val="000000" w:themeColor="text1"/>
                      <w:sz w:val="21"/>
                      <w:szCs w:val="21"/>
                      <w:highlight w:val="none"/>
                      <w:u w:val="single" w:color="auto"/>
                      <w14:textFill>
                        <w14:solidFill>
                          <w14:schemeClr w14:val="tx1"/>
                        </w14:solidFill>
                      </w14:textFill>
                    </w:rPr>
                    <w:t>，</w:t>
                  </w:r>
                  <w:r>
                    <w:rPr>
                      <w:rFonts w:hint="eastAsia"/>
                      <w:color w:val="000000" w:themeColor="text1"/>
                      <w:sz w:val="21"/>
                      <w:szCs w:val="21"/>
                      <w:highlight w:val="none"/>
                      <w:u w:val="single" w:color="auto"/>
                      <w:lang w:eastAsia="zh-CN"/>
                      <w14:textFill>
                        <w14:solidFill>
                          <w14:schemeClr w14:val="tx1"/>
                        </w14:solidFill>
                      </w14:textFill>
                    </w:rPr>
                    <w:t>直径</w:t>
                  </w:r>
                  <w:r>
                    <w:rPr>
                      <w:rFonts w:hint="default" w:ascii="Times New Roman" w:hAnsi="Times New Roman" w:cs="Times New Roman"/>
                      <w:color w:val="000000" w:themeColor="text1"/>
                      <w:sz w:val="21"/>
                      <w:szCs w:val="21"/>
                      <w:highlight w:val="none"/>
                      <w:u w:val="single" w:color="auto"/>
                      <w:lang w:val="en-US" w:eastAsia="zh-CN"/>
                      <w14:textFill>
                        <w14:solidFill>
                          <w14:schemeClr w14:val="tx1"/>
                        </w14:solidFill>
                      </w14:textFill>
                    </w:rPr>
                    <w:t>3m，</w:t>
                  </w:r>
                  <w:r>
                    <w:rPr>
                      <w:rFonts w:hint="eastAsia"/>
                      <w:color w:val="000000" w:themeColor="text1"/>
                      <w:sz w:val="21"/>
                      <w:szCs w:val="21"/>
                      <w:highlight w:val="none"/>
                      <w:u w:val="single" w:color="auto"/>
                      <w:lang w:eastAsia="zh-CN"/>
                      <w14:textFill>
                        <w14:solidFill>
                          <w14:schemeClr w14:val="tx1"/>
                        </w14:solidFill>
                      </w14:textFill>
                    </w:rPr>
                    <w:t>筒仓</w:t>
                  </w:r>
                  <w:r>
                    <w:rPr>
                      <w:rFonts w:hint="eastAsia"/>
                      <w:color w:val="000000" w:themeColor="text1"/>
                      <w:sz w:val="21"/>
                      <w:szCs w:val="21"/>
                      <w:highlight w:val="none"/>
                      <w:u w:val="single" w:color="auto"/>
                      <w14:textFill>
                        <w14:solidFill>
                          <w14:schemeClr w14:val="tx1"/>
                        </w14:solidFill>
                      </w14:textFill>
                    </w:rPr>
                    <w:t>密封，负压，顶部设有</w:t>
                  </w:r>
                  <w:r>
                    <w:rPr>
                      <w:rFonts w:hint="eastAsia"/>
                      <w:color w:val="000000" w:themeColor="text1"/>
                      <w:sz w:val="21"/>
                      <w:szCs w:val="21"/>
                      <w:highlight w:val="none"/>
                      <w:u w:val="single" w:color="auto"/>
                      <w:lang w:eastAsia="zh-CN"/>
                      <w14:textFill>
                        <w14:solidFill>
                          <w14:schemeClr w14:val="tx1"/>
                        </w14:solidFill>
                      </w14:textFill>
                    </w:rPr>
                    <w:t>脉冲袋式</w:t>
                  </w:r>
                  <w:r>
                    <w:rPr>
                      <w:rFonts w:hint="eastAsia"/>
                      <w:color w:val="000000" w:themeColor="text1"/>
                      <w:sz w:val="21"/>
                      <w:szCs w:val="21"/>
                      <w:highlight w:val="none"/>
                      <w:u w:val="single" w:color="auto"/>
                      <w14:textFill>
                        <w14:solidFill>
                          <w14:schemeClr w14:val="tx1"/>
                        </w14:solidFill>
                      </w14:textFill>
                    </w:rPr>
                    <w:t>除尘装置；</w:t>
                  </w:r>
                </w:p>
                <w:p w14:paraId="265B41BC">
                  <w:pPr>
                    <w:pStyle w:val="50"/>
                    <w:ind w:left="0" w:leftChars="0" w:firstLine="0" w:firstLineChars="0"/>
                    <w:rPr>
                      <w:color w:val="000000" w:themeColor="text1"/>
                      <w:sz w:val="21"/>
                      <w:szCs w:val="21"/>
                      <w:highlight w:val="none"/>
                      <w:u w:val="single" w:color="auto"/>
                      <w14:textFill>
                        <w14:solidFill>
                          <w14:schemeClr w14:val="tx1"/>
                        </w14:solidFill>
                      </w14:textFill>
                    </w:rPr>
                  </w:pPr>
                  <w:r>
                    <w:rPr>
                      <w:rFonts w:hint="default" w:ascii="Times New Roman" w:hAnsi="Times New Roman" w:cs="Times New Roman"/>
                      <w:color w:val="000000" w:themeColor="text1"/>
                      <w:sz w:val="21"/>
                      <w:szCs w:val="21"/>
                      <w:highlight w:val="none"/>
                      <w:u w:val="single" w:color="auto"/>
                      <w:lang w:val="en-US" w:eastAsia="zh-CN"/>
                      <w14:textFill>
                        <w14:solidFill>
                          <w14:schemeClr w14:val="tx1"/>
                        </w14:solidFill>
                      </w14:textFill>
                    </w:rPr>
                    <w:t>厂内设置</w:t>
                  </w:r>
                  <w:r>
                    <w:rPr>
                      <w:rFonts w:hint="eastAsia" w:ascii="Times New Roman" w:hAnsi="Times New Roman" w:cs="Times New Roman"/>
                      <w:color w:val="000000" w:themeColor="text1"/>
                      <w:kern w:val="2"/>
                      <w:sz w:val="21"/>
                      <w:szCs w:val="21"/>
                      <w:highlight w:val="none"/>
                      <w:u w:val="single" w:color="auto"/>
                      <w:lang w:val="en-US" w:eastAsia="zh-CN" w:bidi="ar-SA"/>
                      <w14:textFill>
                        <w14:solidFill>
                          <w14:schemeClr w14:val="tx1"/>
                        </w14:solidFill>
                      </w14:textFill>
                    </w:rPr>
                    <w:t>2</w:t>
                  </w:r>
                  <w:r>
                    <w:rPr>
                      <w:rFonts w:hint="default" w:ascii="Times New Roman" w:hAnsi="Times New Roman" w:cs="Times New Roman"/>
                      <w:color w:val="000000" w:themeColor="text1"/>
                      <w:sz w:val="21"/>
                      <w:szCs w:val="21"/>
                      <w:highlight w:val="none"/>
                      <w:u w:val="single" w:color="auto"/>
                      <w:lang w:val="en-US" w:eastAsia="zh-CN"/>
                      <w14:textFill>
                        <w14:solidFill>
                          <w14:schemeClr w14:val="tx1"/>
                        </w14:solidFill>
                      </w14:textFill>
                    </w:rPr>
                    <w:t>座外加剂罐，</w:t>
                  </w:r>
                  <w:r>
                    <w:rPr>
                      <w:rFonts w:hint="eastAsia" w:ascii="Times New Roman" w:hAnsi="Times New Roman" w:cs="Times New Roman"/>
                      <w:color w:val="000000" w:themeColor="text1"/>
                      <w:sz w:val="21"/>
                      <w:szCs w:val="21"/>
                      <w:highlight w:val="none"/>
                      <w:u w:val="single" w:color="auto"/>
                      <w:lang w:val="en-US" w:eastAsia="zh-CN"/>
                      <w14:textFill>
                        <w14:solidFill>
                          <w14:schemeClr w14:val="tx1"/>
                        </w14:solidFill>
                      </w14:textFill>
                    </w:rPr>
                    <w:t>方</w:t>
                  </w:r>
                  <w:r>
                    <w:rPr>
                      <w:rFonts w:hint="default" w:ascii="Times New Roman" w:hAnsi="Times New Roman" w:cs="Times New Roman"/>
                      <w:color w:val="000000" w:themeColor="text1"/>
                      <w:sz w:val="21"/>
                      <w:szCs w:val="21"/>
                      <w:highlight w:val="none"/>
                      <w:u w:val="single" w:color="auto"/>
                      <w:lang w:val="en-US" w:eastAsia="zh-CN"/>
                      <w14:textFill>
                        <w14:solidFill>
                          <w14:schemeClr w14:val="tx1"/>
                        </w14:solidFill>
                      </w14:textFill>
                    </w:rPr>
                    <w:t>形，玻璃纤维结构，</w:t>
                  </w:r>
                  <w:r>
                    <w:rPr>
                      <w:rFonts w:hint="eastAsia" w:ascii="Times New Roman" w:hAnsi="Times New Roman" w:cs="Times New Roman"/>
                      <w:color w:val="000000" w:themeColor="text1"/>
                      <w:sz w:val="21"/>
                      <w:szCs w:val="21"/>
                      <w:highlight w:val="none"/>
                      <w:u w:val="single" w:color="auto"/>
                      <w:lang w:val="en-US" w:eastAsia="zh-CN"/>
                      <w14:textFill>
                        <w14:solidFill>
                          <w14:schemeClr w14:val="tx1"/>
                        </w14:solidFill>
                      </w14:textFill>
                    </w:rPr>
                    <w:t>容积为5t</w:t>
                  </w:r>
                  <w:r>
                    <w:rPr>
                      <w:rFonts w:hint="default" w:ascii="Times New Roman" w:hAnsi="Times New Roman" w:cs="Times New Roman"/>
                      <w:color w:val="000000" w:themeColor="text1"/>
                      <w:sz w:val="21"/>
                      <w:szCs w:val="21"/>
                      <w:highlight w:val="none"/>
                      <w:u w:val="single" w:color="auto"/>
                      <w:lang w:val="en-US" w:eastAsia="zh-CN"/>
                      <w14:textFill>
                        <w14:solidFill>
                          <w14:schemeClr w14:val="tx1"/>
                        </w14:solidFill>
                      </w14:textFill>
                    </w:rPr>
                    <w:t>，外加剂</w:t>
                  </w:r>
                  <w:r>
                    <w:rPr>
                      <w:rFonts w:hint="eastAsia" w:ascii="Times New Roman" w:hAnsi="Times New Roman" w:cs="Times New Roman"/>
                      <w:color w:val="000000" w:themeColor="text1"/>
                      <w:sz w:val="21"/>
                      <w:szCs w:val="21"/>
                      <w:highlight w:val="none"/>
                      <w:u w:val="single" w:color="auto"/>
                      <w:lang w:val="en-US" w:eastAsia="zh-CN"/>
                      <w14:textFill>
                        <w14:solidFill>
                          <w14:schemeClr w14:val="tx1"/>
                        </w14:solidFill>
                      </w14:textFill>
                    </w:rPr>
                    <w:t>罐周围设置围堰，围堰高度0.6m</w:t>
                  </w:r>
                  <w:r>
                    <w:rPr>
                      <w:rFonts w:hint="default" w:ascii="Times New Roman" w:hAnsi="Times New Roman" w:cs="Times New Roman"/>
                      <w:color w:val="000000" w:themeColor="text1"/>
                      <w:sz w:val="21"/>
                      <w:szCs w:val="21"/>
                      <w:highlight w:val="none"/>
                      <w:u w:val="single" w:color="auto"/>
                      <w:lang w:val="en-US" w:eastAsia="zh-CN"/>
                      <w14:textFill>
                        <w14:solidFill>
                          <w14:schemeClr w14:val="tx1"/>
                        </w14:solidFill>
                      </w14:textFill>
                    </w:rPr>
                    <w:t>。</w:t>
                  </w:r>
                </w:p>
              </w:tc>
              <w:tc>
                <w:tcPr>
                  <w:tcW w:w="582" w:type="pct"/>
                  <w:noWrap w:val="0"/>
                  <w:vAlign w:val="center"/>
                </w:tcPr>
                <w:p w14:paraId="14505835">
                  <w:pPr>
                    <w:jc w:val="center"/>
                    <w:rPr>
                      <w:rFonts w:hint="eastAsia"/>
                      <w:color w:val="000000" w:themeColor="text1"/>
                      <w:sz w:val="21"/>
                      <w:szCs w:val="21"/>
                      <w:highlight w:val="none"/>
                      <w:u w:val="single" w:color="auto"/>
                      <w14:textFill>
                        <w14:solidFill>
                          <w14:schemeClr w14:val="tx1"/>
                        </w14:solidFill>
                      </w14:textFill>
                    </w:rPr>
                  </w:pPr>
                  <w:r>
                    <w:rPr>
                      <w:rFonts w:hint="eastAsia"/>
                      <w:color w:val="000000" w:themeColor="text1"/>
                      <w:sz w:val="21"/>
                      <w:szCs w:val="21"/>
                      <w:highlight w:val="none"/>
                      <w:u w:val="single" w:color="auto"/>
                      <w:lang w:val="en-US" w:eastAsia="zh-CN"/>
                      <w14:textFill>
                        <w14:solidFill>
                          <w14:schemeClr w14:val="tx1"/>
                        </w14:solidFill>
                      </w14:textFill>
                    </w:rPr>
                    <w:t>新建</w:t>
                  </w:r>
                </w:p>
              </w:tc>
            </w:tr>
            <w:tr w14:paraId="39AC37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37" w:type="pct"/>
                  <w:vMerge w:val="continue"/>
                  <w:noWrap w:val="0"/>
                  <w:tcMar>
                    <w:left w:w="57" w:type="dxa"/>
                    <w:right w:w="57" w:type="dxa"/>
                  </w:tcMar>
                  <w:vAlign w:val="center"/>
                </w:tcPr>
                <w:p w14:paraId="43133984">
                  <w:pPr>
                    <w:jc w:val="center"/>
                    <w:rPr>
                      <w:rFonts w:hint="eastAsia"/>
                      <w:color w:val="FF0000"/>
                      <w:sz w:val="21"/>
                      <w:szCs w:val="21"/>
                      <w:u w:val="single" w:color="auto"/>
                    </w:rPr>
                  </w:pPr>
                </w:p>
              </w:tc>
              <w:tc>
                <w:tcPr>
                  <w:tcW w:w="639" w:type="pct"/>
                  <w:noWrap w:val="0"/>
                  <w:vAlign w:val="center"/>
                </w:tcPr>
                <w:p w14:paraId="491C8198">
                  <w:pPr>
                    <w:jc w:val="center"/>
                    <w:rPr>
                      <w:rFonts w:hint="eastAsia" w:eastAsia="宋体"/>
                      <w:color w:val="000000" w:themeColor="text1"/>
                      <w:sz w:val="21"/>
                      <w:szCs w:val="21"/>
                      <w:highlight w:val="none"/>
                      <w:u w:val="single" w:color="auto"/>
                      <w:lang w:eastAsia="zh-CN"/>
                      <w14:textFill>
                        <w14:solidFill>
                          <w14:schemeClr w14:val="tx1"/>
                        </w14:solidFill>
                      </w14:textFill>
                    </w:rPr>
                  </w:pPr>
                  <w:r>
                    <w:rPr>
                      <w:rFonts w:hint="eastAsia"/>
                      <w:color w:val="000000" w:themeColor="text1"/>
                      <w:sz w:val="21"/>
                      <w:szCs w:val="21"/>
                      <w:highlight w:val="none"/>
                      <w:u w:val="single" w:color="auto"/>
                      <w:lang w:eastAsia="zh-CN"/>
                      <w14:textFill>
                        <w14:solidFill>
                          <w14:schemeClr w14:val="tx1"/>
                        </w14:solidFill>
                      </w14:textFill>
                    </w:rPr>
                    <w:t>骨料料库（骨料堆场）</w:t>
                  </w:r>
                </w:p>
              </w:tc>
              <w:tc>
                <w:tcPr>
                  <w:tcW w:w="3341" w:type="pct"/>
                  <w:noWrap w:val="0"/>
                  <w:vAlign w:val="center"/>
                </w:tcPr>
                <w:p w14:paraId="6F2B0359">
                  <w:pPr>
                    <w:rPr>
                      <w:rFonts w:hint="eastAsia" w:eastAsia="宋体"/>
                      <w:color w:val="000000" w:themeColor="text1"/>
                      <w:sz w:val="21"/>
                      <w:szCs w:val="21"/>
                      <w:highlight w:val="none"/>
                      <w:u w:val="single" w:color="auto"/>
                      <w:lang w:eastAsia="zh-CN"/>
                      <w14:textFill>
                        <w14:solidFill>
                          <w14:schemeClr w14:val="tx1"/>
                        </w14:solidFill>
                      </w14:textFill>
                    </w:rPr>
                  </w:pPr>
                  <w:r>
                    <w:rPr>
                      <w:rFonts w:hint="eastAsia"/>
                      <w:color w:val="000000" w:themeColor="text1"/>
                      <w:sz w:val="21"/>
                      <w:szCs w:val="21"/>
                      <w:u w:val="single" w:color="auto"/>
                      <w14:textFill>
                        <w14:solidFill>
                          <w14:schemeClr w14:val="tx1"/>
                        </w14:solidFill>
                      </w14:textFill>
                    </w:rPr>
                    <w:t>厂区设置</w:t>
                  </w:r>
                  <w:r>
                    <w:rPr>
                      <w:rFonts w:hint="eastAsia"/>
                      <w:color w:val="000000" w:themeColor="text1"/>
                      <w:sz w:val="21"/>
                      <w:szCs w:val="21"/>
                      <w:u w:val="single" w:color="auto"/>
                      <w:lang w:val="en-US" w:eastAsia="zh-CN"/>
                      <w14:textFill>
                        <w14:solidFill>
                          <w14:schemeClr w14:val="tx1"/>
                        </w14:solidFill>
                      </w14:textFill>
                    </w:rPr>
                    <w:t>1个骨料料库</w:t>
                  </w:r>
                  <w:r>
                    <w:rPr>
                      <w:rFonts w:hint="eastAsia"/>
                      <w:color w:val="000000" w:themeColor="text1"/>
                      <w:sz w:val="21"/>
                      <w:szCs w:val="21"/>
                      <w:u w:val="single" w:color="auto"/>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位于厂区西侧，为</w:t>
                  </w:r>
                  <w:r>
                    <w:rPr>
                      <w:rFonts w:hint="eastAsia"/>
                      <w:color w:val="000000" w:themeColor="text1"/>
                      <w:sz w:val="21"/>
                      <w:szCs w:val="21"/>
                      <w:u w:val="single" w:color="auto"/>
                      <w:lang w:eastAsia="zh-CN"/>
                      <w14:textFill>
                        <w14:solidFill>
                          <w14:schemeClr w14:val="tx1"/>
                        </w14:solidFill>
                      </w14:textFill>
                    </w:rPr>
                    <w:t>全封闭</w:t>
                  </w:r>
                  <w:r>
                    <w:rPr>
                      <w:rFonts w:hint="eastAsia"/>
                      <w:color w:val="000000" w:themeColor="text1"/>
                      <w:sz w:val="21"/>
                      <w:szCs w:val="21"/>
                      <w:u w:val="single" w:color="auto"/>
                      <w:lang w:val="en-US" w:eastAsia="zh-CN"/>
                      <w14:textFill>
                        <w14:solidFill>
                          <w14:schemeClr w14:val="tx1"/>
                        </w14:solidFill>
                      </w14:textFill>
                    </w:rPr>
                    <w:t>砂石料堆</w:t>
                  </w:r>
                  <w:r>
                    <w:rPr>
                      <w:rFonts w:hint="eastAsia"/>
                      <w:color w:val="000000" w:themeColor="text1"/>
                      <w:sz w:val="21"/>
                      <w:szCs w:val="21"/>
                      <w:u w:val="single" w:color="auto"/>
                      <w:lang w:eastAsia="zh-CN"/>
                      <w14:textFill>
                        <w14:solidFill>
                          <w14:schemeClr w14:val="tx1"/>
                        </w14:solidFill>
                      </w14:textFill>
                    </w:rPr>
                    <w:t>，采用塑料罩棚进行全密闭处理，</w:t>
                  </w:r>
                  <w:r>
                    <w:rPr>
                      <w:rFonts w:hint="eastAsia"/>
                      <w:color w:val="000000" w:themeColor="text1"/>
                      <w:sz w:val="21"/>
                      <w:szCs w:val="21"/>
                      <w:highlight w:val="none"/>
                      <w:u w:val="single" w:color="auto"/>
                      <w:lang w:val="en-US" w:eastAsia="zh-CN"/>
                      <w14:textFill>
                        <w14:solidFill>
                          <w14:schemeClr w14:val="tx1"/>
                        </w14:solidFill>
                      </w14:textFill>
                    </w:rPr>
                    <w:t>占地</w:t>
                  </w:r>
                  <w:r>
                    <w:rPr>
                      <w:color w:val="000000" w:themeColor="text1"/>
                      <w:sz w:val="21"/>
                      <w:szCs w:val="21"/>
                      <w:highlight w:val="none"/>
                      <w:u w:val="single" w:color="auto"/>
                      <w14:textFill>
                        <w14:solidFill>
                          <w14:schemeClr w14:val="tx1"/>
                        </w14:solidFill>
                      </w14:textFill>
                    </w:rPr>
                    <w:t>面积为</w:t>
                  </w:r>
                  <w:r>
                    <w:rPr>
                      <w:rFonts w:hint="eastAsia"/>
                      <w:color w:val="000000" w:themeColor="text1"/>
                      <w:sz w:val="21"/>
                      <w:szCs w:val="21"/>
                      <w:highlight w:val="none"/>
                      <w:u w:val="single" w:color="auto"/>
                      <w:lang w:val="en-US" w:eastAsia="zh-CN"/>
                      <w14:textFill>
                        <w14:solidFill>
                          <w14:schemeClr w14:val="tx1"/>
                        </w14:solidFill>
                      </w14:textFill>
                    </w:rPr>
                    <w:t>800</w:t>
                  </w:r>
                  <w:r>
                    <w:rPr>
                      <w:color w:val="000000" w:themeColor="text1"/>
                      <w:sz w:val="21"/>
                      <w:szCs w:val="21"/>
                      <w:highlight w:val="none"/>
                      <w:u w:val="single" w:color="auto"/>
                      <w14:textFill>
                        <w14:solidFill>
                          <w14:schemeClr w14:val="tx1"/>
                        </w14:solidFill>
                      </w14:textFill>
                    </w:rPr>
                    <w:t>m</w:t>
                  </w:r>
                  <w:r>
                    <w:rPr>
                      <w:color w:val="000000" w:themeColor="text1"/>
                      <w:sz w:val="21"/>
                      <w:szCs w:val="21"/>
                      <w:highlight w:val="none"/>
                      <w:u w:val="single" w:color="auto"/>
                      <w:vertAlign w:val="superscript"/>
                      <w14:textFill>
                        <w14:solidFill>
                          <w14:schemeClr w14:val="tx1"/>
                        </w14:solidFill>
                      </w14:textFill>
                    </w:rPr>
                    <w:t>2</w:t>
                  </w:r>
                  <w:r>
                    <w:rPr>
                      <w:rFonts w:hint="eastAsia"/>
                      <w:color w:val="000000" w:themeColor="text1"/>
                      <w:sz w:val="21"/>
                      <w:szCs w:val="21"/>
                      <w:highlight w:val="none"/>
                      <w:u w:val="single" w:color="auto"/>
                      <w14:textFill>
                        <w14:solidFill>
                          <w14:schemeClr w14:val="tx1"/>
                        </w14:solidFill>
                      </w14:textFill>
                    </w:rPr>
                    <w:t>，</w:t>
                  </w:r>
                  <w:r>
                    <w:rPr>
                      <w:rFonts w:hint="eastAsia"/>
                      <w:color w:val="000000" w:themeColor="text1"/>
                      <w:sz w:val="21"/>
                      <w:szCs w:val="21"/>
                      <w:highlight w:val="none"/>
                      <w:u w:val="single" w:color="auto"/>
                      <w:lang w:eastAsia="zh-CN"/>
                      <w14:textFill>
                        <w14:solidFill>
                          <w14:schemeClr w14:val="tx1"/>
                        </w14:solidFill>
                      </w14:textFill>
                    </w:rPr>
                    <w:t>高度</w:t>
                  </w:r>
                  <w:r>
                    <w:rPr>
                      <w:rFonts w:hint="eastAsia"/>
                      <w:color w:val="000000" w:themeColor="text1"/>
                      <w:sz w:val="21"/>
                      <w:szCs w:val="21"/>
                      <w:highlight w:val="none"/>
                      <w:u w:val="single" w:color="auto"/>
                      <w:lang w:val="en-US" w:eastAsia="zh-CN"/>
                      <w14:textFill>
                        <w14:solidFill>
                          <w14:schemeClr w14:val="tx1"/>
                        </w14:solidFill>
                      </w14:textFill>
                    </w:rPr>
                    <w:t>4.5m，</w:t>
                  </w:r>
                  <w:r>
                    <w:rPr>
                      <w:rFonts w:hint="eastAsia"/>
                      <w:color w:val="000000" w:themeColor="text1"/>
                      <w:sz w:val="21"/>
                      <w:szCs w:val="21"/>
                      <w:highlight w:val="none"/>
                      <w:u w:val="single" w:color="auto"/>
                      <w:lang w:eastAsia="zh-CN"/>
                      <w14:textFill>
                        <w14:solidFill>
                          <w14:schemeClr w14:val="tx1"/>
                        </w14:solidFill>
                      </w14:textFill>
                    </w:rPr>
                    <w:t>砂、石料各占一半面积，骨料最大储存量为</w:t>
                  </w:r>
                  <w:r>
                    <w:rPr>
                      <w:rFonts w:hint="eastAsia"/>
                      <w:color w:val="000000" w:themeColor="text1"/>
                      <w:sz w:val="21"/>
                      <w:szCs w:val="21"/>
                      <w:highlight w:val="none"/>
                      <w:u w:val="single" w:color="auto"/>
                      <w:lang w:val="en-US" w:eastAsia="zh-CN"/>
                      <w14:textFill>
                        <w14:solidFill>
                          <w14:schemeClr w14:val="tx1"/>
                        </w14:solidFill>
                      </w14:textFill>
                    </w:rPr>
                    <w:t>3000t，堆场采取混凝土地面</w:t>
                  </w:r>
                  <w:r>
                    <w:rPr>
                      <w:rFonts w:hint="eastAsia"/>
                      <w:color w:val="000000" w:themeColor="text1"/>
                      <w:sz w:val="21"/>
                      <w:szCs w:val="21"/>
                      <w:highlight w:val="none"/>
                      <w:u w:val="single" w:color="auto"/>
                      <w14:textFill>
                        <w14:solidFill>
                          <w14:schemeClr w14:val="tx1"/>
                        </w14:solidFill>
                      </w14:textFill>
                    </w:rPr>
                    <w:t>硬化</w:t>
                  </w:r>
                  <w:r>
                    <w:rPr>
                      <w:rFonts w:hint="eastAsia"/>
                      <w:color w:val="000000" w:themeColor="text1"/>
                      <w:sz w:val="21"/>
                      <w:szCs w:val="21"/>
                      <w:u w:val="single" w:color="auto"/>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定期洒水抑尘</w:t>
                  </w:r>
                  <w:r>
                    <w:rPr>
                      <w:color w:val="000000" w:themeColor="text1"/>
                      <w:sz w:val="21"/>
                      <w:szCs w:val="21"/>
                      <w:u w:val="single" w:color="auto"/>
                      <w14:textFill>
                        <w14:solidFill>
                          <w14:schemeClr w14:val="tx1"/>
                        </w14:solidFill>
                      </w14:textFill>
                    </w:rPr>
                    <w:t>。</w:t>
                  </w:r>
                </w:p>
              </w:tc>
              <w:tc>
                <w:tcPr>
                  <w:tcW w:w="582" w:type="pct"/>
                  <w:noWrap w:val="0"/>
                  <w:vAlign w:val="center"/>
                </w:tcPr>
                <w:p w14:paraId="16C14EB1">
                  <w:pPr>
                    <w:jc w:val="center"/>
                    <w:rPr>
                      <w:rFonts w:hint="eastAsia"/>
                      <w:color w:val="000000" w:themeColor="text1"/>
                      <w:sz w:val="21"/>
                      <w:szCs w:val="21"/>
                      <w:u w:val="single" w:color="auto"/>
                      <w14:textFill>
                        <w14:solidFill>
                          <w14:schemeClr w14:val="tx1"/>
                        </w14:solidFill>
                      </w14:textFill>
                    </w:rPr>
                  </w:pPr>
                  <w:r>
                    <w:rPr>
                      <w:rFonts w:hint="eastAsia"/>
                      <w:color w:val="000000" w:themeColor="text1"/>
                      <w:sz w:val="21"/>
                      <w:szCs w:val="21"/>
                      <w:highlight w:val="none"/>
                      <w:u w:val="single" w:color="auto"/>
                      <w:lang w:val="en-US" w:eastAsia="zh-CN"/>
                      <w14:textFill>
                        <w14:solidFill>
                          <w14:schemeClr w14:val="tx1"/>
                        </w14:solidFill>
                      </w14:textFill>
                    </w:rPr>
                    <w:t>新建</w:t>
                  </w:r>
                </w:p>
              </w:tc>
            </w:tr>
            <w:tr w14:paraId="083F1F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37" w:type="pct"/>
                  <w:vMerge w:val="continue"/>
                  <w:noWrap w:val="0"/>
                  <w:tcMar>
                    <w:left w:w="57" w:type="dxa"/>
                    <w:right w:w="57" w:type="dxa"/>
                  </w:tcMar>
                  <w:vAlign w:val="center"/>
                </w:tcPr>
                <w:p w14:paraId="4009546F">
                  <w:pPr>
                    <w:jc w:val="center"/>
                    <w:rPr>
                      <w:rFonts w:hint="eastAsia"/>
                      <w:color w:val="FF0000"/>
                      <w:sz w:val="21"/>
                      <w:szCs w:val="21"/>
                      <w:u w:val="single" w:color="auto"/>
                    </w:rPr>
                  </w:pPr>
                </w:p>
              </w:tc>
              <w:tc>
                <w:tcPr>
                  <w:tcW w:w="639" w:type="pct"/>
                  <w:noWrap w:val="0"/>
                  <w:vAlign w:val="center"/>
                </w:tcPr>
                <w:p w14:paraId="0A9C5C7D">
                  <w:pPr>
                    <w:jc w:val="center"/>
                    <w:rPr>
                      <w:rFonts w:hint="eastAsia" w:eastAsia="宋体"/>
                      <w:color w:val="000000" w:themeColor="text1"/>
                      <w:sz w:val="21"/>
                      <w:szCs w:val="21"/>
                      <w:highlight w:val="none"/>
                      <w:u w:val="single" w:color="auto"/>
                      <w:lang w:val="en-US" w:eastAsia="zh-CN"/>
                      <w14:textFill>
                        <w14:solidFill>
                          <w14:schemeClr w14:val="tx1"/>
                        </w14:solidFill>
                      </w14:textFill>
                    </w:rPr>
                  </w:pPr>
                  <w:r>
                    <w:rPr>
                      <w:rFonts w:hint="eastAsia"/>
                      <w:color w:val="000000" w:themeColor="text1"/>
                      <w:sz w:val="21"/>
                      <w:szCs w:val="21"/>
                      <w:highlight w:val="none"/>
                      <w:u w:val="single" w:color="auto"/>
                      <w:lang w:val="en-US" w:eastAsia="zh-CN"/>
                      <w14:textFill>
                        <w14:solidFill>
                          <w14:schemeClr w14:val="tx1"/>
                        </w14:solidFill>
                      </w14:textFill>
                    </w:rPr>
                    <w:t>上料仓</w:t>
                  </w:r>
                </w:p>
              </w:tc>
              <w:tc>
                <w:tcPr>
                  <w:tcW w:w="3341" w:type="pct"/>
                  <w:noWrap w:val="0"/>
                  <w:vAlign w:val="center"/>
                </w:tcPr>
                <w:p w14:paraId="5405898F">
                  <w:pPr>
                    <w:rPr>
                      <w:rFonts w:hint="eastAsia" w:eastAsia="宋体"/>
                      <w:color w:val="000000" w:themeColor="text1"/>
                      <w:sz w:val="21"/>
                      <w:szCs w:val="21"/>
                      <w:highlight w:val="none"/>
                      <w:u w:val="single" w:color="auto"/>
                      <w:lang w:eastAsia="zh-CN"/>
                      <w14:textFill>
                        <w14:solidFill>
                          <w14:schemeClr w14:val="tx1"/>
                        </w14:solidFill>
                      </w14:textFill>
                    </w:rPr>
                  </w:pPr>
                  <w:r>
                    <w:rPr>
                      <w:rFonts w:hint="eastAsia"/>
                      <w:color w:val="000000" w:themeColor="text1"/>
                      <w:sz w:val="21"/>
                      <w:szCs w:val="21"/>
                      <w:highlight w:val="none"/>
                      <w:u w:val="single" w:color="auto"/>
                      <w14:textFill>
                        <w14:solidFill>
                          <w14:schemeClr w14:val="tx1"/>
                        </w14:solidFill>
                      </w14:textFill>
                    </w:rPr>
                    <w:t>厂区设置</w:t>
                  </w:r>
                  <w:r>
                    <w:rPr>
                      <w:rFonts w:hint="eastAsia"/>
                      <w:color w:val="000000" w:themeColor="text1"/>
                      <w:sz w:val="21"/>
                      <w:szCs w:val="21"/>
                      <w:highlight w:val="none"/>
                      <w:u w:val="single" w:color="auto"/>
                      <w:lang w:val="en-US" w:eastAsia="zh-CN"/>
                      <w14:textFill>
                        <w14:solidFill>
                          <w14:schemeClr w14:val="tx1"/>
                        </w14:solidFill>
                      </w14:textFill>
                    </w:rPr>
                    <w:t>3个骨料上料仓，上料处设置喷淋装置</w:t>
                  </w:r>
                  <w:r>
                    <w:rPr>
                      <w:rFonts w:hint="eastAsia"/>
                      <w:color w:val="000000" w:themeColor="text1"/>
                      <w:sz w:val="21"/>
                      <w:szCs w:val="21"/>
                      <w:highlight w:val="none"/>
                      <w:u w:val="single" w:color="auto"/>
                      <w:vertAlign w:val="baseline"/>
                      <w:lang w:eastAsia="zh-CN"/>
                      <w14:textFill>
                        <w14:solidFill>
                          <w14:schemeClr w14:val="tx1"/>
                        </w14:solidFill>
                      </w14:textFill>
                    </w:rPr>
                    <w:t>。</w:t>
                  </w:r>
                </w:p>
              </w:tc>
              <w:tc>
                <w:tcPr>
                  <w:tcW w:w="582" w:type="pct"/>
                  <w:noWrap w:val="0"/>
                  <w:vAlign w:val="center"/>
                </w:tcPr>
                <w:p w14:paraId="513246AE">
                  <w:pPr>
                    <w:jc w:val="center"/>
                    <w:rPr>
                      <w:rFonts w:hint="eastAsia" w:eastAsia="宋体"/>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highlight w:val="none"/>
                      <w:u w:val="single" w:color="auto"/>
                      <w:lang w:val="en-US" w:eastAsia="zh-CN"/>
                      <w14:textFill>
                        <w14:solidFill>
                          <w14:schemeClr w14:val="tx1"/>
                        </w14:solidFill>
                      </w14:textFill>
                    </w:rPr>
                    <w:t>新建</w:t>
                  </w:r>
                </w:p>
              </w:tc>
            </w:tr>
            <w:tr w14:paraId="5834D1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37" w:type="pct"/>
                  <w:vMerge w:val="continue"/>
                  <w:noWrap w:val="0"/>
                  <w:tcMar>
                    <w:left w:w="57" w:type="dxa"/>
                    <w:right w:w="57" w:type="dxa"/>
                  </w:tcMar>
                  <w:vAlign w:val="center"/>
                </w:tcPr>
                <w:p w14:paraId="0427A31C">
                  <w:pPr>
                    <w:jc w:val="center"/>
                    <w:rPr>
                      <w:rFonts w:hint="eastAsia"/>
                      <w:color w:val="FF0000"/>
                      <w:sz w:val="21"/>
                      <w:szCs w:val="21"/>
                      <w:u w:val="single" w:color="auto"/>
                    </w:rPr>
                  </w:pPr>
                </w:p>
              </w:tc>
              <w:tc>
                <w:tcPr>
                  <w:tcW w:w="639" w:type="pct"/>
                  <w:noWrap w:val="0"/>
                  <w:vAlign w:val="center"/>
                </w:tcPr>
                <w:p w14:paraId="215D9632">
                  <w:pPr>
                    <w:jc w:val="center"/>
                    <w:rPr>
                      <w:i w:val="0"/>
                      <w:iCs w:val="0"/>
                      <w:color w:val="000000" w:themeColor="text1"/>
                      <w:sz w:val="21"/>
                      <w:szCs w:val="21"/>
                      <w:u w:val="single" w:color="auto"/>
                      <w14:textFill>
                        <w14:solidFill>
                          <w14:schemeClr w14:val="tx1"/>
                        </w14:solidFill>
                      </w14:textFill>
                    </w:rPr>
                  </w:pPr>
                  <w:r>
                    <w:rPr>
                      <w:rFonts w:hint="eastAsia"/>
                      <w:i w:val="0"/>
                      <w:iCs w:val="0"/>
                      <w:color w:val="000000" w:themeColor="text1"/>
                      <w:sz w:val="21"/>
                      <w:szCs w:val="21"/>
                      <w:u w:val="single" w:color="auto"/>
                      <w14:textFill>
                        <w14:solidFill>
                          <w14:schemeClr w14:val="tx1"/>
                        </w14:solidFill>
                      </w14:textFill>
                    </w:rPr>
                    <w:t>运输</w:t>
                  </w:r>
                </w:p>
              </w:tc>
              <w:tc>
                <w:tcPr>
                  <w:tcW w:w="3923" w:type="pct"/>
                  <w:gridSpan w:val="2"/>
                  <w:noWrap w:val="0"/>
                  <w:vAlign w:val="center"/>
                </w:tcPr>
                <w:p w14:paraId="0E8B26FE">
                  <w:pPr>
                    <w:jc w:val="both"/>
                    <w:rPr>
                      <w:rFonts w:hint="eastAsia"/>
                      <w:i/>
                      <w:iCs/>
                      <w:color w:val="000000" w:themeColor="text1"/>
                      <w:sz w:val="21"/>
                      <w:szCs w:val="21"/>
                      <w:u w:val="single" w:color="auto"/>
                      <w14:textFill>
                        <w14:solidFill>
                          <w14:schemeClr w14:val="tx1"/>
                        </w14:solidFill>
                      </w14:textFill>
                    </w:rPr>
                  </w:pPr>
                  <w:r>
                    <w:rPr>
                      <w:rFonts w:hint="eastAsia"/>
                      <w:i w:val="0"/>
                      <w:iCs w:val="0"/>
                      <w:color w:val="000000" w:themeColor="text1"/>
                      <w:sz w:val="21"/>
                      <w:szCs w:val="21"/>
                      <w:u w:val="single" w:color="auto"/>
                      <w14:textFill>
                        <w14:solidFill>
                          <w14:schemeClr w14:val="tx1"/>
                        </w14:solidFill>
                      </w14:textFill>
                    </w:rPr>
                    <w:t>原料及混凝土成品均采用汽车公路运输，厂区外运输可利用现有道路。厂区内粉料采用气力输送管道直接输送至混凝土搅拌机内，</w:t>
                  </w:r>
                  <w:r>
                    <w:rPr>
                      <w:rFonts w:hint="eastAsia"/>
                      <w:i w:val="0"/>
                      <w:iCs w:val="0"/>
                      <w:color w:val="000000" w:themeColor="text1"/>
                      <w:sz w:val="21"/>
                      <w:szCs w:val="21"/>
                      <w:u w:val="single" w:color="auto"/>
                      <w:lang w:eastAsia="zh-CN"/>
                      <w14:textFill>
                        <w14:solidFill>
                          <w14:schemeClr w14:val="tx1"/>
                        </w14:solidFill>
                      </w14:textFill>
                    </w:rPr>
                    <w:t>砂石</w:t>
                  </w:r>
                  <w:r>
                    <w:rPr>
                      <w:rFonts w:hint="eastAsia"/>
                      <w:i w:val="0"/>
                      <w:iCs w:val="0"/>
                      <w:color w:val="000000" w:themeColor="text1"/>
                      <w:sz w:val="21"/>
                      <w:szCs w:val="21"/>
                      <w:u w:val="single" w:color="auto"/>
                      <w14:textFill>
                        <w14:solidFill>
                          <w14:schemeClr w14:val="tx1"/>
                        </w14:solidFill>
                      </w14:textFill>
                    </w:rPr>
                    <w:t>采用</w:t>
                  </w:r>
                  <w:r>
                    <w:rPr>
                      <w:rFonts w:hint="eastAsia"/>
                      <w:i w:val="0"/>
                      <w:iCs w:val="0"/>
                      <w:color w:val="000000" w:themeColor="text1"/>
                      <w:sz w:val="21"/>
                      <w:szCs w:val="21"/>
                      <w:highlight w:val="none"/>
                      <w:u w:val="single" w:color="auto"/>
                      <w14:textFill>
                        <w14:solidFill>
                          <w14:schemeClr w14:val="tx1"/>
                        </w14:solidFill>
                      </w14:textFill>
                    </w:rPr>
                    <w:t>铲车</w:t>
                  </w:r>
                  <w:r>
                    <w:rPr>
                      <w:rFonts w:hint="eastAsia"/>
                      <w:i w:val="0"/>
                      <w:iCs w:val="0"/>
                      <w:color w:val="000000" w:themeColor="text1"/>
                      <w:sz w:val="21"/>
                      <w:szCs w:val="21"/>
                      <w:u w:val="single" w:color="auto"/>
                      <w14:textFill>
                        <w14:solidFill>
                          <w14:schemeClr w14:val="tx1"/>
                        </w14:solidFill>
                      </w14:textFill>
                    </w:rPr>
                    <w:t>输送至</w:t>
                  </w:r>
                  <w:r>
                    <w:rPr>
                      <w:rFonts w:hint="eastAsia"/>
                      <w:i w:val="0"/>
                      <w:iCs w:val="0"/>
                      <w:color w:val="000000" w:themeColor="text1"/>
                      <w:sz w:val="21"/>
                      <w:szCs w:val="21"/>
                      <w:u w:val="single" w:color="auto"/>
                      <w:lang w:eastAsia="zh-CN"/>
                      <w14:textFill>
                        <w14:solidFill>
                          <w14:schemeClr w14:val="tx1"/>
                        </w14:solidFill>
                      </w14:textFill>
                    </w:rPr>
                    <w:t>骨料</w:t>
                  </w:r>
                  <w:r>
                    <w:rPr>
                      <w:rFonts w:hint="eastAsia"/>
                      <w:i w:val="0"/>
                      <w:iCs w:val="0"/>
                      <w:color w:val="000000" w:themeColor="text1"/>
                      <w:sz w:val="21"/>
                      <w:szCs w:val="21"/>
                      <w:highlight w:val="none"/>
                      <w:u w:val="single" w:color="auto"/>
                      <w:lang w:val="en-US" w:eastAsia="zh-CN"/>
                      <w14:textFill>
                        <w14:solidFill>
                          <w14:schemeClr w14:val="tx1"/>
                        </w14:solidFill>
                      </w14:textFill>
                    </w:rPr>
                    <w:t>上料仓</w:t>
                  </w:r>
                  <w:r>
                    <w:rPr>
                      <w:rFonts w:hint="eastAsia"/>
                      <w:i w:val="0"/>
                      <w:iCs w:val="0"/>
                      <w:color w:val="000000" w:themeColor="text1"/>
                      <w:sz w:val="21"/>
                      <w:szCs w:val="21"/>
                      <w:u w:val="single" w:color="auto"/>
                      <w14:textFill>
                        <w14:solidFill>
                          <w14:schemeClr w14:val="tx1"/>
                        </w14:solidFill>
                      </w14:textFill>
                    </w:rPr>
                    <w:t>处，</w:t>
                  </w:r>
                  <w:r>
                    <w:rPr>
                      <w:rFonts w:hint="eastAsia"/>
                      <w:i w:val="0"/>
                      <w:iCs w:val="0"/>
                      <w:color w:val="000000" w:themeColor="text1"/>
                      <w:sz w:val="21"/>
                      <w:szCs w:val="21"/>
                      <w:u w:val="single" w:color="auto"/>
                      <w:lang w:val="en-US" w:eastAsia="zh-CN"/>
                      <w14:textFill>
                        <w14:solidFill>
                          <w14:schemeClr w14:val="tx1"/>
                        </w14:solidFill>
                      </w14:textFill>
                    </w:rPr>
                    <w:t>料斗采用三面封闭，</w:t>
                  </w:r>
                  <w:r>
                    <w:rPr>
                      <w:rFonts w:hint="eastAsia"/>
                      <w:i w:val="0"/>
                      <w:iCs w:val="0"/>
                      <w:color w:val="000000" w:themeColor="text1"/>
                      <w:sz w:val="21"/>
                      <w:szCs w:val="21"/>
                      <w:u w:val="single" w:color="auto"/>
                      <w14:textFill>
                        <w14:solidFill>
                          <w14:schemeClr w14:val="tx1"/>
                        </w14:solidFill>
                      </w14:textFill>
                    </w:rPr>
                    <w:t>再由输送皮带直接送至混凝土搅拌机内</w:t>
                  </w:r>
                  <w:r>
                    <w:rPr>
                      <w:rFonts w:hint="eastAsia"/>
                      <w:i w:val="0"/>
                      <w:iCs w:val="0"/>
                      <w:color w:val="000000" w:themeColor="text1"/>
                      <w:sz w:val="21"/>
                      <w:szCs w:val="21"/>
                      <w:u w:val="single" w:color="auto"/>
                      <w:lang w:eastAsia="zh-CN"/>
                      <w14:textFill>
                        <w14:solidFill>
                          <w14:schemeClr w14:val="tx1"/>
                        </w14:solidFill>
                      </w14:textFill>
                    </w:rPr>
                    <w:t>，厂区内道路采用</w:t>
                  </w:r>
                  <w:r>
                    <w:rPr>
                      <w:rFonts w:hint="eastAsia"/>
                      <w:i w:val="0"/>
                      <w:iCs w:val="0"/>
                      <w:color w:val="000000" w:themeColor="text1"/>
                      <w:sz w:val="21"/>
                      <w:szCs w:val="21"/>
                      <w:highlight w:val="none"/>
                      <w:u w:val="single" w:color="auto"/>
                      <w:lang w:eastAsia="zh-CN"/>
                      <w14:textFill>
                        <w14:solidFill>
                          <w14:schemeClr w14:val="tx1"/>
                        </w14:solidFill>
                      </w14:textFill>
                    </w:rPr>
                    <w:t>混凝土硬化路面</w:t>
                  </w:r>
                  <w:r>
                    <w:rPr>
                      <w:rFonts w:hint="eastAsia"/>
                      <w:i w:val="0"/>
                      <w:iCs w:val="0"/>
                      <w:color w:val="000000" w:themeColor="text1"/>
                      <w:sz w:val="21"/>
                      <w:szCs w:val="21"/>
                      <w:u w:val="single" w:color="auto"/>
                      <w14:textFill>
                        <w14:solidFill>
                          <w14:schemeClr w14:val="tx1"/>
                        </w14:solidFill>
                      </w14:textFill>
                    </w:rPr>
                    <w:t>。</w:t>
                  </w:r>
                </w:p>
              </w:tc>
            </w:tr>
            <w:tr w14:paraId="052052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437" w:type="pct"/>
                  <w:vMerge w:val="restart"/>
                  <w:noWrap w:val="0"/>
                  <w:tcMar>
                    <w:left w:w="57" w:type="dxa"/>
                    <w:right w:w="57" w:type="dxa"/>
                  </w:tcMar>
                  <w:vAlign w:val="center"/>
                </w:tcPr>
                <w:p w14:paraId="6AA74002">
                  <w:pPr>
                    <w:jc w:val="center"/>
                    <w:rPr>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14:textFill>
                        <w14:solidFill>
                          <w14:schemeClr w14:val="tx1"/>
                        </w14:solidFill>
                      </w14:textFill>
                    </w:rPr>
                    <w:t>公用工程</w:t>
                  </w:r>
                </w:p>
              </w:tc>
              <w:tc>
                <w:tcPr>
                  <w:tcW w:w="639" w:type="pct"/>
                  <w:noWrap w:val="0"/>
                  <w:vAlign w:val="center"/>
                </w:tcPr>
                <w:p w14:paraId="1D37DAFA">
                  <w:pPr>
                    <w:jc w:val="center"/>
                    <w:rPr>
                      <w:rFonts w:hint="eastAsia"/>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14:textFill>
                        <w14:solidFill>
                          <w14:schemeClr w14:val="tx1"/>
                        </w14:solidFill>
                      </w14:textFill>
                    </w:rPr>
                    <w:t>给水</w:t>
                  </w:r>
                </w:p>
              </w:tc>
              <w:tc>
                <w:tcPr>
                  <w:tcW w:w="3923" w:type="pct"/>
                  <w:gridSpan w:val="2"/>
                  <w:noWrap w:val="0"/>
                  <w:vAlign w:val="center"/>
                </w:tcPr>
                <w:p w14:paraId="0555DEF2">
                  <w:pPr>
                    <w:jc w:val="both"/>
                    <w:rPr>
                      <w:rFonts w:hint="eastAsia" w:eastAsia="宋体"/>
                      <w:color w:val="000000" w:themeColor="text1"/>
                      <w:sz w:val="21"/>
                      <w:szCs w:val="21"/>
                      <w:u w:val="single" w:color="auto"/>
                      <w:lang w:eastAsia="zh-CN"/>
                      <w14:textFill>
                        <w14:solidFill>
                          <w14:schemeClr w14:val="tx1"/>
                        </w14:solidFill>
                      </w14:textFill>
                    </w:rPr>
                  </w:pPr>
                  <w:r>
                    <w:rPr>
                      <w:rFonts w:hint="eastAsia"/>
                      <w:color w:val="000000" w:themeColor="text1"/>
                      <w:sz w:val="21"/>
                      <w:szCs w:val="21"/>
                      <w:highlight w:val="none"/>
                      <w:u w:val="single" w:color="auto"/>
                      <w14:textFill>
                        <w14:solidFill>
                          <w14:schemeClr w14:val="tx1"/>
                        </w14:solidFill>
                      </w14:textFill>
                    </w:rPr>
                    <w:t>项目</w:t>
                  </w:r>
                  <w:r>
                    <w:rPr>
                      <w:color w:val="000000" w:themeColor="text1"/>
                      <w:sz w:val="21"/>
                      <w:szCs w:val="21"/>
                      <w:highlight w:val="none"/>
                      <w:u w:val="single" w:color="auto"/>
                      <w14:textFill>
                        <w14:solidFill>
                          <w14:schemeClr w14:val="tx1"/>
                        </w14:solidFill>
                      </w14:textFill>
                    </w:rPr>
                    <w:t>生活用水</w:t>
                  </w:r>
                  <w:r>
                    <w:rPr>
                      <w:rFonts w:hint="eastAsia"/>
                      <w:color w:val="000000" w:themeColor="text1"/>
                      <w:sz w:val="21"/>
                      <w:szCs w:val="21"/>
                      <w:highlight w:val="none"/>
                      <w:u w:val="single" w:color="auto"/>
                      <w:lang w:val="en-US" w:eastAsia="zh-CN"/>
                      <w14:textFill>
                        <w14:solidFill>
                          <w14:schemeClr w14:val="tx1"/>
                        </w14:solidFill>
                      </w14:textFill>
                    </w:rPr>
                    <w:t>采用桶装水，生产用水取自东侧地表水体三道沟河。</w:t>
                  </w:r>
                </w:p>
              </w:tc>
            </w:tr>
            <w:tr w14:paraId="49AC2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437" w:type="pct"/>
                  <w:vMerge w:val="continue"/>
                  <w:noWrap w:val="0"/>
                  <w:tcMar>
                    <w:left w:w="57" w:type="dxa"/>
                    <w:right w:w="57" w:type="dxa"/>
                  </w:tcMar>
                  <w:vAlign w:val="center"/>
                </w:tcPr>
                <w:p w14:paraId="46C6A2F2">
                  <w:pPr>
                    <w:jc w:val="center"/>
                    <w:rPr>
                      <w:rFonts w:hint="eastAsia"/>
                      <w:color w:val="FF0000"/>
                      <w:sz w:val="21"/>
                      <w:szCs w:val="21"/>
                      <w:u w:val="single" w:color="auto"/>
                    </w:rPr>
                  </w:pPr>
                </w:p>
              </w:tc>
              <w:tc>
                <w:tcPr>
                  <w:tcW w:w="639" w:type="pct"/>
                  <w:noWrap w:val="0"/>
                  <w:vAlign w:val="center"/>
                </w:tcPr>
                <w:p w14:paraId="6E52664A">
                  <w:pPr>
                    <w:jc w:val="center"/>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排水</w:t>
                  </w:r>
                </w:p>
              </w:tc>
              <w:tc>
                <w:tcPr>
                  <w:tcW w:w="3923" w:type="pct"/>
                  <w:gridSpan w:val="2"/>
                  <w:noWrap w:val="0"/>
                  <w:vAlign w:val="center"/>
                </w:tcPr>
                <w:p w14:paraId="29B26378">
                  <w:pPr>
                    <w:jc w:val="both"/>
                    <w:rPr>
                      <w:rFonts w:hint="eastAsia" w:eastAsia="宋体"/>
                      <w:color w:val="000000" w:themeColor="text1"/>
                      <w:sz w:val="21"/>
                      <w:szCs w:val="21"/>
                      <w:u w:val="single" w:color="auto"/>
                      <w:lang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本项目</w:t>
                  </w:r>
                  <w:r>
                    <w:rPr>
                      <w:color w:val="000000" w:themeColor="text1"/>
                      <w:sz w:val="21"/>
                      <w:szCs w:val="21"/>
                      <w:u w:val="single" w:color="auto"/>
                      <w14:textFill>
                        <w14:solidFill>
                          <w14:schemeClr w14:val="tx1"/>
                        </w14:solidFill>
                      </w14:textFill>
                    </w:rPr>
                    <w:t>生活污水排入</w:t>
                  </w:r>
                  <w:r>
                    <w:rPr>
                      <w:rFonts w:hint="eastAsia"/>
                      <w:color w:val="000000" w:themeColor="text1"/>
                      <w:sz w:val="21"/>
                      <w:szCs w:val="21"/>
                      <w:u w:val="single" w:color="auto"/>
                      <w:lang w:val="en-US" w:eastAsia="zh-CN"/>
                      <w14:textFill>
                        <w14:solidFill>
                          <w14:schemeClr w14:val="tx1"/>
                        </w14:solidFill>
                      </w14:textFill>
                    </w:rPr>
                    <w:t>厂区防渗旱厕</w:t>
                  </w:r>
                  <w:r>
                    <w:rPr>
                      <w:rFonts w:hint="eastAsia"/>
                      <w:color w:val="000000" w:themeColor="text1"/>
                      <w:sz w:val="21"/>
                      <w:szCs w:val="21"/>
                      <w:u w:val="single" w:color="auto"/>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定期清掏作农肥；罐车清洗废水及设备清洗废水</w:t>
                  </w: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经</w:t>
                  </w:r>
                  <w:r>
                    <w:rPr>
                      <w:rFonts w:hint="eastAsia" w:cs="Times New Roman"/>
                      <w:color w:val="000000" w:themeColor="text1"/>
                      <w:sz w:val="21"/>
                      <w:szCs w:val="21"/>
                      <w:u w:val="single" w:color="auto"/>
                      <w:lang w:val="en-US" w:eastAsia="zh-CN"/>
                      <w14:textFill>
                        <w14:solidFill>
                          <w14:schemeClr w14:val="tx1"/>
                        </w14:solidFill>
                      </w14:textFill>
                    </w:rPr>
                    <w:t>三级</w:t>
                  </w:r>
                  <w: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沉淀池</w:t>
                  </w:r>
                  <w:r>
                    <w:rPr>
                      <w:rFonts w:hint="eastAsia" w:cs="Times New Roman"/>
                      <w:color w:val="000000" w:themeColor="text1"/>
                      <w:sz w:val="21"/>
                      <w:szCs w:val="21"/>
                      <w:highlight w:val="none"/>
                      <w:u w:val="single" w:color="auto"/>
                      <w:lang w:val="en-US" w:eastAsia="zh-CN"/>
                      <w14:textFill>
                        <w14:solidFill>
                          <w14:schemeClr w14:val="tx1"/>
                        </w14:solidFill>
                      </w14:textFill>
                    </w:rPr>
                    <w:t>沉淀</w:t>
                  </w:r>
                  <w:r>
                    <w:rPr>
                      <w:rFonts w:hint="eastAsia"/>
                      <w:color w:val="000000" w:themeColor="text1"/>
                      <w:sz w:val="21"/>
                      <w:szCs w:val="21"/>
                      <w:u w:val="single" w:color="auto"/>
                      <w:lang w:val="en-US" w:eastAsia="zh-CN"/>
                      <w14:textFill>
                        <w14:solidFill>
                          <w14:schemeClr w14:val="tx1"/>
                        </w14:solidFill>
                      </w14:textFill>
                    </w:rPr>
                    <w:t>处理后回用于生产，不外排，厂区降尘水直接蒸发，无</w:t>
                  </w:r>
                  <w:r>
                    <w:rPr>
                      <w:rFonts w:hint="eastAsia"/>
                      <w:color w:val="000000" w:themeColor="text1"/>
                      <w:sz w:val="21"/>
                      <w:szCs w:val="21"/>
                      <w:u w:val="single" w:color="auto"/>
                      <w14:textFill>
                        <w14:solidFill>
                          <w14:schemeClr w14:val="tx1"/>
                        </w14:solidFill>
                      </w14:textFill>
                    </w:rPr>
                    <w:t>废水产生</w:t>
                  </w:r>
                  <w:r>
                    <w:rPr>
                      <w:color w:val="000000" w:themeColor="text1"/>
                      <w:sz w:val="21"/>
                      <w:szCs w:val="21"/>
                      <w:u w:val="single" w:color="auto"/>
                      <w14:textFill>
                        <w14:solidFill>
                          <w14:schemeClr w14:val="tx1"/>
                        </w14:solidFill>
                      </w14:textFill>
                    </w:rPr>
                    <w:t>。</w:t>
                  </w:r>
                </w:p>
              </w:tc>
            </w:tr>
            <w:tr w14:paraId="59B71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437" w:type="pct"/>
                  <w:vMerge w:val="continue"/>
                  <w:noWrap w:val="0"/>
                  <w:tcMar>
                    <w:left w:w="57" w:type="dxa"/>
                    <w:right w:w="57" w:type="dxa"/>
                  </w:tcMar>
                  <w:vAlign w:val="center"/>
                </w:tcPr>
                <w:p w14:paraId="3EC71A8F">
                  <w:pPr>
                    <w:jc w:val="center"/>
                    <w:rPr>
                      <w:rFonts w:hint="eastAsia"/>
                      <w:color w:val="FF0000"/>
                      <w:sz w:val="21"/>
                      <w:szCs w:val="21"/>
                      <w:u w:val="single" w:color="auto"/>
                    </w:rPr>
                  </w:pPr>
                </w:p>
              </w:tc>
              <w:tc>
                <w:tcPr>
                  <w:tcW w:w="639" w:type="pct"/>
                  <w:noWrap w:val="0"/>
                  <w:vAlign w:val="center"/>
                </w:tcPr>
                <w:p w14:paraId="41CFF6B2">
                  <w:pPr>
                    <w:jc w:val="center"/>
                    <w:rPr>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14:textFill>
                        <w14:solidFill>
                          <w14:schemeClr w14:val="tx1"/>
                        </w14:solidFill>
                      </w14:textFill>
                    </w:rPr>
                    <w:t>供热</w:t>
                  </w:r>
                </w:p>
              </w:tc>
              <w:tc>
                <w:tcPr>
                  <w:tcW w:w="3923" w:type="pct"/>
                  <w:gridSpan w:val="2"/>
                  <w:noWrap w:val="0"/>
                  <w:vAlign w:val="center"/>
                </w:tcPr>
                <w:p w14:paraId="5ADE4D35">
                  <w:pPr>
                    <w:jc w:val="both"/>
                    <w:rPr>
                      <w:rFonts w:hint="eastAsia"/>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本项目</w:t>
                  </w:r>
                  <w:r>
                    <w:rPr>
                      <w:rFonts w:hint="eastAsia"/>
                      <w:color w:val="000000" w:themeColor="text1"/>
                      <w:sz w:val="21"/>
                      <w:szCs w:val="21"/>
                      <w:u w:val="single" w:color="auto"/>
                      <w14:textFill>
                        <w14:solidFill>
                          <w14:schemeClr w14:val="tx1"/>
                        </w14:solidFill>
                      </w14:textFill>
                    </w:rPr>
                    <w:t>生产不用热，</w:t>
                  </w:r>
                  <w:r>
                    <w:rPr>
                      <w:rFonts w:hint="eastAsia"/>
                      <w:color w:val="000000" w:themeColor="text1"/>
                      <w:sz w:val="21"/>
                      <w:szCs w:val="21"/>
                      <w:u w:val="single" w:color="auto"/>
                      <w:lang w:eastAsia="zh-CN"/>
                      <w14:textFill>
                        <w14:solidFill>
                          <w14:schemeClr w14:val="tx1"/>
                        </w14:solidFill>
                      </w14:textFill>
                    </w:rPr>
                    <w:t>冬季不生产，无需取暖</w:t>
                  </w:r>
                  <w:r>
                    <w:rPr>
                      <w:color w:val="000000" w:themeColor="text1"/>
                      <w:sz w:val="21"/>
                      <w:szCs w:val="21"/>
                      <w:u w:val="single" w:color="auto"/>
                      <w14:textFill>
                        <w14:solidFill>
                          <w14:schemeClr w14:val="tx1"/>
                        </w14:solidFill>
                      </w14:textFill>
                    </w:rPr>
                    <w:t>。</w:t>
                  </w:r>
                </w:p>
              </w:tc>
            </w:tr>
            <w:tr w14:paraId="5451E2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437" w:type="pct"/>
                  <w:vMerge w:val="continue"/>
                  <w:noWrap w:val="0"/>
                  <w:tcMar>
                    <w:left w:w="57" w:type="dxa"/>
                    <w:right w:w="57" w:type="dxa"/>
                  </w:tcMar>
                  <w:vAlign w:val="center"/>
                </w:tcPr>
                <w:p w14:paraId="6A64D836">
                  <w:pPr>
                    <w:jc w:val="center"/>
                    <w:rPr>
                      <w:rFonts w:hint="eastAsia"/>
                      <w:color w:val="FF0000"/>
                      <w:sz w:val="21"/>
                      <w:szCs w:val="21"/>
                      <w:u w:val="single" w:color="auto"/>
                    </w:rPr>
                  </w:pPr>
                </w:p>
              </w:tc>
              <w:tc>
                <w:tcPr>
                  <w:tcW w:w="639" w:type="pct"/>
                  <w:noWrap w:val="0"/>
                  <w:vAlign w:val="center"/>
                </w:tcPr>
                <w:p w14:paraId="7C85605B">
                  <w:pPr>
                    <w:jc w:val="center"/>
                    <w:rPr>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14:textFill>
                        <w14:solidFill>
                          <w14:schemeClr w14:val="tx1"/>
                        </w14:solidFill>
                      </w14:textFill>
                    </w:rPr>
                    <w:t>供电</w:t>
                  </w:r>
                </w:p>
              </w:tc>
              <w:tc>
                <w:tcPr>
                  <w:tcW w:w="3923" w:type="pct"/>
                  <w:gridSpan w:val="2"/>
                  <w:noWrap w:val="0"/>
                  <w:vAlign w:val="center"/>
                </w:tcPr>
                <w:p w14:paraId="28754E0B">
                  <w:pPr>
                    <w:jc w:val="both"/>
                    <w:rPr>
                      <w:rFonts w:hint="eastAsia"/>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14:textFill>
                        <w14:solidFill>
                          <w14:schemeClr w14:val="tx1"/>
                        </w14:solidFill>
                      </w14:textFill>
                    </w:rPr>
                    <w:t>由</w:t>
                  </w:r>
                  <w:r>
                    <w:rPr>
                      <w:rFonts w:hint="eastAsia"/>
                      <w:color w:val="000000" w:themeColor="text1"/>
                      <w:sz w:val="21"/>
                      <w:szCs w:val="21"/>
                      <w:u w:val="single" w:color="auto"/>
                      <w:lang w:eastAsia="zh-CN"/>
                      <w14:textFill>
                        <w14:solidFill>
                          <w14:schemeClr w14:val="tx1"/>
                        </w14:solidFill>
                      </w14:textFill>
                    </w:rPr>
                    <w:t>当地</w:t>
                  </w:r>
                  <w:r>
                    <w:rPr>
                      <w:rFonts w:hint="eastAsia"/>
                      <w:color w:val="000000" w:themeColor="text1"/>
                      <w:sz w:val="21"/>
                      <w:szCs w:val="21"/>
                      <w:u w:val="single" w:color="auto"/>
                      <w14:textFill>
                        <w14:solidFill>
                          <w14:schemeClr w14:val="tx1"/>
                        </w14:solidFill>
                      </w14:textFill>
                    </w:rPr>
                    <w:t>供电局统一供给。</w:t>
                  </w:r>
                </w:p>
              </w:tc>
            </w:tr>
            <w:tr w14:paraId="0F24E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437" w:type="pct"/>
                  <w:vMerge w:val="restart"/>
                  <w:noWrap w:val="0"/>
                  <w:tcMar>
                    <w:left w:w="57" w:type="dxa"/>
                    <w:right w:w="57" w:type="dxa"/>
                  </w:tcMar>
                  <w:vAlign w:val="center"/>
                </w:tcPr>
                <w:p w14:paraId="3ABE2699">
                  <w:pPr>
                    <w:pStyle w:val="51"/>
                    <w:spacing w:line="240" w:lineRule="auto"/>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环保</w:t>
                  </w:r>
                </w:p>
                <w:p w14:paraId="3FD2C527">
                  <w:pPr>
                    <w:jc w:val="center"/>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工程</w:t>
                  </w:r>
                </w:p>
              </w:tc>
              <w:tc>
                <w:tcPr>
                  <w:tcW w:w="639" w:type="pct"/>
                  <w:noWrap w:val="0"/>
                  <w:vAlign w:val="center"/>
                </w:tcPr>
                <w:p w14:paraId="425FA784">
                  <w:pPr>
                    <w:ind w:left="-84" w:leftChars="-40" w:right="-84" w:rightChars="-40"/>
                    <w:jc w:val="center"/>
                    <w:rPr>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14:textFill>
                        <w14:solidFill>
                          <w14:schemeClr w14:val="tx1"/>
                        </w14:solidFill>
                      </w14:textFill>
                    </w:rPr>
                    <w:t>废气治理</w:t>
                  </w:r>
                </w:p>
              </w:tc>
              <w:tc>
                <w:tcPr>
                  <w:tcW w:w="3923" w:type="pct"/>
                  <w:gridSpan w:val="2"/>
                  <w:noWrap w:val="0"/>
                  <w:vAlign w:val="center"/>
                </w:tcPr>
                <w:p w14:paraId="75330895">
                  <w:pPr>
                    <w:keepNext w:val="0"/>
                    <w:keepLines w:val="0"/>
                    <w:widowControl/>
                    <w:suppressLineNumbers w:val="0"/>
                    <w:jc w:val="both"/>
                    <w:rPr>
                      <w:rFonts w:hint="default"/>
                      <w:color w:val="000000" w:themeColor="text1"/>
                      <w:sz w:val="21"/>
                      <w:szCs w:val="21"/>
                      <w:u w:val="single" w:color="auto"/>
                      <w:lang w:val="en-US"/>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筒仓粉尘：</w:t>
                  </w:r>
                  <w:r>
                    <w:rPr>
                      <w:rFonts w:hint="eastAsia" w:ascii="宋体" w:hAnsi="宋体" w:eastAsia="宋体" w:cs="宋体"/>
                      <w:color w:val="000000" w:themeColor="text1"/>
                      <w:kern w:val="0"/>
                      <w:sz w:val="21"/>
                      <w:szCs w:val="21"/>
                      <w:u w:val="single" w:color="auto"/>
                      <w:lang w:val="en-US" w:eastAsia="zh-CN" w:bidi="ar"/>
                      <w14:textFill>
                        <w14:solidFill>
                          <w14:schemeClr w14:val="tx1"/>
                        </w14:solidFill>
                      </w14:textFill>
                    </w:rPr>
                    <w:t>粉料筒仓（</w:t>
                  </w:r>
                  <w:r>
                    <w:rPr>
                      <w:rFonts w:hint="eastAsia" w:cs="Times New Roman"/>
                      <w:color w:val="000000" w:themeColor="text1"/>
                      <w:kern w:val="0"/>
                      <w:sz w:val="21"/>
                      <w:szCs w:val="21"/>
                      <w:u w:val="single" w:color="auto"/>
                      <w:lang w:val="en-US" w:eastAsia="zh-CN" w:bidi="ar"/>
                      <w14:textFill>
                        <w14:solidFill>
                          <w14:schemeClr w14:val="tx1"/>
                        </w14:solidFill>
                      </w14:textFill>
                    </w:rPr>
                    <w:t>4</w:t>
                  </w:r>
                  <w:r>
                    <w:rPr>
                      <w:rFonts w:hint="eastAsia" w:ascii="宋体" w:hAnsi="宋体" w:eastAsia="宋体" w:cs="宋体"/>
                      <w:color w:val="000000" w:themeColor="text1"/>
                      <w:kern w:val="0"/>
                      <w:sz w:val="21"/>
                      <w:szCs w:val="21"/>
                      <w:u w:val="single" w:color="auto"/>
                      <w:lang w:val="en-US" w:eastAsia="zh-CN" w:bidi="ar"/>
                      <w14:textFill>
                        <w14:solidFill>
                          <w14:schemeClr w14:val="tx1"/>
                        </w14:solidFill>
                      </w14:textFill>
                    </w:rPr>
                    <w:t>个）</w:t>
                  </w:r>
                  <w:r>
                    <w:rPr>
                      <w:rFonts w:hint="eastAsia"/>
                      <w:color w:val="000000" w:themeColor="text1"/>
                      <w:sz w:val="21"/>
                      <w:szCs w:val="21"/>
                      <w:highlight w:val="none"/>
                      <w:u w:val="single" w:color="auto"/>
                      <w:lang w:val="en-US" w:eastAsia="zh-CN"/>
                      <w14:textFill>
                        <w14:solidFill>
                          <w14:schemeClr w14:val="tx1"/>
                        </w14:solidFill>
                      </w14:textFill>
                    </w:rPr>
                    <w:t>顶仓均自带脉冲袋式除尘器</w:t>
                  </w:r>
                  <w:r>
                    <w:rPr>
                      <w:rFonts w:hint="eastAsia" w:ascii="宋体" w:hAnsi="宋体" w:eastAsia="宋体" w:cs="宋体"/>
                      <w:color w:val="000000" w:themeColor="text1"/>
                      <w:kern w:val="0"/>
                      <w:sz w:val="21"/>
                      <w:szCs w:val="21"/>
                      <w:u w:val="single" w:color="auto"/>
                      <w:lang w:val="en-US" w:eastAsia="zh-CN" w:bidi="ar"/>
                      <w14:textFill>
                        <w14:solidFill>
                          <w14:schemeClr w14:val="tx1"/>
                        </w14:solidFill>
                      </w14:textFill>
                    </w:rPr>
                    <w:t>，粉尘经</w:t>
                  </w:r>
                  <w:r>
                    <w:rPr>
                      <w:rFonts w:hint="eastAsia"/>
                      <w:color w:val="000000" w:themeColor="text1"/>
                      <w:sz w:val="21"/>
                      <w:szCs w:val="21"/>
                      <w:u w:val="single" w:color="auto"/>
                      <w:lang w:val="en-US" w:eastAsia="zh-CN"/>
                      <w14:textFill>
                        <w14:solidFill>
                          <w14:schemeClr w14:val="tx1"/>
                        </w14:solidFill>
                      </w14:textFill>
                    </w:rPr>
                    <w:t>脉冲袋式除尘器</w:t>
                  </w:r>
                  <w:r>
                    <w:rPr>
                      <w:rFonts w:hint="eastAsia" w:ascii="宋体" w:hAnsi="宋体" w:eastAsia="宋体" w:cs="宋体"/>
                      <w:color w:val="000000" w:themeColor="text1"/>
                      <w:kern w:val="0"/>
                      <w:sz w:val="21"/>
                      <w:szCs w:val="21"/>
                      <w:u w:val="single" w:color="auto"/>
                      <w:lang w:val="en-US" w:eastAsia="zh-CN" w:bidi="ar"/>
                      <w14:textFill>
                        <w14:solidFill>
                          <w14:schemeClr w14:val="tx1"/>
                        </w14:solidFill>
                      </w14:textFill>
                    </w:rPr>
                    <w:t>处理后</w:t>
                  </w:r>
                  <w:r>
                    <w:rPr>
                      <w:rFonts w:hint="eastAsia" w:ascii="宋体" w:hAnsi="宋体" w:cs="宋体"/>
                      <w:color w:val="000000" w:themeColor="text1"/>
                      <w:kern w:val="0"/>
                      <w:sz w:val="21"/>
                      <w:szCs w:val="21"/>
                      <w:u w:val="single" w:color="auto"/>
                      <w:lang w:val="en-US" w:eastAsia="zh-CN" w:bidi="ar"/>
                      <w14:textFill>
                        <w14:solidFill>
                          <w14:schemeClr w14:val="tx1"/>
                        </w14:solidFill>
                      </w14:textFill>
                    </w:rPr>
                    <w:t>通过仓顶排气口</w:t>
                  </w:r>
                  <w:r>
                    <w:rPr>
                      <w:rFonts w:hint="eastAsia" w:ascii="宋体" w:hAnsi="宋体" w:eastAsia="宋体" w:cs="宋体"/>
                      <w:color w:val="000000" w:themeColor="text1"/>
                      <w:kern w:val="0"/>
                      <w:sz w:val="21"/>
                      <w:szCs w:val="21"/>
                      <w:u w:val="single" w:color="auto"/>
                      <w:lang w:val="en-US" w:eastAsia="zh-CN" w:bidi="ar"/>
                      <w14:textFill>
                        <w14:solidFill>
                          <w14:schemeClr w14:val="tx1"/>
                        </w14:solidFill>
                      </w14:textFill>
                    </w:rPr>
                    <w:t>排放。</w:t>
                  </w:r>
                </w:p>
                <w:p w14:paraId="413D1257">
                  <w:pPr>
                    <w:keepNext w:val="0"/>
                    <w:keepLines w:val="0"/>
                    <w:widowControl/>
                    <w:suppressLineNumbers w:val="0"/>
                    <w:jc w:val="both"/>
                    <w:rPr>
                      <w:rFonts w:hint="default"/>
                      <w:color w:val="000000" w:themeColor="text1"/>
                      <w:sz w:val="21"/>
                      <w:szCs w:val="21"/>
                      <w:u w:val="single" w:color="auto"/>
                      <w:lang w:val="en-US"/>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搅拌机粉尘：搅拌机（1个）盖处连接搅拌机</w:t>
                  </w:r>
                  <w:r>
                    <w:rPr>
                      <w:rFonts w:hint="eastAsia"/>
                      <w:color w:val="000000" w:themeColor="text1"/>
                      <w:sz w:val="21"/>
                      <w:szCs w:val="21"/>
                      <w:highlight w:val="none"/>
                      <w:u w:val="single" w:color="auto"/>
                      <w:lang w:val="en-US" w:eastAsia="zh-CN"/>
                      <w14:textFill>
                        <w14:solidFill>
                          <w14:schemeClr w14:val="tx1"/>
                        </w14:solidFill>
                      </w14:textFill>
                    </w:rPr>
                    <w:t>自带脉冲袋式除尘器</w:t>
                  </w:r>
                  <w:r>
                    <w:rPr>
                      <w:rFonts w:hint="eastAsia"/>
                      <w:color w:val="000000" w:themeColor="text1"/>
                      <w:sz w:val="21"/>
                      <w:szCs w:val="21"/>
                      <w:u w:val="single" w:color="auto"/>
                      <w:lang w:val="en-US" w:eastAsia="zh-CN"/>
                      <w14:textFill>
                        <w14:solidFill>
                          <w14:schemeClr w14:val="tx1"/>
                        </w14:solidFill>
                      </w14:textFill>
                    </w:rPr>
                    <w:t>，</w:t>
                  </w:r>
                  <w:r>
                    <w:rPr>
                      <w:rFonts w:hint="eastAsia" w:ascii="宋体" w:hAnsi="宋体" w:eastAsia="宋体" w:cs="宋体"/>
                      <w:color w:val="000000" w:themeColor="text1"/>
                      <w:kern w:val="0"/>
                      <w:sz w:val="21"/>
                      <w:szCs w:val="21"/>
                      <w:u w:val="single" w:color="auto"/>
                      <w:lang w:val="en-US" w:eastAsia="zh-CN" w:bidi="ar"/>
                      <w14:textFill>
                        <w14:solidFill>
                          <w14:schemeClr w14:val="tx1"/>
                        </w14:solidFill>
                      </w14:textFill>
                    </w:rPr>
                    <w:t>粉尘经</w:t>
                  </w:r>
                  <w:r>
                    <w:rPr>
                      <w:rFonts w:hint="eastAsia"/>
                      <w:color w:val="000000" w:themeColor="text1"/>
                      <w:sz w:val="21"/>
                      <w:szCs w:val="21"/>
                      <w:u w:val="single" w:color="auto"/>
                      <w:lang w:val="en-US" w:eastAsia="zh-CN"/>
                      <w14:textFill>
                        <w14:solidFill>
                          <w14:schemeClr w14:val="tx1"/>
                        </w14:solidFill>
                      </w14:textFill>
                    </w:rPr>
                    <w:t>脉冲袋式除尘器</w:t>
                  </w:r>
                  <w:r>
                    <w:rPr>
                      <w:rFonts w:hint="eastAsia" w:ascii="宋体" w:hAnsi="宋体" w:eastAsia="宋体" w:cs="宋体"/>
                      <w:color w:val="000000" w:themeColor="text1"/>
                      <w:kern w:val="0"/>
                      <w:sz w:val="21"/>
                      <w:szCs w:val="21"/>
                      <w:u w:val="single" w:color="auto"/>
                      <w:lang w:val="en-US" w:eastAsia="zh-CN" w:bidi="ar"/>
                      <w14:textFill>
                        <w14:solidFill>
                          <w14:schemeClr w14:val="tx1"/>
                        </w14:solidFill>
                      </w14:textFill>
                    </w:rPr>
                    <w:t>处理后排放。</w:t>
                  </w:r>
                </w:p>
                <w:p w14:paraId="7B141184">
                  <w:pPr>
                    <w:pStyle w:val="16"/>
                    <w:ind w:left="0" w:leftChars="0" w:firstLine="0" w:firstLineChars="0"/>
                    <w:jc w:val="both"/>
                    <w:rPr>
                      <w:rFonts w:hint="eastAsia"/>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装卸扬尘：洒水降尘。</w:t>
                  </w:r>
                </w:p>
                <w:p w14:paraId="1F492D86">
                  <w:pPr>
                    <w:jc w:val="both"/>
                    <w:rPr>
                      <w:rFonts w:hint="eastAsia"/>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骨料堆场粉尘：封闭料库、洒水降尘。</w:t>
                  </w:r>
                </w:p>
                <w:p w14:paraId="1024C085">
                  <w:pPr>
                    <w:pStyle w:val="16"/>
                    <w:ind w:left="0" w:leftChars="0" w:firstLine="0" w:firstLineChars="0"/>
                    <w:jc w:val="both"/>
                    <w:rPr>
                      <w:rFonts w:hint="eastAsia"/>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上料粉尘：洒水降尘。</w:t>
                  </w:r>
                </w:p>
                <w:p w14:paraId="581EEA25">
                  <w:pPr>
                    <w:jc w:val="both"/>
                    <w:rPr>
                      <w:rFonts w:hint="default"/>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运输扬尘：洒水降尘。</w:t>
                  </w:r>
                </w:p>
              </w:tc>
            </w:tr>
            <w:tr w14:paraId="2FC1B9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437" w:type="pct"/>
                  <w:vMerge w:val="continue"/>
                  <w:noWrap w:val="0"/>
                  <w:vAlign w:val="center"/>
                </w:tcPr>
                <w:p w14:paraId="04A50275">
                  <w:pPr>
                    <w:jc w:val="center"/>
                    <w:rPr>
                      <w:color w:val="000000" w:themeColor="text1"/>
                      <w:sz w:val="21"/>
                      <w:szCs w:val="21"/>
                      <w:u w:val="single" w:color="auto"/>
                      <w14:textFill>
                        <w14:solidFill>
                          <w14:schemeClr w14:val="tx1"/>
                        </w14:solidFill>
                      </w14:textFill>
                    </w:rPr>
                  </w:pPr>
                </w:p>
              </w:tc>
              <w:tc>
                <w:tcPr>
                  <w:tcW w:w="639" w:type="pct"/>
                  <w:noWrap w:val="0"/>
                  <w:vAlign w:val="center"/>
                </w:tcPr>
                <w:p w14:paraId="106A5E5F">
                  <w:pPr>
                    <w:jc w:val="center"/>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废水治理</w:t>
                  </w:r>
                </w:p>
              </w:tc>
              <w:tc>
                <w:tcPr>
                  <w:tcW w:w="3923" w:type="pct"/>
                  <w:gridSpan w:val="2"/>
                  <w:noWrap w:val="0"/>
                  <w:vAlign w:val="center"/>
                </w:tcPr>
                <w:p w14:paraId="62984603">
                  <w:pPr>
                    <w:keepNext w:val="0"/>
                    <w:keepLines w:val="0"/>
                    <w:widowControl/>
                    <w:suppressLineNumbers w:val="0"/>
                    <w:jc w:val="left"/>
                    <w:rPr>
                      <w:rFonts w:hint="default" w:eastAsia="宋体"/>
                      <w:color w:val="FF0000"/>
                      <w:sz w:val="21"/>
                      <w:szCs w:val="21"/>
                      <w:u w:val="single" w:color="auto"/>
                      <w:lang w:val="en-US" w:eastAsia="zh-CN"/>
                    </w:rPr>
                  </w:pPr>
                  <w:r>
                    <w:rPr>
                      <w:rFonts w:hint="eastAsia"/>
                      <w:color w:val="000000" w:themeColor="text1"/>
                      <w:sz w:val="21"/>
                      <w:szCs w:val="21"/>
                      <w:u w:val="single" w:color="auto"/>
                      <w:lang w:val="en-US" w:eastAsia="zh-CN"/>
                      <w14:textFill>
                        <w14:solidFill>
                          <w14:schemeClr w14:val="tx1"/>
                        </w14:solidFill>
                      </w14:textFill>
                    </w:rPr>
                    <w:t>本项目</w:t>
                  </w:r>
                  <w:r>
                    <w:rPr>
                      <w:rFonts w:hint="eastAsia"/>
                      <w:color w:val="000000" w:themeColor="text1"/>
                      <w:sz w:val="21"/>
                      <w:szCs w:val="21"/>
                      <w:u w:val="single" w:color="auto"/>
                      <w14:textFill>
                        <w14:solidFill>
                          <w14:schemeClr w14:val="tx1"/>
                        </w14:solidFill>
                      </w14:textFill>
                    </w:rPr>
                    <w:t>生活污水排入厂区</w:t>
                  </w:r>
                  <w:r>
                    <w:rPr>
                      <w:rFonts w:hint="eastAsia"/>
                      <w:color w:val="000000" w:themeColor="text1"/>
                      <w:sz w:val="21"/>
                      <w:szCs w:val="21"/>
                      <w:u w:val="single" w:color="auto"/>
                      <w:lang w:val="en-US" w:eastAsia="zh-CN"/>
                      <w14:textFill>
                        <w14:solidFill>
                          <w14:schemeClr w14:val="tx1"/>
                        </w14:solidFill>
                      </w14:textFill>
                    </w:rPr>
                    <w:t>防渗旱厕，定期清掏作农肥</w:t>
                  </w:r>
                  <w:r>
                    <w:rPr>
                      <w:rFonts w:hint="eastAsia"/>
                      <w:color w:val="000000" w:themeColor="text1"/>
                      <w:sz w:val="21"/>
                      <w:szCs w:val="21"/>
                      <w:u w:val="single" w:color="auto"/>
                      <w14:textFill>
                        <w14:solidFill>
                          <w14:schemeClr w14:val="tx1"/>
                        </w14:solidFill>
                      </w14:textFill>
                    </w:rPr>
                    <w:t>，不外排</w:t>
                  </w:r>
                  <w:r>
                    <w:rPr>
                      <w:rFonts w:hint="eastAsia"/>
                      <w:color w:val="000000" w:themeColor="text1"/>
                      <w:sz w:val="21"/>
                      <w:szCs w:val="21"/>
                      <w:u w:val="single" w:color="auto"/>
                      <w:lang w:eastAsia="zh-CN"/>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罐车清洗废水及设备清洗废水</w:t>
                  </w: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经</w:t>
                  </w:r>
                  <w:r>
                    <w:rPr>
                      <w:rFonts w:hint="eastAsia" w:cs="Times New Roman"/>
                      <w:color w:val="000000" w:themeColor="text1"/>
                      <w:sz w:val="21"/>
                      <w:szCs w:val="21"/>
                      <w:u w:val="single" w:color="auto"/>
                      <w:lang w:val="en-US" w:eastAsia="zh-CN"/>
                      <w14:textFill>
                        <w14:solidFill>
                          <w14:schemeClr w14:val="tx1"/>
                        </w14:solidFill>
                      </w14:textFill>
                    </w:rPr>
                    <w:t>三级</w:t>
                  </w: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沉淀池</w:t>
                  </w:r>
                  <w:r>
                    <w:rPr>
                      <w:rFonts w:hint="eastAsia" w:cs="Times New Roman"/>
                      <w:color w:val="000000" w:themeColor="text1"/>
                      <w:sz w:val="21"/>
                      <w:szCs w:val="21"/>
                      <w:u w:val="single" w:color="auto"/>
                      <w:lang w:val="en-US" w:eastAsia="zh-CN"/>
                      <w14:textFill>
                        <w14:solidFill>
                          <w14:schemeClr w14:val="tx1"/>
                        </w14:solidFill>
                      </w14:textFill>
                    </w:rPr>
                    <w:t>沉淀</w:t>
                  </w:r>
                  <w:r>
                    <w:rPr>
                      <w:rFonts w:hint="eastAsia" w:ascii="Times New Roman" w:hAnsi="Times New Roman" w:eastAsia="宋体" w:cs="Times New Roman"/>
                      <w:color w:val="000000" w:themeColor="text1"/>
                      <w:sz w:val="21"/>
                      <w:szCs w:val="21"/>
                      <w:u w:val="single" w:color="auto"/>
                      <w14:textFill>
                        <w14:solidFill>
                          <w14:schemeClr w14:val="tx1"/>
                        </w14:solidFill>
                      </w14:textFill>
                    </w:rPr>
                    <w:t>处理后</w:t>
                  </w:r>
                  <w:r>
                    <w:rPr>
                      <w:rFonts w:hint="eastAsia" w:cs="Times New Roman"/>
                      <w:color w:val="000000" w:themeColor="text1"/>
                      <w:sz w:val="21"/>
                      <w:szCs w:val="21"/>
                      <w:u w:val="single" w:color="auto"/>
                      <w:lang w:eastAsia="zh-CN"/>
                      <w14:textFill>
                        <w14:solidFill>
                          <w14:schemeClr w14:val="tx1"/>
                        </w14:solidFill>
                      </w14:textFill>
                    </w:rPr>
                    <w:t>回用于生产</w:t>
                  </w:r>
                  <w:r>
                    <w:rPr>
                      <w:rFonts w:hint="eastAsia" w:ascii="Times New Roman" w:hAnsi="Times New Roman" w:eastAsia="宋体" w:cs="Times New Roman"/>
                      <w:color w:val="000000" w:themeColor="text1"/>
                      <w:sz w:val="21"/>
                      <w:szCs w:val="21"/>
                      <w:u w:val="single" w:color="auto"/>
                      <w:lang w:eastAsia="zh-CN"/>
                      <w14:textFill>
                        <w14:solidFill>
                          <w14:schemeClr w14:val="tx1"/>
                        </w14:solidFill>
                      </w14:textFill>
                    </w:rPr>
                    <w:t>，</w:t>
                  </w:r>
                  <w:r>
                    <w:rPr>
                      <w:rFonts w:hint="eastAsia" w:ascii="Times New Roman" w:hAnsi="Times New Roman" w:eastAsia="宋体" w:cs="Times New Roman"/>
                      <w:color w:val="000000" w:themeColor="text1"/>
                      <w:sz w:val="21"/>
                      <w:szCs w:val="21"/>
                      <w:u w:val="single" w:color="auto"/>
                      <w14:textFill>
                        <w14:solidFill>
                          <w14:schemeClr w14:val="tx1"/>
                        </w14:solidFill>
                      </w14:textFill>
                    </w:rPr>
                    <w:t>不外排；</w:t>
                  </w: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厂区降尘水直接蒸发，无</w:t>
                  </w:r>
                  <w:r>
                    <w:rPr>
                      <w:rFonts w:hint="eastAsia" w:ascii="Times New Roman" w:hAnsi="Times New Roman" w:eastAsia="宋体" w:cs="Times New Roman"/>
                      <w:color w:val="000000" w:themeColor="text1"/>
                      <w:sz w:val="21"/>
                      <w:szCs w:val="21"/>
                      <w:u w:val="single" w:color="auto"/>
                      <w14:textFill>
                        <w14:solidFill>
                          <w14:schemeClr w14:val="tx1"/>
                        </w14:solidFill>
                      </w14:textFill>
                    </w:rPr>
                    <w:t>废水产生</w:t>
                  </w:r>
                  <w:r>
                    <w:rPr>
                      <w:rFonts w:hint="eastAsia"/>
                      <w:color w:val="000000" w:themeColor="text1"/>
                      <w:sz w:val="21"/>
                      <w:szCs w:val="21"/>
                      <w:u w:val="single" w:color="auto"/>
                      <w14:textFill>
                        <w14:solidFill>
                          <w14:schemeClr w14:val="tx1"/>
                        </w14:solidFill>
                      </w14:textFill>
                    </w:rPr>
                    <w:t>。</w:t>
                  </w:r>
                </w:p>
              </w:tc>
            </w:tr>
            <w:tr w14:paraId="506C50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437" w:type="pct"/>
                  <w:vMerge w:val="continue"/>
                  <w:noWrap w:val="0"/>
                  <w:vAlign w:val="center"/>
                </w:tcPr>
                <w:p w14:paraId="0D138A23">
                  <w:pPr>
                    <w:jc w:val="center"/>
                    <w:rPr>
                      <w:color w:val="FF0000"/>
                      <w:sz w:val="21"/>
                      <w:szCs w:val="21"/>
                      <w:u w:val="single" w:color="auto"/>
                    </w:rPr>
                  </w:pPr>
                </w:p>
              </w:tc>
              <w:tc>
                <w:tcPr>
                  <w:tcW w:w="639" w:type="pct"/>
                  <w:noWrap w:val="0"/>
                  <w:vAlign w:val="center"/>
                </w:tcPr>
                <w:p w14:paraId="46B8831E">
                  <w:pPr>
                    <w:jc w:val="center"/>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噪声治理</w:t>
                  </w:r>
                </w:p>
              </w:tc>
              <w:tc>
                <w:tcPr>
                  <w:tcW w:w="3923" w:type="pct"/>
                  <w:gridSpan w:val="2"/>
                  <w:shd w:val="clear" w:color="auto" w:fill="auto"/>
                  <w:noWrap w:val="0"/>
                  <w:vAlign w:val="center"/>
                </w:tcPr>
                <w:p w14:paraId="6A874E2C">
                  <w:pPr>
                    <w:adjustRightInd w:val="0"/>
                    <w:snapToGrid w:val="0"/>
                    <w:jc w:val="left"/>
                    <w:rPr>
                      <w:rFonts w:hint="eastAsia" w:ascii="Times New Roman" w:hAnsi="Times New Roman" w:eastAsia="宋体" w:cs="Times New Roman"/>
                      <w:kern w:val="2"/>
                      <w:sz w:val="21"/>
                      <w:szCs w:val="21"/>
                      <w:u w:val="single" w:color="auto"/>
                      <w:lang w:val="en-US" w:eastAsia="zh-CN" w:bidi="ar-SA"/>
                    </w:rPr>
                  </w:pPr>
                  <w:r>
                    <w:rPr>
                      <w:rFonts w:hint="eastAsia" w:ascii="宋体" w:hAnsi="宋体"/>
                      <w:bCs/>
                      <w:u w:val="single" w:color="auto"/>
                    </w:rPr>
                    <w:t>选用低噪声设备，采取有效的减振、</w:t>
                  </w:r>
                  <w:r>
                    <w:rPr>
                      <w:rFonts w:hint="eastAsia" w:ascii="宋体" w:hAnsi="宋体"/>
                      <w:bCs/>
                      <w:u w:val="single" w:color="auto"/>
                      <w:lang w:val="en-US" w:eastAsia="zh-CN"/>
                    </w:rPr>
                    <w:t>消</w:t>
                  </w:r>
                  <w:r>
                    <w:rPr>
                      <w:rFonts w:hint="eastAsia" w:ascii="宋体" w:hAnsi="宋体"/>
                      <w:bCs/>
                      <w:u w:val="single" w:color="auto"/>
                    </w:rPr>
                    <w:t>声等降噪措施，</w:t>
                  </w:r>
                  <w:r>
                    <w:rPr>
                      <w:rFonts w:hint="eastAsia"/>
                      <w:color w:val="000000" w:themeColor="text1"/>
                      <w:sz w:val="21"/>
                      <w:szCs w:val="21"/>
                      <w:u w:val="single" w:color="auto"/>
                      <w14:textFill>
                        <w14:solidFill>
                          <w14:schemeClr w14:val="tx1"/>
                        </w14:solidFill>
                      </w14:textFill>
                    </w:rPr>
                    <w:t>加强厂区车辆的维护管理</w:t>
                  </w:r>
                  <w:r>
                    <w:rPr>
                      <w:rFonts w:hint="eastAsia"/>
                      <w:color w:val="000000" w:themeColor="text1"/>
                      <w:sz w:val="21"/>
                      <w:szCs w:val="21"/>
                      <w:u w:val="single" w:color="auto"/>
                      <w:lang w:eastAsia="zh-CN"/>
                      <w14:textFill>
                        <w14:solidFill>
                          <w14:schemeClr w14:val="tx1"/>
                        </w14:solidFill>
                      </w14:textFill>
                    </w:rPr>
                    <w:t>。</w:t>
                  </w:r>
                </w:p>
              </w:tc>
            </w:tr>
            <w:tr w14:paraId="434A39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37" w:type="pct"/>
                  <w:vMerge w:val="continue"/>
                  <w:noWrap w:val="0"/>
                  <w:vAlign w:val="center"/>
                </w:tcPr>
                <w:p w14:paraId="00BBA051">
                  <w:pPr>
                    <w:jc w:val="center"/>
                    <w:rPr>
                      <w:color w:val="FF0000"/>
                      <w:sz w:val="21"/>
                      <w:szCs w:val="21"/>
                      <w:u w:val="single" w:color="auto"/>
                    </w:rPr>
                  </w:pPr>
                </w:p>
              </w:tc>
              <w:tc>
                <w:tcPr>
                  <w:tcW w:w="639" w:type="pct"/>
                  <w:noWrap w:val="0"/>
                  <w:vAlign w:val="center"/>
                </w:tcPr>
                <w:p w14:paraId="03D6D22E">
                  <w:pPr>
                    <w:jc w:val="center"/>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固体废物处置</w:t>
                  </w:r>
                </w:p>
              </w:tc>
              <w:tc>
                <w:tcPr>
                  <w:tcW w:w="3923" w:type="pct"/>
                  <w:gridSpan w:val="2"/>
                  <w:noWrap w:val="0"/>
                  <w:vAlign w:val="center"/>
                </w:tcPr>
                <w:p w14:paraId="61CA63D6">
                  <w:pPr>
                    <w:jc w:val="both"/>
                    <w:rPr>
                      <w:rFonts w:hint="eastAsia" w:eastAsia="宋体"/>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14:textFill>
                        <w14:solidFill>
                          <w14:schemeClr w14:val="tx1"/>
                        </w14:solidFill>
                      </w14:textFill>
                    </w:rPr>
                    <w:t>生活垃圾</w:t>
                  </w:r>
                  <w:r>
                    <w:rPr>
                      <w:rFonts w:hint="eastAsia"/>
                      <w:color w:val="000000" w:themeColor="text1"/>
                      <w:sz w:val="21"/>
                      <w:szCs w:val="21"/>
                      <w:u w:val="single" w:color="auto"/>
                      <w:lang w:eastAsia="zh-CN"/>
                      <w14:textFill>
                        <w14:solidFill>
                          <w14:schemeClr w14:val="tx1"/>
                        </w14:solidFill>
                      </w14:textFill>
                    </w:rPr>
                    <w:t>收集后交</w:t>
                  </w:r>
                  <w:r>
                    <w:rPr>
                      <w:rFonts w:hint="eastAsia"/>
                      <w:color w:val="000000" w:themeColor="text1"/>
                      <w:sz w:val="21"/>
                      <w:szCs w:val="21"/>
                      <w:u w:val="single" w:color="auto"/>
                      <w14:textFill>
                        <w14:solidFill>
                          <w14:schemeClr w14:val="tx1"/>
                        </w14:solidFill>
                      </w14:textFill>
                    </w:rPr>
                    <w:t>由环卫部门</w:t>
                  </w:r>
                  <w:r>
                    <w:rPr>
                      <w:rFonts w:hint="eastAsia"/>
                      <w:color w:val="000000" w:themeColor="text1"/>
                      <w:sz w:val="21"/>
                      <w:szCs w:val="21"/>
                      <w:u w:val="single" w:color="auto"/>
                      <w:lang w:eastAsia="zh-CN"/>
                      <w14:textFill>
                        <w14:solidFill>
                          <w14:schemeClr w14:val="tx1"/>
                        </w14:solidFill>
                      </w14:textFill>
                    </w:rPr>
                    <w:t>统一处理；</w:t>
                  </w:r>
                  <w:r>
                    <w:rPr>
                      <w:rFonts w:hint="eastAsia"/>
                      <w:color w:val="000000" w:themeColor="text1"/>
                      <w:sz w:val="21"/>
                      <w:szCs w:val="21"/>
                      <w:u w:val="single" w:color="auto"/>
                      <w:lang w:val="en-US" w:eastAsia="zh-CN"/>
                      <w14:textFill>
                        <w14:solidFill>
                          <w14:schemeClr w14:val="tx1"/>
                        </w14:solidFill>
                      </w14:textFill>
                    </w:rPr>
                    <w:t>除尘器收集粉尘回用于生产；废布袋收集后交由厂家回收利用；沉淀池沉淀物定期清掏，回用于生产；化验室废试样收集后交由建材厂综合利用</w:t>
                  </w:r>
                  <w:r>
                    <w:rPr>
                      <w:rFonts w:hint="eastAsia"/>
                      <w:color w:val="000000" w:themeColor="text1"/>
                      <w:sz w:val="21"/>
                      <w:szCs w:val="21"/>
                      <w:u w:val="single" w:color="auto"/>
                      <w14:textFill>
                        <w14:solidFill>
                          <w14:schemeClr w14:val="tx1"/>
                        </w14:solidFill>
                      </w14:textFill>
                    </w:rPr>
                    <w:t>。</w:t>
                  </w:r>
                </w:p>
              </w:tc>
            </w:tr>
            <w:tr w14:paraId="2B9945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37" w:type="pct"/>
                  <w:vMerge w:val="continue"/>
                  <w:noWrap w:val="0"/>
                  <w:vAlign w:val="center"/>
                </w:tcPr>
                <w:p w14:paraId="72C5CCC2">
                  <w:pPr>
                    <w:jc w:val="center"/>
                    <w:rPr>
                      <w:color w:val="FF0000"/>
                      <w:sz w:val="21"/>
                      <w:szCs w:val="21"/>
                      <w:u w:val="single" w:color="auto"/>
                    </w:rPr>
                  </w:pPr>
                </w:p>
              </w:tc>
              <w:tc>
                <w:tcPr>
                  <w:tcW w:w="639" w:type="pct"/>
                  <w:noWrap w:val="0"/>
                  <w:vAlign w:val="center"/>
                </w:tcPr>
                <w:p w14:paraId="351BBDCF">
                  <w:pPr>
                    <w:jc w:val="center"/>
                    <w:rPr>
                      <w:rFonts w:hint="eastAsia" w:eastAsia="宋体"/>
                      <w:color w:val="000000" w:themeColor="text1"/>
                      <w:sz w:val="21"/>
                      <w:szCs w:val="21"/>
                      <w:u w:val="single" w:color="auto"/>
                      <w:lang w:eastAsia="zh-CN"/>
                      <w14:textFill>
                        <w14:solidFill>
                          <w14:schemeClr w14:val="tx1"/>
                        </w14:solidFill>
                      </w14:textFill>
                    </w:rPr>
                  </w:pPr>
                  <w:r>
                    <w:rPr>
                      <w:rFonts w:hint="eastAsia"/>
                      <w:color w:val="000000" w:themeColor="text1"/>
                      <w:sz w:val="21"/>
                      <w:szCs w:val="21"/>
                      <w:u w:val="single" w:color="auto"/>
                      <w:lang w:eastAsia="zh-CN"/>
                      <w14:textFill>
                        <w14:solidFill>
                          <w14:schemeClr w14:val="tx1"/>
                        </w14:solidFill>
                      </w14:textFill>
                    </w:rPr>
                    <w:t>地表水、地下水、土壤</w:t>
                  </w:r>
                </w:p>
              </w:tc>
              <w:tc>
                <w:tcPr>
                  <w:tcW w:w="3923" w:type="pct"/>
                  <w:gridSpan w:val="2"/>
                  <w:noWrap w:val="0"/>
                  <w:vAlign w:val="center"/>
                </w:tcPr>
                <w:p w14:paraId="13D8CD3E">
                  <w:pPr>
                    <w:jc w:val="both"/>
                    <w:rPr>
                      <w:rFonts w:hint="default" w:eastAsia="宋体"/>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lang w:eastAsia="zh-CN"/>
                      <w14:textFill>
                        <w14:solidFill>
                          <w14:schemeClr w14:val="tx1"/>
                        </w14:solidFill>
                      </w14:textFill>
                    </w:rPr>
                    <w:t>厂区分区防渗，外加剂储罐区、三级沉淀池按照一般防渗区进行防渗，防渗层的设置要求等效黏土防渗层Mb≥1.5m，K≤1.0×10</w:t>
                  </w:r>
                  <w:r>
                    <w:rPr>
                      <w:rFonts w:hint="eastAsia"/>
                      <w:color w:val="000000" w:themeColor="text1"/>
                      <w:sz w:val="21"/>
                      <w:szCs w:val="21"/>
                      <w:u w:val="single" w:color="auto"/>
                      <w:vertAlign w:val="superscript"/>
                      <w:lang w:eastAsia="zh-CN"/>
                      <w14:textFill>
                        <w14:solidFill>
                          <w14:schemeClr w14:val="tx1"/>
                        </w14:solidFill>
                      </w14:textFill>
                    </w:rPr>
                    <w:t>-7</w:t>
                  </w:r>
                  <w:r>
                    <w:rPr>
                      <w:rFonts w:hint="eastAsia"/>
                      <w:color w:val="000000" w:themeColor="text1"/>
                      <w:sz w:val="21"/>
                      <w:szCs w:val="21"/>
                      <w:u w:val="single" w:color="auto"/>
                      <w:lang w:eastAsia="zh-CN"/>
                      <w14:textFill>
                        <w14:solidFill>
                          <w14:schemeClr w14:val="tx1"/>
                        </w14:solidFill>
                      </w14:textFill>
                    </w:rPr>
                    <w:t>cm/s，或参照GB18598执行；厂区道路、办公综合楼、骨料料库等其他区域按照简单防渗区进行防渗，一般地面硬化即可。</w:t>
                  </w:r>
                </w:p>
              </w:tc>
            </w:tr>
          </w:tbl>
          <w:p w14:paraId="64A48EC0">
            <w:pPr>
              <w:adjustRightInd w:val="0"/>
              <w:spacing w:line="360" w:lineRule="auto"/>
              <w:ind w:firstLine="482" w:firstLineChars="200"/>
              <w:jc w:val="left"/>
              <w:rPr>
                <w:rFonts w:hint="default"/>
                <w:b/>
                <w:bCs/>
                <w:sz w:val="24"/>
                <w:szCs w:val="24"/>
                <w:u w:val="single" w:color="auto"/>
                <w:lang w:val="en-US" w:eastAsia="zh-CN"/>
              </w:rPr>
            </w:pPr>
            <w:r>
              <w:rPr>
                <w:rFonts w:hint="eastAsia"/>
                <w:b/>
                <w:bCs/>
                <w:sz w:val="24"/>
                <w:szCs w:val="24"/>
                <w:u w:val="single" w:color="auto"/>
                <w:lang w:val="en-US" w:eastAsia="zh-CN"/>
              </w:rPr>
              <w:t>3、产品方案</w:t>
            </w:r>
          </w:p>
          <w:p w14:paraId="609820A9">
            <w:pPr>
              <w:adjustRightInd w:val="0"/>
              <w:spacing w:line="360" w:lineRule="auto"/>
              <w:ind w:firstLine="480" w:firstLineChars="200"/>
              <w:jc w:val="left"/>
              <w:rPr>
                <w:rFonts w:hint="eastAsia"/>
                <w:i w:val="0"/>
                <w:iCs w:val="0"/>
                <w:sz w:val="24"/>
                <w:szCs w:val="24"/>
                <w:u w:val="single" w:color="auto"/>
              </w:rPr>
            </w:pPr>
            <w:r>
              <w:rPr>
                <w:rFonts w:hint="default" w:ascii="Times New Roman" w:hAnsi="Times New Roman" w:eastAsia="宋体" w:cs="Times New Roman"/>
                <w:sz w:val="24"/>
                <w:highlight w:val="none"/>
                <w:u w:val="single" w:color="auto"/>
              </w:rPr>
              <w:t>本项目</w:t>
            </w:r>
            <w:r>
              <w:rPr>
                <w:rFonts w:hint="eastAsia"/>
                <w:i w:val="0"/>
                <w:iCs w:val="0"/>
                <w:sz w:val="24"/>
                <w:szCs w:val="24"/>
                <w:u w:val="single" w:color="auto"/>
              </w:rPr>
              <w:t>产品</w:t>
            </w:r>
            <w:r>
              <w:rPr>
                <w:rFonts w:hint="eastAsia"/>
                <w:i w:val="0"/>
                <w:iCs w:val="0"/>
                <w:sz w:val="24"/>
                <w:szCs w:val="24"/>
                <w:u w:val="single" w:color="auto"/>
                <w:lang w:eastAsia="zh-CN"/>
              </w:rPr>
              <w:t>为商品</w:t>
            </w:r>
            <w:r>
              <w:rPr>
                <w:rFonts w:hint="eastAsia"/>
                <w:i w:val="0"/>
                <w:iCs w:val="0"/>
                <w:sz w:val="24"/>
                <w:szCs w:val="24"/>
                <w:u w:val="single" w:color="auto"/>
              </w:rPr>
              <w:t>混凝土，生产规模为</w:t>
            </w:r>
            <w:r>
              <w:rPr>
                <w:rFonts w:hint="eastAsia"/>
                <w:i w:val="0"/>
                <w:iCs w:val="0"/>
                <w:sz w:val="24"/>
                <w:szCs w:val="24"/>
                <w:u w:val="single" w:color="auto"/>
                <w:lang w:val="en-US" w:eastAsia="zh-CN"/>
              </w:rPr>
              <w:t>6</w:t>
            </w:r>
            <w:r>
              <w:rPr>
                <w:rFonts w:hint="eastAsia"/>
                <w:i w:val="0"/>
                <w:iCs w:val="0"/>
                <w:sz w:val="24"/>
                <w:szCs w:val="24"/>
                <w:highlight w:val="none"/>
                <w:u w:val="single" w:color="auto"/>
                <w:lang w:val="en-US" w:eastAsia="zh-CN"/>
              </w:rPr>
              <w:t>万</w:t>
            </w:r>
            <w:r>
              <w:rPr>
                <w:rFonts w:hint="eastAsia"/>
                <w:i w:val="0"/>
                <w:iCs w:val="0"/>
                <w:color w:val="000000"/>
                <w:kern w:val="0"/>
                <w:sz w:val="24"/>
                <w:szCs w:val="24"/>
                <w:highlight w:val="none"/>
                <w:u w:val="single" w:color="auto"/>
                <w:lang w:val="en-US" w:eastAsia="zh-CN"/>
              </w:rPr>
              <w:t>m</w:t>
            </w:r>
            <w:r>
              <w:rPr>
                <w:rFonts w:hint="eastAsia"/>
                <w:i w:val="0"/>
                <w:iCs w:val="0"/>
                <w:color w:val="000000"/>
                <w:kern w:val="0"/>
                <w:sz w:val="24"/>
                <w:szCs w:val="24"/>
                <w:highlight w:val="none"/>
                <w:u w:val="single" w:color="auto"/>
                <w:vertAlign w:val="superscript"/>
                <w:lang w:val="en-US" w:eastAsia="zh-CN"/>
              </w:rPr>
              <w:t>3</w:t>
            </w:r>
            <w:r>
              <w:rPr>
                <w:rFonts w:hint="eastAsia"/>
                <w:i w:val="0"/>
                <w:iCs w:val="0"/>
                <w:sz w:val="24"/>
                <w:szCs w:val="24"/>
                <w:u w:val="single" w:color="auto"/>
              </w:rPr>
              <w:t>/a，产品方案详见下表。</w:t>
            </w:r>
          </w:p>
          <w:p w14:paraId="4EA1E2CC">
            <w:pPr>
              <w:jc w:val="center"/>
              <w:rPr>
                <w:b/>
                <w:i w:val="0"/>
                <w:iCs w:val="0"/>
                <w:szCs w:val="21"/>
                <w:u w:val="single" w:color="auto"/>
              </w:rPr>
            </w:pPr>
            <w:r>
              <w:rPr>
                <w:b/>
                <w:i w:val="0"/>
                <w:iCs w:val="0"/>
                <w:sz w:val="24"/>
                <w:szCs w:val="24"/>
                <w:u w:val="single" w:color="auto"/>
              </w:rPr>
              <w:t>表</w:t>
            </w:r>
            <w:r>
              <w:rPr>
                <w:rFonts w:hint="eastAsia"/>
                <w:b/>
                <w:i w:val="0"/>
                <w:iCs w:val="0"/>
                <w:sz w:val="24"/>
                <w:szCs w:val="24"/>
                <w:u w:val="single" w:color="auto"/>
                <w:lang w:val="en-US" w:eastAsia="zh-CN"/>
              </w:rPr>
              <w:t>2-2</w:t>
            </w:r>
            <w:r>
              <w:rPr>
                <w:b/>
                <w:i w:val="0"/>
                <w:iCs w:val="0"/>
                <w:sz w:val="24"/>
                <w:szCs w:val="24"/>
                <w:u w:val="single" w:color="auto"/>
              </w:rPr>
              <w:t xml:space="preserve"> </w:t>
            </w:r>
            <w:r>
              <w:rPr>
                <w:rFonts w:hint="eastAsia"/>
                <w:b/>
                <w:i w:val="0"/>
                <w:iCs w:val="0"/>
                <w:sz w:val="24"/>
                <w:szCs w:val="24"/>
                <w:u w:val="single" w:color="auto"/>
                <w:lang w:val="en-US" w:eastAsia="zh-CN"/>
              </w:rPr>
              <w:t xml:space="preserve">  </w:t>
            </w:r>
            <w:r>
              <w:rPr>
                <w:b/>
                <w:i w:val="0"/>
                <w:iCs w:val="0"/>
                <w:sz w:val="24"/>
                <w:szCs w:val="24"/>
                <w:u w:val="single" w:color="auto"/>
              </w:rPr>
              <w:t>本项目</w:t>
            </w:r>
            <w:r>
              <w:rPr>
                <w:rFonts w:hint="eastAsia"/>
                <w:b/>
                <w:i w:val="0"/>
                <w:iCs w:val="0"/>
                <w:sz w:val="24"/>
                <w:szCs w:val="24"/>
                <w:u w:val="single" w:color="auto"/>
              </w:rPr>
              <w:t>产品方案</w:t>
            </w:r>
            <w:r>
              <w:rPr>
                <w:b/>
                <w:i w:val="0"/>
                <w:iCs w:val="0"/>
                <w:sz w:val="24"/>
                <w:szCs w:val="24"/>
                <w:u w:val="single" w:color="auto"/>
              </w:rPr>
              <w:t>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13"/>
              <w:gridCol w:w="1266"/>
              <w:gridCol w:w="710"/>
              <w:gridCol w:w="899"/>
              <w:gridCol w:w="4519"/>
            </w:tblGrid>
            <w:tr w14:paraId="77BD74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383" w:type="pct"/>
                  <w:noWrap w:val="0"/>
                  <w:vAlign w:val="center"/>
                </w:tcPr>
                <w:p w14:paraId="10DC031F">
                  <w:pPr>
                    <w:widowControl/>
                    <w:jc w:val="center"/>
                    <w:rPr>
                      <w:bCs/>
                      <w:i w:val="0"/>
                      <w:iCs w:val="0"/>
                      <w:kern w:val="0"/>
                      <w:szCs w:val="21"/>
                      <w:u w:val="single" w:color="auto"/>
                    </w:rPr>
                  </w:pPr>
                  <w:r>
                    <w:rPr>
                      <w:bCs/>
                      <w:i w:val="0"/>
                      <w:iCs w:val="0"/>
                      <w:kern w:val="0"/>
                      <w:szCs w:val="21"/>
                      <w:u w:val="single" w:color="auto"/>
                    </w:rPr>
                    <w:t>序</w:t>
                  </w:r>
                  <w:r>
                    <w:rPr>
                      <w:rFonts w:hint="eastAsia"/>
                      <w:bCs/>
                      <w:i w:val="0"/>
                      <w:iCs w:val="0"/>
                      <w:kern w:val="0"/>
                      <w:szCs w:val="21"/>
                      <w:u w:val="single" w:color="auto"/>
                    </w:rPr>
                    <w:t>号</w:t>
                  </w:r>
                </w:p>
              </w:tc>
              <w:tc>
                <w:tcPr>
                  <w:tcW w:w="790" w:type="pct"/>
                  <w:noWrap w:val="0"/>
                  <w:vAlign w:val="center"/>
                </w:tcPr>
                <w:p w14:paraId="244EF4E6">
                  <w:pPr>
                    <w:widowControl/>
                    <w:jc w:val="center"/>
                    <w:rPr>
                      <w:bCs/>
                      <w:i w:val="0"/>
                      <w:iCs w:val="0"/>
                      <w:kern w:val="0"/>
                      <w:szCs w:val="21"/>
                      <w:u w:val="single" w:color="auto"/>
                    </w:rPr>
                  </w:pPr>
                  <w:r>
                    <w:rPr>
                      <w:rFonts w:hint="eastAsia"/>
                      <w:bCs/>
                      <w:i w:val="0"/>
                      <w:iCs w:val="0"/>
                      <w:kern w:val="0"/>
                      <w:szCs w:val="21"/>
                      <w:u w:val="single" w:color="auto"/>
                    </w:rPr>
                    <w:t>产品</w:t>
                  </w:r>
                  <w:r>
                    <w:rPr>
                      <w:bCs/>
                      <w:i w:val="0"/>
                      <w:iCs w:val="0"/>
                      <w:kern w:val="0"/>
                      <w:szCs w:val="21"/>
                      <w:u w:val="single" w:color="auto"/>
                    </w:rPr>
                    <w:t>名称</w:t>
                  </w:r>
                </w:p>
              </w:tc>
              <w:tc>
                <w:tcPr>
                  <w:tcW w:w="443" w:type="pct"/>
                  <w:noWrap w:val="0"/>
                  <w:vAlign w:val="center"/>
                </w:tcPr>
                <w:p w14:paraId="2B9CD0EF">
                  <w:pPr>
                    <w:widowControl/>
                    <w:jc w:val="center"/>
                    <w:rPr>
                      <w:bCs/>
                      <w:i w:val="0"/>
                      <w:iCs w:val="0"/>
                      <w:kern w:val="0"/>
                      <w:szCs w:val="21"/>
                      <w:u w:val="single" w:color="auto"/>
                    </w:rPr>
                  </w:pPr>
                  <w:r>
                    <w:rPr>
                      <w:bCs/>
                      <w:i w:val="0"/>
                      <w:iCs w:val="0"/>
                      <w:kern w:val="0"/>
                      <w:szCs w:val="21"/>
                      <w:u w:val="single" w:color="auto"/>
                    </w:rPr>
                    <w:t>单位</w:t>
                  </w:r>
                </w:p>
              </w:tc>
              <w:tc>
                <w:tcPr>
                  <w:tcW w:w="561" w:type="pct"/>
                  <w:noWrap w:val="0"/>
                  <w:vAlign w:val="center"/>
                </w:tcPr>
                <w:p w14:paraId="7A6CA390">
                  <w:pPr>
                    <w:widowControl/>
                    <w:jc w:val="center"/>
                    <w:rPr>
                      <w:bCs/>
                      <w:i w:val="0"/>
                      <w:iCs w:val="0"/>
                      <w:kern w:val="0"/>
                      <w:szCs w:val="21"/>
                      <w:u w:val="single" w:color="auto"/>
                    </w:rPr>
                  </w:pPr>
                  <w:r>
                    <w:rPr>
                      <w:rFonts w:hint="eastAsia"/>
                      <w:bCs/>
                      <w:i w:val="0"/>
                      <w:iCs w:val="0"/>
                      <w:kern w:val="0"/>
                      <w:szCs w:val="21"/>
                      <w:u w:val="single" w:color="auto"/>
                    </w:rPr>
                    <w:t>数</w:t>
                  </w:r>
                  <w:r>
                    <w:rPr>
                      <w:bCs/>
                      <w:i w:val="0"/>
                      <w:iCs w:val="0"/>
                      <w:kern w:val="0"/>
                      <w:szCs w:val="21"/>
                      <w:u w:val="single" w:color="auto"/>
                    </w:rPr>
                    <w:t>量</w:t>
                  </w:r>
                </w:p>
              </w:tc>
              <w:tc>
                <w:tcPr>
                  <w:tcW w:w="2821" w:type="pct"/>
                  <w:noWrap w:val="0"/>
                  <w:vAlign w:val="center"/>
                </w:tcPr>
                <w:p w14:paraId="1AECAF46">
                  <w:pPr>
                    <w:widowControl/>
                    <w:jc w:val="center"/>
                    <w:rPr>
                      <w:rFonts w:hint="eastAsia" w:eastAsia="宋体"/>
                      <w:bCs/>
                      <w:i w:val="0"/>
                      <w:iCs w:val="0"/>
                      <w:kern w:val="0"/>
                      <w:szCs w:val="21"/>
                      <w:u w:val="single" w:color="auto"/>
                      <w:lang w:eastAsia="zh-CN"/>
                    </w:rPr>
                  </w:pPr>
                  <w:r>
                    <w:rPr>
                      <w:rFonts w:hint="eastAsia"/>
                      <w:bCs/>
                      <w:i w:val="0"/>
                      <w:iCs w:val="0"/>
                      <w:kern w:val="0"/>
                      <w:szCs w:val="21"/>
                      <w:u w:val="single" w:color="auto"/>
                      <w:lang w:val="en-US" w:eastAsia="zh-CN"/>
                    </w:rPr>
                    <w:t>备注</w:t>
                  </w:r>
                </w:p>
              </w:tc>
            </w:tr>
            <w:tr w14:paraId="5426C8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1" w:hRule="atLeast"/>
                <w:jc w:val="center"/>
              </w:trPr>
              <w:tc>
                <w:tcPr>
                  <w:tcW w:w="383" w:type="pct"/>
                  <w:noWrap w:val="0"/>
                  <w:vAlign w:val="center"/>
                </w:tcPr>
                <w:p w14:paraId="5386B343">
                  <w:pPr>
                    <w:widowControl/>
                    <w:jc w:val="center"/>
                    <w:rPr>
                      <w:i w:val="0"/>
                      <w:iCs w:val="0"/>
                      <w:color w:val="000000"/>
                      <w:kern w:val="0"/>
                      <w:szCs w:val="21"/>
                      <w:highlight w:val="none"/>
                      <w:u w:val="single" w:color="auto"/>
                    </w:rPr>
                  </w:pPr>
                  <w:r>
                    <w:rPr>
                      <w:i w:val="0"/>
                      <w:iCs w:val="0"/>
                      <w:color w:val="000000"/>
                      <w:kern w:val="0"/>
                      <w:szCs w:val="21"/>
                      <w:highlight w:val="none"/>
                      <w:u w:val="single" w:color="auto"/>
                    </w:rPr>
                    <w:t>1</w:t>
                  </w:r>
                </w:p>
              </w:tc>
              <w:tc>
                <w:tcPr>
                  <w:tcW w:w="790" w:type="pct"/>
                  <w:noWrap w:val="0"/>
                  <w:vAlign w:val="center"/>
                </w:tcPr>
                <w:p w14:paraId="630BA208">
                  <w:pPr>
                    <w:widowControl/>
                    <w:jc w:val="center"/>
                    <w:rPr>
                      <w:i w:val="0"/>
                      <w:iCs w:val="0"/>
                      <w:color w:val="000000"/>
                      <w:kern w:val="0"/>
                      <w:szCs w:val="21"/>
                      <w:highlight w:val="none"/>
                      <w:u w:val="single" w:color="auto"/>
                    </w:rPr>
                  </w:pPr>
                  <w:r>
                    <w:rPr>
                      <w:rFonts w:hint="eastAsia"/>
                      <w:i w:val="0"/>
                      <w:iCs w:val="0"/>
                      <w:color w:val="000000"/>
                      <w:kern w:val="0"/>
                      <w:szCs w:val="21"/>
                      <w:highlight w:val="none"/>
                      <w:u w:val="single" w:color="auto"/>
                      <w:lang w:eastAsia="zh-CN"/>
                    </w:rPr>
                    <w:t>商品</w:t>
                  </w:r>
                  <w:r>
                    <w:rPr>
                      <w:rFonts w:hint="eastAsia"/>
                      <w:i w:val="0"/>
                      <w:iCs w:val="0"/>
                      <w:color w:val="000000"/>
                      <w:kern w:val="0"/>
                      <w:szCs w:val="21"/>
                      <w:highlight w:val="none"/>
                      <w:u w:val="single" w:color="auto"/>
                    </w:rPr>
                    <w:t>混凝土</w:t>
                  </w:r>
                </w:p>
              </w:tc>
              <w:tc>
                <w:tcPr>
                  <w:tcW w:w="443" w:type="pct"/>
                  <w:noWrap w:val="0"/>
                  <w:vAlign w:val="center"/>
                </w:tcPr>
                <w:p w14:paraId="2DFF6E35">
                  <w:pPr>
                    <w:widowControl/>
                    <w:jc w:val="center"/>
                    <w:rPr>
                      <w:rFonts w:hint="default" w:eastAsia="宋体"/>
                      <w:i w:val="0"/>
                      <w:iCs w:val="0"/>
                      <w:color w:val="000000"/>
                      <w:kern w:val="0"/>
                      <w:szCs w:val="21"/>
                      <w:highlight w:val="none"/>
                      <w:u w:val="single" w:color="auto"/>
                      <w:lang w:val="en-US" w:eastAsia="zh-CN"/>
                    </w:rPr>
                  </w:pPr>
                  <w:r>
                    <w:rPr>
                      <w:rFonts w:hint="eastAsia"/>
                      <w:i w:val="0"/>
                      <w:iCs w:val="0"/>
                      <w:color w:val="000000"/>
                      <w:kern w:val="0"/>
                      <w:szCs w:val="21"/>
                      <w:highlight w:val="none"/>
                      <w:u w:val="single" w:color="auto"/>
                      <w:lang w:val="en-US" w:eastAsia="zh-CN"/>
                    </w:rPr>
                    <w:t>m</w:t>
                  </w:r>
                  <w:r>
                    <w:rPr>
                      <w:rFonts w:hint="eastAsia"/>
                      <w:i w:val="0"/>
                      <w:iCs w:val="0"/>
                      <w:color w:val="000000"/>
                      <w:kern w:val="0"/>
                      <w:szCs w:val="21"/>
                      <w:highlight w:val="none"/>
                      <w:u w:val="single" w:color="auto"/>
                      <w:vertAlign w:val="superscript"/>
                      <w:lang w:val="en-US" w:eastAsia="zh-CN"/>
                    </w:rPr>
                    <w:t>3</w:t>
                  </w:r>
                  <w:r>
                    <w:rPr>
                      <w:rFonts w:hint="eastAsia"/>
                      <w:i w:val="0"/>
                      <w:iCs w:val="0"/>
                      <w:color w:val="000000"/>
                      <w:kern w:val="0"/>
                      <w:szCs w:val="21"/>
                      <w:highlight w:val="none"/>
                      <w:u w:val="single" w:color="auto"/>
                      <w:lang w:val="en-US" w:eastAsia="zh-CN"/>
                    </w:rPr>
                    <w:t>/a</w:t>
                  </w:r>
                </w:p>
              </w:tc>
              <w:tc>
                <w:tcPr>
                  <w:tcW w:w="561" w:type="pct"/>
                  <w:noWrap w:val="0"/>
                  <w:vAlign w:val="center"/>
                </w:tcPr>
                <w:p w14:paraId="7B3FE6EE">
                  <w:pPr>
                    <w:widowControl/>
                    <w:jc w:val="center"/>
                    <w:rPr>
                      <w:i w:val="0"/>
                      <w:iCs w:val="0"/>
                      <w:color w:val="000000"/>
                      <w:kern w:val="0"/>
                      <w:szCs w:val="21"/>
                      <w:highlight w:val="none"/>
                      <w:u w:val="single" w:color="auto"/>
                    </w:rPr>
                  </w:pPr>
                  <w:r>
                    <w:rPr>
                      <w:rFonts w:hint="eastAsia"/>
                      <w:i w:val="0"/>
                      <w:iCs w:val="0"/>
                      <w:color w:val="000000"/>
                      <w:kern w:val="0"/>
                      <w:szCs w:val="21"/>
                      <w:highlight w:val="none"/>
                      <w:u w:val="single" w:color="auto"/>
                      <w:lang w:val="en-US" w:eastAsia="zh-CN"/>
                    </w:rPr>
                    <w:t>6</w:t>
                  </w:r>
                  <w:r>
                    <w:rPr>
                      <w:rFonts w:hint="eastAsia"/>
                      <w:i w:val="0"/>
                      <w:iCs w:val="0"/>
                      <w:color w:val="000000"/>
                      <w:kern w:val="0"/>
                      <w:szCs w:val="21"/>
                      <w:highlight w:val="none"/>
                      <w:u w:val="single" w:color="auto"/>
                    </w:rPr>
                    <w:t>万</w:t>
                  </w:r>
                </w:p>
              </w:tc>
              <w:tc>
                <w:tcPr>
                  <w:tcW w:w="2821" w:type="pct"/>
                  <w:noWrap w:val="0"/>
                  <w:vAlign w:val="center"/>
                </w:tcPr>
                <w:p w14:paraId="55CD718D">
                  <w:pPr>
                    <w:widowControl/>
                    <w:jc w:val="both"/>
                    <w:rPr>
                      <w:rFonts w:hint="default"/>
                      <w:i w:val="0"/>
                      <w:iCs w:val="0"/>
                      <w:color w:val="000000"/>
                      <w:kern w:val="0"/>
                      <w:szCs w:val="21"/>
                      <w:highlight w:val="none"/>
                      <w:u w:val="single" w:color="auto"/>
                      <w:lang w:val="en-US" w:eastAsia="zh-CN"/>
                    </w:rPr>
                  </w:pPr>
                  <w:r>
                    <w:rPr>
                      <w:rFonts w:hint="eastAsia"/>
                      <w:i w:val="0"/>
                      <w:iCs w:val="0"/>
                      <w:color w:val="000000" w:themeColor="text1"/>
                      <w:kern w:val="0"/>
                      <w:szCs w:val="21"/>
                      <w:highlight w:val="none"/>
                      <w:u w:val="single" w:color="auto"/>
                      <w:lang w:val="en-US" w:eastAsia="zh-CN"/>
                      <w14:textFill>
                        <w14:solidFill>
                          <w14:schemeClr w14:val="tx1"/>
                        </w14:solidFill>
                      </w14:textFill>
                    </w:rPr>
                    <w:t>强度等级：C15、C20、C25、C30、C35、C40；坍落度：180±30mm；扩展度：500mm；含气量：≤5%。</w:t>
                  </w:r>
                </w:p>
              </w:tc>
            </w:tr>
          </w:tbl>
          <w:p w14:paraId="04DE9E4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rPr>
                <w:rFonts w:hint="eastAsia"/>
                <w:b/>
                <w:bCs/>
                <w:sz w:val="24"/>
                <w:szCs w:val="24"/>
              </w:rPr>
            </w:pPr>
            <w:r>
              <w:rPr>
                <w:rFonts w:hint="eastAsia"/>
                <w:b/>
                <w:bCs/>
                <w:sz w:val="24"/>
                <w:szCs w:val="24"/>
                <w:lang w:val="en-US" w:eastAsia="zh-CN"/>
              </w:rPr>
              <w:t>4</w:t>
            </w:r>
            <w:r>
              <w:rPr>
                <w:rFonts w:hint="eastAsia"/>
                <w:b/>
                <w:bCs/>
                <w:sz w:val="24"/>
                <w:szCs w:val="24"/>
              </w:rPr>
              <w:t>、主要构筑物</w:t>
            </w:r>
          </w:p>
          <w:p w14:paraId="2AE503CB">
            <w:pPr>
              <w:pStyle w:val="16"/>
              <w:tabs>
                <w:tab w:val="right" w:leader="dot" w:pos="9060"/>
              </w:tabs>
              <w:adjustRightInd w:val="0"/>
              <w:spacing w:line="360" w:lineRule="auto"/>
              <w:ind w:left="0" w:firstLine="480" w:firstLineChars="200"/>
              <w:rPr>
                <w:rFonts w:hint="eastAsia" w:eastAsia="宋体"/>
                <w:sz w:val="24"/>
                <w:szCs w:val="24"/>
                <w:lang w:eastAsia="zh-CN"/>
              </w:rPr>
            </w:pPr>
            <w:r>
              <w:rPr>
                <w:rFonts w:hint="eastAsia"/>
                <w:sz w:val="24"/>
                <w:szCs w:val="24"/>
              </w:rPr>
              <w:t>本项目厂区</w:t>
            </w:r>
            <w:r>
              <w:rPr>
                <w:sz w:val="24"/>
                <w:szCs w:val="24"/>
              </w:rPr>
              <w:t>主要</w:t>
            </w:r>
            <w:r>
              <w:rPr>
                <w:rFonts w:hint="eastAsia"/>
                <w:sz w:val="24"/>
                <w:szCs w:val="24"/>
                <w:lang w:eastAsia="zh-CN"/>
              </w:rPr>
              <w:t>建</w:t>
            </w:r>
            <w:r>
              <w:rPr>
                <w:sz w:val="24"/>
                <w:szCs w:val="24"/>
              </w:rPr>
              <w:t>构筑物</w:t>
            </w:r>
            <w:r>
              <w:rPr>
                <w:rFonts w:hint="eastAsia"/>
                <w:sz w:val="24"/>
                <w:szCs w:val="24"/>
              </w:rPr>
              <w:t>详见下表</w:t>
            </w:r>
            <w:r>
              <w:rPr>
                <w:sz w:val="24"/>
                <w:szCs w:val="24"/>
              </w:rPr>
              <w:t>。</w:t>
            </w:r>
          </w:p>
          <w:p w14:paraId="33683A71">
            <w:pPr>
              <w:ind w:firstLine="482"/>
              <w:jc w:val="center"/>
              <w:rPr>
                <w:b/>
                <w:bCs/>
                <w:u w:val="none"/>
              </w:rPr>
            </w:pPr>
            <w:r>
              <w:rPr>
                <w:b/>
                <w:bCs/>
                <w:sz w:val="24"/>
                <w:szCs w:val="24"/>
                <w:u w:val="none"/>
                <w:lang w:val="en-GB"/>
              </w:rPr>
              <w:t>表</w:t>
            </w:r>
            <w:r>
              <w:rPr>
                <w:rFonts w:hint="eastAsia"/>
                <w:b/>
                <w:bCs/>
                <w:sz w:val="24"/>
                <w:szCs w:val="24"/>
                <w:u w:val="none"/>
                <w:lang w:val="en-US" w:eastAsia="zh-CN"/>
              </w:rPr>
              <w:t>2-3</w:t>
            </w:r>
            <w:r>
              <w:rPr>
                <w:b/>
                <w:bCs/>
                <w:sz w:val="24"/>
                <w:szCs w:val="24"/>
                <w:u w:val="none"/>
                <w:lang w:val="en-GB"/>
              </w:rPr>
              <w:t xml:space="preserve">  主要</w:t>
            </w:r>
            <w:r>
              <w:rPr>
                <w:rFonts w:hint="eastAsia"/>
                <w:b/>
                <w:bCs/>
                <w:sz w:val="24"/>
                <w:szCs w:val="24"/>
                <w:u w:val="none"/>
                <w:lang w:val="en-GB" w:eastAsia="zh-CN"/>
              </w:rPr>
              <w:t>建</w:t>
            </w:r>
            <w:r>
              <w:rPr>
                <w:b/>
                <w:bCs/>
                <w:sz w:val="24"/>
                <w:szCs w:val="24"/>
                <w:u w:val="none"/>
                <w:lang w:val="en-GB"/>
              </w:rPr>
              <w:t>构筑物一览表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90"/>
              <w:gridCol w:w="1745"/>
              <w:gridCol w:w="1069"/>
              <w:gridCol w:w="1113"/>
              <w:gridCol w:w="668"/>
              <w:gridCol w:w="2824"/>
            </w:tblGrid>
            <w:tr w14:paraId="32735C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368" w:type="pct"/>
                  <w:noWrap w:val="0"/>
                  <w:vAlign w:val="center"/>
                </w:tcPr>
                <w:p w14:paraId="2124D3CB">
                  <w:pPr>
                    <w:snapToGrid w:val="0"/>
                    <w:jc w:val="center"/>
                    <w:rPr>
                      <w:b w:val="0"/>
                      <w:bCs w:val="0"/>
                      <w:i w:val="0"/>
                      <w:iCs w:val="0"/>
                      <w:u w:val="single"/>
                    </w:rPr>
                  </w:pPr>
                  <w:bookmarkStart w:id="5" w:name="_Toc477845878"/>
                  <w:bookmarkStart w:id="6" w:name="_Toc477696676"/>
                  <w:r>
                    <w:rPr>
                      <w:b w:val="0"/>
                      <w:bCs w:val="0"/>
                      <w:i w:val="0"/>
                      <w:iCs w:val="0"/>
                      <w:u w:val="single"/>
                    </w:rPr>
                    <w:t>序号</w:t>
                  </w:r>
                  <w:bookmarkEnd w:id="5"/>
                  <w:bookmarkEnd w:id="6"/>
                </w:p>
              </w:tc>
              <w:tc>
                <w:tcPr>
                  <w:tcW w:w="1089" w:type="pct"/>
                  <w:noWrap w:val="0"/>
                  <w:vAlign w:val="center"/>
                </w:tcPr>
                <w:p w14:paraId="21A7F9E2">
                  <w:pPr>
                    <w:snapToGrid w:val="0"/>
                    <w:jc w:val="center"/>
                    <w:rPr>
                      <w:b w:val="0"/>
                      <w:bCs w:val="0"/>
                      <w:i w:val="0"/>
                      <w:iCs w:val="0"/>
                      <w:u w:val="single"/>
                    </w:rPr>
                  </w:pPr>
                  <w:r>
                    <w:rPr>
                      <w:rFonts w:hint="eastAsia"/>
                      <w:b w:val="0"/>
                      <w:bCs w:val="0"/>
                      <w:i w:val="0"/>
                      <w:iCs w:val="0"/>
                      <w:u w:val="single"/>
                    </w:rPr>
                    <w:t>构筑物名称</w:t>
                  </w:r>
                </w:p>
              </w:tc>
              <w:tc>
                <w:tcPr>
                  <w:tcW w:w="667" w:type="pct"/>
                  <w:noWrap w:val="0"/>
                  <w:vAlign w:val="center"/>
                </w:tcPr>
                <w:p w14:paraId="2B0D16E9">
                  <w:pPr>
                    <w:snapToGrid w:val="0"/>
                    <w:jc w:val="center"/>
                    <w:rPr>
                      <w:b w:val="0"/>
                      <w:bCs w:val="0"/>
                      <w:i w:val="0"/>
                      <w:iCs w:val="0"/>
                      <w:u w:val="single"/>
                    </w:rPr>
                  </w:pPr>
                  <w:bookmarkStart w:id="7" w:name="_Toc477696679"/>
                  <w:bookmarkStart w:id="8" w:name="_Toc477845881"/>
                  <w:r>
                    <w:rPr>
                      <w:rFonts w:hint="eastAsia"/>
                      <w:b w:val="0"/>
                      <w:bCs w:val="0"/>
                      <w:i w:val="0"/>
                      <w:iCs w:val="0"/>
                      <w:u w:val="single"/>
                      <w:lang w:val="en-US" w:eastAsia="zh-CN"/>
                    </w:rPr>
                    <w:t>占地</w:t>
                  </w:r>
                  <w:r>
                    <w:rPr>
                      <w:b w:val="0"/>
                      <w:bCs w:val="0"/>
                      <w:i w:val="0"/>
                      <w:iCs w:val="0"/>
                      <w:u w:val="single"/>
                    </w:rPr>
                    <w:t>面积（m</w:t>
                  </w:r>
                  <w:r>
                    <w:rPr>
                      <w:b w:val="0"/>
                      <w:bCs w:val="0"/>
                      <w:i w:val="0"/>
                      <w:iCs w:val="0"/>
                      <w:u w:val="single"/>
                      <w:vertAlign w:val="superscript"/>
                    </w:rPr>
                    <w:t>2</w:t>
                  </w:r>
                  <w:r>
                    <w:rPr>
                      <w:b w:val="0"/>
                      <w:bCs w:val="0"/>
                      <w:i w:val="0"/>
                      <w:iCs w:val="0"/>
                      <w:u w:val="single"/>
                    </w:rPr>
                    <w:t>）</w:t>
                  </w:r>
                  <w:bookmarkEnd w:id="7"/>
                  <w:bookmarkEnd w:id="8"/>
                </w:p>
              </w:tc>
              <w:tc>
                <w:tcPr>
                  <w:tcW w:w="694" w:type="pct"/>
                  <w:noWrap w:val="0"/>
                  <w:vAlign w:val="center"/>
                </w:tcPr>
                <w:p w14:paraId="39B05D90">
                  <w:pPr>
                    <w:snapToGrid w:val="0"/>
                    <w:jc w:val="center"/>
                    <w:rPr>
                      <w:rFonts w:hint="eastAsia" w:eastAsia="宋体"/>
                      <w:b w:val="0"/>
                      <w:bCs w:val="0"/>
                      <w:i w:val="0"/>
                      <w:iCs w:val="0"/>
                      <w:u w:val="single"/>
                      <w:lang w:eastAsia="zh-CN"/>
                    </w:rPr>
                  </w:pPr>
                  <w:r>
                    <w:rPr>
                      <w:rFonts w:hint="eastAsia"/>
                      <w:b w:val="0"/>
                      <w:bCs w:val="0"/>
                      <w:i w:val="0"/>
                      <w:iCs w:val="0"/>
                      <w:u w:val="single"/>
                      <w:lang w:eastAsia="zh-CN"/>
                    </w:rPr>
                    <w:t>建筑面积</w:t>
                  </w:r>
                  <w:r>
                    <w:rPr>
                      <w:b w:val="0"/>
                      <w:bCs w:val="0"/>
                      <w:i w:val="0"/>
                      <w:iCs w:val="0"/>
                      <w:u w:val="single"/>
                    </w:rPr>
                    <w:t>（m</w:t>
                  </w:r>
                  <w:r>
                    <w:rPr>
                      <w:b w:val="0"/>
                      <w:bCs w:val="0"/>
                      <w:i w:val="0"/>
                      <w:iCs w:val="0"/>
                      <w:u w:val="single"/>
                      <w:vertAlign w:val="superscript"/>
                    </w:rPr>
                    <w:t>2</w:t>
                  </w:r>
                  <w:r>
                    <w:rPr>
                      <w:b w:val="0"/>
                      <w:bCs w:val="0"/>
                      <w:i w:val="0"/>
                      <w:iCs w:val="0"/>
                      <w:u w:val="single"/>
                    </w:rPr>
                    <w:t>）</w:t>
                  </w:r>
                </w:p>
              </w:tc>
              <w:tc>
                <w:tcPr>
                  <w:tcW w:w="417" w:type="pct"/>
                  <w:noWrap w:val="0"/>
                  <w:vAlign w:val="center"/>
                </w:tcPr>
                <w:p w14:paraId="4AF22F20">
                  <w:pPr>
                    <w:snapToGrid w:val="0"/>
                    <w:jc w:val="center"/>
                    <w:rPr>
                      <w:rFonts w:hint="eastAsia"/>
                      <w:b w:val="0"/>
                      <w:bCs w:val="0"/>
                      <w:i w:val="0"/>
                      <w:iCs w:val="0"/>
                      <w:u w:val="single"/>
                      <w:lang w:eastAsia="zh-CN"/>
                    </w:rPr>
                  </w:pPr>
                  <w:r>
                    <w:rPr>
                      <w:rFonts w:hint="eastAsia"/>
                      <w:b w:val="0"/>
                      <w:bCs w:val="0"/>
                      <w:i w:val="0"/>
                      <w:iCs w:val="0"/>
                      <w:u w:val="single"/>
                      <w:lang w:eastAsia="zh-CN"/>
                    </w:rPr>
                    <w:t>层数</w:t>
                  </w:r>
                </w:p>
              </w:tc>
              <w:tc>
                <w:tcPr>
                  <w:tcW w:w="1763" w:type="pct"/>
                  <w:noWrap w:val="0"/>
                  <w:vAlign w:val="center"/>
                </w:tcPr>
                <w:p w14:paraId="1EEC92F8">
                  <w:pPr>
                    <w:snapToGrid w:val="0"/>
                    <w:jc w:val="center"/>
                    <w:rPr>
                      <w:rFonts w:hint="eastAsia"/>
                      <w:b w:val="0"/>
                      <w:bCs w:val="0"/>
                      <w:i w:val="0"/>
                      <w:iCs w:val="0"/>
                      <w:u w:val="single"/>
                    </w:rPr>
                  </w:pPr>
                  <w:r>
                    <w:rPr>
                      <w:rFonts w:hint="eastAsia"/>
                      <w:b w:val="0"/>
                      <w:bCs w:val="0"/>
                      <w:i w:val="0"/>
                      <w:iCs w:val="0"/>
                      <w:u w:val="single"/>
                    </w:rPr>
                    <w:t>备注</w:t>
                  </w:r>
                </w:p>
              </w:tc>
            </w:tr>
            <w:tr w14:paraId="197AD9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368" w:type="pct"/>
                  <w:noWrap w:val="0"/>
                  <w:vAlign w:val="center"/>
                </w:tcPr>
                <w:p w14:paraId="26BBF114">
                  <w:pPr>
                    <w:snapToGrid w:val="0"/>
                    <w:jc w:val="center"/>
                    <w:rPr>
                      <w:i w:val="0"/>
                      <w:iCs w:val="0"/>
                      <w:u w:val="single"/>
                    </w:rPr>
                  </w:pPr>
                  <w:bookmarkStart w:id="9" w:name="_Toc477696681"/>
                  <w:bookmarkStart w:id="10" w:name="_Toc477845883"/>
                  <w:r>
                    <w:rPr>
                      <w:i w:val="0"/>
                      <w:iCs w:val="0"/>
                      <w:u w:val="single"/>
                    </w:rPr>
                    <w:t>1</w:t>
                  </w:r>
                  <w:bookmarkEnd w:id="9"/>
                  <w:bookmarkEnd w:id="10"/>
                </w:p>
              </w:tc>
              <w:tc>
                <w:tcPr>
                  <w:tcW w:w="1089" w:type="pct"/>
                  <w:noWrap w:val="0"/>
                  <w:vAlign w:val="center"/>
                </w:tcPr>
                <w:p w14:paraId="149830B8">
                  <w:pPr>
                    <w:snapToGrid w:val="0"/>
                    <w:jc w:val="center"/>
                    <w:rPr>
                      <w:rFonts w:hint="eastAsia"/>
                      <w:i w:val="0"/>
                      <w:iCs w:val="0"/>
                      <w:u w:val="single"/>
                    </w:rPr>
                  </w:pPr>
                  <w:r>
                    <w:rPr>
                      <w:rFonts w:hint="eastAsia"/>
                      <w:i w:val="0"/>
                      <w:iCs w:val="0"/>
                      <w:u w:val="single"/>
                      <w:lang w:eastAsia="zh-CN"/>
                    </w:rPr>
                    <w:t>搅拌</w:t>
                  </w:r>
                  <w:r>
                    <w:rPr>
                      <w:rFonts w:hint="eastAsia"/>
                      <w:i w:val="0"/>
                      <w:iCs w:val="0"/>
                      <w:u w:val="single"/>
                    </w:rPr>
                    <w:t>站作业区</w:t>
                  </w:r>
                </w:p>
              </w:tc>
              <w:tc>
                <w:tcPr>
                  <w:tcW w:w="667" w:type="pct"/>
                  <w:noWrap w:val="0"/>
                  <w:vAlign w:val="center"/>
                </w:tcPr>
                <w:p w14:paraId="30ED3EB6">
                  <w:pPr>
                    <w:snapToGrid w:val="0"/>
                    <w:jc w:val="center"/>
                    <w:rPr>
                      <w:rFonts w:hint="default" w:eastAsia="宋体"/>
                      <w:i w:val="0"/>
                      <w:iCs w:val="0"/>
                      <w:u w:val="single"/>
                      <w:lang w:val="en-US" w:eastAsia="zh-CN"/>
                    </w:rPr>
                  </w:pPr>
                  <w:r>
                    <w:rPr>
                      <w:rFonts w:hint="eastAsia"/>
                      <w:i w:val="0"/>
                      <w:iCs w:val="0"/>
                      <w:u w:val="single"/>
                      <w:lang w:val="en-US" w:eastAsia="zh-CN"/>
                    </w:rPr>
                    <w:t>1200</w:t>
                  </w:r>
                </w:p>
              </w:tc>
              <w:tc>
                <w:tcPr>
                  <w:tcW w:w="694" w:type="pct"/>
                  <w:noWrap w:val="0"/>
                  <w:vAlign w:val="center"/>
                </w:tcPr>
                <w:p w14:paraId="3A448C0B">
                  <w:pPr>
                    <w:adjustRightInd w:val="0"/>
                    <w:jc w:val="center"/>
                    <w:rPr>
                      <w:rFonts w:hint="default" w:eastAsia="宋体"/>
                      <w:i w:val="0"/>
                      <w:iCs w:val="0"/>
                      <w:u w:val="single"/>
                      <w:lang w:val="en-US" w:eastAsia="zh-CN"/>
                    </w:rPr>
                  </w:pPr>
                  <w:r>
                    <w:rPr>
                      <w:rFonts w:hint="eastAsia"/>
                      <w:i w:val="0"/>
                      <w:iCs w:val="0"/>
                      <w:u w:val="single"/>
                      <w:lang w:val="en-US" w:eastAsia="zh-CN"/>
                    </w:rPr>
                    <w:t>-</w:t>
                  </w:r>
                </w:p>
              </w:tc>
              <w:tc>
                <w:tcPr>
                  <w:tcW w:w="417" w:type="pct"/>
                  <w:noWrap w:val="0"/>
                  <w:vAlign w:val="center"/>
                </w:tcPr>
                <w:p w14:paraId="41F7C809">
                  <w:pPr>
                    <w:adjustRightInd w:val="0"/>
                    <w:jc w:val="center"/>
                    <w:rPr>
                      <w:rFonts w:hint="default" w:eastAsia="宋体"/>
                      <w:i w:val="0"/>
                      <w:iCs w:val="0"/>
                      <w:u w:val="single"/>
                      <w:lang w:val="en-US" w:eastAsia="zh-CN"/>
                    </w:rPr>
                  </w:pPr>
                  <w:r>
                    <w:rPr>
                      <w:rFonts w:hint="eastAsia"/>
                      <w:i w:val="0"/>
                      <w:iCs w:val="0"/>
                      <w:u w:val="single"/>
                      <w:lang w:val="en-US" w:eastAsia="zh-CN"/>
                    </w:rPr>
                    <w:t>-</w:t>
                  </w:r>
                </w:p>
              </w:tc>
              <w:tc>
                <w:tcPr>
                  <w:tcW w:w="1763" w:type="pct"/>
                  <w:shd w:val="clear" w:color="auto" w:fill="auto"/>
                  <w:noWrap w:val="0"/>
                  <w:vAlign w:val="center"/>
                </w:tcPr>
                <w:p w14:paraId="45830037">
                  <w:pPr>
                    <w:adjustRightInd w:val="0"/>
                    <w:jc w:val="left"/>
                    <w:rPr>
                      <w:rFonts w:hint="eastAsia" w:ascii="Times New Roman" w:hAnsi="Times New Roman" w:eastAsia="宋体" w:cs="Times New Roman"/>
                      <w:i w:val="0"/>
                      <w:iCs w:val="0"/>
                      <w:kern w:val="2"/>
                      <w:sz w:val="21"/>
                      <w:szCs w:val="24"/>
                      <w:u w:val="single"/>
                      <w:lang w:val="en-US" w:eastAsia="zh-CN" w:bidi="ar-SA"/>
                    </w:rPr>
                  </w:pPr>
                  <w:r>
                    <w:rPr>
                      <w:rFonts w:hint="eastAsia"/>
                      <w:i w:val="0"/>
                      <w:iCs w:val="0"/>
                      <w:u w:val="single"/>
                      <w:lang w:eastAsia="zh-CN"/>
                    </w:rPr>
                    <w:t>新建，</w:t>
                  </w:r>
                  <w:r>
                    <w:rPr>
                      <w:rFonts w:hint="eastAsia"/>
                      <w:i w:val="0"/>
                      <w:iCs w:val="0"/>
                      <w:u w:val="single"/>
                    </w:rPr>
                    <w:t>由</w:t>
                  </w:r>
                  <w:r>
                    <w:rPr>
                      <w:rFonts w:hint="eastAsia"/>
                      <w:i w:val="0"/>
                      <w:iCs w:val="0"/>
                      <w:u w:val="single"/>
                      <w:lang w:eastAsia="zh-CN"/>
                    </w:rPr>
                    <w:t>搅拌</w:t>
                  </w:r>
                  <w:r>
                    <w:rPr>
                      <w:rFonts w:hint="eastAsia"/>
                      <w:i w:val="0"/>
                      <w:iCs w:val="0"/>
                      <w:u w:val="single"/>
                    </w:rPr>
                    <w:t>机、</w:t>
                  </w:r>
                  <w:r>
                    <w:rPr>
                      <w:rFonts w:hint="eastAsia"/>
                      <w:i w:val="0"/>
                      <w:iCs w:val="0"/>
                      <w:u w:val="single"/>
                      <w:lang w:eastAsia="zh-CN"/>
                    </w:rPr>
                    <w:t>搅拌</w:t>
                  </w:r>
                  <w:r>
                    <w:rPr>
                      <w:rFonts w:hint="eastAsia"/>
                      <w:i w:val="0"/>
                      <w:iCs w:val="0"/>
                      <w:u w:val="single"/>
                    </w:rPr>
                    <w:t>机</w:t>
                  </w:r>
                  <w:r>
                    <w:rPr>
                      <w:rFonts w:hint="eastAsia"/>
                      <w:i w:val="0"/>
                      <w:iCs w:val="0"/>
                      <w:u w:val="single"/>
                      <w:lang w:eastAsia="zh-CN"/>
                    </w:rPr>
                    <w:t>控制</w:t>
                  </w:r>
                  <w:r>
                    <w:rPr>
                      <w:rFonts w:hint="eastAsia"/>
                      <w:i w:val="0"/>
                      <w:iCs w:val="0"/>
                      <w:u w:val="single"/>
                    </w:rPr>
                    <w:t>室、</w:t>
                  </w:r>
                  <w:r>
                    <w:rPr>
                      <w:rFonts w:hint="eastAsia"/>
                      <w:i w:val="0"/>
                      <w:iCs w:val="0"/>
                      <w:u w:val="single"/>
                      <w:lang w:eastAsia="zh-CN"/>
                    </w:rPr>
                    <w:t>筒仓、</w:t>
                  </w:r>
                  <w:r>
                    <w:rPr>
                      <w:rFonts w:hint="eastAsia"/>
                      <w:bCs/>
                      <w:iCs/>
                      <w:color w:val="000000" w:themeColor="text1"/>
                      <w:sz w:val="21"/>
                      <w:szCs w:val="21"/>
                      <w:highlight w:val="none"/>
                      <w:u w:val="single"/>
                      <w:lang w:eastAsia="zh-CN"/>
                      <w14:textFill>
                        <w14:solidFill>
                          <w14:schemeClr w14:val="tx1"/>
                        </w14:solidFill>
                      </w14:textFill>
                    </w:rPr>
                    <w:t>电子称量系统、物料输送装置等组成</w:t>
                  </w:r>
                </w:p>
              </w:tc>
            </w:tr>
            <w:tr w14:paraId="1EAF1B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368" w:type="pct"/>
                  <w:noWrap w:val="0"/>
                  <w:vAlign w:val="center"/>
                </w:tcPr>
                <w:p w14:paraId="585A6269">
                  <w:pPr>
                    <w:snapToGrid w:val="0"/>
                    <w:jc w:val="center"/>
                    <w:rPr>
                      <w:rFonts w:hint="eastAsia" w:eastAsia="宋体"/>
                      <w:i w:val="0"/>
                      <w:iCs w:val="0"/>
                      <w:u w:val="single"/>
                      <w:lang w:val="en-US" w:eastAsia="zh-CN"/>
                    </w:rPr>
                  </w:pPr>
                  <w:r>
                    <w:rPr>
                      <w:rFonts w:hint="eastAsia"/>
                      <w:i w:val="0"/>
                      <w:iCs w:val="0"/>
                      <w:u w:val="single"/>
                      <w:lang w:val="en-US" w:eastAsia="zh-CN"/>
                    </w:rPr>
                    <w:t>2</w:t>
                  </w:r>
                </w:p>
              </w:tc>
              <w:tc>
                <w:tcPr>
                  <w:tcW w:w="1089" w:type="pct"/>
                  <w:shd w:val="clear" w:color="auto" w:fill="auto"/>
                  <w:noWrap w:val="0"/>
                  <w:vAlign w:val="center"/>
                </w:tcPr>
                <w:p w14:paraId="4EEBF87C">
                  <w:pPr>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办公综合楼</w:t>
                  </w:r>
                </w:p>
              </w:tc>
              <w:tc>
                <w:tcPr>
                  <w:tcW w:w="667" w:type="pct"/>
                  <w:noWrap w:val="0"/>
                  <w:vAlign w:val="center"/>
                </w:tcPr>
                <w:p w14:paraId="0E502E34">
                  <w:pPr>
                    <w:snapToGrid w:val="0"/>
                    <w:jc w:val="center"/>
                    <w:rPr>
                      <w:rFonts w:hint="default"/>
                      <w:i w:val="0"/>
                      <w:iCs w:val="0"/>
                      <w:u w:val="single"/>
                      <w:lang w:val="en-US" w:eastAsia="zh-CN"/>
                    </w:rPr>
                  </w:pPr>
                  <w:r>
                    <w:rPr>
                      <w:rFonts w:hint="eastAsia"/>
                      <w:i w:val="0"/>
                      <w:iCs w:val="0"/>
                      <w:u w:val="single"/>
                      <w:lang w:val="en-US" w:eastAsia="zh-CN"/>
                    </w:rPr>
                    <w:t>287</w:t>
                  </w:r>
                </w:p>
              </w:tc>
              <w:tc>
                <w:tcPr>
                  <w:tcW w:w="694" w:type="pct"/>
                  <w:noWrap w:val="0"/>
                  <w:vAlign w:val="center"/>
                </w:tcPr>
                <w:p w14:paraId="1AEE93D9">
                  <w:pPr>
                    <w:snapToGrid w:val="0"/>
                    <w:jc w:val="center"/>
                    <w:rPr>
                      <w:rFonts w:hint="default" w:eastAsia="宋体"/>
                      <w:i w:val="0"/>
                      <w:iCs w:val="0"/>
                      <w:u w:val="single"/>
                      <w:lang w:val="en-US" w:eastAsia="zh-CN"/>
                    </w:rPr>
                  </w:pPr>
                  <w:r>
                    <w:rPr>
                      <w:rFonts w:hint="eastAsia"/>
                      <w:i w:val="0"/>
                      <w:iCs w:val="0"/>
                      <w:u w:val="single"/>
                      <w:lang w:val="en-US" w:eastAsia="zh-CN"/>
                    </w:rPr>
                    <w:t>574</w:t>
                  </w:r>
                </w:p>
              </w:tc>
              <w:tc>
                <w:tcPr>
                  <w:tcW w:w="417" w:type="pct"/>
                  <w:noWrap w:val="0"/>
                  <w:vAlign w:val="center"/>
                </w:tcPr>
                <w:p w14:paraId="2900ABD1">
                  <w:pPr>
                    <w:snapToGrid w:val="0"/>
                    <w:jc w:val="center"/>
                    <w:rPr>
                      <w:rFonts w:hint="eastAsia" w:eastAsia="宋体"/>
                      <w:i w:val="0"/>
                      <w:iCs w:val="0"/>
                      <w:u w:val="single"/>
                      <w:lang w:val="en-US" w:eastAsia="zh-CN"/>
                    </w:rPr>
                  </w:pPr>
                  <w:r>
                    <w:rPr>
                      <w:rFonts w:hint="eastAsia"/>
                      <w:i w:val="0"/>
                      <w:iCs w:val="0"/>
                      <w:u w:val="single"/>
                      <w:lang w:val="en-US" w:eastAsia="zh-CN"/>
                    </w:rPr>
                    <w:t>2</w:t>
                  </w:r>
                </w:p>
              </w:tc>
              <w:tc>
                <w:tcPr>
                  <w:tcW w:w="1763" w:type="pct"/>
                  <w:shd w:val="clear" w:color="auto" w:fill="auto"/>
                  <w:noWrap w:val="0"/>
                  <w:vAlign w:val="center"/>
                </w:tcPr>
                <w:p w14:paraId="64176468">
                  <w:pPr>
                    <w:snapToGrid w:val="0"/>
                    <w:jc w:val="left"/>
                    <w:rPr>
                      <w:rFonts w:hint="default" w:ascii="Times New Roman" w:hAnsi="Times New Roman" w:eastAsia="宋体" w:cs="Times New Roman"/>
                      <w:i w:val="0"/>
                      <w:iCs w:val="0"/>
                      <w:kern w:val="2"/>
                      <w:sz w:val="21"/>
                      <w:szCs w:val="24"/>
                      <w:u w:val="single"/>
                      <w:lang w:val="en-US" w:eastAsia="zh-CN" w:bidi="ar-SA"/>
                    </w:rPr>
                  </w:pPr>
                  <w:r>
                    <w:rPr>
                      <w:rFonts w:hint="eastAsia"/>
                      <w:i w:val="0"/>
                      <w:iCs w:val="0"/>
                      <w:u w:val="single"/>
                      <w:lang w:eastAsia="zh-CN"/>
                    </w:rPr>
                    <w:t>利旧，</w:t>
                  </w:r>
                  <w:r>
                    <w:rPr>
                      <w:rFonts w:hint="eastAsia"/>
                      <w:i w:val="0"/>
                      <w:iCs w:val="0"/>
                      <w:u w:val="single"/>
                      <w:lang w:val="en-US" w:eastAsia="zh-CN"/>
                    </w:rPr>
                    <w:t>商混结构</w:t>
                  </w:r>
                </w:p>
              </w:tc>
            </w:tr>
            <w:tr w14:paraId="231555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368" w:type="pct"/>
                  <w:noWrap w:val="0"/>
                  <w:vAlign w:val="center"/>
                </w:tcPr>
                <w:p w14:paraId="5F30F4FF">
                  <w:pPr>
                    <w:snapToGrid w:val="0"/>
                    <w:jc w:val="center"/>
                    <w:rPr>
                      <w:rFonts w:hint="eastAsia" w:eastAsia="宋体"/>
                      <w:i w:val="0"/>
                      <w:iCs w:val="0"/>
                      <w:u w:val="single"/>
                      <w:lang w:val="en-US" w:eastAsia="zh-CN"/>
                    </w:rPr>
                  </w:pPr>
                  <w:r>
                    <w:rPr>
                      <w:rFonts w:hint="eastAsia"/>
                      <w:i w:val="0"/>
                      <w:iCs w:val="0"/>
                      <w:u w:val="single"/>
                      <w:lang w:val="en-US" w:eastAsia="zh-CN"/>
                    </w:rPr>
                    <w:t>3</w:t>
                  </w:r>
                </w:p>
              </w:tc>
              <w:tc>
                <w:tcPr>
                  <w:tcW w:w="1089" w:type="pct"/>
                  <w:noWrap w:val="0"/>
                  <w:vAlign w:val="center"/>
                </w:tcPr>
                <w:p w14:paraId="493B60C0">
                  <w:pPr>
                    <w:snapToGrid w:val="0"/>
                    <w:jc w:val="center"/>
                    <w:rPr>
                      <w:rFonts w:hint="eastAsia" w:eastAsia="宋体"/>
                      <w:i w:val="0"/>
                      <w:iCs w:val="0"/>
                      <w:u w:val="single"/>
                      <w:lang w:eastAsia="zh-CN"/>
                    </w:rPr>
                  </w:pPr>
                  <w:r>
                    <w:rPr>
                      <w:rFonts w:hint="eastAsia"/>
                      <w:i w:val="0"/>
                      <w:iCs w:val="0"/>
                      <w:u w:val="single"/>
                      <w:lang w:eastAsia="zh-CN"/>
                    </w:rPr>
                    <w:t>骨料料库</w:t>
                  </w:r>
                </w:p>
              </w:tc>
              <w:tc>
                <w:tcPr>
                  <w:tcW w:w="667" w:type="pct"/>
                  <w:noWrap w:val="0"/>
                  <w:vAlign w:val="center"/>
                </w:tcPr>
                <w:p w14:paraId="04E9A7A1">
                  <w:pPr>
                    <w:snapToGrid w:val="0"/>
                    <w:jc w:val="center"/>
                    <w:rPr>
                      <w:rFonts w:hint="default" w:eastAsia="宋体"/>
                      <w:i w:val="0"/>
                      <w:iCs w:val="0"/>
                      <w:u w:val="single"/>
                      <w:lang w:val="en-US" w:eastAsia="zh-CN"/>
                    </w:rPr>
                  </w:pPr>
                  <w:r>
                    <w:rPr>
                      <w:rFonts w:hint="eastAsia"/>
                      <w:i w:val="0"/>
                      <w:iCs w:val="0"/>
                      <w:highlight w:val="none"/>
                      <w:u w:val="single"/>
                      <w:lang w:val="en-US" w:eastAsia="zh-CN"/>
                    </w:rPr>
                    <w:t>800</w:t>
                  </w:r>
                </w:p>
              </w:tc>
              <w:tc>
                <w:tcPr>
                  <w:tcW w:w="694" w:type="pct"/>
                  <w:noWrap w:val="0"/>
                  <w:vAlign w:val="center"/>
                </w:tcPr>
                <w:p w14:paraId="7AD97D5E">
                  <w:pPr>
                    <w:snapToGrid w:val="0"/>
                    <w:jc w:val="center"/>
                    <w:rPr>
                      <w:rFonts w:hint="default" w:eastAsia="宋体"/>
                      <w:i w:val="0"/>
                      <w:iCs w:val="0"/>
                      <w:u w:val="single"/>
                      <w:lang w:val="en-US" w:eastAsia="zh-CN"/>
                    </w:rPr>
                  </w:pPr>
                  <w:r>
                    <w:rPr>
                      <w:rFonts w:hint="eastAsia"/>
                      <w:i w:val="0"/>
                      <w:iCs w:val="0"/>
                      <w:highlight w:val="none"/>
                      <w:u w:val="single"/>
                      <w:lang w:val="en-US" w:eastAsia="zh-CN"/>
                    </w:rPr>
                    <w:t>-</w:t>
                  </w:r>
                </w:p>
              </w:tc>
              <w:tc>
                <w:tcPr>
                  <w:tcW w:w="417" w:type="pct"/>
                  <w:noWrap w:val="0"/>
                  <w:vAlign w:val="center"/>
                </w:tcPr>
                <w:p w14:paraId="28112E8B">
                  <w:pPr>
                    <w:snapToGrid w:val="0"/>
                    <w:jc w:val="center"/>
                    <w:rPr>
                      <w:rFonts w:hint="default" w:eastAsia="宋体"/>
                      <w:i w:val="0"/>
                      <w:iCs w:val="0"/>
                      <w:u w:val="single"/>
                      <w:lang w:val="en-US" w:eastAsia="zh-CN"/>
                    </w:rPr>
                  </w:pPr>
                  <w:r>
                    <w:rPr>
                      <w:rFonts w:hint="eastAsia"/>
                      <w:i w:val="0"/>
                      <w:iCs w:val="0"/>
                      <w:u w:val="single"/>
                      <w:lang w:val="en-US" w:eastAsia="zh-CN"/>
                    </w:rPr>
                    <w:t>-</w:t>
                  </w:r>
                </w:p>
              </w:tc>
              <w:tc>
                <w:tcPr>
                  <w:tcW w:w="1763" w:type="pct"/>
                  <w:shd w:val="clear" w:color="auto" w:fill="auto"/>
                  <w:noWrap w:val="0"/>
                  <w:vAlign w:val="center"/>
                </w:tcPr>
                <w:p w14:paraId="2588DE6C">
                  <w:pPr>
                    <w:snapToGrid w:val="0"/>
                    <w:jc w:val="left"/>
                    <w:rPr>
                      <w:rFonts w:hint="eastAsia" w:ascii="Times New Roman" w:hAnsi="Times New Roman" w:eastAsia="宋体" w:cs="Times New Roman"/>
                      <w:i w:val="0"/>
                      <w:iCs w:val="0"/>
                      <w:kern w:val="2"/>
                      <w:sz w:val="21"/>
                      <w:szCs w:val="24"/>
                      <w:u w:val="single"/>
                      <w:lang w:val="en-US" w:eastAsia="zh-CN" w:bidi="ar-SA"/>
                    </w:rPr>
                  </w:pPr>
                  <w:r>
                    <w:rPr>
                      <w:rFonts w:hint="eastAsia"/>
                      <w:szCs w:val="21"/>
                      <w:u w:val="single"/>
                      <w:lang w:eastAsia="zh-CN"/>
                    </w:rPr>
                    <w:t>新建，全封闭结构，采用塑料罩棚进行全密闭处理</w:t>
                  </w:r>
                </w:p>
              </w:tc>
            </w:tr>
            <w:tr w14:paraId="470117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368" w:type="pct"/>
                  <w:noWrap w:val="0"/>
                  <w:vAlign w:val="center"/>
                </w:tcPr>
                <w:p w14:paraId="70E6D070">
                  <w:pPr>
                    <w:snapToGrid w:val="0"/>
                    <w:jc w:val="center"/>
                    <w:rPr>
                      <w:rFonts w:hint="default" w:eastAsia="宋体"/>
                      <w:i w:val="0"/>
                      <w:iCs w:val="0"/>
                      <w:u w:val="single"/>
                      <w:lang w:val="en-US" w:eastAsia="zh-CN"/>
                    </w:rPr>
                  </w:pPr>
                  <w:r>
                    <w:rPr>
                      <w:rFonts w:hint="eastAsia"/>
                      <w:i w:val="0"/>
                      <w:iCs w:val="0"/>
                      <w:u w:val="single"/>
                      <w:lang w:val="en-US" w:eastAsia="zh-CN"/>
                    </w:rPr>
                    <w:t>4</w:t>
                  </w:r>
                </w:p>
              </w:tc>
              <w:tc>
                <w:tcPr>
                  <w:tcW w:w="1089" w:type="pct"/>
                  <w:noWrap w:val="0"/>
                  <w:vAlign w:val="center"/>
                </w:tcPr>
                <w:p w14:paraId="4B09A037">
                  <w:pPr>
                    <w:snapToGrid w:val="0"/>
                    <w:jc w:val="center"/>
                    <w:rPr>
                      <w:rFonts w:hint="eastAsia"/>
                      <w:i w:val="0"/>
                      <w:iCs w:val="0"/>
                      <w:color w:val="000000" w:themeColor="text1"/>
                      <w:u w:val="single"/>
                      <w14:textFill>
                        <w14:solidFill>
                          <w14:schemeClr w14:val="tx1"/>
                        </w14:solidFill>
                      </w14:textFill>
                    </w:rPr>
                  </w:pPr>
                  <w:r>
                    <w:rPr>
                      <w:rFonts w:hint="eastAsia"/>
                      <w:i w:val="0"/>
                      <w:iCs w:val="0"/>
                      <w:color w:val="000000" w:themeColor="text1"/>
                      <w:u w:val="single"/>
                      <w:lang w:eastAsia="zh-CN"/>
                      <w14:textFill>
                        <w14:solidFill>
                          <w14:schemeClr w14:val="tx1"/>
                        </w14:solidFill>
                      </w14:textFill>
                    </w:rPr>
                    <w:t>三级</w:t>
                  </w:r>
                  <w:r>
                    <w:rPr>
                      <w:rFonts w:hint="eastAsia"/>
                      <w:i w:val="0"/>
                      <w:iCs w:val="0"/>
                      <w:color w:val="000000" w:themeColor="text1"/>
                      <w:u w:val="single"/>
                      <w14:textFill>
                        <w14:solidFill>
                          <w14:schemeClr w14:val="tx1"/>
                        </w14:solidFill>
                      </w14:textFill>
                    </w:rPr>
                    <w:t>沉淀池</w:t>
                  </w:r>
                </w:p>
              </w:tc>
              <w:tc>
                <w:tcPr>
                  <w:tcW w:w="667" w:type="pct"/>
                  <w:noWrap w:val="0"/>
                  <w:vAlign w:val="center"/>
                </w:tcPr>
                <w:p w14:paraId="4BFBAC7E">
                  <w:pPr>
                    <w:snapToGrid w:val="0"/>
                    <w:jc w:val="center"/>
                    <w:rPr>
                      <w:rFonts w:hint="default" w:eastAsia="宋体"/>
                      <w:i w:val="0"/>
                      <w:iCs w:val="0"/>
                      <w:color w:val="000000" w:themeColor="text1"/>
                      <w:highlight w:val="none"/>
                      <w:u w:val="single"/>
                      <w:lang w:val="en-US" w:eastAsia="zh-CN"/>
                      <w14:textFill>
                        <w14:solidFill>
                          <w14:schemeClr w14:val="tx1"/>
                        </w14:solidFill>
                      </w14:textFill>
                    </w:rPr>
                  </w:pPr>
                  <w:r>
                    <w:rPr>
                      <w:rFonts w:hint="eastAsia"/>
                      <w:i w:val="0"/>
                      <w:iCs w:val="0"/>
                      <w:color w:val="000000" w:themeColor="text1"/>
                      <w:highlight w:val="none"/>
                      <w:u w:val="single"/>
                      <w:lang w:val="en-US" w:eastAsia="zh-CN"/>
                      <w14:textFill>
                        <w14:solidFill>
                          <w14:schemeClr w14:val="tx1"/>
                        </w14:solidFill>
                      </w14:textFill>
                    </w:rPr>
                    <w:t>42</w:t>
                  </w:r>
                </w:p>
              </w:tc>
              <w:tc>
                <w:tcPr>
                  <w:tcW w:w="694" w:type="pct"/>
                  <w:noWrap w:val="0"/>
                  <w:vAlign w:val="center"/>
                </w:tcPr>
                <w:p w14:paraId="53622CAE">
                  <w:pPr>
                    <w:snapToGrid w:val="0"/>
                    <w:jc w:val="center"/>
                    <w:rPr>
                      <w:rFonts w:hint="eastAsia" w:eastAsia="宋体"/>
                      <w:i w:val="0"/>
                      <w:iCs w:val="0"/>
                      <w:color w:val="000000" w:themeColor="text1"/>
                      <w:highlight w:val="none"/>
                      <w:u w:val="single"/>
                      <w:lang w:val="en-US" w:eastAsia="zh-CN"/>
                      <w14:textFill>
                        <w14:solidFill>
                          <w14:schemeClr w14:val="tx1"/>
                        </w14:solidFill>
                      </w14:textFill>
                    </w:rPr>
                  </w:pPr>
                  <w:r>
                    <w:rPr>
                      <w:rFonts w:hint="eastAsia"/>
                      <w:i w:val="0"/>
                      <w:iCs w:val="0"/>
                      <w:color w:val="000000" w:themeColor="text1"/>
                      <w:highlight w:val="none"/>
                      <w:u w:val="single"/>
                      <w:lang w:val="en-US" w:eastAsia="zh-CN"/>
                      <w14:textFill>
                        <w14:solidFill>
                          <w14:schemeClr w14:val="tx1"/>
                        </w14:solidFill>
                      </w14:textFill>
                    </w:rPr>
                    <w:t>-</w:t>
                  </w:r>
                </w:p>
              </w:tc>
              <w:tc>
                <w:tcPr>
                  <w:tcW w:w="417" w:type="pct"/>
                  <w:noWrap w:val="0"/>
                  <w:vAlign w:val="center"/>
                </w:tcPr>
                <w:p w14:paraId="2AA0BDDB">
                  <w:pPr>
                    <w:snapToGrid w:val="0"/>
                    <w:jc w:val="center"/>
                    <w:rPr>
                      <w:rFonts w:hint="default" w:eastAsia="宋体"/>
                      <w:i w:val="0"/>
                      <w:iCs w:val="0"/>
                      <w:color w:val="000000" w:themeColor="text1"/>
                      <w:highlight w:val="none"/>
                      <w:u w:val="single"/>
                      <w:lang w:val="en-US" w:eastAsia="zh-CN"/>
                      <w14:textFill>
                        <w14:solidFill>
                          <w14:schemeClr w14:val="tx1"/>
                        </w14:solidFill>
                      </w14:textFill>
                    </w:rPr>
                  </w:pPr>
                  <w:r>
                    <w:rPr>
                      <w:rFonts w:hint="eastAsia"/>
                      <w:i w:val="0"/>
                      <w:iCs w:val="0"/>
                      <w:color w:val="000000" w:themeColor="text1"/>
                      <w:highlight w:val="none"/>
                      <w:u w:val="single"/>
                      <w:lang w:val="en-US" w:eastAsia="zh-CN"/>
                      <w14:textFill>
                        <w14:solidFill>
                          <w14:schemeClr w14:val="tx1"/>
                        </w14:solidFill>
                      </w14:textFill>
                    </w:rPr>
                    <w:t>-</w:t>
                  </w:r>
                </w:p>
              </w:tc>
              <w:tc>
                <w:tcPr>
                  <w:tcW w:w="1763" w:type="pct"/>
                  <w:shd w:val="clear" w:color="auto" w:fill="auto"/>
                  <w:noWrap w:val="0"/>
                  <w:vAlign w:val="center"/>
                </w:tcPr>
                <w:p w14:paraId="1030C7E4">
                  <w:pPr>
                    <w:snapToGrid w:val="0"/>
                    <w:jc w:val="both"/>
                    <w:rPr>
                      <w:rFonts w:hint="default" w:ascii="Times New Roman" w:hAnsi="Times New Roman" w:eastAsia="宋体" w:cs="Times New Roman"/>
                      <w:i w:val="0"/>
                      <w:iCs w:val="0"/>
                      <w:color w:val="000000" w:themeColor="text1"/>
                      <w:kern w:val="2"/>
                      <w:sz w:val="21"/>
                      <w:szCs w:val="24"/>
                      <w:highlight w:val="none"/>
                      <w:u w:val="single"/>
                      <w:lang w:val="en-US" w:eastAsia="zh-CN" w:bidi="ar-SA"/>
                      <w14:textFill>
                        <w14:solidFill>
                          <w14:schemeClr w14:val="tx1"/>
                        </w14:solidFill>
                      </w14:textFill>
                    </w:rPr>
                  </w:pPr>
                  <w:r>
                    <w:rPr>
                      <w:rFonts w:hint="eastAsia"/>
                      <w:i w:val="0"/>
                      <w:iCs w:val="0"/>
                      <w:color w:val="000000" w:themeColor="text1"/>
                      <w:highlight w:val="none"/>
                      <w:u w:val="single"/>
                      <w:lang w:eastAsia="zh-CN"/>
                      <w14:textFill>
                        <w14:solidFill>
                          <w14:schemeClr w14:val="tx1"/>
                        </w14:solidFill>
                      </w14:textFill>
                    </w:rPr>
                    <w:t>新建，</w:t>
                  </w:r>
                  <w:r>
                    <w:rPr>
                      <w:rFonts w:hint="eastAsia"/>
                      <w:i w:val="0"/>
                      <w:iCs w:val="0"/>
                      <w:color w:val="000000" w:themeColor="text1"/>
                      <w:highlight w:val="none"/>
                      <w:u w:val="single"/>
                      <w14:textFill>
                        <w14:solidFill>
                          <w14:schemeClr w14:val="tx1"/>
                        </w14:solidFill>
                      </w14:textFill>
                    </w:rPr>
                    <w:t>深</w:t>
                  </w:r>
                  <w:r>
                    <w:rPr>
                      <w:rFonts w:hint="eastAsia"/>
                      <w:i w:val="0"/>
                      <w:iCs w:val="0"/>
                      <w:color w:val="000000" w:themeColor="text1"/>
                      <w:highlight w:val="none"/>
                      <w:u w:val="single"/>
                      <w:lang w:val="en-US" w:eastAsia="zh-CN"/>
                      <w14:textFill>
                        <w14:solidFill>
                          <w14:schemeClr w14:val="tx1"/>
                        </w14:solidFill>
                      </w14:textFill>
                    </w:rPr>
                    <w:t>2</w:t>
                  </w:r>
                  <w:r>
                    <w:rPr>
                      <w:rFonts w:hint="eastAsia"/>
                      <w:i w:val="0"/>
                      <w:iCs w:val="0"/>
                      <w:color w:val="000000" w:themeColor="text1"/>
                      <w:highlight w:val="none"/>
                      <w:u w:val="single"/>
                      <w14:textFill>
                        <w14:solidFill>
                          <w14:schemeClr w14:val="tx1"/>
                        </w14:solidFill>
                      </w14:textFill>
                    </w:rPr>
                    <w:t>m</w:t>
                  </w:r>
                  <w:r>
                    <w:rPr>
                      <w:rFonts w:hint="eastAsia"/>
                      <w:i w:val="0"/>
                      <w:iCs w:val="0"/>
                      <w:color w:val="000000" w:themeColor="text1"/>
                      <w:highlight w:val="none"/>
                      <w:u w:val="single"/>
                      <w:lang w:eastAsia="zh-CN"/>
                      <w14:textFill>
                        <w14:solidFill>
                          <w14:schemeClr w14:val="tx1"/>
                        </w14:solidFill>
                      </w14:textFill>
                    </w:rPr>
                    <w:t>，宽</w:t>
                  </w:r>
                  <w:r>
                    <w:rPr>
                      <w:rFonts w:hint="eastAsia"/>
                      <w:i w:val="0"/>
                      <w:iCs w:val="0"/>
                      <w:color w:val="000000" w:themeColor="text1"/>
                      <w:highlight w:val="none"/>
                      <w:u w:val="single"/>
                      <w:lang w:val="en-US" w:eastAsia="zh-CN"/>
                      <w14:textFill>
                        <w14:solidFill>
                          <w14:schemeClr w14:val="tx1"/>
                        </w14:solidFill>
                      </w14:textFill>
                    </w:rPr>
                    <w:t>3m，长度依次为6m、4m、4m</w:t>
                  </w:r>
                </w:p>
              </w:tc>
            </w:tr>
          </w:tbl>
          <w:p w14:paraId="2428DE4C">
            <w:pPr>
              <w:adjustRightInd w:val="0"/>
              <w:spacing w:line="360" w:lineRule="auto"/>
              <w:ind w:firstLine="482" w:firstLineChars="200"/>
              <w:jc w:val="left"/>
              <w:rPr>
                <w:b/>
                <w:bCs/>
                <w:sz w:val="24"/>
                <w:szCs w:val="24"/>
              </w:rPr>
            </w:pPr>
            <w:r>
              <w:rPr>
                <w:rFonts w:hint="eastAsia"/>
                <w:b/>
                <w:bCs/>
                <w:sz w:val="24"/>
                <w:szCs w:val="24"/>
                <w:lang w:val="en-US" w:eastAsia="zh-CN"/>
              </w:rPr>
              <w:t>5</w:t>
            </w:r>
            <w:r>
              <w:rPr>
                <w:rFonts w:hint="eastAsia"/>
                <w:b/>
                <w:bCs/>
                <w:sz w:val="24"/>
                <w:szCs w:val="24"/>
              </w:rPr>
              <w:t>、</w:t>
            </w:r>
            <w:r>
              <w:rPr>
                <w:b/>
                <w:bCs/>
                <w:sz w:val="24"/>
                <w:szCs w:val="24"/>
              </w:rPr>
              <w:t>主要设备</w:t>
            </w:r>
          </w:p>
          <w:p w14:paraId="22CF229B">
            <w:pPr>
              <w:adjustRightInd w:val="0"/>
              <w:spacing w:line="360" w:lineRule="auto"/>
              <w:ind w:firstLine="480" w:firstLineChars="200"/>
              <w:jc w:val="left"/>
              <w:rPr>
                <w:rFonts w:hint="eastAsia" w:eastAsia="宋体"/>
                <w:sz w:val="24"/>
                <w:szCs w:val="24"/>
                <w:lang w:eastAsia="zh-CN"/>
              </w:rPr>
            </w:pPr>
            <w:r>
              <w:rPr>
                <w:sz w:val="24"/>
                <w:szCs w:val="24"/>
              </w:rPr>
              <w:t>根据本项目的生产需求，其主要设备配置详见</w:t>
            </w:r>
            <w:r>
              <w:rPr>
                <w:rFonts w:hint="eastAsia"/>
                <w:sz w:val="24"/>
                <w:szCs w:val="24"/>
              </w:rPr>
              <w:t>下</w:t>
            </w:r>
            <w:r>
              <w:rPr>
                <w:sz w:val="24"/>
                <w:szCs w:val="24"/>
              </w:rPr>
              <w:t>表。</w:t>
            </w:r>
          </w:p>
          <w:p w14:paraId="4F5FE3F5">
            <w:pPr>
              <w:jc w:val="center"/>
              <w:rPr>
                <w:b/>
                <w:bCs/>
                <w:sz w:val="24"/>
                <w:szCs w:val="24"/>
                <w:u w:val="none" w:color="auto"/>
              </w:rPr>
            </w:pPr>
            <w:r>
              <w:rPr>
                <w:b/>
                <w:bCs/>
                <w:sz w:val="24"/>
                <w:szCs w:val="24"/>
                <w:highlight w:val="none"/>
                <w:u w:val="none" w:color="auto"/>
              </w:rPr>
              <w:t>表</w:t>
            </w:r>
            <w:r>
              <w:rPr>
                <w:rFonts w:hint="eastAsia"/>
                <w:b/>
                <w:bCs/>
                <w:sz w:val="24"/>
                <w:szCs w:val="24"/>
                <w:highlight w:val="none"/>
                <w:u w:val="none" w:color="auto"/>
                <w:lang w:val="en-US" w:eastAsia="zh-CN"/>
              </w:rPr>
              <w:t>2-4</w:t>
            </w:r>
            <w:r>
              <w:rPr>
                <w:b/>
                <w:bCs/>
                <w:sz w:val="24"/>
                <w:szCs w:val="24"/>
                <w:highlight w:val="none"/>
                <w:u w:val="none" w:color="auto"/>
              </w:rPr>
              <w:t xml:space="preserve">  本项目主要</w:t>
            </w:r>
            <w:r>
              <w:rPr>
                <w:rFonts w:hint="eastAsia"/>
                <w:b/>
                <w:bCs/>
                <w:sz w:val="24"/>
                <w:szCs w:val="24"/>
                <w:highlight w:val="none"/>
                <w:u w:val="none" w:color="auto"/>
                <w:lang w:eastAsia="zh-CN"/>
              </w:rPr>
              <w:t>生产</w:t>
            </w:r>
            <w:r>
              <w:rPr>
                <w:b/>
                <w:bCs/>
                <w:sz w:val="24"/>
                <w:szCs w:val="24"/>
                <w:highlight w:val="none"/>
                <w:u w:val="none" w:color="auto"/>
              </w:rPr>
              <w:t>设备一览表</w:t>
            </w:r>
          </w:p>
          <w:tbl>
            <w:tblPr>
              <w:tblStyle w:val="21"/>
              <w:tblW w:w="809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940"/>
              <w:gridCol w:w="1407"/>
              <w:gridCol w:w="834"/>
              <w:gridCol w:w="827"/>
              <w:gridCol w:w="2466"/>
            </w:tblGrid>
            <w:tr w14:paraId="05BD0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84" w:type="pct"/>
                  <w:noWrap w:val="0"/>
                  <w:vAlign w:val="center"/>
                </w:tcPr>
                <w:p w14:paraId="63D405F6">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序号</w:t>
                  </w:r>
                </w:p>
              </w:tc>
              <w:tc>
                <w:tcPr>
                  <w:tcW w:w="1197" w:type="pct"/>
                  <w:noWrap w:val="0"/>
                  <w:vAlign w:val="center"/>
                </w:tcPr>
                <w:p w14:paraId="4CFB4EC1">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名称</w:t>
                  </w:r>
                </w:p>
              </w:tc>
              <w:tc>
                <w:tcPr>
                  <w:tcW w:w="868" w:type="pct"/>
                  <w:noWrap w:val="0"/>
                  <w:vAlign w:val="center"/>
                </w:tcPr>
                <w:p w14:paraId="432E7CED">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型号</w:t>
                  </w:r>
                </w:p>
              </w:tc>
              <w:tc>
                <w:tcPr>
                  <w:tcW w:w="515" w:type="pct"/>
                  <w:noWrap w:val="0"/>
                  <w:vAlign w:val="center"/>
                </w:tcPr>
                <w:p w14:paraId="63FEFFC6">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数量</w:t>
                  </w:r>
                </w:p>
              </w:tc>
              <w:tc>
                <w:tcPr>
                  <w:tcW w:w="510" w:type="pct"/>
                  <w:noWrap w:val="0"/>
                  <w:vAlign w:val="center"/>
                </w:tcPr>
                <w:p w14:paraId="4948B4D3">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单位</w:t>
                  </w:r>
                </w:p>
              </w:tc>
              <w:tc>
                <w:tcPr>
                  <w:tcW w:w="1522" w:type="pct"/>
                  <w:noWrap w:val="0"/>
                  <w:vAlign w:val="center"/>
                </w:tcPr>
                <w:p w14:paraId="303DD5AB">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备注</w:t>
                  </w:r>
                </w:p>
              </w:tc>
            </w:tr>
            <w:tr w14:paraId="6096D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000" w:type="pct"/>
                  <w:gridSpan w:val="6"/>
                  <w:noWrap w:val="0"/>
                  <w:vAlign w:val="center"/>
                </w:tcPr>
                <w:p w14:paraId="63858B2A">
                  <w:pPr>
                    <w:snapToGrid w:val="0"/>
                    <w:jc w:val="center"/>
                    <w:rPr>
                      <w:rFonts w:hint="eastAsia" w:ascii="Times New Roman" w:hAnsi="Times New Roman" w:eastAsia="宋体" w:cs="Times New Roman"/>
                      <w:i w:val="0"/>
                      <w:iCs w:val="0"/>
                      <w:u w:val="none" w:color="auto"/>
                      <w:lang w:eastAsia="zh-CN"/>
                    </w:rPr>
                  </w:pPr>
                  <w:r>
                    <w:rPr>
                      <w:rFonts w:hint="eastAsia" w:cs="Times New Roman"/>
                      <w:i w:val="0"/>
                      <w:iCs w:val="0"/>
                      <w:u w:val="none" w:color="auto"/>
                      <w:lang w:eastAsia="zh-CN"/>
                    </w:rPr>
                    <w:t>生产用</w:t>
                  </w:r>
                </w:p>
              </w:tc>
            </w:tr>
            <w:tr w14:paraId="5C51EA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44A79318">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1</w:t>
                  </w:r>
                </w:p>
              </w:tc>
              <w:tc>
                <w:tcPr>
                  <w:tcW w:w="1197" w:type="pct"/>
                  <w:noWrap w:val="0"/>
                  <w:vAlign w:val="center"/>
                </w:tcPr>
                <w:p w14:paraId="2A7797AA">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搅拌机</w:t>
                  </w:r>
                </w:p>
              </w:tc>
              <w:tc>
                <w:tcPr>
                  <w:tcW w:w="868" w:type="pct"/>
                  <w:noWrap w:val="0"/>
                  <w:vAlign w:val="center"/>
                </w:tcPr>
                <w:p w14:paraId="759C6E2E">
                  <w:pPr>
                    <w:snapToGrid w:val="0"/>
                    <w:jc w:val="center"/>
                    <w:rPr>
                      <w:rFonts w:hint="default" w:ascii="Times New Roman" w:hAnsi="Times New Roman" w:eastAsia="宋体" w:cs="Times New Roman"/>
                      <w:i w:val="0"/>
                      <w:iCs w:val="0"/>
                      <w:u w:val="none" w:color="auto"/>
                      <w:lang w:val="en-US"/>
                    </w:rPr>
                  </w:pPr>
                  <w:r>
                    <w:rPr>
                      <w:rFonts w:hint="eastAsia" w:cs="Times New Roman"/>
                      <w:i w:val="0"/>
                      <w:iCs w:val="0"/>
                      <w:u w:val="none" w:color="auto"/>
                      <w:lang w:val="en-US" w:eastAsia="zh-CN"/>
                    </w:rPr>
                    <w:t>120型</w:t>
                  </w:r>
                </w:p>
              </w:tc>
              <w:tc>
                <w:tcPr>
                  <w:tcW w:w="515" w:type="pct"/>
                  <w:noWrap w:val="0"/>
                  <w:vAlign w:val="center"/>
                </w:tcPr>
                <w:p w14:paraId="3AA49340">
                  <w:pPr>
                    <w:snapToGrid w:val="0"/>
                    <w:jc w:val="center"/>
                    <w:rPr>
                      <w:rFonts w:hint="eastAsia" w:ascii="Times New Roman" w:hAnsi="Times New Roman" w:eastAsia="宋体" w:cs="Times New Roman"/>
                      <w:i w:val="0"/>
                      <w:iCs w:val="0"/>
                      <w:u w:val="none" w:color="auto"/>
                      <w:lang w:eastAsia="zh-CN"/>
                    </w:rPr>
                  </w:pPr>
                  <w:r>
                    <w:rPr>
                      <w:rFonts w:hint="eastAsia" w:cs="Times New Roman"/>
                      <w:i w:val="0"/>
                      <w:iCs w:val="0"/>
                      <w:u w:val="none" w:color="auto"/>
                      <w:lang w:val="en-US" w:eastAsia="zh-CN"/>
                    </w:rPr>
                    <w:t>1</w:t>
                  </w:r>
                </w:p>
              </w:tc>
              <w:tc>
                <w:tcPr>
                  <w:tcW w:w="510" w:type="pct"/>
                  <w:noWrap w:val="0"/>
                  <w:vAlign w:val="center"/>
                </w:tcPr>
                <w:p w14:paraId="5BB90FCA">
                  <w:pPr>
                    <w:snapToGrid w:val="0"/>
                    <w:jc w:val="center"/>
                    <w:rPr>
                      <w:rFonts w:hint="eastAsia" w:ascii="Times New Roman" w:hAnsi="Times New Roman" w:eastAsia="宋体" w:cs="Times New Roman"/>
                      <w:i w:val="0"/>
                      <w:iCs w:val="0"/>
                      <w:u w:val="none" w:color="auto"/>
                      <w:lang w:eastAsia="zh-CN"/>
                    </w:rPr>
                  </w:pPr>
                  <w:r>
                    <w:rPr>
                      <w:rFonts w:hint="eastAsia" w:cs="Times New Roman"/>
                      <w:i w:val="0"/>
                      <w:iCs w:val="0"/>
                      <w:u w:val="none" w:color="auto"/>
                      <w:lang w:eastAsia="zh-CN"/>
                    </w:rPr>
                    <w:t>台</w:t>
                  </w:r>
                </w:p>
              </w:tc>
              <w:tc>
                <w:tcPr>
                  <w:tcW w:w="1522" w:type="pct"/>
                  <w:noWrap w:val="0"/>
                  <w:vAlign w:val="center"/>
                </w:tcPr>
                <w:p w14:paraId="6D253865">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产能：67.5m</w:t>
                  </w:r>
                  <w:r>
                    <w:rPr>
                      <w:rFonts w:hint="eastAsia" w:cs="Times New Roman"/>
                      <w:i w:val="0"/>
                      <w:iCs w:val="0"/>
                      <w:u w:val="none" w:color="auto"/>
                      <w:vertAlign w:val="superscript"/>
                      <w:lang w:val="en-US" w:eastAsia="zh-CN"/>
                    </w:rPr>
                    <w:t>3</w:t>
                  </w:r>
                  <w:r>
                    <w:rPr>
                      <w:rFonts w:hint="eastAsia" w:cs="Times New Roman"/>
                      <w:i w:val="0"/>
                      <w:iCs w:val="0"/>
                      <w:u w:val="none" w:color="auto"/>
                      <w:lang w:val="en-US" w:eastAsia="zh-CN"/>
                    </w:rPr>
                    <w:t>/h</w:t>
                  </w:r>
                </w:p>
              </w:tc>
            </w:tr>
            <w:tr w14:paraId="22D312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590A1275">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2</w:t>
                  </w:r>
                </w:p>
              </w:tc>
              <w:tc>
                <w:tcPr>
                  <w:tcW w:w="1197" w:type="pct"/>
                  <w:noWrap w:val="0"/>
                  <w:vAlign w:val="center"/>
                </w:tcPr>
                <w:p w14:paraId="0030C3A1">
                  <w:pPr>
                    <w:snapToGrid w:val="0"/>
                    <w:jc w:val="center"/>
                    <w:rPr>
                      <w:rFonts w:hint="eastAsia" w:ascii="Times New Roman" w:hAnsi="Times New Roman" w:eastAsia="宋体" w:cs="Times New Roman"/>
                      <w:i w:val="0"/>
                      <w:iCs w:val="0"/>
                      <w:u w:val="none" w:color="auto"/>
                      <w:lang w:val="en-US" w:eastAsia="zh-CN"/>
                    </w:rPr>
                  </w:pPr>
                  <w:r>
                    <w:rPr>
                      <w:rFonts w:hint="eastAsia" w:ascii="Times New Roman" w:hAnsi="Times New Roman" w:eastAsia="宋体" w:cs="Times New Roman"/>
                      <w:i w:val="0"/>
                      <w:iCs w:val="0"/>
                      <w:u w:val="none" w:color="auto"/>
                      <w:lang w:val="en-US" w:eastAsia="zh-CN"/>
                    </w:rPr>
                    <w:t>水泥储罐</w:t>
                  </w:r>
                  <w:r>
                    <w:rPr>
                      <w:rFonts w:hint="eastAsia" w:cs="Times New Roman"/>
                      <w:i w:val="0"/>
                      <w:iCs w:val="0"/>
                      <w:u w:val="none" w:color="auto"/>
                      <w:lang w:val="en-US" w:eastAsia="zh-CN"/>
                    </w:rPr>
                    <w:t>（筒仓）</w:t>
                  </w:r>
                </w:p>
              </w:tc>
              <w:tc>
                <w:tcPr>
                  <w:tcW w:w="868" w:type="pct"/>
                  <w:noWrap w:val="0"/>
                  <w:vAlign w:val="center"/>
                </w:tcPr>
                <w:p w14:paraId="63D76008">
                  <w:pPr>
                    <w:snapToGrid w:val="0"/>
                    <w:jc w:val="center"/>
                    <w:rPr>
                      <w:rFonts w:hint="eastAsia"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10</w:t>
                  </w:r>
                  <w:r>
                    <w:rPr>
                      <w:rFonts w:hint="eastAsia" w:ascii="Times New Roman" w:hAnsi="Times New Roman" w:eastAsia="宋体" w:cs="Times New Roman"/>
                      <w:i w:val="0"/>
                      <w:iCs w:val="0"/>
                      <w:u w:val="none" w:color="auto"/>
                      <w:lang w:val="en-US" w:eastAsia="zh-CN"/>
                    </w:rPr>
                    <w:t>0t</w:t>
                  </w:r>
                </w:p>
              </w:tc>
              <w:tc>
                <w:tcPr>
                  <w:tcW w:w="515" w:type="pct"/>
                  <w:noWrap w:val="0"/>
                  <w:vAlign w:val="center"/>
                </w:tcPr>
                <w:p w14:paraId="310AC094">
                  <w:pPr>
                    <w:snapToGrid w:val="0"/>
                    <w:jc w:val="center"/>
                    <w:rPr>
                      <w:rFonts w:hint="eastAsia" w:ascii="Times New Roman" w:hAnsi="Times New Roman" w:eastAsia="宋体" w:cs="Times New Roman"/>
                      <w:i w:val="0"/>
                      <w:iCs w:val="0"/>
                      <w:u w:val="none" w:color="auto"/>
                      <w:lang w:eastAsia="zh-CN"/>
                    </w:rPr>
                  </w:pPr>
                  <w:r>
                    <w:rPr>
                      <w:rFonts w:hint="eastAsia" w:cs="Times New Roman"/>
                      <w:i w:val="0"/>
                      <w:iCs w:val="0"/>
                      <w:u w:val="none" w:color="auto"/>
                      <w:lang w:val="en-US" w:eastAsia="zh-CN"/>
                    </w:rPr>
                    <w:t>2</w:t>
                  </w:r>
                </w:p>
              </w:tc>
              <w:tc>
                <w:tcPr>
                  <w:tcW w:w="510" w:type="pct"/>
                  <w:noWrap w:val="0"/>
                  <w:vAlign w:val="center"/>
                </w:tcPr>
                <w:p w14:paraId="48DBDBAA">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台</w:t>
                  </w:r>
                </w:p>
              </w:tc>
              <w:tc>
                <w:tcPr>
                  <w:tcW w:w="1522" w:type="pct"/>
                  <w:noWrap w:val="0"/>
                  <w:vAlign w:val="center"/>
                </w:tcPr>
                <w:p w14:paraId="496BAAB2">
                  <w:pPr>
                    <w:snapToGrid w:val="0"/>
                    <w:jc w:val="center"/>
                    <w:rPr>
                      <w:rFonts w:hint="default" w:ascii="Times New Roman" w:hAnsi="Times New Roman" w:eastAsia="宋体" w:cs="Times New Roman"/>
                      <w:i w:val="0"/>
                      <w:iCs w:val="0"/>
                      <w:u w:val="none" w:color="auto"/>
                      <w:lang w:val="en-US" w:eastAsia="zh-CN"/>
                    </w:rPr>
                  </w:pPr>
                </w:p>
              </w:tc>
            </w:tr>
            <w:tr w14:paraId="0EB6F2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6EDC702E">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3</w:t>
                  </w:r>
                </w:p>
              </w:tc>
              <w:tc>
                <w:tcPr>
                  <w:tcW w:w="1197" w:type="pct"/>
                  <w:noWrap w:val="0"/>
                  <w:vAlign w:val="center"/>
                </w:tcPr>
                <w:p w14:paraId="4B841067">
                  <w:pPr>
                    <w:snapToGrid w:val="0"/>
                    <w:jc w:val="center"/>
                    <w:rPr>
                      <w:rFonts w:hint="default" w:ascii="Times New Roman" w:hAnsi="Times New Roman" w:eastAsia="宋体" w:cs="Times New Roman"/>
                      <w:i w:val="0"/>
                      <w:iCs w:val="0"/>
                      <w:u w:val="none" w:color="auto"/>
                      <w:lang w:val="en-US" w:eastAsia="zh-CN"/>
                    </w:rPr>
                  </w:pPr>
                  <w:r>
                    <w:rPr>
                      <w:rFonts w:hint="eastAsia" w:ascii="Times New Roman" w:hAnsi="Times New Roman" w:eastAsia="宋体" w:cs="Times New Roman"/>
                      <w:i w:val="0"/>
                      <w:iCs w:val="0"/>
                      <w:u w:val="none" w:color="auto"/>
                      <w:lang w:val="en-US" w:eastAsia="zh-CN"/>
                    </w:rPr>
                    <w:t>粉煤灰储罐</w:t>
                  </w:r>
                  <w:r>
                    <w:rPr>
                      <w:rFonts w:hint="eastAsia" w:cs="Times New Roman"/>
                      <w:i w:val="0"/>
                      <w:iCs w:val="0"/>
                      <w:u w:val="none" w:color="auto"/>
                      <w:lang w:val="en-US" w:eastAsia="zh-CN"/>
                    </w:rPr>
                    <w:t>（筒仓）</w:t>
                  </w:r>
                </w:p>
              </w:tc>
              <w:tc>
                <w:tcPr>
                  <w:tcW w:w="868" w:type="pct"/>
                  <w:noWrap w:val="0"/>
                  <w:vAlign w:val="center"/>
                </w:tcPr>
                <w:p w14:paraId="336F1D7F">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10</w:t>
                  </w:r>
                  <w:r>
                    <w:rPr>
                      <w:rFonts w:hint="eastAsia" w:ascii="Times New Roman" w:hAnsi="Times New Roman" w:eastAsia="宋体" w:cs="Times New Roman"/>
                      <w:i w:val="0"/>
                      <w:iCs w:val="0"/>
                      <w:u w:val="none" w:color="auto"/>
                      <w:lang w:val="en-US" w:eastAsia="zh-CN"/>
                    </w:rPr>
                    <w:t>0t</w:t>
                  </w:r>
                </w:p>
              </w:tc>
              <w:tc>
                <w:tcPr>
                  <w:tcW w:w="515" w:type="pct"/>
                  <w:noWrap w:val="0"/>
                  <w:vAlign w:val="center"/>
                </w:tcPr>
                <w:p w14:paraId="6991FBBA">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1</w:t>
                  </w:r>
                </w:p>
              </w:tc>
              <w:tc>
                <w:tcPr>
                  <w:tcW w:w="510" w:type="pct"/>
                  <w:noWrap w:val="0"/>
                  <w:vAlign w:val="center"/>
                </w:tcPr>
                <w:p w14:paraId="2E647CE9">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台</w:t>
                  </w:r>
                </w:p>
              </w:tc>
              <w:tc>
                <w:tcPr>
                  <w:tcW w:w="1522" w:type="pct"/>
                  <w:noWrap w:val="0"/>
                  <w:vAlign w:val="center"/>
                </w:tcPr>
                <w:p w14:paraId="5E6AEA64">
                  <w:pPr>
                    <w:snapToGrid w:val="0"/>
                    <w:jc w:val="center"/>
                    <w:rPr>
                      <w:rFonts w:hint="eastAsia" w:ascii="Times New Roman" w:hAnsi="Times New Roman" w:eastAsia="宋体" w:cs="Times New Roman"/>
                      <w:i w:val="0"/>
                      <w:iCs w:val="0"/>
                      <w:u w:val="none" w:color="auto"/>
                      <w:lang w:val="en-US" w:eastAsia="zh-CN"/>
                    </w:rPr>
                  </w:pPr>
                </w:p>
              </w:tc>
            </w:tr>
            <w:tr w14:paraId="7D6AA6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34BF89B6">
                  <w:pPr>
                    <w:snapToGrid w:val="0"/>
                    <w:jc w:val="center"/>
                    <w:rPr>
                      <w:rFonts w:hint="eastAsia"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4</w:t>
                  </w:r>
                </w:p>
              </w:tc>
              <w:tc>
                <w:tcPr>
                  <w:tcW w:w="1197" w:type="pct"/>
                  <w:shd w:val="clear" w:color="auto" w:fill="auto"/>
                  <w:noWrap w:val="0"/>
                  <w:vAlign w:val="center"/>
                </w:tcPr>
                <w:p w14:paraId="0EAFCEFD">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矿粉</w:t>
                  </w:r>
                  <w:r>
                    <w:rPr>
                      <w:rFonts w:hint="eastAsia" w:ascii="Times New Roman" w:hAnsi="Times New Roman" w:eastAsia="宋体" w:cs="Times New Roman"/>
                      <w:i w:val="0"/>
                      <w:iCs w:val="0"/>
                      <w:u w:val="none" w:color="auto"/>
                      <w:lang w:val="en-US" w:eastAsia="zh-CN"/>
                    </w:rPr>
                    <w:t>储罐</w:t>
                  </w:r>
                  <w:r>
                    <w:rPr>
                      <w:rFonts w:hint="eastAsia" w:cs="Times New Roman"/>
                      <w:i w:val="0"/>
                      <w:iCs w:val="0"/>
                      <w:u w:val="none" w:color="auto"/>
                      <w:lang w:val="en-US" w:eastAsia="zh-CN"/>
                    </w:rPr>
                    <w:t>（筒仓）</w:t>
                  </w:r>
                </w:p>
              </w:tc>
              <w:tc>
                <w:tcPr>
                  <w:tcW w:w="868" w:type="pct"/>
                  <w:shd w:val="clear" w:color="auto" w:fill="auto"/>
                  <w:noWrap w:val="0"/>
                  <w:vAlign w:val="center"/>
                </w:tcPr>
                <w:p w14:paraId="17EBCB9F">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10</w:t>
                  </w:r>
                  <w:r>
                    <w:rPr>
                      <w:rFonts w:hint="eastAsia" w:ascii="Times New Roman" w:hAnsi="Times New Roman" w:eastAsia="宋体" w:cs="Times New Roman"/>
                      <w:i w:val="0"/>
                      <w:iCs w:val="0"/>
                      <w:u w:val="none" w:color="auto"/>
                      <w:lang w:val="en-US" w:eastAsia="zh-CN"/>
                    </w:rPr>
                    <w:t>0t</w:t>
                  </w:r>
                </w:p>
              </w:tc>
              <w:tc>
                <w:tcPr>
                  <w:tcW w:w="515" w:type="pct"/>
                  <w:shd w:val="clear" w:color="auto" w:fill="auto"/>
                  <w:noWrap w:val="0"/>
                  <w:vAlign w:val="center"/>
                </w:tcPr>
                <w:p w14:paraId="7AC38406">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shd w:val="clear" w:color="auto" w:fill="auto"/>
                  <w:noWrap w:val="0"/>
                  <w:vAlign w:val="center"/>
                </w:tcPr>
                <w:p w14:paraId="539F48BA">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台</w:t>
                  </w:r>
                </w:p>
              </w:tc>
              <w:tc>
                <w:tcPr>
                  <w:tcW w:w="1522" w:type="pct"/>
                  <w:shd w:val="clear" w:color="auto" w:fill="auto"/>
                  <w:noWrap w:val="0"/>
                  <w:vAlign w:val="center"/>
                </w:tcPr>
                <w:p w14:paraId="2E5C0589">
                  <w:pPr>
                    <w:snapToGrid w:val="0"/>
                    <w:jc w:val="center"/>
                    <w:rPr>
                      <w:rFonts w:hint="eastAsia" w:ascii="Times New Roman" w:hAnsi="Times New Roman" w:eastAsia="宋体" w:cs="Times New Roman"/>
                      <w:i w:val="0"/>
                      <w:iCs w:val="0"/>
                      <w:kern w:val="2"/>
                      <w:sz w:val="21"/>
                      <w:szCs w:val="24"/>
                      <w:u w:val="none" w:color="auto"/>
                      <w:lang w:val="en-US" w:eastAsia="zh-CN" w:bidi="ar-SA"/>
                    </w:rPr>
                  </w:pPr>
                </w:p>
              </w:tc>
            </w:tr>
            <w:tr w14:paraId="3F22BE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38A96A87">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5</w:t>
                  </w:r>
                </w:p>
              </w:tc>
              <w:tc>
                <w:tcPr>
                  <w:tcW w:w="1197" w:type="pct"/>
                  <w:noWrap w:val="0"/>
                  <w:vAlign w:val="center"/>
                </w:tcPr>
                <w:p w14:paraId="36A9DEE6">
                  <w:pPr>
                    <w:snapToGrid w:val="0"/>
                    <w:jc w:val="center"/>
                    <w:rPr>
                      <w:rFonts w:hint="eastAsia"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外加剂储罐</w:t>
                  </w:r>
                </w:p>
              </w:tc>
              <w:tc>
                <w:tcPr>
                  <w:tcW w:w="868" w:type="pct"/>
                  <w:noWrap w:val="0"/>
                  <w:vAlign w:val="center"/>
                </w:tcPr>
                <w:p w14:paraId="208118F1">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5t</w:t>
                  </w:r>
                </w:p>
              </w:tc>
              <w:tc>
                <w:tcPr>
                  <w:tcW w:w="515" w:type="pct"/>
                  <w:noWrap w:val="0"/>
                  <w:vAlign w:val="center"/>
                </w:tcPr>
                <w:p w14:paraId="762DC624">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2</w:t>
                  </w:r>
                </w:p>
              </w:tc>
              <w:tc>
                <w:tcPr>
                  <w:tcW w:w="510" w:type="pct"/>
                  <w:noWrap w:val="0"/>
                  <w:vAlign w:val="center"/>
                </w:tcPr>
                <w:p w14:paraId="17AFBB8F">
                  <w:pPr>
                    <w:snapToGrid w:val="0"/>
                    <w:jc w:val="center"/>
                    <w:rPr>
                      <w:rFonts w:hint="eastAsia" w:ascii="Times New Roman" w:hAnsi="Times New Roman" w:eastAsia="宋体" w:cs="Times New Roman"/>
                      <w:i w:val="0"/>
                      <w:iCs w:val="0"/>
                      <w:u w:val="none" w:color="auto"/>
                      <w:lang w:eastAsia="zh-CN"/>
                    </w:rPr>
                  </w:pPr>
                  <w:r>
                    <w:rPr>
                      <w:rFonts w:hint="eastAsia" w:cs="Times New Roman"/>
                      <w:i w:val="0"/>
                      <w:iCs w:val="0"/>
                      <w:u w:val="none" w:color="auto"/>
                      <w:lang w:eastAsia="zh-CN"/>
                    </w:rPr>
                    <w:t>台</w:t>
                  </w:r>
                </w:p>
              </w:tc>
              <w:tc>
                <w:tcPr>
                  <w:tcW w:w="1522" w:type="pct"/>
                  <w:noWrap w:val="0"/>
                  <w:vAlign w:val="center"/>
                </w:tcPr>
                <w:p w14:paraId="124CECCD">
                  <w:pPr>
                    <w:snapToGrid w:val="0"/>
                    <w:jc w:val="center"/>
                    <w:rPr>
                      <w:rFonts w:hint="eastAsia" w:ascii="Times New Roman" w:hAnsi="Times New Roman" w:eastAsia="宋体" w:cs="Times New Roman"/>
                      <w:i w:val="0"/>
                      <w:iCs w:val="0"/>
                      <w:highlight w:val="cyan"/>
                      <w:u w:val="none" w:color="auto"/>
                      <w:lang w:val="en-US" w:eastAsia="zh-CN"/>
                    </w:rPr>
                  </w:pPr>
                </w:p>
              </w:tc>
            </w:tr>
            <w:tr w14:paraId="3A932C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0110B165">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6</w:t>
                  </w:r>
                </w:p>
              </w:tc>
              <w:tc>
                <w:tcPr>
                  <w:tcW w:w="1197" w:type="pct"/>
                  <w:noWrap w:val="0"/>
                  <w:vAlign w:val="center"/>
                </w:tcPr>
                <w:p w14:paraId="64F92246">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水泥秤</w:t>
                  </w:r>
                </w:p>
              </w:tc>
              <w:tc>
                <w:tcPr>
                  <w:tcW w:w="868" w:type="pct"/>
                  <w:noWrap w:val="0"/>
                  <w:vAlign w:val="center"/>
                </w:tcPr>
                <w:p w14:paraId="4DEBE8C6">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w:t>
                  </w:r>
                </w:p>
              </w:tc>
              <w:tc>
                <w:tcPr>
                  <w:tcW w:w="515" w:type="pct"/>
                  <w:shd w:val="clear" w:color="auto" w:fill="auto"/>
                  <w:noWrap w:val="0"/>
                  <w:vAlign w:val="center"/>
                </w:tcPr>
                <w:p w14:paraId="5F011C13">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shd w:val="clear" w:color="auto" w:fill="auto"/>
                  <w:noWrap w:val="0"/>
                  <w:vAlign w:val="center"/>
                </w:tcPr>
                <w:p w14:paraId="6359A234">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台</w:t>
                  </w:r>
                </w:p>
              </w:tc>
              <w:tc>
                <w:tcPr>
                  <w:tcW w:w="1522" w:type="pct"/>
                  <w:noWrap w:val="0"/>
                  <w:vAlign w:val="center"/>
                </w:tcPr>
                <w:p w14:paraId="5348E1F5">
                  <w:pPr>
                    <w:snapToGrid w:val="0"/>
                    <w:jc w:val="center"/>
                    <w:rPr>
                      <w:rFonts w:hint="eastAsia" w:ascii="Times New Roman" w:hAnsi="Times New Roman" w:eastAsia="宋体" w:cs="Times New Roman"/>
                      <w:i w:val="0"/>
                      <w:iCs w:val="0"/>
                      <w:highlight w:val="cyan"/>
                      <w:u w:val="none" w:color="auto"/>
                      <w:lang w:val="en-US" w:eastAsia="zh-CN"/>
                    </w:rPr>
                  </w:pPr>
                </w:p>
              </w:tc>
            </w:tr>
            <w:tr w14:paraId="1057C2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63A45240">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7</w:t>
                  </w:r>
                </w:p>
              </w:tc>
              <w:tc>
                <w:tcPr>
                  <w:tcW w:w="1197" w:type="pct"/>
                  <w:noWrap w:val="0"/>
                  <w:vAlign w:val="center"/>
                </w:tcPr>
                <w:p w14:paraId="4391A11F">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粉煤灰秤</w:t>
                  </w:r>
                </w:p>
              </w:tc>
              <w:tc>
                <w:tcPr>
                  <w:tcW w:w="868" w:type="pct"/>
                  <w:noWrap w:val="0"/>
                  <w:vAlign w:val="center"/>
                </w:tcPr>
                <w:p w14:paraId="0248B59C">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w:t>
                  </w:r>
                </w:p>
              </w:tc>
              <w:tc>
                <w:tcPr>
                  <w:tcW w:w="515" w:type="pct"/>
                  <w:shd w:val="clear" w:color="auto" w:fill="auto"/>
                  <w:noWrap w:val="0"/>
                  <w:vAlign w:val="center"/>
                </w:tcPr>
                <w:p w14:paraId="5F8E5A28">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shd w:val="clear" w:color="auto" w:fill="auto"/>
                  <w:noWrap w:val="0"/>
                  <w:vAlign w:val="center"/>
                </w:tcPr>
                <w:p w14:paraId="18AD1C57">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台</w:t>
                  </w:r>
                </w:p>
              </w:tc>
              <w:tc>
                <w:tcPr>
                  <w:tcW w:w="1522" w:type="pct"/>
                  <w:noWrap w:val="0"/>
                  <w:vAlign w:val="center"/>
                </w:tcPr>
                <w:p w14:paraId="2D21A4D5">
                  <w:pPr>
                    <w:snapToGrid w:val="0"/>
                    <w:jc w:val="center"/>
                    <w:rPr>
                      <w:rFonts w:hint="eastAsia" w:ascii="Times New Roman" w:hAnsi="Times New Roman" w:eastAsia="宋体" w:cs="Times New Roman"/>
                      <w:i w:val="0"/>
                      <w:iCs w:val="0"/>
                      <w:highlight w:val="cyan"/>
                      <w:u w:val="none" w:color="auto"/>
                      <w:lang w:val="en-US" w:eastAsia="zh-CN"/>
                    </w:rPr>
                  </w:pPr>
                </w:p>
              </w:tc>
            </w:tr>
            <w:tr w14:paraId="18AF9A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5479AD96">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8</w:t>
                  </w:r>
                </w:p>
              </w:tc>
              <w:tc>
                <w:tcPr>
                  <w:tcW w:w="1197" w:type="pct"/>
                  <w:noWrap w:val="0"/>
                  <w:vAlign w:val="center"/>
                </w:tcPr>
                <w:p w14:paraId="564174A0">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矿粉秤</w:t>
                  </w:r>
                </w:p>
              </w:tc>
              <w:tc>
                <w:tcPr>
                  <w:tcW w:w="868" w:type="pct"/>
                  <w:noWrap w:val="0"/>
                  <w:vAlign w:val="center"/>
                </w:tcPr>
                <w:p w14:paraId="09942B09">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w:t>
                  </w:r>
                </w:p>
              </w:tc>
              <w:tc>
                <w:tcPr>
                  <w:tcW w:w="515" w:type="pct"/>
                  <w:shd w:val="clear" w:color="auto" w:fill="auto"/>
                  <w:noWrap w:val="0"/>
                  <w:vAlign w:val="center"/>
                </w:tcPr>
                <w:p w14:paraId="462461E6">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shd w:val="clear" w:color="auto" w:fill="auto"/>
                  <w:noWrap w:val="0"/>
                  <w:vAlign w:val="center"/>
                </w:tcPr>
                <w:p w14:paraId="30F78781">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eastAsia="zh-CN"/>
                    </w:rPr>
                    <w:t>台</w:t>
                  </w:r>
                </w:p>
              </w:tc>
              <w:tc>
                <w:tcPr>
                  <w:tcW w:w="1522" w:type="pct"/>
                  <w:noWrap w:val="0"/>
                  <w:vAlign w:val="center"/>
                </w:tcPr>
                <w:p w14:paraId="6FCF8AF6">
                  <w:pPr>
                    <w:snapToGrid w:val="0"/>
                    <w:jc w:val="center"/>
                    <w:rPr>
                      <w:rFonts w:hint="eastAsia" w:ascii="Times New Roman" w:hAnsi="Times New Roman" w:eastAsia="宋体" w:cs="Times New Roman"/>
                      <w:i w:val="0"/>
                      <w:iCs w:val="0"/>
                      <w:highlight w:val="cyan"/>
                      <w:u w:val="none" w:color="auto"/>
                      <w:lang w:val="en-US" w:eastAsia="zh-CN"/>
                    </w:rPr>
                  </w:pPr>
                </w:p>
              </w:tc>
            </w:tr>
            <w:tr w14:paraId="75E0F8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4AAF094D">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9</w:t>
                  </w:r>
                </w:p>
              </w:tc>
              <w:tc>
                <w:tcPr>
                  <w:tcW w:w="1197" w:type="pct"/>
                  <w:noWrap w:val="0"/>
                  <w:vAlign w:val="center"/>
                </w:tcPr>
                <w:p w14:paraId="6C426BED">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骨料秤</w:t>
                  </w:r>
                </w:p>
              </w:tc>
              <w:tc>
                <w:tcPr>
                  <w:tcW w:w="868" w:type="pct"/>
                  <w:noWrap w:val="0"/>
                  <w:vAlign w:val="center"/>
                </w:tcPr>
                <w:p w14:paraId="774AF120">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w:t>
                  </w:r>
                </w:p>
              </w:tc>
              <w:tc>
                <w:tcPr>
                  <w:tcW w:w="515" w:type="pct"/>
                  <w:shd w:val="clear" w:color="auto" w:fill="auto"/>
                  <w:noWrap w:val="0"/>
                  <w:vAlign w:val="center"/>
                </w:tcPr>
                <w:p w14:paraId="07D18196">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shd w:val="clear" w:color="auto" w:fill="auto"/>
                  <w:noWrap w:val="0"/>
                  <w:vAlign w:val="center"/>
                </w:tcPr>
                <w:p w14:paraId="466C77D0">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台</w:t>
                  </w:r>
                </w:p>
              </w:tc>
              <w:tc>
                <w:tcPr>
                  <w:tcW w:w="1522" w:type="pct"/>
                  <w:noWrap w:val="0"/>
                  <w:vAlign w:val="center"/>
                </w:tcPr>
                <w:p w14:paraId="6ECDE54C">
                  <w:pPr>
                    <w:snapToGrid w:val="0"/>
                    <w:jc w:val="center"/>
                    <w:rPr>
                      <w:rFonts w:hint="eastAsia" w:ascii="Times New Roman" w:hAnsi="Times New Roman" w:eastAsia="宋体" w:cs="Times New Roman"/>
                      <w:i w:val="0"/>
                      <w:iCs w:val="0"/>
                      <w:highlight w:val="cyan"/>
                      <w:u w:val="none" w:color="auto"/>
                      <w:lang w:val="en-US" w:eastAsia="zh-CN"/>
                    </w:rPr>
                  </w:pPr>
                </w:p>
              </w:tc>
            </w:tr>
            <w:tr w14:paraId="11CE52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2B513399">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10</w:t>
                  </w:r>
                </w:p>
              </w:tc>
              <w:tc>
                <w:tcPr>
                  <w:tcW w:w="1197" w:type="pct"/>
                  <w:noWrap w:val="0"/>
                  <w:vAlign w:val="center"/>
                </w:tcPr>
                <w:p w14:paraId="7B406BEE">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外加剂秤</w:t>
                  </w:r>
                </w:p>
              </w:tc>
              <w:tc>
                <w:tcPr>
                  <w:tcW w:w="868" w:type="pct"/>
                  <w:noWrap w:val="0"/>
                  <w:vAlign w:val="center"/>
                </w:tcPr>
                <w:p w14:paraId="7DC9C569">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w:t>
                  </w:r>
                </w:p>
              </w:tc>
              <w:tc>
                <w:tcPr>
                  <w:tcW w:w="515" w:type="pct"/>
                  <w:shd w:val="clear" w:color="auto" w:fill="auto"/>
                  <w:noWrap w:val="0"/>
                  <w:vAlign w:val="center"/>
                </w:tcPr>
                <w:p w14:paraId="37129960">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shd w:val="clear" w:color="auto" w:fill="auto"/>
                  <w:noWrap w:val="0"/>
                  <w:vAlign w:val="center"/>
                </w:tcPr>
                <w:p w14:paraId="5F26CAF4">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台</w:t>
                  </w:r>
                </w:p>
              </w:tc>
              <w:tc>
                <w:tcPr>
                  <w:tcW w:w="1522" w:type="pct"/>
                  <w:noWrap w:val="0"/>
                  <w:vAlign w:val="center"/>
                </w:tcPr>
                <w:p w14:paraId="5E6EB76E">
                  <w:pPr>
                    <w:snapToGrid w:val="0"/>
                    <w:jc w:val="center"/>
                    <w:rPr>
                      <w:rFonts w:hint="eastAsia" w:ascii="Times New Roman" w:hAnsi="Times New Roman" w:eastAsia="宋体" w:cs="Times New Roman"/>
                      <w:i w:val="0"/>
                      <w:iCs w:val="0"/>
                      <w:highlight w:val="cyan"/>
                      <w:u w:val="none" w:color="auto"/>
                      <w:lang w:val="en-US" w:eastAsia="zh-CN"/>
                    </w:rPr>
                  </w:pPr>
                </w:p>
              </w:tc>
            </w:tr>
            <w:tr w14:paraId="26A4F6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57FC4919">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11</w:t>
                  </w:r>
                </w:p>
              </w:tc>
              <w:tc>
                <w:tcPr>
                  <w:tcW w:w="1197" w:type="pct"/>
                  <w:noWrap w:val="0"/>
                  <w:vAlign w:val="center"/>
                </w:tcPr>
                <w:p w14:paraId="6F937DE0">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水秤</w:t>
                  </w:r>
                </w:p>
              </w:tc>
              <w:tc>
                <w:tcPr>
                  <w:tcW w:w="868" w:type="pct"/>
                  <w:noWrap w:val="0"/>
                  <w:vAlign w:val="center"/>
                </w:tcPr>
                <w:p w14:paraId="1A236427">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w:t>
                  </w:r>
                </w:p>
              </w:tc>
              <w:tc>
                <w:tcPr>
                  <w:tcW w:w="515" w:type="pct"/>
                  <w:shd w:val="clear" w:color="auto" w:fill="auto"/>
                  <w:noWrap w:val="0"/>
                  <w:vAlign w:val="center"/>
                </w:tcPr>
                <w:p w14:paraId="4CEEA7B0">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shd w:val="clear" w:color="auto" w:fill="auto"/>
                  <w:noWrap w:val="0"/>
                  <w:vAlign w:val="center"/>
                </w:tcPr>
                <w:p w14:paraId="75509C65">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eastAsia="zh-CN"/>
                    </w:rPr>
                    <w:t>台</w:t>
                  </w:r>
                </w:p>
              </w:tc>
              <w:tc>
                <w:tcPr>
                  <w:tcW w:w="1522" w:type="pct"/>
                  <w:noWrap w:val="0"/>
                  <w:vAlign w:val="center"/>
                </w:tcPr>
                <w:p w14:paraId="24E99259">
                  <w:pPr>
                    <w:snapToGrid w:val="0"/>
                    <w:jc w:val="center"/>
                    <w:rPr>
                      <w:rFonts w:hint="eastAsia" w:ascii="Times New Roman" w:hAnsi="Times New Roman" w:eastAsia="宋体" w:cs="Times New Roman"/>
                      <w:i w:val="0"/>
                      <w:iCs w:val="0"/>
                      <w:highlight w:val="cyan"/>
                      <w:u w:val="none" w:color="auto"/>
                      <w:lang w:val="en-US" w:eastAsia="zh-CN"/>
                    </w:rPr>
                  </w:pPr>
                </w:p>
              </w:tc>
            </w:tr>
            <w:tr w14:paraId="270995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4" w:type="pct"/>
                  <w:shd w:val="clear" w:color="auto" w:fill="auto"/>
                  <w:noWrap w:val="0"/>
                  <w:vAlign w:val="center"/>
                </w:tcPr>
                <w:p w14:paraId="1699CDE4">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12</w:t>
                  </w:r>
                </w:p>
              </w:tc>
              <w:tc>
                <w:tcPr>
                  <w:tcW w:w="1197" w:type="pct"/>
                  <w:shd w:val="clear" w:color="auto" w:fill="auto"/>
                  <w:noWrap w:val="0"/>
                  <w:vAlign w:val="center"/>
                </w:tcPr>
                <w:p w14:paraId="49C58C32">
                  <w:pPr>
                    <w:widowControl/>
                    <w:adjustRightInd w:val="0"/>
                    <w:snapToGrid w:val="0"/>
                    <w:jc w:val="center"/>
                    <w:rPr>
                      <w:rFonts w:hint="eastAsia" w:ascii="宋体" w:hAnsi="宋体" w:eastAsia="宋体" w:cs="宋体"/>
                      <w:color w:val="000000" w:themeColor="text1"/>
                      <w:kern w:val="0"/>
                      <w:sz w:val="21"/>
                      <w:szCs w:val="21"/>
                      <w:u w:val="none" w:color="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u w:val="none" w:color="auto"/>
                      <w:lang w:eastAsia="zh-CN"/>
                      <w14:textFill>
                        <w14:solidFill>
                          <w14:schemeClr w14:val="tx1"/>
                        </w14:solidFill>
                      </w14:textFill>
                    </w:rPr>
                    <w:t>集料平皮带输送机</w:t>
                  </w:r>
                </w:p>
              </w:tc>
              <w:tc>
                <w:tcPr>
                  <w:tcW w:w="868" w:type="pct"/>
                  <w:noWrap w:val="0"/>
                  <w:vAlign w:val="center"/>
                </w:tcPr>
                <w:p w14:paraId="4F12D547">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w:t>
                  </w:r>
                </w:p>
              </w:tc>
              <w:tc>
                <w:tcPr>
                  <w:tcW w:w="515" w:type="pct"/>
                  <w:shd w:val="clear" w:color="auto" w:fill="auto"/>
                  <w:noWrap w:val="0"/>
                  <w:vAlign w:val="center"/>
                </w:tcPr>
                <w:p w14:paraId="73A98BD2">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noWrap w:val="0"/>
                  <w:vAlign w:val="center"/>
                </w:tcPr>
                <w:p w14:paraId="62485CDC">
                  <w:pPr>
                    <w:snapToGrid w:val="0"/>
                    <w:jc w:val="center"/>
                    <w:rPr>
                      <w:rFonts w:hint="eastAsia" w:cs="Times New Roman"/>
                      <w:i w:val="0"/>
                      <w:iCs w:val="0"/>
                      <w:u w:val="none" w:color="auto"/>
                      <w:lang w:eastAsia="zh-CN"/>
                    </w:rPr>
                  </w:pPr>
                  <w:r>
                    <w:rPr>
                      <w:rFonts w:hint="eastAsia" w:cs="Times New Roman"/>
                      <w:i w:val="0"/>
                      <w:iCs w:val="0"/>
                      <w:u w:val="none" w:color="auto"/>
                      <w:lang w:eastAsia="zh-CN"/>
                    </w:rPr>
                    <w:t>套</w:t>
                  </w:r>
                </w:p>
              </w:tc>
              <w:tc>
                <w:tcPr>
                  <w:tcW w:w="1522" w:type="pct"/>
                  <w:noWrap w:val="0"/>
                  <w:vAlign w:val="center"/>
                </w:tcPr>
                <w:p w14:paraId="2B4A8EF2">
                  <w:pPr>
                    <w:snapToGrid w:val="0"/>
                    <w:jc w:val="center"/>
                    <w:rPr>
                      <w:rFonts w:hint="eastAsia" w:ascii="Times New Roman" w:hAnsi="Times New Roman" w:eastAsia="宋体" w:cs="Times New Roman"/>
                      <w:i w:val="0"/>
                      <w:iCs w:val="0"/>
                      <w:highlight w:val="cyan"/>
                      <w:u w:val="none" w:color="auto"/>
                      <w:lang w:val="en-US" w:eastAsia="zh-CN"/>
                    </w:rPr>
                  </w:pPr>
                </w:p>
              </w:tc>
            </w:tr>
            <w:tr w14:paraId="7794B0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4C23CB63">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13</w:t>
                  </w:r>
                </w:p>
              </w:tc>
              <w:tc>
                <w:tcPr>
                  <w:tcW w:w="1197" w:type="pct"/>
                  <w:shd w:val="clear" w:color="auto" w:fill="auto"/>
                  <w:noWrap w:val="0"/>
                  <w:vAlign w:val="center"/>
                </w:tcPr>
                <w:p w14:paraId="01C7A207">
                  <w:pPr>
                    <w:widowControl/>
                    <w:adjustRightInd w:val="0"/>
                    <w:snapToGrid w:val="0"/>
                    <w:jc w:val="center"/>
                    <w:rPr>
                      <w:rFonts w:hint="default" w:ascii="宋体" w:hAnsi="宋体" w:eastAsia="宋体" w:cs="宋体"/>
                      <w:color w:val="000000" w:themeColor="text1"/>
                      <w:kern w:val="0"/>
                      <w:sz w:val="21"/>
                      <w:szCs w:val="21"/>
                      <w:u w:val="none" w:color="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u w:val="none" w:color="auto"/>
                      <w:lang w:eastAsia="zh-CN"/>
                      <w14:textFill>
                        <w14:solidFill>
                          <w14:schemeClr w14:val="tx1"/>
                        </w14:solidFill>
                      </w14:textFill>
                    </w:rPr>
                    <w:t>斜皮带输送机</w:t>
                  </w:r>
                  <w:r>
                    <w:rPr>
                      <w:rFonts w:hint="eastAsia" w:ascii="宋体" w:hAnsi="宋体" w:eastAsia="宋体" w:cs="宋体"/>
                      <w:color w:val="000000" w:themeColor="text1"/>
                      <w:kern w:val="0"/>
                      <w:sz w:val="21"/>
                      <w:szCs w:val="21"/>
                      <w:u w:val="none" w:color="auto"/>
                      <w:lang w:val="en-US" w:eastAsia="zh-CN"/>
                      <w14:textFill>
                        <w14:solidFill>
                          <w14:schemeClr w14:val="tx1"/>
                        </w14:solidFill>
                      </w14:textFill>
                    </w:rPr>
                    <w:t xml:space="preserve"> </w:t>
                  </w:r>
                </w:p>
              </w:tc>
              <w:tc>
                <w:tcPr>
                  <w:tcW w:w="868" w:type="pct"/>
                  <w:noWrap w:val="0"/>
                  <w:vAlign w:val="center"/>
                </w:tcPr>
                <w:p w14:paraId="7F721A9F">
                  <w:pPr>
                    <w:snapToGrid w:val="0"/>
                    <w:jc w:val="center"/>
                    <w:rPr>
                      <w:rFonts w:hint="eastAsia" w:cs="Times New Roman"/>
                      <w:i w:val="0"/>
                      <w:iCs w:val="0"/>
                      <w:u w:val="none" w:color="auto"/>
                      <w:lang w:val="en-US" w:eastAsia="zh-CN"/>
                    </w:rPr>
                  </w:pPr>
                  <w:r>
                    <w:rPr>
                      <w:rFonts w:hint="eastAsia" w:cs="Times New Roman"/>
                      <w:i w:val="0"/>
                      <w:iCs w:val="0"/>
                      <w:u w:val="none" w:color="auto"/>
                      <w:lang w:val="en-US" w:eastAsia="zh-CN"/>
                    </w:rPr>
                    <w:t>/</w:t>
                  </w:r>
                </w:p>
              </w:tc>
              <w:tc>
                <w:tcPr>
                  <w:tcW w:w="515" w:type="pct"/>
                  <w:shd w:val="clear" w:color="auto" w:fill="auto"/>
                  <w:noWrap w:val="0"/>
                  <w:vAlign w:val="center"/>
                </w:tcPr>
                <w:p w14:paraId="4D898275">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w:t>
                  </w:r>
                </w:p>
              </w:tc>
              <w:tc>
                <w:tcPr>
                  <w:tcW w:w="510" w:type="pct"/>
                  <w:noWrap w:val="0"/>
                  <w:vAlign w:val="center"/>
                </w:tcPr>
                <w:p w14:paraId="6E2B6A29">
                  <w:pPr>
                    <w:snapToGrid w:val="0"/>
                    <w:jc w:val="center"/>
                    <w:rPr>
                      <w:rFonts w:hint="eastAsia" w:cs="Times New Roman"/>
                      <w:i w:val="0"/>
                      <w:iCs w:val="0"/>
                      <w:u w:val="none" w:color="auto"/>
                      <w:lang w:eastAsia="zh-CN"/>
                    </w:rPr>
                  </w:pPr>
                  <w:r>
                    <w:rPr>
                      <w:rFonts w:hint="eastAsia" w:cs="Times New Roman"/>
                      <w:i w:val="0"/>
                      <w:iCs w:val="0"/>
                      <w:u w:val="none" w:color="auto"/>
                      <w:lang w:eastAsia="zh-CN"/>
                    </w:rPr>
                    <w:t>套</w:t>
                  </w:r>
                </w:p>
              </w:tc>
              <w:tc>
                <w:tcPr>
                  <w:tcW w:w="1522" w:type="pct"/>
                  <w:noWrap w:val="0"/>
                  <w:vAlign w:val="center"/>
                </w:tcPr>
                <w:p w14:paraId="12A5A1D0">
                  <w:pPr>
                    <w:snapToGrid w:val="0"/>
                    <w:jc w:val="center"/>
                    <w:rPr>
                      <w:rFonts w:hint="eastAsia" w:ascii="Times New Roman" w:hAnsi="Times New Roman" w:eastAsia="宋体" w:cs="Times New Roman"/>
                      <w:i w:val="0"/>
                      <w:iCs w:val="0"/>
                      <w:highlight w:val="cyan"/>
                      <w:u w:val="none" w:color="auto"/>
                      <w:lang w:val="en-US" w:eastAsia="zh-CN"/>
                    </w:rPr>
                  </w:pPr>
                </w:p>
              </w:tc>
            </w:tr>
            <w:tr w14:paraId="6BC260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13A16100">
                  <w:pPr>
                    <w:snapToGrid w:val="0"/>
                    <w:jc w:val="center"/>
                    <w:rPr>
                      <w:rFonts w:hint="default"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14</w:t>
                  </w:r>
                </w:p>
              </w:tc>
              <w:tc>
                <w:tcPr>
                  <w:tcW w:w="1197" w:type="pct"/>
                  <w:noWrap w:val="0"/>
                  <w:vAlign w:val="center"/>
                </w:tcPr>
                <w:p w14:paraId="55F43AF6">
                  <w:pPr>
                    <w:snapToGrid w:val="0"/>
                    <w:jc w:val="center"/>
                    <w:rPr>
                      <w:rFonts w:hint="eastAsia" w:ascii="Times New Roman" w:hAnsi="Times New Roman" w:eastAsia="宋体" w:cs="Times New Roman"/>
                      <w:i w:val="0"/>
                      <w:iCs w:val="0"/>
                      <w:highlight w:val="none"/>
                      <w:u w:val="none" w:color="auto"/>
                      <w:lang w:val="en-US" w:eastAsia="zh-CN"/>
                    </w:rPr>
                  </w:pPr>
                  <w:r>
                    <w:rPr>
                      <w:rFonts w:hint="eastAsia" w:ascii="Times New Roman" w:hAnsi="Times New Roman" w:eastAsia="宋体" w:cs="Times New Roman"/>
                      <w:i w:val="0"/>
                      <w:iCs w:val="0"/>
                      <w:highlight w:val="none"/>
                      <w:u w:val="none" w:color="auto"/>
                    </w:rPr>
                    <w:t>罐车</w:t>
                  </w:r>
                </w:p>
              </w:tc>
              <w:tc>
                <w:tcPr>
                  <w:tcW w:w="868" w:type="pct"/>
                  <w:noWrap w:val="0"/>
                  <w:vAlign w:val="center"/>
                </w:tcPr>
                <w:p w14:paraId="4F3B9F49">
                  <w:pPr>
                    <w:snapToGrid w:val="0"/>
                    <w:jc w:val="center"/>
                    <w:rPr>
                      <w:rFonts w:hint="default" w:ascii="Times New Roman" w:hAnsi="Times New Roman" w:eastAsia="宋体" w:cs="Times New Roman"/>
                      <w:i w:val="0"/>
                      <w:iCs w:val="0"/>
                      <w:highlight w:val="none"/>
                      <w:u w:val="none" w:color="auto"/>
                      <w:lang w:val="en-US" w:eastAsia="zh-CN"/>
                    </w:rPr>
                  </w:pPr>
                  <w:r>
                    <w:rPr>
                      <w:rFonts w:hint="eastAsia" w:ascii="Times New Roman" w:hAnsi="Times New Roman" w:eastAsia="宋体" w:cs="Times New Roman"/>
                      <w:i w:val="0"/>
                      <w:iCs w:val="0"/>
                      <w:highlight w:val="none"/>
                      <w:u w:val="none" w:color="auto"/>
                      <w:lang w:val="en-US" w:eastAsia="zh-CN"/>
                    </w:rPr>
                    <w:t>12</w:t>
                  </w:r>
                  <w:r>
                    <w:rPr>
                      <w:rFonts w:hint="eastAsia" w:cs="Times New Roman"/>
                      <w:i w:val="0"/>
                      <w:iCs w:val="0"/>
                      <w:highlight w:val="none"/>
                      <w:u w:val="none" w:color="auto"/>
                      <w:lang w:val="en-US" w:eastAsia="zh-CN"/>
                    </w:rPr>
                    <w:t>m</w:t>
                  </w:r>
                  <w:r>
                    <w:rPr>
                      <w:rFonts w:hint="eastAsia" w:cs="Times New Roman"/>
                      <w:i w:val="0"/>
                      <w:iCs w:val="0"/>
                      <w:highlight w:val="none"/>
                      <w:u w:val="none" w:color="auto"/>
                      <w:vertAlign w:val="superscript"/>
                      <w:lang w:val="en-US" w:eastAsia="zh-CN"/>
                    </w:rPr>
                    <w:t>3</w:t>
                  </w:r>
                  <w:r>
                    <w:rPr>
                      <w:rFonts w:hint="eastAsia" w:cs="Times New Roman"/>
                      <w:i w:val="0"/>
                      <w:iCs w:val="0"/>
                      <w:color w:val="000000"/>
                      <w:highlight w:val="none"/>
                      <w:u w:val="none" w:color="auto"/>
                      <w:lang w:val="en-US" w:eastAsia="zh-CN"/>
                    </w:rPr>
                    <w:t>、</w:t>
                  </w:r>
                  <w:r>
                    <w:rPr>
                      <w:rFonts w:hint="eastAsia" w:ascii="Times New Roman" w:hAnsi="Times New Roman" w:eastAsia="宋体" w:cs="Times New Roman"/>
                      <w:i w:val="0"/>
                      <w:iCs w:val="0"/>
                      <w:highlight w:val="none"/>
                      <w:u w:val="none" w:color="auto"/>
                      <w:lang w:val="en-US" w:eastAsia="zh-CN"/>
                    </w:rPr>
                    <w:t>1</w:t>
                  </w:r>
                  <w:r>
                    <w:rPr>
                      <w:rFonts w:hint="eastAsia" w:cs="Times New Roman"/>
                      <w:i w:val="0"/>
                      <w:iCs w:val="0"/>
                      <w:highlight w:val="none"/>
                      <w:u w:val="none" w:color="auto"/>
                      <w:lang w:val="en-US" w:eastAsia="zh-CN"/>
                    </w:rPr>
                    <w:t>8m</w:t>
                  </w:r>
                  <w:r>
                    <w:rPr>
                      <w:rFonts w:hint="eastAsia" w:cs="Times New Roman"/>
                      <w:i w:val="0"/>
                      <w:iCs w:val="0"/>
                      <w:highlight w:val="none"/>
                      <w:u w:val="none" w:color="auto"/>
                      <w:vertAlign w:val="superscript"/>
                      <w:lang w:val="en-US" w:eastAsia="zh-CN"/>
                    </w:rPr>
                    <w:t>3</w:t>
                  </w:r>
                </w:p>
              </w:tc>
              <w:tc>
                <w:tcPr>
                  <w:tcW w:w="515" w:type="pct"/>
                  <w:noWrap w:val="0"/>
                  <w:vAlign w:val="center"/>
                </w:tcPr>
                <w:p w14:paraId="505F87E8">
                  <w:pPr>
                    <w:snapToGrid w:val="0"/>
                    <w:jc w:val="center"/>
                    <w:rPr>
                      <w:rFonts w:hint="default" w:ascii="Times New Roman" w:hAnsi="Times New Roman" w:eastAsia="宋体" w:cs="Times New Roman"/>
                      <w:i w:val="0"/>
                      <w:iCs w:val="0"/>
                      <w:highlight w:val="none"/>
                      <w:u w:val="none" w:color="auto"/>
                      <w:lang w:val="en-US" w:eastAsia="zh-CN"/>
                    </w:rPr>
                  </w:pPr>
                  <w:r>
                    <w:rPr>
                      <w:rFonts w:hint="eastAsia" w:cs="Times New Roman"/>
                      <w:i w:val="0"/>
                      <w:iCs w:val="0"/>
                      <w:highlight w:val="none"/>
                      <w:u w:val="none" w:color="auto"/>
                      <w:lang w:val="en-US" w:eastAsia="zh-CN"/>
                    </w:rPr>
                    <w:t>6</w:t>
                  </w:r>
                </w:p>
              </w:tc>
              <w:tc>
                <w:tcPr>
                  <w:tcW w:w="510" w:type="pct"/>
                  <w:noWrap w:val="0"/>
                  <w:vAlign w:val="center"/>
                </w:tcPr>
                <w:p w14:paraId="4BE16732">
                  <w:pPr>
                    <w:snapToGrid w:val="0"/>
                    <w:jc w:val="center"/>
                    <w:rPr>
                      <w:rFonts w:hint="eastAsia" w:ascii="Times New Roman" w:hAnsi="Times New Roman" w:eastAsia="宋体" w:cs="Times New Roman"/>
                      <w:i w:val="0"/>
                      <w:iCs w:val="0"/>
                      <w:highlight w:val="none"/>
                      <w:u w:val="none" w:color="auto"/>
                    </w:rPr>
                  </w:pPr>
                  <w:r>
                    <w:rPr>
                      <w:rFonts w:hint="eastAsia" w:ascii="Times New Roman" w:hAnsi="Times New Roman" w:eastAsia="宋体" w:cs="Times New Roman"/>
                      <w:i w:val="0"/>
                      <w:iCs w:val="0"/>
                      <w:highlight w:val="none"/>
                      <w:u w:val="none" w:color="auto"/>
                    </w:rPr>
                    <w:t>台</w:t>
                  </w:r>
                </w:p>
              </w:tc>
              <w:tc>
                <w:tcPr>
                  <w:tcW w:w="1522" w:type="pct"/>
                  <w:noWrap w:val="0"/>
                  <w:vAlign w:val="center"/>
                </w:tcPr>
                <w:p w14:paraId="31C2859D">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1台</w:t>
                  </w:r>
                  <w:r>
                    <w:rPr>
                      <w:rFonts w:hint="eastAsia" w:ascii="Times New Roman" w:hAnsi="Times New Roman" w:eastAsia="宋体" w:cs="Times New Roman"/>
                      <w:i w:val="0"/>
                      <w:iCs w:val="0"/>
                      <w:highlight w:val="none"/>
                      <w:u w:val="none" w:color="auto"/>
                      <w:lang w:val="en-US" w:eastAsia="zh-CN"/>
                    </w:rPr>
                    <w:t>12</w:t>
                  </w:r>
                  <w:r>
                    <w:rPr>
                      <w:rFonts w:hint="eastAsia" w:cs="Times New Roman"/>
                      <w:i w:val="0"/>
                      <w:iCs w:val="0"/>
                      <w:highlight w:val="none"/>
                      <w:u w:val="none" w:color="auto"/>
                      <w:lang w:val="en-US" w:eastAsia="zh-CN"/>
                    </w:rPr>
                    <w:t>m</w:t>
                  </w:r>
                  <w:r>
                    <w:rPr>
                      <w:rFonts w:hint="eastAsia" w:cs="Times New Roman"/>
                      <w:i w:val="0"/>
                      <w:iCs w:val="0"/>
                      <w:highlight w:val="none"/>
                      <w:u w:val="none" w:color="auto"/>
                      <w:vertAlign w:val="superscript"/>
                      <w:lang w:val="en-US" w:eastAsia="zh-CN"/>
                    </w:rPr>
                    <w:t>3</w:t>
                  </w:r>
                  <w:r>
                    <w:rPr>
                      <w:rFonts w:hint="eastAsia" w:cs="Times New Roman"/>
                      <w:i w:val="0"/>
                      <w:iCs w:val="0"/>
                      <w:color w:val="000000"/>
                      <w:highlight w:val="none"/>
                      <w:u w:val="none" w:color="auto"/>
                      <w:lang w:val="en-US" w:eastAsia="zh-CN"/>
                    </w:rPr>
                    <w:t>、5台</w:t>
                  </w:r>
                  <w:r>
                    <w:rPr>
                      <w:rFonts w:hint="eastAsia" w:ascii="Times New Roman" w:hAnsi="Times New Roman" w:eastAsia="宋体" w:cs="Times New Roman"/>
                      <w:i w:val="0"/>
                      <w:iCs w:val="0"/>
                      <w:highlight w:val="none"/>
                      <w:u w:val="none" w:color="auto"/>
                      <w:lang w:val="en-US" w:eastAsia="zh-CN"/>
                    </w:rPr>
                    <w:t>1</w:t>
                  </w:r>
                  <w:r>
                    <w:rPr>
                      <w:rFonts w:hint="eastAsia" w:cs="Times New Roman"/>
                      <w:i w:val="0"/>
                      <w:iCs w:val="0"/>
                      <w:highlight w:val="none"/>
                      <w:u w:val="none" w:color="auto"/>
                      <w:lang w:val="en-US" w:eastAsia="zh-CN"/>
                    </w:rPr>
                    <w:t>8m</w:t>
                  </w:r>
                  <w:r>
                    <w:rPr>
                      <w:rFonts w:hint="eastAsia" w:cs="Times New Roman"/>
                      <w:i w:val="0"/>
                      <w:iCs w:val="0"/>
                      <w:highlight w:val="none"/>
                      <w:u w:val="none" w:color="auto"/>
                      <w:vertAlign w:val="superscript"/>
                      <w:lang w:val="en-US" w:eastAsia="zh-CN"/>
                    </w:rPr>
                    <w:t>3</w:t>
                  </w:r>
                </w:p>
              </w:tc>
            </w:tr>
            <w:tr w14:paraId="47EE8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299B3242">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15</w:t>
                  </w:r>
                </w:p>
              </w:tc>
              <w:tc>
                <w:tcPr>
                  <w:tcW w:w="1197" w:type="pct"/>
                  <w:noWrap w:val="0"/>
                  <w:vAlign w:val="center"/>
                </w:tcPr>
                <w:p w14:paraId="745FF6AF">
                  <w:pPr>
                    <w:snapToGrid w:val="0"/>
                    <w:jc w:val="center"/>
                    <w:rPr>
                      <w:rFonts w:hint="eastAsia" w:ascii="Times New Roman" w:hAnsi="Times New Roman" w:eastAsia="宋体" w:cs="Times New Roman"/>
                      <w:i w:val="0"/>
                      <w:iCs w:val="0"/>
                      <w:highlight w:val="none"/>
                      <w:u w:val="none" w:color="auto"/>
                      <w:lang w:val="en-US" w:eastAsia="zh-CN"/>
                    </w:rPr>
                  </w:pPr>
                  <w:r>
                    <w:rPr>
                      <w:rFonts w:hint="eastAsia" w:cs="Times New Roman"/>
                      <w:i w:val="0"/>
                      <w:iCs w:val="0"/>
                      <w:highlight w:val="none"/>
                      <w:u w:val="none" w:color="auto"/>
                      <w:lang w:val="en-US" w:eastAsia="zh-CN"/>
                    </w:rPr>
                    <w:t>铲车</w:t>
                  </w:r>
                </w:p>
              </w:tc>
              <w:tc>
                <w:tcPr>
                  <w:tcW w:w="868" w:type="pct"/>
                  <w:noWrap w:val="0"/>
                  <w:vAlign w:val="center"/>
                </w:tcPr>
                <w:p w14:paraId="7F15D3B7">
                  <w:pPr>
                    <w:snapToGrid w:val="0"/>
                    <w:jc w:val="center"/>
                    <w:rPr>
                      <w:rFonts w:hint="default" w:ascii="Times New Roman" w:hAnsi="Times New Roman" w:eastAsia="宋体" w:cs="Times New Roman"/>
                      <w:i w:val="0"/>
                      <w:iCs w:val="0"/>
                      <w:highlight w:val="none"/>
                      <w:u w:val="none" w:color="auto"/>
                      <w:lang w:val="en-US" w:eastAsia="zh-CN"/>
                    </w:rPr>
                  </w:pPr>
                  <w:r>
                    <w:rPr>
                      <w:rFonts w:hint="eastAsia" w:cs="Times New Roman"/>
                      <w:i w:val="0"/>
                      <w:iCs w:val="0"/>
                      <w:highlight w:val="none"/>
                      <w:u w:val="none" w:color="auto"/>
                      <w:lang w:val="en-US" w:eastAsia="zh-CN"/>
                    </w:rPr>
                    <w:t>50型、30型</w:t>
                  </w:r>
                </w:p>
              </w:tc>
              <w:tc>
                <w:tcPr>
                  <w:tcW w:w="515" w:type="pct"/>
                  <w:noWrap w:val="0"/>
                  <w:vAlign w:val="center"/>
                </w:tcPr>
                <w:p w14:paraId="0B74EEE1">
                  <w:pPr>
                    <w:snapToGrid w:val="0"/>
                    <w:jc w:val="center"/>
                    <w:rPr>
                      <w:rFonts w:hint="eastAsia" w:ascii="Times New Roman" w:hAnsi="Times New Roman" w:eastAsia="宋体" w:cs="Times New Roman"/>
                      <w:i w:val="0"/>
                      <w:iCs w:val="0"/>
                      <w:highlight w:val="none"/>
                      <w:u w:val="none" w:color="auto"/>
                      <w:lang w:val="en-US" w:eastAsia="zh-CN"/>
                    </w:rPr>
                  </w:pPr>
                  <w:r>
                    <w:rPr>
                      <w:rFonts w:hint="eastAsia" w:cs="Times New Roman"/>
                      <w:i w:val="0"/>
                      <w:iCs w:val="0"/>
                      <w:highlight w:val="none"/>
                      <w:u w:val="none" w:color="auto"/>
                      <w:lang w:val="en-US" w:eastAsia="zh-CN"/>
                    </w:rPr>
                    <w:t>2</w:t>
                  </w:r>
                </w:p>
              </w:tc>
              <w:tc>
                <w:tcPr>
                  <w:tcW w:w="510" w:type="pct"/>
                  <w:noWrap w:val="0"/>
                  <w:vAlign w:val="center"/>
                </w:tcPr>
                <w:p w14:paraId="3E852104">
                  <w:pPr>
                    <w:snapToGrid w:val="0"/>
                    <w:jc w:val="center"/>
                    <w:rPr>
                      <w:rFonts w:hint="default" w:ascii="Times New Roman" w:hAnsi="Times New Roman" w:eastAsia="宋体" w:cs="Times New Roman"/>
                      <w:i w:val="0"/>
                      <w:iCs w:val="0"/>
                      <w:highlight w:val="none"/>
                      <w:u w:val="none" w:color="auto"/>
                      <w:lang w:val="en-US" w:eastAsia="zh-CN"/>
                    </w:rPr>
                  </w:pPr>
                  <w:r>
                    <w:rPr>
                      <w:rFonts w:hint="eastAsia" w:cs="Times New Roman"/>
                      <w:i w:val="0"/>
                      <w:iCs w:val="0"/>
                      <w:highlight w:val="none"/>
                      <w:u w:val="none" w:color="auto"/>
                      <w:lang w:val="en-US" w:eastAsia="zh-CN"/>
                    </w:rPr>
                    <w:t>台</w:t>
                  </w:r>
                </w:p>
              </w:tc>
              <w:tc>
                <w:tcPr>
                  <w:tcW w:w="1522" w:type="pct"/>
                  <w:noWrap w:val="0"/>
                  <w:vAlign w:val="center"/>
                </w:tcPr>
                <w:p w14:paraId="120BE118">
                  <w:pPr>
                    <w:snapToGrid w:val="0"/>
                    <w:jc w:val="center"/>
                    <w:rPr>
                      <w:rFonts w:hint="eastAsia" w:ascii="Times New Roman" w:hAnsi="Times New Roman" w:eastAsia="宋体" w:cs="Times New Roman"/>
                      <w:i w:val="0"/>
                      <w:iCs w:val="0"/>
                      <w:u w:val="none" w:color="auto"/>
                      <w:lang w:val="en-US" w:eastAsia="zh-CN"/>
                    </w:rPr>
                  </w:pPr>
                </w:p>
              </w:tc>
            </w:tr>
            <w:tr w14:paraId="62AC5B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5772B830">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16</w:t>
                  </w:r>
                </w:p>
              </w:tc>
              <w:tc>
                <w:tcPr>
                  <w:tcW w:w="1197" w:type="pct"/>
                  <w:noWrap w:val="0"/>
                  <w:vAlign w:val="center"/>
                </w:tcPr>
                <w:p w14:paraId="632A4A15">
                  <w:pPr>
                    <w:snapToGrid w:val="0"/>
                    <w:jc w:val="center"/>
                    <w:rPr>
                      <w:rFonts w:hint="eastAsia" w:ascii="Times New Roman" w:hAnsi="Times New Roman" w:eastAsia="宋体" w:cs="Times New Roman"/>
                      <w:i w:val="0"/>
                      <w:iCs w:val="0"/>
                      <w:color w:val="000000"/>
                      <w:highlight w:val="none"/>
                      <w:u w:val="none" w:color="auto"/>
                      <w:lang w:eastAsia="zh-CN"/>
                    </w:rPr>
                  </w:pPr>
                  <w:r>
                    <w:rPr>
                      <w:rFonts w:hint="eastAsia" w:cs="Times New Roman"/>
                      <w:i w:val="0"/>
                      <w:iCs w:val="0"/>
                      <w:color w:val="000000"/>
                      <w:highlight w:val="none"/>
                      <w:u w:val="none" w:color="auto"/>
                      <w:lang w:eastAsia="zh-CN"/>
                    </w:rPr>
                    <w:t>地磅</w:t>
                  </w:r>
                </w:p>
              </w:tc>
              <w:tc>
                <w:tcPr>
                  <w:tcW w:w="868" w:type="pct"/>
                  <w:noWrap w:val="0"/>
                  <w:vAlign w:val="center"/>
                </w:tcPr>
                <w:p w14:paraId="1B27AE41">
                  <w:pPr>
                    <w:snapToGrid w:val="0"/>
                    <w:jc w:val="center"/>
                    <w:rPr>
                      <w:rFonts w:hint="default" w:ascii="Times New Roman" w:hAnsi="Times New Roman" w:eastAsia="宋体" w:cs="Times New Roman"/>
                      <w:i w:val="0"/>
                      <w:iCs w:val="0"/>
                      <w:color w:val="000000"/>
                      <w:highlight w:val="none"/>
                      <w:u w:val="none" w:color="auto"/>
                      <w:lang w:val="en-US" w:eastAsia="zh-CN"/>
                    </w:rPr>
                  </w:pPr>
                  <w:r>
                    <w:rPr>
                      <w:rFonts w:hint="eastAsia" w:cs="Times New Roman"/>
                      <w:i w:val="0"/>
                      <w:iCs w:val="0"/>
                      <w:color w:val="000000"/>
                      <w:highlight w:val="none"/>
                      <w:u w:val="none" w:color="auto"/>
                      <w:lang w:val="en-US" w:eastAsia="zh-CN"/>
                    </w:rPr>
                    <w:t>/</w:t>
                  </w:r>
                </w:p>
              </w:tc>
              <w:tc>
                <w:tcPr>
                  <w:tcW w:w="515" w:type="pct"/>
                  <w:shd w:val="clear" w:color="auto" w:fill="auto"/>
                  <w:noWrap w:val="0"/>
                  <w:vAlign w:val="center"/>
                </w:tcPr>
                <w:p w14:paraId="62D8D925">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1</w:t>
                  </w:r>
                </w:p>
              </w:tc>
              <w:tc>
                <w:tcPr>
                  <w:tcW w:w="510" w:type="pct"/>
                  <w:shd w:val="clear" w:color="auto" w:fill="auto"/>
                  <w:noWrap w:val="0"/>
                  <w:vAlign w:val="center"/>
                </w:tcPr>
                <w:p w14:paraId="11F97D8B">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eastAsia="宋体" w:cs="Times New Roman"/>
                      <w:i w:val="0"/>
                      <w:iCs w:val="0"/>
                      <w:u w:val="none" w:color="auto"/>
                      <w:lang w:eastAsia="zh-CN"/>
                    </w:rPr>
                    <w:t>台</w:t>
                  </w:r>
                </w:p>
              </w:tc>
              <w:tc>
                <w:tcPr>
                  <w:tcW w:w="1522" w:type="pct"/>
                  <w:noWrap w:val="0"/>
                  <w:vAlign w:val="center"/>
                </w:tcPr>
                <w:p w14:paraId="0A775F00">
                  <w:pPr>
                    <w:snapToGrid w:val="0"/>
                    <w:jc w:val="center"/>
                    <w:rPr>
                      <w:rFonts w:hint="eastAsia" w:ascii="Times New Roman" w:hAnsi="Times New Roman" w:eastAsia="宋体" w:cs="Times New Roman"/>
                      <w:i w:val="0"/>
                      <w:iCs w:val="0"/>
                      <w:u w:val="none" w:color="auto"/>
                      <w:lang w:val="en-US" w:eastAsia="zh-CN"/>
                    </w:rPr>
                  </w:pPr>
                </w:p>
              </w:tc>
            </w:tr>
            <w:tr w14:paraId="10ECF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4" w:type="pct"/>
                  <w:noWrap w:val="0"/>
                  <w:vAlign w:val="center"/>
                </w:tcPr>
                <w:p w14:paraId="53CB0CFB">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17</w:t>
                  </w:r>
                </w:p>
              </w:tc>
              <w:tc>
                <w:tcPr>
                  <w:tcW w:w="1197" w:type="pct"/>
                  <w:noWrap w:val="0"/>
                  <w:vAlign w:val="center"/>
                </w:tcPr>
                <w:p w14:paraId="6B6227B4">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脉冲袋式除尘器</w:t>
                  </w:r>
                </w:p>
              </w:tc>
              <w:tc>
                <w:tcPr>
                  <w:tcW w:w="868" w:type="pct"/>
                  <w:noWrap w:val="0"/>
                  <w:vAlign w:val="center"/>
                </w:tcPr>
                <w:p w14:paraId="7410E55C">
                  <w:pPr>
                    <w:snapToGrid w:val="0"/>
                    <w:jc w:val="center"/>
                    <w:rPr>
                      <w:rFonts w:hint="eastAsia" w:ascii="Times New Roman" w:hAnsi="Times New Roman" w:eastAsia="宋体" w:cs="Times New Roman"/>
                      <w:i w:val="0"/>
                      <w:iCs w:val="0"/>
                      <w:u w:val="none" w:color="auto"/>
                      <w:lang w:val="en-US" w:eastAsia="zh-CN"/>
                    </w:rPr>
                  </w:pPr>
                  <w:r>
                    <w:rPr>
                      <w:rFonts w:hint="eastAsia" w:ascii="Times New Roman" w:hAnsi="Times New Roman" w:eastAsia="宋体" w:cs="Times New Roman"/>
                      <w:i w:val="0"/>
                      <w:iCs w:val="0"/>
                      <w:u w:val="none" w:color="auto"/>
                      <w:lang w:val="en-US" w:eastAsia="zh-CN"/>
                    </w:rPr>
                    <w:t>/</w:t>
                  </w:r>
                </w:p>
              </w:tc>
              <w:tc>
                <w:tcPr>
                  <w:tcW w:w="515" w:type="pct"/>
                  <w:noWrap w:val="0"/>
                  <w:vAlign w:val="center"/>
                </w:tcPr>
                <w:p w14:paraId="1AFABEF0">
                  <w:pPr>
                    <w:snapToGrid w:val="0"/>
                    <w:jc w:val="center"/>
                    <w:rPr>
                      <w:rFonts w:hint="default" w:ascii="Times New Roman" w:hAnsi="Times New Roman" w:eastAsia="宋体" w:cs="Times New Roman"/>
                      <w:i w:val="0"/>
                      <w:iCs w:val="0"/>
                      <w:u w:val="none" w:color="auto"/>
                      <w:lang w:val="en-US" w:eastAsia="zh-CN"/>
                    </w:rPr>
                  </w:pPr>
                  <w:r>
                    <w:rPr>
                      <w:rFonts w:hint="eastAsia" w:cs="Times New Roman"/>
                      <w:i w:val="0"/>
                      <w:iCs w:val="0"/>
                      <w:u w:val="none" w:color="auto"/>
                      <w:lang w:val="en-US" w:eastAsia="zh-CN"/>
                    </w:rPr>
                    <w:t>5</w:t>
                  </w:r>
                </w:p>
              </w:tc>
              <w:tc>
                <w:tcPr>
                  <w:tcW w:w="510" w:type="pct"/>
                  <w:noWrap w:val="0"/>
                  <w:vAlign w:val="center"/>
                </w:tcPr>
                <w:p w14:paraId="7D559891">
                  <w:pPr>
                    <w:snapToGrid w:val="0"/>
                    <w:jc w:val="center"/>
                    <w:rPr>
                      <w:rFonts w:hint="eastAsia" w:ascii="Times New Roman" w:hAnsi="Times New Roman" w:eastAsia="宋体" w:cs="Times New Roman"/>
                      <w:i w:val="0"/>
                      <w:iCs w:val="0"/>
                      <w:u w:val="none" w:color="auto"/>
                    </w:rPr>
                  </w:pPr>
                  <w:r>
                    <w:rPr>
                      <w:rFonts w:hint="eastAsia" w:ascii="Times New Roman" w:hAnsi="Times New Roman" w:eastAsia="宋体" w:cs="Times New Roman"/>
                      <w:i w:val="0"/>
                      <w:iCs w:val="0"/>
                      <w:u w:val="none" w:color="auto"/>
                    </w:rPr>
                    <w:t>套</w:t>
                  </w:r>
                </w:p>
              </w:tc>
              <w:tc>
                <w:tcPr>
                  <w:tcW w:w="1522" w:type="pct"/>
                  <w:noWrap w:val="0"/>
                  <w:vAlign w:val="center"/>
                </w:tcPr>
                <w:p w14:paraId="3C23D6CC">
                  <w:pPr>
                    <w:snapToGrid w:val="0"/>
                    <w:jc w:val="center"/>
                    <w:rPr>
                      <w:rFonts w:hint="eastAsia" w:ascii="Times New Roman" w:hAnsi="Times New Roman" w:eastAsia="宋体" w:cs="Times New Roman"/>
                      <w:i w:val="0"/>
                      <w:iCs w:val="0"/>
                      <w:u w:val="none" w:color="auto"/>
                      <w:lang w:val="en-US" w:eastAsia="zh-CN"/>
                    </w:rPr>
                  </w:pPr>
                  <w:r>
                    <w:rPr>
                      <w:rFonts w:hint="eastAsia" w:ascii="Times New Roman" w:hAnsi="Times New Roman" w:eastAsia="宋体" w:cs="Times New Roman"/>
                      <w:i w:val="0"/>
                      <w:iCs w:val="0"/>
                      <w:u w:val="none" w:color="auto"/>
                    </w:rPr>
                    <w:t>粉料</w:t>
                  </w:r>
                  <w:r>
                    <w:rPr>
                      <w:rFonts w:hint="eastAsia" w:cs="Times New Roman"/>
                      <w:i w:val="0"/>
                      <w:iCs w:val="0"/>
                      <w:u w:val="none" w:color="auto"/>
                      <w:lang w:eastAsia="zh-CN"/>
                    </w:rPr>
                    <w:t>筒仓</w:t>
                  </w:r>
                  <w:r>
                    <w:rPr>
                      <w:rFonts w:hint="eastAsia" w:ascii="Times New Roman" w:hAnsi="Times New Roman" w:eastAsia="宋体" w:cs="Times New Roman"/>
                      <w:i w:val="0"/>
                      <w:iCs w:val="0"/>
                      <w:u w:val="none" w:color="auto"/>
                    </w:rPr>
                    <w:t>自带，各1套</w:t>
                  </w:r>
                  <w:r>
                    <w:rPr>
                      <w:rFonts w:hint="eastAsia" w:eastAsia="宋体" w:cs="Times New Roman"/>
                      <w:i w:val="0"/>
                      <w:iCs w:val="0"/>
                      <w:u w:val="none" w:color="auto"/>
                      <w:lang w:eastAsia="zh-CN"/>
                    </w:rPr>
                    <w:t>，</w:t>
                  </w:r>
                  <w:r>
                    <w:rPr>
                      <w:rFonts w:hint="eastAsia" w:ascii="Times New Roman" w:hAnsi="Times New Roman" w:eastAsia="宋体" w:cs="Times New Roman"/>
                      <w:i w:val="0"/>
                      <w:iCs w:val="0"/>
                      <w:u w:val="none" w:color="auto"/>
                    </w:rPr>
                    <w:t>搅拌</w:t>
                  </w:r>
                  <w:r>
                    <w:rPr>
                      <w:rFonts w:hint="eastAsia" w:cs="Times New Roman"/>
                      <w:i w:val="0"/>
                      <w:iCs w:val="0"/>
                      <w:u w:val="none" w:color="auto"/>
                      <w:lang w:val="en-US" w:eastAsia="zh-CN"/>
                    </w:rPr>
                    <w:t>机</w:t>
                  </w:r>
                  <w:r>
                    <w:rPr>
                      <w:rFonts w:hint="eastAsia" w:ascii="Times New Roman" w:hAnsi="Times New Roman" w:eastAsia="宋体" w:cs="Times New Roman"/>
                      <w:i w:val="0"/>
                      <w:iCs w:val="0"/>
                      <w:u w:val="none" w:color="auto"/>
                    </w:rPr>
                    <w:t>集尘</w:t>
                  </w:r>
                  <w:r>
                    <w:rPr>
                      <w:rFonts w:hint="eastAsia" w:cs="Times New Roman"/>
                      <w:i w:val="0"/>
                      <w:iCs w:val="0"/>
                      <w:u w:val="none" w:color="auto"/>
                      <w:lang w:val="en-US" w:eastAsia="zh-CN"/>
                    </w:rPr>
                    <w:t>1套</w:t>
                  </w:r>
                </w:p>
              </w:tc>
            </w:tr>
            <w:tr w14:paraId="0EA458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000" w:type="pct"/>
                  <w:gridSpan w:val="6"/>
                  <w:noWrap w:val="0"/>
                  <w:vAlign w:val="center"/>
                </w:tcPr>
                <w:p w14:paraId="270A6ACB">
                  <w:pPr>
                    <w:snapToGrid w:val="0"/>
                    <w:jc w:val="center"/>
                    <w:rPr>
                      <w:rFonts w:hint="eastAsia" w:ascii="Times New Roman" w:hAnsi="Times New Roman" w:eastAsia="宋体" w:cs="Times New Roman"/>
                      <w:i w:val="0"/>
                      <w:iCs w:val="0"/>
                      <w:u w:val="none" w:color="auto"/>
                      <w:lang w:eastAsia="zh-CN"/>
                    </w:rPr>
                  </w:pPr>
                  <w:r>
                    <w:rPr>
                      <w:rFonts w:hint="eastAsia" w:cs="Times New Roman"/>
                      <w:i w:val="0"/>
                      <w:iCs w:val="0"/>
                      <w:u w:val="none" w:color="auto"/>
                      <w:lang w:eastAsia="zh-CN"/>
                    </w:rPr>
                    <w:t>化验用</w:t>
                  </w:r>
                </w:p>
              </w:tc>
            </w:tr>
            <w:tr w14:paraId="747C29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6AB4F3B9">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1</w:t>
                  </w:r>
                </w:p>
              </w:tc>
              <w:tc>
                <w:tcPr>
                  <w:tcW w:w="1197" w:type="pct"/>
                  <w:shd w:val="clear" w:color="auto" w:fill="auto"/>
                  <w:noWrap w:val="0"/>
                  <w:vAlign w:val="top"/>
                </w:tcPr>
                <w:p w14:paraId="2AEDC661">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水泥净浆搅拌机</w:t>
                  </w:r>
                </w:p>
              </w:tc>
              <w:tc>
                <w:tcPr>
                  <w:tcW w:w="868" w:type="pct"/>
                  <w:shd w:val="clear" w:color="auto" w:fill="auto"/>
                  <w:noWrap w:val="0"/>
                  <w:vAlign w:val="top"/>
                </w:tcPr>
                <w:p w14:paraId="714F9CF3">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NJ-160</w:t>
                  </w:r>
                </w:p>
              </w:tc>
              <w:tc>
                <w:tcPr>
                  <w:tcW w:w="515" w:type="pct"/>
                  <w:shd w:val="clear" w:color="auto" w:fill="auto"/>
                  <w:noWrap w:val="0"/>
                  <w:vAlign w:val="top"/>
                </w:tcPr>
                <w:p w14:paraId="5BF53A3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05F913A6">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78FA8938">
                  <w:pPr>
                    <w:snapToGrid w:val="0"/>
                    <w:jc w:val="center"/>
                    <w:rPr>
                      <w:rFonts w:hint="eastAsia" w:ascii="Times New Roman" w:hAnsi="Times New Roman" w:eastAsia="宋体" w:cs="Times New Roman"/>
                      <w:i w:val="0"/>
                      <w:iCs w:val="0"/>
                      <w:u w:val="none" w:color="auto"/>
                    </w:rPr>
                  </w:pPr>
                </w:p>
              </w:tc>
            </w:tr>
            <w:tr w14:paraId="32CD84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77088C9F">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2</w:t>
                  </w:r>
                </w:p>
              </w:tc>
              <w:tc>
                <w:tcPr>
                  <w:tcW w:w="1197" w:type="pct"/>
                  <w:shd w:val="clear" w:color="auto" w:fill="auto"/>
                  <w:noWrap w:val="0"/>
                  <w:vAlign w:val="top"/>
                </w:tcPr>
                <w:p w14:paraId="3A9F6265">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水泥胶砂搅拌机</w:t>
                  </w:r>
                </w:p>
              </w:tc>
              <w:tc>
                <w:tcPr>
                  <w:tcW w:w="868" w:type="pct"/>
                  <w:shd w:val="clear" w:color="auto" w:fill="auto"/>
                  <w:noWrap w:val="0"/>
                  <w:vAlign w:val="top"/>
                </w:tcPr>
                <w:p w14:paraId="4D6DF4A1">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JJ-5</w:t>
                  </w:r>
                </w:p>
              </w:tc>
              <w:tc>
                <w:tcPr>
                  <w:tcW w:w="515" w:type="pct"/>
                  <w:shd w:val="clear" w:color="auto" w:fill="auto"/>
                  <w:noWrap w:val="0"/>
                  <w:vAlign w:val="top"/>
                </w:tcPr>
                <w:p w14:paraId="437A51C6">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4AF8689E">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0474646C">
                  <w:pPr>
                    <w:snapToGrid w:val="0"/>
                    <w:jc w:val="center"/>
                    <w:rPr>
                      <w:rFonts w:hint="eastAsia" w:ascii="Times New Roman" w:hAnsi="Times New Roman" w:eastAsia="宋体" w:cs="Times New Roman"/>
                      <w:i w:val="0"/>
                      <w:iCs w:val="0"/>
                      <w:u w:val="none" w:color="auto"/>
                    </w:rPr>
                  </w:pPr>
                </w:p>
              </w:tc>
            </w:tr>
            <w:tr w14:paraId="59E51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6A13FE1B">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ascii="Times New Roman" w:hAnsi="Times New Roman" w:eastAsia="宋体" w:cs="Times New Roman"/>
                      <w:i w:val="0"/>
                      <w:iCs w:val="0"/>
                      <w:u w:val="none" w:color="auto"/>
                    </w:rPr>
                    <w:t>3</w:t>
                  </w:r>
                </w:p>
              </w:tc>
              <w:tc>
                <w:tcPr>
                  <w:tcW w:w="1197" w:type="pct"/>
                  <w:shd w:val="clear" w:color="auto" w:fill="auto"/>
                  <w:noWrap w:val="0"/>
                  <w:vAlign w:val="top"/>
                </w:tcPr>
                <w:p w14:paraId="1311955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水泥胶砂振实台</w:t>
                  </w:r>
                </w:p>
              </w:tc>
              <w:tc>
                <w:tcPr>
                  <w:tcW w:w="868" w:type="pct"/>
                  <w:shd w:val="clear" w:color="auto" w:fill="auto"/>
                  <w:noWrap w:val="0"/>
                  <w:vAlign w:val="top"/>
                </w:tcPr>
                <w:p w14:paraId="223831FD">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ZT-96</w:t>
                  </w:r>
                </w:p>
              </w:tc>
              <w:tc>
                <w:tcPr>
                  <w:tcW w:w="515" w:type="pct"/>
                  <w:shd w:val="clear" w:color="auto" w:fill="auto"/>
                  <w:noWrap w:val="0"/>
                  <w:vAlign w:val="top"/>
                </w:tcPr>
                <w:p w14:paraId="67FAECF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41666350">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113C5EE0">
                  <w:pPr>
                    <w:snapToGrid w:val="0"/>
                    <w:jc w:val="center"/>
                    <w:rPr>
                      <w:rFonts w:hint="eastAsia" w:ascii="Times New Roman" w:hAnsi="Times New Roman" w:eastAsia="宋体" w:cs="Times New Roman"/>
                      <w:i w:val="0"/>
                      <w:iCs w:val="0"/>
                      <w:u w:val="none" w:color="auto"/>
                    </w:rPr>
                  </w:pPr>
                </w:p>
              </w:tc>
            </w:tr>
            <w:tr w14:paraId="1275D2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4" w:type="pct"/>
                  <w:shd w:val="clear" w:color="auto" w:fill="auto"/>
                  <w:noWrap w:val="0"/>
                  <w:vAlign w:val="center"/>
                </w:tcPr>
                <w:p w14:paraId="4B4355F6">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4</w:t>
                  </w:r>
                </w:p>
              </w:tc>
              <w:tc>
                <w:tcPr>
                  <w:tcW w:w="1197" w:type="pct"/>
                  <w:shd w:val="clear" w:color="auto" w:fill="auto"/>
                  <w:noWrap w:val="0"/>
                  <w:vAlign w:val="top"/>
                </w:tcPr>
                <w:p w14:paraId="03C23833">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水泥胶砂流动度测定仪</w:t>
                  </w:r>
                </w:p>
              </w:tc>
              <w:tc>
                <w:tcPr>
                  <w:tcW w:w="868" w:type="pct"/>
                  <w:shd w:val="clear" w:color="auto" w:fill="auto"/>
                  <w:noWrap w:val="0"/>
                  <w:vAlign w:val="top"/>
                </w:tcPr>
                <w:p w14:paraId="367FE6C6">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NLD-3</w:t>
                  </w:r>
                </w:p>
              </w:tc>
              <w:tc>
                <w:tcPr>
                  <w:tcW w:w="515" w:type="pct"/>
                  <w:shd w:val="clear" w:color="auto" w:fill="auto"/>
                  <w:noWrap w:val="0"/>
                  <w:vAlign w:val="top"/>
                </w:tcPr>
                <w:p w14:paraId="3A7678FE">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20AB4434">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69D2E08B">
                  <w:pPr>
                    <w:snapToGrid w:val="0"/>
                    <w:jc w:val="center"/>
                    <w:rPr>
                      <w:rFonts w:hint="eastAsia" w:ascii="Times New Roman" w:hAnsi="Times New Roman" w:eastAsia="宋体" w:cs="Times New Roman"/>
                      <w:i w:val="0"/>
                      <w:iCs w:val="0"/>
                      <w:u w:val="none" w:color="auto"/>
                    </w:rPr>
                  </w:pPr>
                </w:p>
              </w:tc>
            </w:tr>
            <w:tr w14:paraId="716B2D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3D33D6C5">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5</w:t>
                  </w:r>
                </w:p>
              </w:tc>
              <w:tc>
                <w:tcPr>
                  <w:tcW w:w="1197" w:type="pct"/>
                  <w:shd w:val="clear" w:color="auto" w:fill="auto"/>
                  <w:noWrap w:val="0"/>
                  <w:vAlign w:val="top"/>
                </w:tcPr>
                <w:p w14:paraId="7A76BE6D">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沸煮箱</w:t>
                  </w:r>
                </w:p>
              </w:tc>
              <w:tc>
                <w:tcPr>
                  <w:tcW w:w="868" w:type="pct"/>
                  <w:shd w:val="clear" w:color="auto" w:fill="auto"/>
                  <w:noWrap w:val="0"/>
                  <w:vAlign w:val="top"/>
                </w:tcPr>
                <w:p w14:paraId="171E3FB1">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FZ-31A</w:t>
                  </w:r>
                </w:p>
              </w:tc>
              <w:tc>
                <w:tcPr>
                  <w:tcW w:w="515" w:type="pct"/>
                  <w:shd w:val="clear" w:color="auto" w:fill="auto"/>
                  <w:noWrap w:val="0"/>
                  <w:vAlign w:val="top"/>
                </w:tcPr>
                <w:p w14:paraId="255906A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6F7C9C5A">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6274B4D2">
                  <w:pPr>
                    <w:snapToGrid w:val="0"/>
                    <w:jc w:val="center"/>
                    <w:rPr>
                      <w:rFonts w:hint="eastAsia" w:ascii="Times New Roman" w:hAnsi="Times New Roman" w:eastAsia="宋体" w:cs="Times New Roman"/>
                      <w:i w:val="0"/>
                      <w:iCs w:val="0"/>
                      <w:u w:val="none" w:color="auto"/>
                    </w:rPr>
                  </w:pPr>
                </w:p>
              </w:tc>
            </w:tr>
            <w:tr w14:paraId="1AA660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2F807414">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6</w:t>
                  </w:r>
                </w:p>
              </w:tc>
              <w:tc>
                <w:tcPr>
                  <w:tcW w:w="1197" w:type="pct"/>
                  <w:shd w:val="clear" w:color="auto" w:fill="auto"/>
                  <w:noWrap w:val="0"/>
                  <w:vAlign w:val="top"/>
                </w:tcPr>
                <w:p w14:paraId="0721812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胶砂试模</w:t>
                  </w:r>
                </w:p>
              </w:tc>
              <w:tc>
                <w:tcPr>
                  <w:tcW w:w="868" w:type="pct"/>
                  <w:shd w:val="clear" w:color="auto" w:fill="auto"/>
                  <w:noWrap w:val="0"/>
                  <w:vAlign w:val="top"/>
                </w:tcPr>
                <w:p w14:paraId="3675C0E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40*40*160</w:t>
                  </w:r>
                </w:p>
              </w:tc>
              <w:tc>
                <w:tcPr>
                  <w:tcW w:w="515" w:type="pct"/>
                  <w:shd w:val="clear" w:color="auto" w:fill="auto"/>
                  <w:noWrap w:val="0"/>
                  <w:vAlign w:val="top"/>
                </w:tcPr>
                <w:p w14:paraId="17030462">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5</w:t>
                  </w:r>
                </w:p>
              </w:tc>
              <w:tc>
                <w:tcPr>
                  <w:tcW w:w="510" w:type="pct"/>
                  <w:noWrap w:val="0"/>
                  <w:vAlign w:val="center"/>
                </w:tcPr>
                <w:p w14:paraId="6E064EA0">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个</w:t>
                  </w:r>
                </w:p>
              </w:tc>
              <w:tc>
                <w:tcPr>
                  <w:tcW w:w="1522" w:type="pct"/>
                  <w:noWrap w:val="0"/>
                  <w:vAlign w:val="center"/>
                </w:tcPr>
                <w:p w14:paraId="5D8C0687">
                  <w:pPr>
                    <w:snapToGrid w:val="0"/>
                    <w:jc w:val="center"/>
                    <w:rPr>
                      <w:rFonts w:hint="eastAsia" w:ascii="Times New Roman" w:hAnsi="Times New Roman" w:eastAsia="宋体" w:cs="Times New Roman"/>
                      <w:i w:val="0"/>
                      <w:iCs w:val="0"/>
                      <w:u w:val="none" w:color="auto"/>
                    </w:rPr>
                  </w:pPr>
                </w:p>
              </w:tc>
            </w:tr>
            <w:tr w14:paraId="6993AE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0827C767">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7</w:t>
                  </w:r>
                </w:p>
              </w:tc>
              <w:tc>
                <w:tcPr>
                  <w:tcW w:w="1197" w:type="pct"/>
                  <w:shd w:val="clear" w:color="auto" w:fill="auto"/>
                  <w:noWrap w:val="0"/>
                  <w:vAlign w:val="top"/>
                </w:tcPr>
                <w:p w14:paraId="011FCFC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抗压夹具</w:t>
                  </w:r>
                </w:p>
              </w:tc>
              <w:tc>
                <w:tcPr>
                  <w:tcW w:w="868" w:type="pct"/>
                  <w:shd w:val="clear" w:color="auto" w:fill="auto"/>
                  <w:noWrap w:val="0"/>
                  <w:vAlign w:val="top"/>
                </w:tcPr>
                <w:p w14:paraId="1F148D8E">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043CAA4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2853DC8D">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个</w:t>
                  </w:r>
                </w:p>
              </w:tc>
              <w:tc>
                <w:tcPr>
                  <w:tcW w:w="1522" w:type="pct"/>
                  <w:noWrap w:val="0"/>
                  <w:vAlign w:val="center"/>
                </w:tcPr>
                <w:p w14:paraId="677EC8FF">
                  <w:pPr>
                    <w:snapToGrid w:val="0"/>
                    <w:jc w:val="center"/>
                    <w:rPr>
                      <w:rFonts w:hint="eastAsia" w:ascii="Times New Roman" w:hAnsi="Times New Roman" w:eastAsia="宋体" w:cs="Times New Roman"/>
                      <w:i w:val="0"/>
                      <w:iCs w:val="0"/>
                      <w:u w:val="none" w:color="auto"/>
                    </w:rPr>
                  </w:pPr>
                </w:p>
              </w:tc>
            </w:tr>
            <w:tr w14:paraId="0570D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3797B75E">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8</w:t>
                  </w:r>
                </w:p>
              </w:tc>
              <w:tc>
                <w:tcPr>
                  <w:tcW w:w="1197" w:type="pct"/>
                  <w:shd w:val="clear" w:color="auto" w:fill="auto"/>
                  <w:noWrap w:val="0"/>
                  <w:vAlign w:val="top"/>
                </w:tcPr>
                <w:p w14:paraId="35515863">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雷氏夹测定仪</w:t>
                  </w:r>
                </w:p>
              </w:tc>
              <w:tc>
                <w:tcPr>
                  <w:tcW w:w="868" w:type="pct"/>
                  <w:shd w:val="clear" w:color="auto" w:fill="auto"/>
                  <w:noWrap w:val="0"/>
                  <w:vAlign w:val="top"/>
                </w:tcPr>
                <w:p w14:paraId="01E7FA8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LD-50</w:t>
                  </w:r>
                </w:p>
              </w:tc>
              <w:tc>
                <w:tcPr>
                  <w:tcW w:w="515" w:type="pct"/>
                  <w:shd w:val="clear" w:color="auto" w:fill="auto"/>
                  <w:noWrap w:val="0"/>
                  <w:vAlign w:val="top"/>
                </w:tcPr>
                <w:p w14:paraId="42B004D9">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74260572">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4C743FEB">
                  <w:pPr>
                    <w:snapToGrid w:val="0"/>
                    <w:jc w:val="center"/>
                    <w:rPr>
                      <w:rFonts w:hint="eastAsia" w:ascii="Times New Roman" w:hAnsi="Times New Roman" w:eastAsia="宋体" w:cs="Times New Roman"/>
                      <w:i w:val="0"/>
                      <w:iCs w:val="0"/>
                      <w:u w:val="none" w:color="auto"/>
                    </w:rPr>
                  </w:pPr>
                </w:p>
              </w:tc>
            </w:tr>
            <w:tr w14:paraId="66BBA9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4B773EAA">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9</w:t>
                  </w:r>
                </w:p>
              </w:tc>
              <w:tc>
                <w:tcPr>
                  <w:tcW w:w="1197" w:type="pct"/>
                  <w:shd w:val="clear" w:color="auto" w:fill="auto"/>
                  <w:noWrap w:val="0"/>
                  <w:vAlign w:val="top"/>
                </w:tcPr>
                <w:p w14:paraId="399D19E2">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砂子压碎仪</w:t>
                  </w:r>
                </w:p>
              </w:tc>
              <w:tc>
                <w:tcPr>
                  <w:tcW w:w="868" w:type="pct"/>
                  <w:shd w:val="clear" w:color="auto" w:fill="auto"/>
                  <w:noWrap w:val="0"/>
                  <w:vAlign w:val="top"/>
                </w:tcPr>
                <w:p w14:paraId="07C2D2B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5802CC5D">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0FABB684">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4E4EE5EB">
                  <w:pPr>
                    <w:snapToGrid w:val="0"/>
                    <w:jc w:val="center"/>
                    <w:rPr>
                      <w:rFonts w:hint="eastAsia" w:ascii="Times New Roman" w:hAnsi="Times New Roman" w:eastAsia="宋体" w:cs="Times New Roman"/>
                      <w:i w:val="0"/>
                      <w:iCs w:val="0"/>
                      <w:u w:val="none" w:color="auto"/>
                    </w:rPr>
                  </w:pPr>
                </w:p>
              </w:tc>
            </w:tr>
            <w:tr w14:paraId="468A6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189EE57A">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10</w:t>
                  </w:r>
                </w:p>
              </w:tc>
              <w:tc>
                <w:tcPr>
                  <w:tcW w:w="1197" w:type="pct"/>
                  <w:shd w:val="clear" w:color="auto" w:fill="auto"/>
                  <w:noWrap w:val="0"/>
                  <w:vAlign w:val="top"/>
                </w:tcPr>
                <w:p w14:paraId="5AB60D1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水泥标准稠度仪</w:t>
                  </w:r>
                </w:p>
              </w:tc>
              <w:tc>
                <w:tcPr>
                  <w:tcW w:w="868" w:type="pct"/>
                  <w:shd w:val="clear" w:color="auto" w:fill="auto"/>
                  <w:noWrap w:val="0"/>
                  <w:vAlign w:val="top"/>
                </w:tcPr>
                <w:p w14:paraId="7C9BC7D9">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ISO</w:t>
                  </w:r>
                </w:p>
              </w:tc>
              <w:tc>
                <w:tcPr>
                  <w:tcW w:w="515" w:type="pct"/>
                  <w:shd w:val="clear" w:color="auto" w:fill="auto"/>
                  <w:noWrap w:val="0"/>
                  <w:vAlign w:val="top"/>
                </w:tcPr>
                <w:p w14:paraId="7AEC539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75BEE231">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7AEFB9B5">
                  <w:pPr>
                    <w:snapToGrid w:val="0"/>
                    <w:jc w:val="center"/>
                    <w:rPr>
                      <w:rFonts w:hint="eastAsia" w:ascii="Times New Roman" w:hAnsi="Times New Roman" w:eastAsia="宋体" w:cs="Times New Roman"/>
                      <w:i w:val="0"/>
                      <w:iCs w:val="0"/>
                      <w:u w:val="none" w:color="auto"/>
                    </w:rPr>
                  </w:pPr>
                </w:p>
              </w:tc>
            </w:tr>
            <w:tr w14:paraId="3F918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2587BD80">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11</w:t>
                  </w:r>
                </w:p>
              </w:tc>
              <w:tc>
                <w:tcPr>
                  <w:tcW w:w="1197" w:type="pct"/>
                  <w:shd w:val="clear" w:color="auto" w:fill="auto"/>
                  <w:noWrap w:val="0"/>
                  <w:vAlign w:val="top"/>
                </w:tcPr>
                <w:p w14:paraId="30B9CF1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负压筛析仪</w:t>
                  </w:r>
                </w:p>
              </w:tc>
              <w:tc>
                <w:tcPr>
                  <w:tcW w:w="868" w:type="pct"/>
                  <w:shd w:val="clear" w:color="auto" w:fill="auto"/>
                  <w:noWrap w:val="0"/>
                  <w:vAlign w:val="top"/>
                </w:tcPr>
                <w:p w14:paraId="77F3239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FYS-150B</w:t>
                  </w:r>
                </w:p>
              </w:tc>
              <w:tc>
                <w:tcPr>
                  <w:tcW w:w="515" w:type="pct"/>
                  <w:shd w:val="clear" w:color="auto" w:fill="auto"/>
                  <w:noWrap w:val="0"/>
                  <w:vAlign w:val="top"/>
                </w:tcPr>
                <w:p w14:paraId="250B2302">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795169E5">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185984CF">
                  <w:pPr>
                    <w:snapToGrid w:val="0"/>
                    <w:jc w:val="center"/>
                    <w:rPr>
                      <w:rFonts w:hint="eastAsia" w:ascii="Times New Roman" w:hAnsi="Times New Roman" w:eastAsia="宋体" w:cs="Times New Roman"/>
                      <w:i w:val="0"/>
                      <w:iCs w:val="0"/>
                      <w:u w:val="none" w:color="auto"/>
                    </w:rPr>
                  </w:pPr>
                </w:p>
              </w:tc>
            </w:tr>
            <w:tr w14:paraId="014670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08DB280B">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12</w:t>
                  </w:r>
                </w:p>
              </w:tc>
              <w:tc>
                <w:tcPr>
                  <w:tcW w:w="1197" w:type="pct"/>
                  <w:shd w:val="clear" w:color="auto" w:fill="auto"/>
                  <w:noWrap w:val="0"/>
                  <w:vAlign w:val="top"/>
                </w:tcPr>
                <w:p w14:paraId="23591F6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水泥留样桶</w:t>
                  </w:r>
                </w:p>
              </w:tc>
              <w:tc>
                <w:tcPr>
                  <w:tcW w:w="868" w:type="pct"/>
                  <w:shd w:val="clear" w:color="auto" w:fill="auto"/>
                  <w:noWrap w:val="0"/>
                  <w:vAlign w:val="top"/>
                </w:tcPr>
                <w:p w14:paraId="1417C0B5">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02BB3C23">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6</w:t>
                  </w:r>
                </w:p>
              </w:tc>
              <w:tc>
                <w:tcPr>
                  <w:tcW w:w="510" w:type="pct"/>
                  <w:noWrap w:val="0"/>
                  <w:vAlign w:val="center"/>
                </w:tcPr>
                <w:p w14:paraId="57936015">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eastAsia"/>
                      <w:b w:val="0"/>
                      <w:i w:val="0"/>
                      <w:caps w:val="0"/>
                      <w:spacing w:val="0"/>
                      <w:w w:val="100"/>
                      <w:sz w:val="21"/>
                      <w:u w:val="none" w:color="auto"/>
                      <w:lang w:val="en-US" w:eastAsia="zh-CN"/>
                    </w:rPr>
                    <w:t>个</w:t>
                  </w:r>
                </w:p>
              </w:tc>
              <w:tc>
                <w:tcPr>
                  <w:tcW w:w="1522" w:type="pct"/>
                  <w:noWrap w:val="0"/>
                  <w:vAlign w:val="center"/>
                </w:tcPr>
                <w:p w14:paraId="5B86CCAC">
                  <w:pPr>
                    <w:snapToGrid w:val="0"/>
                    <w:jc w:val="center"/>
                    <w:rPr>
                      <w:rFonts w:hint="eastAsia" w:ascii="Times New Roman" w:hAnsi="Times New Roman" w:eastAsia="宋体" w:cs="Times New Roman"/>
                      <w:i w:val="0"/>
                      <w:iCs w:val="0"/>
                      <w:u w:val="none" w:color="auto"/>
                    </w:rPr>
                  </w:pPr>
                </w:p>
              </w:tc>
            </w:tr>
            <w:tr w14:paraId="5F7462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shd w:val="clear" w:color="auto" w:fill="auto"/>
                  <w:noWrap w:val="0"/>
                  <w:vAlign w:val="center"/>
                </w:tcPr>
                <w:p w14:paraId="33D5EE8A">
                  <w:pPr>
                    <w:snapToGrid w:val="0"/>
                    <w:jc w:val="center"/>
                    <w:rPr>
                      <w:rFonts w:hint="eastAsia" w:ascii="Times New Roman" w:hAnsi="Times New Roman" w:eastAsia="宋体" w:cs="Times New Roman"/>
                      <w:i w:val="0"/>
                      <w:iCs w:val="0"/>
                      <w:kern w:val="2"/>
                      <w:sz w:val="21"/>
                      <w:szCs w:val="24"/>
                      <w:u w:val="none" w:color="auto"/>
                      <w:lang w:val="en-US" w:eastAsia="zh-CN" w:bidi="ar-SA"/>
                    </w:rPr>
                  </w:pPr>
                  <w:r>
                    <w:rPr>
                      <w:rFonts w:hint="eastAsia" w:cs="Times New Roman"/>
                      <w:i w:val="0"/>
                      <w:iCs w:val="0"/>
                      <w:u w:val="none" w:color="auto"/>
                      <w:lang w:val="en-US" w:eastAsia="zh-CN"/>
                    </w:rPr>
                    <w:t>13</w:t>
                  </w:r>
                </w:p>
              </w:tc>
              <w:tc>
                <w:tcPr>
                  <w:tcW w:w="1197" w:type="pct"/>
                  <w:shd w:val="clear" w:color="auto" w:fill="auto"/>
                  <w:noWrap w:val="0"/>
                  <w:vAlign w:val="top"/>
                </w:tcPr>
                <w:p w14:paraId="576DFCC5">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水泥恒温养护箱</w:t>
                  </w:r>
                </w:p>
              </w:tc>
              <w:tc>
                <w:tcPr>
                  <w:tcW w:w="868" w:type="pct"/>
                  <w:shd w:val="clear" w:color="auto" w:fill="auto"/>
                  <w:noWrap w:val="0"/>
                  <w:vAlign w:val="top"/>
                </w:tcPr>
                <w:p w14:paraId="7AFDD04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YH-40B</w:t>
                  </w:r>
                </w:p>
              </w:tc>
              <w:tc>
                <w:tcPr>
                  <w:tcW w:w="515" w:type="pct"/>
                  <w:shd w:val="clear" w:color="auto" w:fill="auto"/>
                  <w:noWrap w:val="0"/>
                  <w:vAlign w:val="top"/>
                </w:tcPr>
                <w:p w14:paraId="46DDDD8A">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3F0EF773">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74B70877">
                  <w:pPr>
                    <w:snapToGrid w:val="0"/>
                    <w:jc w:val="center"/>
                    <w:rPr>
                      <w:rFonts w:hint="eastAsia" w:ascii="Times New Roman" w:hAnsi="Times New Roman" w:eastAsia="宋体" w:cs="Times New Roman"/>
                      <w:i w:val="0"/>
                      <w:iCs w:val="0"/>
                      <w:u w:val="none" w:color="auto"/>
                    </w:rPr>
                  </w:pPr>
                </w:p>
              </w:tc>
            </w:tr>
            <w:tr w14:paraId="508579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03A1B3EE">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14</w:t>
                  </w:r>
                </w:p>
              </w:tc>
              <w:tc>
                <w:tcPr>
                  <w:tcW w:w="1197" w:type="pct"/>
                  <w:shd w:val="clear" w:color="auto" w:fill="auto"/>
                  <w:noWrap w:val="0"/>
                  <w:vAlign w:val="top"/>
                </w:tcPr>
                <w:p w14:paraId="1BE8B8F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强制式搅拌机</w:t>
                  </w:r>
                </w:p>
              </w:tc>
              <w:tc>
                <w:tcPr>
                  <w:tcW w:w="868" w:type="pct"/>
                  <w:shd w:val="clear" w:color="auto" w:fill="auto"/>
                  <w:noWrap w:val="0"/>
                  <w:vAlign w:val="top"/>
                </w:tcPr>
                <w:p w14:paraId="00409DD6">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HJW-60</w:t>
                  </w:r>
                </w:p>
              </w:tc>
              <w:tc>
                <w:tcPr>
                  <w:tcW w:w="515" w:type="pct"/>
                  <w:shd w:val="clear" w:color="auto" w:fill="auto"/>
                  <w:noWrap w:val="0"/>
                  <w:vAlign w:val="top"/>
                </w:tcPr>
                <w:p w14:paraId="0D703E33">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7CBFBE3F">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lang w:val="zh-TW" w:eastAsia="zh-TW"/>
                      <w14:textFill>
                        <w14:solidFill>
                          <w14:schemeClr w14:val="tx1"/>
                        </w14:solidFill>
                      </w14:textFill>
                    </w:rPr>
                    <w:t>台</w:t>
                  </w:r>
                </w:p>
              </w:tc>
              <w:tc>
                <w:tcPr>
                  <w:tcW w:w="1522" w:type="pct"/>
                  <w:noWrap w:val="0"/>
                  <w:vAlign w:val="center"/>
                </w:tcPr>
                <w:p w14:paraId="6D8EFCF4">
                  <w:pPr>
                    <w:snapToGrid w:val="0"/>
                    <w:jc w:val="center"/>
                    <w:rPr>
                      <w:rFonts w:hint="eastAsia" w:ascii="Times New Roman" w:hAnsi="Times New Roman" w:eastAsia="宋体" w:cs="Times New Roman"/>
                      <w:i w:val="0"/>
                      <w:iCs w:val="0"/>
                      <w:u w:val="none" w:color="auto"/>
                    </w:rPr>
                  </w:pPr>
                </w:p>
              </w:tc>
            </w:tr>
            <w:tr w14:paraId="65FE15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1705C332">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15</w:t>
                  </w:r>
                </w:p>
              </w:tc>
              <w:tc>
                <w:tcPr>
                  <w:tcW w:w="1197" w:type="pct"/>
                  <w:shd w:val="clear" w:color="auto" w:fill="auto"/>
                  <w:noWrap w:val="0"/>
                  <w:vAlign w:val="top"/>
                </w:tcPr>
                <w:p w14:paraId="4E2AA729">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振动台</w:t>
                  </w:r>
                </w:p>
              </w:tc>
              <w:tc>
                <w:tcPr>
                  <w:tcW w:w="868" w:type="pct"/>
                  <w:shd w:val="clear" w:color="auto" w:fill="auto"/>
                  <w:noWrap w:val="0"/>
                  <w:vAlign w:val="top"/>
                </w:tcPr>
                <w:p w14:paraId="74B85175">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1M</w:t>
                  </w:r>
                </w:p>
              </w:tc>
              <w:tc>
                <w:tcPr>
                  <w:tcW w:w="515" w:type="pct"/>
                  <w:shd w:val="clear" w:color="auto" w:fill="auto"/>
                  <w:noWrap w:val="0"/>
                  <w:vAlign w:val="top"/>
                </w:tcPr>
                <w:p w14:paraId="6BC7B3E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71E3978D">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lang w:val="zh-TW" w:eastAsia="zh-TW"/>
                      <w14:textFill>
                        <w14:solidFill>
                          <w14:schemeClr w14:val="tx1"/>
                        </w14:solidFill>
                      </w14:textFill>
                    </w:rPr>
                    <w:t>台</w:t>
                  </w:r>
                </w:p>
              </w:tc>
              <w:tc>
                <w:tcPr>
                  <w:tcW w:w="1522" w:type="pct"/>
                  <w:noWrap w:val="0"/>
                  <w:vAlign w:val="center"/>
                </w:tcPr>
                <w:p w14:paraId="1F990A98">
                  <w:pPr>
                    <w:snapToGrid w:val="0"/>
                    <w:jc w:val="center"/>
                    <w:rPr>
                      <w:rFonts w:hint="eastAsia" w:ascii="Times New Roman" w:hAnsi="Times New Roman" w:eastAsia="宋体" w:cs="Times New Roman"/>
                      <w:i w:val="0"/>
                      <w:iCs w:val="0"/>
                      <w:u w:val="none" w:color="auto"/>
                    </w:rPr>
                  </w:pPr>
                </w:p>
              </w:tc>
            </w:tr>
            <w:tr w14:paraId="07F964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29B27F0A">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16</w:t>
                  </w:r>
                </w:p>
              </w:tc>
              <w:tc>
                <w:tcPr>
                  <w:tcW w:w="1197" w:type="pct"/>
                  <w:shd w:val="clear" w:color="auto" w:fill="auto"/>
                  <w:noWrap w:val="0"/>
                  <w:vAlign w:val="top"/>
                </w:tcPr>
                <w:p w14:paraId="6E5DCAA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干燥箱</w:t>
                  </w:r>
                </w:p>
              </w:tc>
              <w:tc>
                <w:tcPr>
                  <w:tcW w:w="868" w:type="pct"/>
                  <w:shd w:val="clear" w:color="auto" w:fill="auto"/>
                  <w:noWrap w:val="0"/>
                  <w:vAlign w:val="top"/>
                </w:tcPr>
                <w:p w14:paraId="5E44DF5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101-2</w:t>
                  </w:r>
                </w:p>
              </w:tc>
              <w:tc>
                <w:tcPr>
                  <w:tcW w:w="515" w:type="pct"/>
                  <w:shd w:val="clear" w:color="auto" w:fill="auto"/>
                  <w:noWrap w:val="0"/>
                  <w:vAlign w:val="top"/>
                </w:tcPr>
                <w:p w14:paraId="0A3C3136">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3A27497F">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eastAsia"/>
                      <w:b w:val="0"/>
                      <w:i w:val="0"/>
                      <w:caps w:val="0"/>
                      <w:spacing w:val="0"/>
                      <w:w w:val="100"/>
                      <w:sz w:val="21"/>
                      <w:u w:val="none" w:color="auto"/>
                      <w:lang w:val="en-US" w:eastAsia="zh-CN"/>
                    </w:rPr>
                    <w:t>台</w:t>
                  </w:r>
                </w:p>
              </w:tc>
              <w:tc>
                <w:tcPr>
                  <w:tcW w:w="1522" w:type="pct"/>
                  <w:noWrap w:val="0"/>
                  <w:vAlign w:val="center"/>
                </w:tcPr>
                <w:p w14:paraId="53C311CF">
                  <w:pPr>
                    <w:snapToGrid w:val="0"/>
                    <w:jc w:val="center"/>
                    <w:rPr>
                      <w:rFonts w:hint="eastAsia" w:ascii="Times New Roman" w:hAnsi="Times New Roman" w:eastAsia="宋体" w:cs="Times New Roman"/>
                      <w:i w:val="0"/>
                      <w:iCs w:val="0"/>
                      <w:u w:val="none" w:color="auto"/>
                    </w:rPr>
                  </w:pPr>
                </w:p>
              </w:tc>
            </w:tr>
            <w:tr w14:paraId="766510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0BBF1933">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17</w:t>
                  </w:r>
                </w:p>
              </w:tc>
              <w:tc>
                <w:tcPr>
                  <w:tcW w:w="1197" w:type="pct"/>
                  <w:shd w:val="clear" w:color="auto" w:fill="auto"/>
                  <w:noWrap w:val="0"/>
                  <w:vAlign w:val="top"/>
                </w:tcPr>
                <w:p w14:paraId="61CD73D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砂石筛</w:t>
                  </w:r>
                </w:p>
              </w:tc>
              <w:tc>
                <w:tcPr>
                  <w:tcW w:w="868" w:type="pct"/>
                  <w:shd w:val="clear" w:color="auto" w:fill="auto"/>
                  <w:noWrap w:val="0"/>
                  <w:vAlign w:val="top"/>
                </w:tcPr>
                <w:p w14:paraId="4EB7CC5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直径</w:t>
                  </w:r>
                  <w:r>
                    <w:rPr>
                      <w:rFonts w:hint="eastAsia"/>
                      <w:b w:val="0"/>
                      <w:i w:val="0"/>
                      <w:caps w:val="0"/>
                      <w:spacing w:val="0"/>
                      <w:w w:val="100"/>
                      <w:sz w:val="21"/>
                      <w:u w:val="none" w:color="auto"/>
                      <w:lang w:val="en-US" w:eastAsia="zh-CN"/>
                    </w:rPr>
                    <w:t>300</w:t>
                  </w:r>
                </w:p>
              </w:tc>
              <w:tc>
                <w:tcPr>
                  <w:tcW w:w="515" w:type="pct"/>
                  <w:shd w:val="clear" w:color="auto" w:fill="auto"/>
                  <w:noWrap w:val="0"/>
                  <w:vAlign w:val="top"/>
                </w:tcPr>
                <w:p w14:paraId="49F3AEA9">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05B051D2">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套</w:t>
                  </w:r>
                </w:p>
              </w:tc>
              <w:tc>
                <w:tcPr>
                  <w:tcW w:w="1522" w:type="pct"/>
                  <w:noWrap w:val="0"/>
                  <w:vAlign w:val="center"/>
                </w:tcPr>
                <w:p w14:paraId="1F789A4E">
                  <w:pPr>
                    <w:snapToGrid w:val="0"/>
                    <w:jc w:val="center"/>
                    <w:rPr>
                      <w:rFonts w:hint="eastAsia" w:ascii="Times New Roman" w:hAnsi="Times New Roman" w:eastAsia="宋体" w:cs="Times New Roman"/>
                      <w:i w:val="0"/>
                      <w:iCs w:val="0"/>
                      <w:u w:val="none" w:color="auto"/>
                    </w:rPr>
                  </w:pPr>
                </w:p>
              </w:tc>
            </w:tr>
            <w:tr w14:paraId="34602A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018F7595">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18</w:t>
                  </w:r>
                </w:p>
              </w:tc>
              <w:tc>
                <w:tcPr>
                  <w:tcW w:w="1197" w:type="pct"/>
                  <w:shd w:val="clear" w:color="auto" w:fill="auto"/>
                  <w:noWrap w:val="0"/>
                  <w:vAlign w:val="top"/>
                </w:tcPr>
                <w:p w14:paraId="6CDA8E16">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石子筛</w:t>
                  </w:r>
                </w:p>
              </w:tc>
              <w:tc>
                <w:tcPr>
                  <w:tcW w:w="868" w:type="pct"/>
                  <w:shd w:val="clear" w:color="auto" w:fill="auto"/>
                  <w:noWrap w:val="0"/>
                  <w:vAlign w:val="top"/>
                </w:tcPr>
                <w:p w14:paraId="09982DF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eastAsia="zh-CN"/>
                    </w:rPr>
                    <w:t>直径</w:t>
                  </w:r>
                  <w:r>
                    <w:rPr>
                      <w:rFonts w:hint="eastAsia"/>
                      <w:b w:val="0"/>
                      <w:i w:val="0"/>
                      <w:caps w:val="0"/>
                      <w:spacing w:val="0"/>
                      <w:w w:val="100"/>
                      <w:sz w:val="21"/>
                      <w:u w:val="none" w:color="auto"/>
                      <w:lang w:val="en-US" w:eastAsia="zh-CN"/>
                    </w:rPr>
                    <w:t>300</w:t>
                  </w:r>
                </w:p>
              </w:tc>
              <w:tc>
                <w:tcPr>
                  <w:tcW w:w="515" w:type="pct"/>
                  <w:shd w:val="clear" w:color="auto" w:fill="auto"/>
                  <w:noWrap w:val="0"/>
                  <w:vAlign w:val="top"/>
                </w:tcPr>
                <w:p w14:paraId="7C905DF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09D44B45">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eastAsia"/>
                      <w:b w:val="0"/>
                      <w:i w:val="0"/>
                      <w:caps w:val="0"/>
                      <w:spacing w:val="0"/>
                      <w:w w:val="100"/>
                      <w:sz w:val="21"/>
                      <w:u w:val="none" w:color="auto"/>
                      <w:lang w:val="en-US" w:eastAsia="zh-CN"/>
                    </w:rPr>
                    <w:t>套</w:t>
                  </w:r>
                </w:p>
              </w:tc>
              <w:tc>
                <w:tcPr>
                  <w:tcW w:w="1522" w:type="pct"/>
                  <w:noWrap w:val="0"/>
                  <w:vAlign w:val="center"/>
                </w:tcPr>
                <w:p w14:paraId="2F366417">
                  <w:pPr>
                    <w:snapToGrid w:val="0"/>
                    <w:jc w:val="center"/>
                    <w:rPr>
                      <w:rFonts w:hint="eastAsia" w:ascii="Times New Roman" w:hAnsi="Times New Roman" w:eastAsia="宋体" w:cs="Times New Roman"/>
                      <w:i w:val="0"/>
                      <w:iCs w:val="0"/>
                      <w:u w:val="none" w:color="auto"/>
                    </w:rPr>
                  </w:pPr>
                </w:p>
              </w:tc>
            </w:tr>
            <w:tr w14:paraId="3587E8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322FD828">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19</w:t>
                  </w:r>
                </w:p>
              </w:tc>
              <w:tc>
                <w:tcPr>
                  <w:tcW w:w="1197" w:type="pct"/>
                  <w:shd w:val="clear" w:color="auto" w:fill="auto"/>
                  <w:noWrap w:val="0"/>
                  <w:vAlign w:val="center"/>
                </w:tcPr>
                <w:p w14:paraId="387C44E1">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针片状规准仪</w:t>
                  </w:r>
                </w:p>
              </w:tc>
              <w:tc>
                <w:tcPr>
                  <w:tcW w:w="868" w:type="pct"/>
                  <w:shd w:val="clear" w:color="auto" w:fill="auto"/>
                  <w:noWrap w:val="0"/>
                  <w:vAlign w:val="center"/>
                </w:tcPr>
                <w:p w14:paraId="34F5B97D">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p>
              </w:tc>
              <w:tc>
                <w:tcPr>
                  <w:tcW w:w="515" w:type="pct"/>
                  <w:shd w:val="clear" w:color="auto" w:fill="auto"/>
                  <w:noWrap w:val="0"/>
                  <w:vAlign w:val="center"/>
                </w:tcPr>
                <w:p w14:paraId="5A330498">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en-US"/>
                      <w14:textFill>
                        <w14:solidFill>
                          <w14:schemeClr w14:val="tx1"/>
                        </w14:solidFill>
                      </w14:textFill>
                    </w:rPr>
                    <w:t>1</w:t>
                  </w:r>
                </w:p>
              </w:tc>
              <w:tc>
                <w:tcPr>
                  <w:tcW w:w="510" w:type="pct"/>
                  <w:noWrap w:val="0"/>
                  <w:vAlign w:val="center"/>
                </w:tcPr>
                <w:p w14:paraId="410D8D41">
                  <w:pPr>
                    <w:snapToGrid w:val="0"/>
                    <w:jc w:val="center"/>
                    <w:rPr>
                      <w:rFonts w:hint="default" w:ascii="Times New Roman" w:hAnsi="Times New Roman" w:eastAsia="宋体" w:cs="Times New Roman"/>
                      <w:i w:val="0"/>
                      <w:iCs w:val="0"/>
                      <w:color w:val="000000" w:themeColor="text1"/>
                      <w:u w:val="none" w:color="auto"/>
                      <w:lang w:val="en-US" w:eastAsia="zh-CN"/>
                      <w14:textFill>
                        <w14:solidFill>
                          <w14:schemeClr w14:val="tx1"/>
                        </w14:solidFill>
                      </w14:textFill>
                    </w:rPr>
                  </w:pPr>
                  <w:r>
                    <w:rPr>
                      <w:rFonts w:hint="eastAsia" w:cs="Times New Roman"/>
                      <w:i w:val="0"/>
                      <w:iCs w:val="0"/>
                      <w:color w:val="000000" w:themeColor="text1"/>
                      <w:u w:val="none" w:color="auto"/>
                      <w:lang w:val="en-US" w:eastAsia="zh-CN"/>
                      <w14:textFill>
                        <w14:solidFill>
                          <w14:schemeClr w14:val="tx1"/>
                        </w14:solidFill>
                      </w14:textFill>
                    </w:rPr>
                    <w:t>台</w:t>
                  </w:r>
                </w:p>
              </w:tc>
              <w:tc>
                <w:tcPr>
                  <w:tcW w:w="1522" w:type="pct"/>
                  <w:noWrap w:val="0"/>
                  <w:vAlign w:val="center"/>
                </w:tcPr>
                <w:p w14:paraId="6192727B">
                  <w:pPr>
                    <w:snapToGrid w:val="0"/>
                    <w:jc w:val="center"/>
                    <w:rPr>
                      <w:rFonts w:hint="eastAsia" w:ascii="Times New Roman" w:hAnsi="Times New Roman" w:eastAsia="宋体" w:cs="Times New Roman"/>
                      <w:i w:val="0"/>
                      <w:iCs w:val="0"/>
                      <w:u w:val="none" w:color="auto"/>
                    </w:rPr>
                  </w:pPr>
                </w:p>
              </w:tc>
            </w:tr>
            <w:tr w14:paraId="022C71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3C2539C5">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20</w:t>
                  </w:r>
                </w:p>
              </w:tc>
              <w:tc>
                <w:tcPr>
                  <w:tcW w:w="1197" w:type="pct"/>
                  <w:shd w:val="clear" w:color="auto" w:fill="auto"/>
                  <w:noWrap w:val="0"/>
                  <w:vAlign w:val="center"/>
                </w:tcPr>
                <w:p w14:paraId="08A7F077">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回弹仪</w:t>
                  </w:r>
                </w:p>
              </w:tc>
              <w:tc>
                <w:tcPr>
                  <w:tcW w:w="868" w:type="pct"/>
                  <w:shd w:val="clear" w:color="auto" w:fill="auto"/>
                  <w:noWrap w:val="0"/>
                  <w:vAlign w:val="center"/>
                </w:tcPr>
                <w:p w14:paraId="2AFA9D71">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p>
              </w:tc>
              <w:tc>
                <w:tcPr>
                  <w:tcW w:w="515" w:type="pct"/>
                  <w:shd w:val="clear" w:color="auto" w:fill="auto"/>
                  <w:noWrap w:val="0"/>
                  <w:vAlign w:val="center"/>
                </w:tcPr>
                <w:p w14:paraId="5B73CCD6">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en-US"/>
                      <w14:textFill>
                        <w14:solidFill>
                          <w14:schemeClr w14:val="tx1"/>
                        </w14:solidFill>
                      </w14:textFill>
                    </w:rPr>
                    <w:t>1</w:t>
                  </w:r>
                </w:p>
              </w:tc>
              <w:tc>
                <w:tcPr>
                  <w:tcW w:w="510" w:type="pct"/>
                  <w:noWrap w:val="0"/>
                  <w:vAlign w:val="center"/>
                </w:tcPr>
                <w:p w14:paraId="728DC5EB">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18731170">
                  <w:pPr>
                    <w:snapToGrid w:val="0"/>
                    <w:jc w:val="center"/>
                    <w:rPr>
                      <w:rFonts w:hint="eastAsia" w:ascii="Times New Roman" w:hAnsi="Times New Roman" w:eastAsia="宋体" w:cs="Times New Roman"/>
                      <w:i w:val="0"/>
                      <w:iCs w:val="0"/>
                      <w:u w:val="none" w:color="auto"/>
                    </w:rPr>
                  </w:pPr>
                </w:p>
              </w:tc>
            </w:tr>
            <w:tr w14:paraId="22DA6E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163E1D85">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21</w:t>
                  </w:r>
                </w:p>
              </w:tc>
              <w:tc>
                <w:tcPr>
                  <w:tcW w:w="1197" w:type="pct"/>
                  <w:shd w:val="clear" w:color="auto" w:fill="auto"/>
                  <w:noWrap w:val="0"/>
                  <w:vAlign w:val="center"/>
                </w:tcPr>
                <w:p w14:paraId="18EEA72D">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压力机</w:t>
                  </w:r>
                </w:p>
              </w:tc>
              <w:tc>
                <w:tcPr>
                  <w:tcW w:w="868" w:type="pct"/>
                  <w:shd w:val="clear" w:color="auto" w:fill="auto"/>
                  <w:noWrap w:val="0"/>
                  <w:vAlign w:val="center"/>
                </w:tcPr>
                <w:p w14:paraId="706DE657">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en-US"/>
                      <w14:textFill>
                        <w14:solidFill>
                          <w14:schemeClr w14:val="tx1"/>
                        </w14:solidFill>
                      </w14:textFill>
                    </w:rPr>
                    <w:t>30</w:t>
                  </w: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吨</w:t>
                  </w:r>
                </w:p>
              </w:tc>
              <w:tc>
                <w:tcPr>
                  <w:tcW w:w="515" w:type="pct"/>
                  <w:shd w:val="clear" w:color="auto" w:fill="auto"/>
                  <w:noWrap w:val="0"/>
                  <w:vAlign w:val="center"/>
                </w:tcPr>
                <w:p w14:paraId="0CFED61E">
                  <w:pPr>
                    <w:jc w:val="center"/>
                    <w:rPr>
                      <w:rFonts w:hint="eastAsia"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eastAsia" w:cs="Times New Roman"/>
                      <w:color w:val="000000" w:themeColor="text1"/>
                      <w:u w:val="none" w:color="auto"/>
                      <w:shd w:val="clear" w:color="auto" w:fill="auto"/>
                      <w:lang w:val="en-US" w:eastAsia="zh-CN"/>
                      <w14:textFill>
                        <w14:solidFill>
                          <w14:schemeClr w14:val="tx1"/>
                        </w14:solidFill>
                      </w14:textFill>
                    </w:rPr>
                    <w:t>2</w:t>
                  </w:r>
                </w:p>
              </w:tc>
              <w:tc>
                <w:tcPr>
                  <w:tcW w:w="510" w:type="pct"/>
                  <w:noWrap w:val="0"/>
                  <w:vAlign w:val="center"/>
                </w:tcPr>
                <w:p w14:paraId="5B0CF537">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4EBED45E">
                  <w:pPr>
                    <w:snapToGrid w:val="0"/>
                    <w:jc w:val="center"/>
                    <w:rPr>
                      <w:rFonts w:hint="eastAsia" w:ascii="Times New Roman" w:hAnsi="Times New Roman" w:eastAsia="宋体" w:cs="Times New Roman"/>
                      <w:i w:val="0"/>
                      <w:iCs w:val="0"/>
                      <w:u w:val="none" w:color="auto"/>
                    </w:rPr>
                  </w:pPr>
                </w:p>
              </w:tc>
            </w:tr>
            <w:tr w14:paraId="66540F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42C831A3">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22</w:t>
                  </w:r>
                </w:p>
              </w:tc>
              <w:tc>
                <w:tcPr>
                  <w:tcW w:w="1197" w:type="pct"/>
                  <w:shd w:val="clear" w:color="auto" w:fill="auto"/>
                  <w:noWrap w:val="0"/>
                  <w:vAlign w:val="center"/>
                </w:tcPr>
                <w:p w14:paraId="7780F7EE">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数显压力机</w:t>
                  </w:r>
                </w:p>
              </w:tc>
              <w:tc>
                <w:tcPr>
                  <w:tcW w:w="868" w:type="pct"/>
                  <w:shd w:val="clear" w:color="auto" w:fill="auto"/>
                  <w:noWrap w:val="0"/>
                  <w:vAlign w:val="center"/>
                </w:tcPr>
                <w:p w14:paraId="13A83D9B">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en-US"/>
                      <w14:textFill>
                        <w14:solidFill>
                          <w14:schemeClr w14:val="tx1"/>
                        </w14:solidFill>
                      </w14:textFill>
                    </w:rPr>
                    <w:t>200</w:t>
                  </w: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吨</w:t>
                  </w:r>
                </w:p>
              </w:tc>
              <w:tc>
                <w:tcPr>
                  <w:tcW w:w="515" w:type="pct"/>
                  <w:shd w:val="clear" w:color="auto" w:fill="auto"/>
                  <w:noWrap w:val="0"/>
                  <w:vAlign w:val="center"/>
                </w:tcPr>
                <w:p w14:paraId="0FE21696">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en-US"/>
                      <w14:textFill>
                        <w14:solidFill>
                          <w14:schemeClr w14:val="tx1"/>
                        </w14:solidFill>
                      </w14:textFill>
                    </w:rPr>
                    <w:t>1</w:t>
                  </w:r>
                </w:p>
              </w:tc>
              <w:tc>
                <w:tcPr>
                  <w:tcW w:w="510" w:type="pct"/>
                  <w:noWrap w:val="0"/>
                  <w:vAlign w:val="center"/>
                </w:tcPr>
                <w:p w14:paraId="49445072">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0B75D336">
                  <w:pPr>
                    <w:snapToGrid w:val="0"/>
                    <w:jc w:val="center"/>
                    <w:rPr>
                      <w:rFonts w:hint="eastAsia" w:ascii="Times New Roman" w:hAnsi="Times New Roman" w:eastAsia="宋体" w:cs="Times New Roman"/>
                      <w:i w:val="0"/>
                      <w:iCs w:val="0"/>
                      <w:u w:val="none" w:color="auto"/>
                    </w:rPr>
                  </w:pPr>
                </w:p>
              </w:tc>
            </w:tr>
            <w:tr w14:paraId="14EB65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183C6EE7">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23</w:t>
                  </w:r>
                </w:p>
              </w:tc>
              <w:tc>
                <w:tcPr>
                  <w:tcW w:w="1197" w:type="pct"/>
                  <w:shd w:val="clear" w:color="auto" w:fill="auto"/>
                  <w:noWrap w:val="0"/>
                  <w:vAlign w:val="center"/>
                </w:tcPr>
                <w:p w14:paraId="57FFF2DC">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抗压试模</w:t>
                  </w:r>
                </w:p>
              </w:tc>
              <w:tc>
                <w:tcPr>
                  <w:tcW w:w="868" w:type="pct"/>
                  <w:shd w:val="clear" w:color="auto" w:fill="auto"/>
                  <w:noWrap w:val="0"/>
                  <w:vAlign w:val="center"/>
                </w:tcPr>
                <w:p w14:paraId="255FC0AA">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en-US"/>
                      <w14:textFill>
                        <w14:solidFill>
                          <w14:schemeClr w14:val="tx1"/>
                        </w14:solidFill>
                      </w14:textFill>
                    </w:rPr>
                    <w:t>150</w:t>
                  </w: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方</w:t>
                  </w:r>
                </w:p>
              </w:tc>
              <w:tc>
                <w:tcPr>
                  <w:tcW w:w="515" w:type="pct"/>
                  <w:shd w:val="clear" w:color="auto" w:fill="auto"/>
                  <w:noWrap w:val="0"/>
                  <w:vAlign w:val="center"/>
                </w:tcPr>
                <w:p w14:paraId="2022403B">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en-US"/>
                      <w14:textFill>
                        <w14:solidFill>
                          <w14:schemeClr w14:val="tx1"/>
                        </w14:solidFill>
                      </w14:textFill>
                    </w:rPr>
                    <w:t>10</w:t>
                  </w:r>
                </w:p>
              </w:tc>
              <w:tc>
                <w:tcPr>
                  <w:tcW w:w="510" w:type="pct"/>
                  <w:noWrap w:val="0"/>
                  <w:vAlign w:val="center"/>
                </w:tcPr>
                <w:p w14:paraId="1F82D215">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个</w:t>
                  </w:r>
                </w:p>
              </w:tc>
              <w:tc>
                <w:tcPr>
                  <w:tcW w:w="1522" w:type="pct"/>
                  <w:noWrap w:val="0"/>
                  <w:vAlign w:val="center"/>
                </w:tcPr>
                <w:p w14:paraId="4C0F7808">
                  <w:pPr>
                    <w:snapToGrid w:val="0"/>
                    <w:jc w:val="center"/>
                    <w:rPr>
                      <w:rFonts w:hint="eastAsia" w:ascii="Times New Roman" w:hAnsi="Times New Roman" w:eastAsia="宋体" w:cs="Times New Roman"/>
                      <w:i w:val="0"/>
                      <w:iCs w:val="0"/>
                      <w:u w:val="none" w:color="auto"/>
                    </w:rPr>
                  </w:pPr>
                </w:p>
              </w:tc>
            </w:tr>
            <w:tr w14:paraId="77414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6F893809">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24</w:t>
                  </w:r>
                </w:p>
              </w:tc>
              <w:tc>
                <w:tcPr>
                  <w:tcW w:w="1197" w:type="pct"/>
                  <w:shd w:val="clear" w:color="auto" w:fill="auto"/>
                  <w:noWrap w:val="0"/>
                  <w:vAlign w:val="center"/>
                </w:tcPr>
                <w:p w14:paraId="1831EDD8">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电动抗折机</w:t>
                  </w:r>
                </w:p>
              </w:tc>
              <w:tc>
                <w:tcPr>
                  <w:tcW w:w="868" w:type="pct"/>
                  <w:shd w:val="clear" w:color="auto" w:fill="auto"/>
                  <w:noWrap w:val="0"/>
                  <w:vAlign w:val="center"/>
                </w:tcPr>
                <w:p w14:paraId="5D350E2F">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p>
              </w:tc>
              <w:tc>
                <w:tcPr>
                  <w:tcW w:w="515" w:type="pct"/>
                  <w:shd w:val="clear" w:color="auto" w:fill="auto"/>
                  <w:noWrap w:val="0"/>
                  <w:vAlign w:val="center"/>
                </w:tcPr>
                <w:p w14:paraId="5D6C2961">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en-US"/>
                      <w14:textFill>
                        <w14:solidFill>
                          <w14:schemeClr w14:val="tx1"/>
                        </w14:solidFill>
                      </w14:textFill>
                    </w:rPr>
                    <w:t>1</w:t>
                  </w:r>
                </w:p>
              </w:tc>
              <w:tc>
                <w:tcPr>
                  <w:tcW w:w="510" w:type="pct"/>
                  <w:noWrap w:val="0"/>
                  <w:vAlign w:val="center"/>
                </w:tcPr>
                <w:p w14:paraId="102FCE46">
                  <w:pPr>
                    <w:snapToGrid w:val="0"/>
                    <w:jc w:val="center"/>
                    <w:rPr>
                      <w:rFonts w:hint="default" w:ascii="Times New Roman" w:hAnsi="Times New Roman" w:eastAsia="宋体" w:cs="Times New Roman"/>
                      <w:i w:val="0"/>
                      <w:iCs w:val="0"/>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t>台</w:t>
                  </w:r>
                </w:p>
              </w:tc>
              <w:tc>
                <w:tcPr>
                  <w:tcW w:w="1522" w:type="pct"/>
                  <w:noWrap w:val="0"/>
                  <w:vAlign w:val="center"/>
                </w:tcPr>
                <w:p w14:paraId="49880330">
                  <w:pPr>
                    <w:snapToGrid w:val="0"/>
                    <w:jc w:val="center"/>
                    <w:rPr>
                      <w:rFonts w:hint="eastAsia" w:ascii="Times New Roman" w:hAnsi="Times New Roman" w:eastAsia="宋体" w:cs="Times New Roman"/>
                      <w:i w:val="0"/>
                      <w:iCs w:val="0"/>
                      <w:u w:val="none" w:color="auto"/>
                    </w:rPr>
                  </w:pPr>
                </w:p>
              </w:tc>
            </w:tr>
            <w:tr w14:paraId="356D7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16B65A98">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25</w:t>
                  </w:r>
                </w:p>
              </w:tc>
              <w:tc>
                <w:tcPr>
                  <w:tcW w:w="1197" w:type="pct"/>
                  <w:shd w:val="clear" w:color="auto" w:fill="auto"/>
                  <w:noWrap w:val="0"/>
                  <w:vAlign w:val="top"/>
                </w:tcPr>
                <w:p w14:paraId="5739824D">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石子压碎仪</w:t>
                  </w:r>
                </w:p>
              </w:tc>
              <w:tc>
                <w:tcPr>
                  <w:tcW w:w="868" w:type="pct"/>
                  <w:shd w:val="clear" w:color="auto" w:fill="auto"/>
                  <w:noWrap w:val="0"/>
                  <w:vAlign w:val="top"/>
                </w:tcPr>
                <w:p w14:paraId="37BA3FC2">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62C151C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59DCD1C7">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台</w:t>
                  </w:r>
                </w:p>
              </w:tc>
              <w:tc>
                <w:tcPr>
                  <w:tcW w:w="1522" w:type="pct"/>
                  <w:noWrap w:val="0"/>
                  <w:vAlign w:val="center"/>
                </w:tcPr>
                <w:p w14:paraId="75546A63">
                  <w:pPr>
                    <w:snapToGrid w:val="0"/>
                    <w:jc w:val="center"/>
                    <w:rPr>
                      <w:rFonts w:hint="eastAsia" w:ascii="Times New Roman" w:hAnsi="Times New Roman" w:eastAsia="宋体" w:cs="Times New Roman"/>
                      <w:i w:val="0"/>
                      <w:iCs w:val="0"/>
                      <w:u w:val="none" w:color="auto"/>
                    </w:rPr>
                  </w:pPr>
                </w:p>
              </w:tc>
            </w:tr>
            <w:tr w14:paraId="7DB963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31F6414D">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26</w:t>
                  </w:r>
                </w:p>
              </w:tc>
              <w:tc>
                <w:tcPr>
                  <w:tcW w:w="1197" w:type="pct"/>
                  <w:shd w:val="clear" w:color="auto" w:fill="auto"/>
                  <w:noWrap w:val="0"/>
                  <w:vAlign w:val="top"/>
                </w:tcPr>
                <w:p w14:paraId="5CA76D62">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针片状规准仪</w:t>
                  </w:r>
                </w:p>
              </w:tc>
              <w:tc>
                <w:tcPr>
                  <w:tcW w:w="868" w:type="pct"/>
                  <w:shd w:val="clear" w:color="auto" w:fill="auto"/>
                  <w:noWrap w:val="0"/>
                  <w:vAlign w:val="top"/>
                </w:tcPr>
                <w:p w14:paraId="4416C05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45FA4A80">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55BD3630">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套</w:t>
                  </w:r>
                </w:p>
              </w:tc>
              <w:tc>
                <w:tcPr>
                  <w:tcW w:w="1522" w:type="pct"/>
                  <w:noWrap w:val="0"/>
                  <w:vAlign w:val="center"/>
                </w:tcPr>
                <w:p w14:paraId="11E08157">
                  <w:pPr>
                    <w:snapToGrid w:val="0"/>
                    <w:jc w:val="center"/>
                    <w:rPr>
                      <w:rFonts w:hint="eastAsia" w:ascii="Times New Roman" w:hAnsi="Times New Roman" w:eastAsia="宋体" w:cs="Times New Roman"/>
                      <w:i w:val="0"/>
                      <w:iCs w:val="0"/>
                      <w:u w:val="none" w:color="auto"/>
                    </w:rPr>
                  </w:pPr>
                </w:p>
              </w:tc>
            </w:tr>
            <w:tr w14:paraId="175D4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84" w:type="pct"/>
                  <w:noWrap w:val="0"/>
                  <w:vAlign w:val="center"/>
                </w:tcPr>
                <w:p w14:paraId="3F6BFEB0">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27</w:t>
                  </w:r>
                </w:p>
              </w:tc>
              <w:tc>
                <w:tcPr>
                  <w:tcW w:w="1197" w:type="pct"/>
                  <w:shd w:val="clear" w:color="auto" w:fill="auto"/>
                  <w:noWrap w:val="0"/>
                  <w:vAlign w:val="top"/>
                </w:tcPr>
                <w:p w14:paraId="24A74C31">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坍落度桶</w:t>
                  </w:r>
                </w:p>
              </w:tc>
              <w:tc>
                <w:tcPr>
                  <w:tcW w:w="868" w:type="pct"/>
                  <w:shd w:val="clear" w:color="auto" w:fill="auto"/>
                  <w:noWrap w:val="0"/>
                  <w:vAlign w:val="top"/>
                </w:tcPr>
                <w:p w14:paraId="293D75D3">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100*200*300</w:t>
                  </w:r>
                </w:p>
              </w:tc>
              <w:tc>
                <w:tcPr>
                  <w:tcW w:w="515" w:type="pct"/>
                  <w:shd w:val="clear" w:color="auto" w:fill="auto"/>
                  <w:noWrap w:val="0"/>
                  <w:vAlign w:val="top"/>
                </w:tcPr>
                <w:p w14:paraId="3F360195">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24FC19B0">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个</w:t>
                  </w:r>
                </w:p>
              </w:tc>
              <w:tc>
                <w:tcPr>
                  <w:tcW w:w="1522" w:type="pct"/>
                  <w:noWrap w:val="0"/>
                  <w:vAlign w:val="center"/>
                </w:tcPr>
                <w:p w14:paraId="452849E3">
                  <w:pPr>
                    <w:snapToGrid w:val="0"/>
                    <w:jc w:val="center"/>
                    <w:rPr>
                      <w:rFonts w:hint="eastAsia" w:ascii="Times New Roman" w:hAnsi="Times New Roman" w:eastAsia="宋体" w:cs="Times New Roman"/>
                      <w:i w:val="0"/>
                      <w:iCs w:val="0"/>
                      <w:u w:val="none" w:color="auto"/>
                    </w:rPr>
                  </w:pPr>
                </w:p>
              </w:tc>
            </w:tr>
            <w:tr w14:paraId="6CBF71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84" w:type="pct"/>
                  <w:noWrap w:val="0"/>
                  <w:vAlign w:val="center"/>
                </w:tcPr>
                <w:p w14:paraId="54A878DD">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28</w:t>
                  </w:r>
                </w:p>
              </w:tc>
              <w:tc>
                <w:tcPr>
                  <w:tcW w:w="1197" w:type="pct"/>
                  <w:shd w:val="clear" w:color="auto" w:fill="auto"/>
                  <w:noWrap w:val="0"/>
                  <w:vAlign w:val="top"/>
                </w:tcPr>
                <w:p w14:paraId="4FAC57A6">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坍落度漏斗</w:t>
                  </w:r>
                </w:p>
              </w:tc>
              <w:tc>
                <w:tcPr>
                  <w:tcW w:w="868" w:type="pct"/>
                  <w:shd w:val="clear" w:color="auto" w:fill="auto"/>
                  <w:noWrap w:val="0"/>
                  <w:vAlign w:val="top"/>
                </w:tcPr>
                <w:p w14:paraId="3DD1294A">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0F09A3D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629519CF">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个</w:t>
                  </w:r>
                </w:p>
              </w:tc>
              <w:tc>
                <w:tcPr>
                  <w:tcW w:w="1522" w:type="pct"/>
                  <w:noWrap w:val="0"/>
                  <w:vAlign w:val="center"/>
                </w:tcPr>
                <w:p w14:paraId="61882CE4">
                  <w:pPr>
                    <w:snapToGrid w:val="0"/>
                    <w:jc w:val="center"/>
                    <w:rPr>
                      <w:rFonts w:hint="eastAsia" w:ascii="Times New Roman" w:hAnsi="Times New Roman" w:eastAsia="宋体" w:cs="Times New Roman"/>
                      <w:i w:val="0"/>
                      <w:iCs w:val="0"/>
                      <w:u w:val="none" w:color="auto"/>
                    </w:rPr>
                  </w:pPr>
                </w:p>
              </w:tc>
            </w:tr>
            <w:tr w14:paraId="20FE1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40C69A95">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29</w:t>
                  </w:r>
                </w:p>
              </w:tc>
              <w:tc>
                <w:tcPr>
                  <w:tcW w:w="1197" w:type="pct"/>
                  <w:shd w:val="clear" w:color="auto" w:fill="auto"/>
                  <w:noWrap w:val="0"/>
                  <w:vAlign w:val="top"/>
                </w:tcPr>
                <w:p w14:paraId="16A5F809">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坍落度标尺</w:t>
                  </w:r>
                </w:p>
              </w:tc>
              <w:tc>
                <w:tcPr>
                  <w:tcW w:w="868" w:type="pct"/>
                  <w:shd w:val="clear" w:color="auto" w:fill="auto"/>
                  <w:noWrap w:val="0"/>
                  <w:vAlign w:val="top"/>
                </w:tcPr>
                <w:p w14:paraId="4BB31ADE">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32028310">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60C4220B">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个</w:t>
                  </w:r>
                </w:p>
              </w:tc>
              <w:tc>
                <w:tcPr>
                  <w:tcW w:w="1522" w:type="pct"/>
                  <w:noWrap w:val="0"/>
                  <w:vAlign w:val="center"/>
                </w:tcPr>
                <w:p w14:paraId="437FB1EF">
                  <w:pPr>
                    <w:snapToGrid w:val="0"/>
                    <w:jc w:val="center"/>
                    <w:rPr>
                      <w:rFonts w:hint="eastAsia" w:ascii="Times New Roman" w:hAnsi="Times New Roman" w:eastAsia="宋体" w:cs="Times New Roman"/>
                      <w:i w:val="0"/>
                      <w:iCs w:val="0"/>
                      <w:u w:val="none" w:color="auto"/>
                    </w:rPr>
                  </w:pPr>
                </w:p>
              </w:tc>
            </w:tr>
            <w:tr w14:paraId="4F227B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260F19FC">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30</w:t>
                  </w:r>
                </w:p>
              </w:tc>
              <w:tc>
                <w:tcPr>
                  <w:tcW w:w="1197" w:type="pct"/>
                  <w:shd w:val="clear" w:color="auto" w:fill="auto"/>
                  <w:noWrap w:val="0"/>
                  <w:vAlign w:val="top"/>
                </w:tcPr>
                <w:p w14:paraId="5BD4955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坍落度捣棒</w:t>
                  </w:r>
                </w:p>
              </w:tc>
              <w:tc>
                <w:tcPr>
                  <w:tcW w:w="868" w:type="pct"/>
                  <w:shd w:val="clear" w:color="auto" w:fill="auto"/>
                  <w:noWrap w:val="0"/>
                  <w:vAlign w:val="top"/>
                </w:tcPr>
                <w:p w14:paraId="0E0E039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17423DE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7809E954">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根</w:t>
                  </w:r>
                </w:p>
              </w:tc>
              <w:tc>
                <w:tcPr>
                  <w:tcW w:w="1522" w:type="pct"/>
                  <w:noWrap w:val="0"/>
                  <w:vAlign w:val="center"/>
                </w:tcPr>
                <w:p w14:paraId="69DA4412">
                  <w:pPr>
                    <w:snapToGrid w:val="0"/>
                    <w:jc w:val="center"/>
                    <w:rPr>
                      <w:rFonts w:hint="eastAsia" w:ascii="Times New Roman" w:hAnsi="Times New Roman" w:eastAsia="宋体" w:cs="Times New Roman"/>
                      <w:i w:val="0"/>
                      <w:iCs w:val="0"/>
                      <w:u w:val="none" w:color="auto"/>
                    </w:rPr>
                  </w:pPr>
                </w:p>
              </w:tc>
            </w:tr>
            <w:tr w14:paraId="0060BD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79A0B8E2">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31</w:t>
                  </w:r>
                </w:p>
              </w:tc>
              <w:tc>
                <w:tcPr>
                  <w:tcW w:w="1197" w:type="pct"/>
                  <w:shd w:val="clear" w:color="auto" w:fill="auto"/>
                  <w:noWrap w:val="0"/>
                  <w:vAlign w:val="top"/>
                </w:tcPr>
                <w:p w14:paraId="5FC0094D">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容积升</w:t>
                  </w:r>
                </w:p>
              </w:tc>
              <w:tc>
                <w:tcPr>
                  <w:tcW w:w="868" w:type="pct"/>
                  <w:shd w:val="clear" w:color="auto" w:fill="auto"/>
                  <w:noWrap w:val="0"/>
                  <w:vAlign w:val="top"/>
                </w:tcPr>
                <w:p w14:paraId="3563477E">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1-30L</w:t>
                  </w:r>
                </w:p>
              </w:tc>
              <w:tc>
                <w:tcPr>
                  <w:tcW w:w="515" w:type="pct"/>
                  <w:shd w:val="clear" w:color="auto" w:fill="auto"/>
                  <w:noWrap w:val="0"/>
                  <w:vAlign w:val="top"/>
                </w:tcPr>
                <w:p w14:paraId="211BAFC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15ABCB14">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套</w:t>
                  </w:r>
                </w:p>
              </w:tc>
              <w:tc>
                <w:tcPr>
                  <w:tcW w:w="1522" w:type="pct"/>
                  <w:noWrap w:val="0"/>
                  <w:vAlign w:val="center"/>
                </w:tcPr>
                <w:p w14:paraId="713F33CE">
                  <w:pPr>
                    <w:snapToGrid w:val="0"/>
                    <w:jc w:val="center"/>
                    <w:rPr>
                      <w:rFonts w:hint="eastAsia" w:ascii="Times New Roman" w:hAnsi="Times New Roman" w:eastAsia="宋体" w:cs="Times New Roman"/>
                      <w:i w:val="0"/>
                      <w:iCs w:val="0"/>
                      <w:u w:val="none" w:color="auto"/>
                    </w:rPr>
                  </w:pPr>
                </w:p>
              </w:tc>
            </w:tr>
            <w:tr w14:paraId="4911C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01B84661">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32</w:t>
                  </w:r>
                </w:p>
              </w:tc>
              <w:tc>
                <w:tcPr>
                  <w:tcW w:w="1197" w:type="pct"/>
                  <w:shd w:val="clear" w:color="auto" w:fill="auto"/>
                  <w:noWrap w:val="0"/>
                  <w:vAlign w:val="top"/>
                </w:tcPr>
                <w:p w14:paraId="1781361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数显压力机</w:t>
                  </w:r>
                </w:p>
              </w:tc>
              <w:tc>
                <w:tcPr>
                  <w:tcW w:w="868" w:type="pct"/>
                  <w:shd w:val="clear" w:color="auto" w:fill="auto"/>
                  <w:noWrap w:val="0"/>
                  <w:vAlign w:val="top"/>
                </w:tcPr>
                <w:p w14:paraId="5DA4A1E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200吨</w:t>
                  </w:r>
                </w:p>
              </w:tc>
              <w:tc>
                <w:tcPr>
                  <w:tcW w:w="515" w:type="pct"/>
                  <w:shd w:val="clear" w:color="auto" w:fill="auto"/>
                  <w:noWrap w:val="0"/>
                  <w:vAlign w:val="top"/>
                </w:tcPr>
                <w:p w14:paraId="4161CB3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3D3E5DAA">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台</w:t>
                  </w:r>
                </w:p>
              </w:tc>
              <w:tc>
                <w:tcPr>
                  <w:tcW w:w="1522" w:type="pct"/>
                  <w:noWrap w:val="0"/>
                  <w:vAlign w:val="center"/>
                </w:tcPr>
                <w:p w14:paraId="08F61EC4">
                  <w:pPr>
                    <w:snapToGrid w:val="0"/>
                    <w:jc w:val="center"/>
                    <w:rPr>
                      <w:rFonts w:hint="eastAsia" w:ascii="Times New Roman" w:hAnsi="Times New Roman" w:eastAsia="宋体" w:cs="Times New Roman"/>
                      <w:i w:val="0"/>
                      <w:iCs w:val="0"/>
                      <w:u w:val="none" w:color="auto"/>
                    </w:rPr>
                  </w:pPr>
                </w:p>
              </w:tc>
            </w:tr>
            <w:tr w14:paraId="54006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noWrap w:val="0"/>
                  <w:vAlign w:val="center"/>
                </w:tcPr>
                <w:p w14:paraId="5B9B78E3">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33</w:t>
                  </w:r>
                </w:p>
              </w:tc>
              <w:tc>
                <w:tcPr>
                  <w:tcW w:w="1197" w:type="pct"/>
                  <w:shd w:val="clear" w:color="auto" w:fill="auto"/>
                  <w:noWrap w:val="0"/>
                  <w:vAlign w:val="top"/>
                </w:tcPr>
                <w:p w14:paraId="1E90F13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抗压试模</w:t>
                  </w:r>
                </w:p>
              </w:tc>
              <w:tc>
                <w:tcPr>
                  <w:tcW w:w="868" w:type="pct"/>
                  <w:shd w:val="clear" w:color="auto" w:fill="auto"/>
                  <w:noWrap w:val="0"/>
                  <w:vAlign w:val="top"/>
                </w:tcPr>
                <w:p w14:paraId="146AC0FE">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150方</w:t>
                  </w:r>
                </w:p>
              </w:tc>
              <w:tc>
                <w:tcPr>
                  <w:tcW w:w="515" w:type="pct"/>
                  <w:shd w:val="clear" w:color="auto" w:fill="auto"/>
                  <w:noWrap w:val="0"/>
                  <w:vAlign w:val="top"/>
                </w:tcPr>
                <w:p w14:paraId="74C488E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10</w:t>
                  </w:r>
                </w:p>
              </w:tc>
              <w:tc>
                <w:tcPr>
                  <w:tcW w:w="510" w:type="pct"/>
                  <w:noWrap w:val="0"/>
                  <w:vAlign w:val="center"/>
                </w:tcPr>
                <w:p w14:paraId="5BA521E1">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个</w:t>
                  </w:r>
                </w:p>
              </w:tc>
              <w:tc>
                <w:tcPr>
                  <w:tcW w:w="1522" w:type="pct"/>
                  <w:noWrap w:val="0"/>
                  <w:vAlign w:val="center"/>
                </w:tcPr>
                <w:p w14:paraId="47683DA0">
                  <w:pPr>
                    <w:snapToGrid w:val="0"/>
                    <w:jc w:val="center"/>
                    <w:rPr>
                      <w:rFonts w:hint="eastAsia" w:ascii="Times New Roman" w:hAnsi="Times New Roman" w:eastAsia="宋体" w:cs="Times New Roman"/>
                      <w:i w:val="0"/>
                      <w:iCs w:val="0"/>
                      <w:u w:val="none" w:color="auto"/>
                    </w:rPr>
                  </w:pPr>
                </w:p>
              </w:tc>
            </w:tr>
            <w:tr w14:paraId="313BCD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4" w:type="pct"/>
                  <w:noWrap w:val="0"/>
                  <w:vAlign w:val="center"/>
                </w:tcPr>
                <w:p w14:paraId="1ED90533">
                  <w:pPr>
                    <w:snapToGrid w:val="0"/>
                    <w:jc w:val="center"/>
                    <w:rPr>
                      <w:rFonts w:hint="default" w:cs="Times New Roman"/>
                      <w:i w:val="0"/>
                      <w:iCs w:val="0"/>
                      <w:u w:val="none" w:color="auto"/>
                      <w:lang w:val="en-US" w:eastAsia="zh-CN"/>
                    </w:rPr>
                  </w:pPr>
                  <w:r>
                    <w:rPr>
                      <w:rFonts w:hint="eastAsia" w:cs="Times New Roman"/>
                      <w:i w:val="0"/>
                      <w:iCs w:val="0"/>
                      <w:u w:val="none" w:color="auto"/>
                      <w:lang w:val="en-US" w:eastAsia="zh-CN"/>
                    </w:rPr>
                    <w:t>34</w:t>
                  </w:r>
                </w:p>
              </w:tc>
              <w:tc>
                <w:tcPr>
                  <w:tcW w:w="1197" w:type="pct"/>
                  <w:shd w:val="clear" w:color="auto" w:fill="auto"/>
                  <w:noWrap w:val="0"/>
                  <w:vAlign w:val="top"/>
                </w:tcPr>
                <w:p w14:paraId="390F439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zh-TW" w:eastAsia="zh-TW" w:bidi="ar-SA"/>
                    </w:rPr>
                  </w:pPr>
                  <w:r>
                    <w:rPr>
                      <w:rFonts w:hint="eastAsia"/>
                      <w:b w:val="0"/>
                      <w:i w:val="0"/>
                      <w:caps w:val="0"/>
                      <w:spacing w:val="0"/>
                      <w:w w:val="100"/>
                      <w:sz w:val="21"/>
                      <w:u w:val="none" w:color="auto"/>
                      <w:lang w:eastAsia="zh-CN"/>
                    </w:rPr>
                    <w:t>电动抗折机</w:t>
                  </w:r>
                </w:p>
              </w:tc>
              <w:tc>
                <w:tcPr>
                  <w:tcW w:w="868" w:type="pct"/>
                  <w:shd w:val="clear" w:color="auto" w:fill="auto"/>
                  <w:noWrap w:val="0"/>
                  <w:vAlign w:val="top"/>
                </w:tcPr>
                <w:p w14:paraId="7F411F71">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p>
              </w:tc>
              <w:tc>
                <w:tcPr>
                  <w:tcW w:w="515" w:type="pct"/>
                  <w:shd w:val="clear" w:color="auto" w:fill="auto"/>
                  <w:noWrap w:val="0"/>
                  <w:vAlign w:val="top"/>
                </w:tcPr>
                <w:p w14:paraId="4424C23D">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0"/>
                      <w:szCs w:val="24"/>
                      <w:u w:val="none" w:color="auto"/>
                      <w:lang w:val="en-US" w:eastAsia="zh-CN" w:bidi="ar-SA"/>
                    </w:rPr>
                  </w:pPr>
                  <w:r>
                    <w:rPr>
                      <w:rFonts w:hint="eastAsia"/>
                      <w:b w:val="0"/>
                      <w:i w:val="0"/>
                      <w:caps w:val="0"/>
                      <w:spacing w:val="0"/>
                      <w:w w:val="100"/>
                      <w:sz w:val="21"/>
                      <w:u w:val="none" w:color="auto"/>
                      <w:lang w:val="en-US" w:eastAsia="zh-CN"/>
                    </w:rPr>
                    <w:t>1</w:t>
                  </w:r>
                </w:p>
              </w:tc>
              <w:tc>
                <w:tcPr>
                  <w:tcW w:w="510" w:type="pct"/>
                  <w:noWrap w:val="0"/>
                  <w:vAlign w:val="center"/>
                </w:tcPr>
                <w:p w14:paraId="1659B7E7">
                  <w:pPr>
                    <w:snapToGrid w:val="0"/>
                    <w:jc w:val="center"/>
                    <w:rPr>
                      <w:rFonts w:hint="default" w:ascii="Times New Roman" w:hAnsi="Times New Roman" w:eastAsia="宋体" w:cs="Times New Roman"/>
                      <w:color w:val="000000" w:themeColor="text1"/>
                      <w:u w:val="none" w:color="auto"/>
                      <w:shd w:val="clear" w:color="auto" w:fill="auto"/>
                      <w:lang w:val="zh-TW" w:eastAsia="zh-TW"/>
                      <w14:textFill>
                        <w14:solidFill>
                          <w14:schemeClr w14:val="tx1"/>
                        </w14:solidFill>
                      </w14:textFill>
                    </w:rPr>
                  </w:pPr>
                  <w:r>
                    <w:rPr>
                      <w:rFonts w:hint="eastAsia"/>
                      <w:b w:val="0"/>
                      <w:i w:val="0"/>
                      <w:caps w:val="0"/>
                      <w:spacing w:val="0"/>
                      <w:w w:val="100"/>
                      <w:sz w:val="21"/>
                      <w:u w:val="none" w:color="auto"/>
                      <w:lang w:val="en-US" w:eastAsia="zh-CN"/>
                    </w:rPr>
                    <w:t>台</w:t>
                  </w:r>
                </w:p>
              </w:tc>
              <w:tc>
                <w:tcPr>
                  <w:tcW w:w="1522" w:type="pct"/>
                  <w:noWrap w:val="0"/>
                  <w:vAlign w:val="center"/>
                </w:tcPr>
                <w:p w14:paraId="4AE7A254">
                  <w:pPr>
                    <w:snapToGrid w:val="0"/>
                    <w:jc w:val="center"/>
                    <w:rPr>
                      <w:rFonts w:hint="eastAsia" w:ascii="Times New Roman" w:hAnsi="Times New Roman" w:eastAsia="宋体" w:cs="Times New Roman"/>
                      <w:i w:val="0"/>
                      <w:iCs w:val="0"/>
                      <w:u w:val="none" w:color="auto"/>
                    </w:rPr>
                  </w:pPr>
                </w:p>
              </w:tc>
            </w:tr>
          </w:tbl>
          <w:p w14:paraId="15141A73">
            <w:pPr>
              <w:adjustRightInd w:val="0"/>
              <w:spacing w:line="360" w:lineRule="auto"/>
              <w:ind w:firstLine="482" w:firstLineChars="200"/>
              <w:jc w:val="left"/>
              <w:rPr>
                <w:b/>
                <w:bCs/>
                <w:sz w:val="24"/>
                <w:szCs w:val="24"/>
              </w:rPr>
            </w:pPr>
            <w:r>
              <w:rPr>
                <w:rFonts w:hint="eastAsia"/>
                <w:b/>
                <w:bCs/>
                <w:sz w:val="24"/>
                <w:szCs w:val="24"/>
                <w:lang w:val="en-US" w:eastAsia="zh-CN"/>
              </w:rPr>
              <w:t>6</w:t>
            </w:r>
            <w:r>
              <w:rPr>
                <w:rFonts w:hint="eastAsia"/>
                <w:b/>
                <w:bCs/>
                <w:sz w:val="24"/>
                <w:szCs w:val="24"/>
              </w:rPr>
              <w:t>、</w:t>
            </w:r>
            <w:r>
              <w:rPr>
                <w:b/>
                <w:bCs/>
                <w:sz w:val="24"/>
                <w:szCs w:val="24"/>
              </w:rPr>
              <w:t>主要原辅材料</w:t>
            </w:r>
          </w:p>
          <w:p w14:paraId="63BE200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eastAsia="宋体"/>
                <w:sz w:val="24"/>
                <w:szCs w:val="24"/>
                <w:highlight w:val="yellow"/>
                <w:lang w:eastAsia="zh-CN"/>
              </w:rPr>
            </w:pPr>
            <w:r>
              <w:rPr>
                <w:rFonts w:hint="eastAsia"/>
                <w:bCs/>
                <w:sz w:val="24"/>
                <w:szCs w:val="24"/>
                <w:lang w:eastAsia="zh-CN"/>
              </w:rPr>
              <w:t>本</w:t>
            </w:r>
            <w:r>
              <w:rPr>
                <w:rFonts w:hint="eastAsia"/>
                <w:bCs/>
                <w:sz w:val="24"/>
                <w:szCs w:val="24"/>
              </w:rPr>
              <w:t>项目原辅材料主要是</w:t>
            </w:r>
            <w:r>
              <w:rPr>
                <w:rFonts w:hint="eastAsia"/>
                <w:bCs/>
                <w:sz w:val="24"/>
                <w:szCs w:val="24"/>
                <w:lang w:eastAsia="zh-CN"/>
              </w:rPr>
              <w:t>砂子、碎石</w:t>
            </w:r>
            <w:r>
              <w:rPr>
                <w:rFonts w:hint="eastAsia"/>
                <w:bCs/>
                <w:sz w:val="24"/>
                <w:szCs w:val="24"/>
              </w:rPr>
              <w:t>、水泥、粉煤灰</w:t>
            </w:r>
            <w:r>
              <w:rPr>
                <w:rFonts w:hint="eastAsia"/>
                <w:bCs/>
                <w:sz w:val="24"/>
                <w:szCs w:val="24"/>
                <w:lang w:eastAsia="zh-CN"/>
              </w:rPr>
              <w:t>、矿粉</w:t>
            </w:r>
            <w:r>
              <w:rPr>
                <w:rFonts w:hint="eastAsia"/>
                <w:bCs/>
                <w:sz w:val="24"/>
                <w:szCs w:val="24"/>
              </w:rPr>
              <w:t>及水等，</w:t>
            </w:r>
            <w:r>
              <w:rPr>
                <w:rFonts w:hint="eastAsia"/>
                <w:sz w:val="24"/>
                <w:szCs w:val="24"/>
              </w:rPr>
              <w:t>本项目</w:t>
            </w:r>
            <w:r>
              <w:rPr>
                <w:rFonts w:hint="eastAsia"/>
                <w:sz w:val="24"/>
                <w:szCs w:val="24"/>
                <w:lang w:eastAsia="zh-CN"/>
              </w:rPr>
              <w:t>砂</w:t>
            </w:r>
            <w:r>
              <w:rPr>
                <w:rFonts w:hint="eastAsia"/>
                <w:sz w:val="24"/>
                <w:szCs w:val="24"/>
              </w:rPr>
              <w:t>石料为标准石料，不需要再进行破碎</w:t>
            </w:r>
            <w:r>
              <w:rPr>
                <w:rFonts w:hint="eastAsia"/>
                <w:sz w:val="24"/>
                <w:szCs w:val="24"/>
                <w:lang w:eastAsia="zh-CN"/>
              </w:rPr>
              <w:t>，</w:t>
            </w:r>
            <w:r>
              <w:rPr>
                <w:rFonts w:hint="eastAsia"/>
                <w:bCs/>
                <w:sz w:val="24"/>
                <w:szCs w:val="24"/>
              </w:rPr>
              <w:t>原材料及产品的运输方式均采用汽车公路运输，</w:t>
            </w:r>
            <w:r>
              <w:rPr>
                <w:rFonts w:hint="eastAsia"/>
                <w:sz w:val="24"/>
                <w:szCs w:val="24"/>
              </w:rPr>
              <w:t>详见下表。</w:t>
            </w:r>
          </w:p>
          <w:p w14:paraId="628E1879">
            <w:pPr>
              <w:jc w:val="center"/>
              <w:rPr>
                <w:b/>
                <w:i w:val="0"/>
                <w:iCs w:val="0"/>
                <w:sz w:val="24"/>
                <w:szCs w:val="24"/>
                <w:u w:val="none"/>
              </w:rPr>
            </w:pPr>
            <w:r>
              <w:rPr>
                <w:b/>
                <w:bCs w:val="0"/>
                <w:i w:val="0"/>
                <w:iCs w:val="0"/>
                <w:sz w:val="24"/>
                <w:szCs w:val="24"/>
                <w:u w:val="none"/>
              </w:rPr>
              <w:t>表</w:t>
            </w:r>
            <w:r>
              <w:rPr>
                <w:rFonts w:hint="eastAsia"/>
                <w:b/>
                <w:bCs w:val="0"/>
                <w:i w:val="0"/>
                <w:iCs w:val="0"/>
                <w:sz w:val="24"/>
                <w:szCs w:val="24"/>
                <w:u w:val="none"/>
                <w:lang w:val="en-US" w:eastAsia="zh-CN"/>
              </w:rPr>
              <w:t>2-5</w:t>
            </w:r>
            <w:r>
              <w:rPr>
                <w:b/>
                <w:bCs w:val="0"/>
                <w:i w:val="0"/>
                <w:iCs w:val="0"/>
                <w:sz w:val="24"/>
                <w:szCs w:val="24"/>
                <w:u w:val="none"/>
              </w:rPr>
              <w:t xml:space="preserve">  本项目主要</w:t>
            </w:r>
            <w:r>
              <w:rPr>
                <w:rFonts w:hint="eastAsia"/>
                <w:b/>
                <w:bCs w:val="0"/>
                <w:i w:val="0"/>
                <w:iCs w:val="0"/>
                <w:sz w:val="24"/>
                <w:szCs w:val="24"/>
                <w:u w:val="none"/>
              </w:rPr>
              <w:t>原辅材料</w:t>
            </w:r>
            <w:r>
              <w:rPr>
                <w:b/>
                <w:bCs w:val="0"/>
                <w:i w:val="0"/>
                <w:iCs w:val="0"/>
                <w:sz w:val="24"/>
                <w:szCs w:val="24"/>
                <w:u w:val="none"/>
              </w:rPr>
              <w:t>一览表</w:t>
            </w:r>
          </w:p>
          <w:tbl>
            <w:tblPr>
              <w:tblStyle w:val="21"/>
              <w:tblW w:w="81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87"/>
              <w:gridCol w:w="690"/>
              <w:gridCol w:w="1251"/>
              <w:gridCol w:w="1397"/>
              <w:gridCol w:w="853"/>
              <w:gridCol w:w="809"/>
              <w:gridCol w:w="974"/>
            </w:tblGrid>
            <w:tr w14:paraId="1A97C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15" w:type="pct"/>
                  <w:noWrap w:val="0"/>
                  <w:vAlign w:val="center"/>
                </w:tcPr>
                <w:p w14:paraId="18F5FD99">
                  <w:pPr>
                    <w:autoSpaceDE w:val="0"/>
                    <w:autoSpaceDN w:val="0"/>
                    <w:adjustRightInd w:val="0"/>
                    <w:jc w:val="center"/>
                    <w:rPr>
                      <w:rFonts w:ascii="Times New Roman" w:hAnsi="Times New Roman" w:eastAsia="宋体" w:cs="Times New Roman"/>
                      <w:b/>
                      <w:bCs/>
                      <w:i w:val="0"/>
                      <w:iCs w:val="0"/>
                      <w:sz w:val="21"/>
                      <w:szCs w:val="21"/>
                      <w:u w:val="none"/>
                    </w:rPr>
                  </w:pPr>
                  <w:r>
                    <w:rPr>
                      <w:rFonts w:ascii="Times New Roman" w:hAnsi="Times New Roman" w:eastAsia="宋体" w:cs="Times New Roman"/>
                      <w:b/>
                      <w:bCs/>
                      <w:i w:val="0"/>
                      <w:iCs w:val="0"/>
                      <w:sz w:val="21"/>
                      <w:szCs w:val="21"/>
                      <w:u w:val="none"/>
                    </w:rPr>
                    <w:t>序号</w:t>
                  </w:r>
                </w:p>
              </w:tc>
              <w:tc>
                <w:tcPr>
                  <w:tcW w:w="913" w:type="pct"/>
                  <w:noWrap w:val="0"/>
                  <w:vAlign w:val="center"/>
                </w:tcPr>
                <w:p w14:paraId="7906DFD1">
                  <w:pPr>
                    <w:autoSpaceDE w:val="0"/>
                    <w:autoSpaceDN w:val="0"/>
                    <w:adjustRightInd w:val="0"/>
                    <w:jc w:val="center"/>
                    <w:rPr>
                      <w:rFonts w:ascii="Times New Roman" w:hAnsi="Times New Roman" w:eastAsia="宋体" w:cs="Times New Roman"/>
                      <w:b/>
                      <w:bCs/>
                      <w:i w:val="0"/>
                      <w:iCs w:val="0"/>
                      <w:sz w:val="21"/>
                      <w:szCs w:val="21"/>
                      <w:u w:val="none"/>
                    </w:rPr>
                  </w:pPr>
                  <w:r>
                    <w:rPr>
                      <w:rFonts w:ascii="Times New Roman" w:hAnsi="Times New Roman" w:eastAsia="宋体" w:cs="Times New Roman"/>
                      <w:b/>
                      <w:bCs/>
                      <w:i w:val="0"/>
                      <w:iCs w:val="0"/>
                      <w:sz w:val="21"/>
                      <w:szCs w:val="21"/>
                      <w:u w:val="none"/>
                    </w:rPr>
                    <w:t>名称</w:t>
                  </w:r>
                </w:p>
              </w:tc>
              <w:tc>
                <w:tcPr>
                  <w:tcW w:w="423" w:type="pct"/>
                  <w:noWrap w:val="0"/>
                  <w:vAlign w:val="center"/>
                </w:tcPr>
                <w:p w14:paraId="3A19E686">
                  <w:pPr>
                    <w:autoSpaceDE w:val="0"/>
                    <w:autoSpaceDN w:val="0"/>
                    <w:adjustRightInd w:val="0"/>
                    <w:jc w:val="center"/>
                    <w:rPr>
                      <w:rFonts w:ascii="Times New Roman" w:hAnsi="Times New Roman" w:eastAsia="宋体" w:cs="Times New Roman"/>
                      <w:b/>
                      <w:bCs/>
                      <w:i w:val="0"/>
                      <w:iCs w:val="0"/>
                      <w:sz w:val="21"/>
                      <w:szCs w:val="21"/>
                      <w:u w:val="none"/>
                    </w:rPr>
                  </w:pPr>
                  <w:r>
                    <w:rPr>
                      <w:rFonts w:ascii="Times New Roman" w:hAnsi="Times New Roman" w:eastAsia="宋体" w:cs="Times New Roman"/>
                      <w:b/>
                      <w:bCs/>
                      <w:i w:val="0"/>
                      <w:iCs w:val="0"/>
                      <w:sz w:val="21"/>
                      <w:szCs w:val="21"/>
                      <w:u w:val="none"/>
                    </w:rPr>
                    <w:t>单位</w:t>
                  </w:r>
                </w:p>
              </w:tc>
              <w:tc>
                <w:tcPr>
                  <w:tcW w:w="768" w:type="pct"/>
                  <w:noWrap w:val="0"/>
                  <w:vAlign w:val="center"/>
                </w:tcPr>
                <w:p w14:paraId="400181A1">
                  <w:pPr>
                    <w:autoSpaceDE w:val="0"/>
                    <w:autoSpaceDN w:val="0"/>
                    <w:adjustRightInd w:val="0"/>
                    <w:jc w:val="center"/>
                    <w:rPr>
                      <w:rFonts w:ascii="Times New Roman" w:hAnsi="Times New Roman" w:eastAsia="宋体" w:cs="Times New Roman"/>
                      <w:b/>
                      <w:bCs/>
                      <w:i w:val="0"/>
                      <w:iCs w:val="0"/>
                      <w:sz w:val="21"/>
                      <w:szCs w:val="21"/>
                      <w:u w:val="none"/>
                    </w:rPr>
                  </w:pPr>
                  <w:r>
                    <w:rPr>
                      <w:rFonts w:ascii="Times New Roman" w:hAnsi="Times New Roman" w:eastAsia="宋体" w:cs="Times New Roman"/>
                      <w:b/>
                      <w:bCs/>
                      <w:i w:val="0"/>
                      <w:iCs w:val="0"/>
                      <w:sz w:val="21"/>
                      <w:szCs w:val="21"/>
                      <w:u w:val="none"/>
                    </w:rPr>
                    <w:t>数量</w:t>
                  </w:r>
                </w:p>
              </w:tc>
              <w:tc>
                <w:tcPr>
                  <w:tcW w:w="858" w:type="pct"/>
                  <w:noWrap w:val="0"/>
                  <w:vAlign w:val="center"/>
                </w:tcPr>
                <w:p w14:paraId="6E96632A">
                  <w:pPr>
                    <w:autoSpaceDE w:val="0"/>
                    <w:autoSpaceDN w:val="0"/>
                    <w:adjustRightInd w:val="0"/>
                    <w:jc w:val="center"/>
                    <w:rPr>
                      <w:rFonts w:ascii="Times New Roman" w:hAnsi="Times New Roman" w:eastAsia="宋体" w:cs="Times New Roman"/>
                      <w:b/>
                      <w:bCs/>
                      <w:i w:val="0"/>
                      <w:iCs w:val="0"/>
                      <w:sz w:val="21"/>
                      <w:szCs w:val="21"/>
                      <w:u w:val="none"/>
                    </w:rPr>
                  </w:pPr>
                  <w:r>
                    <w:rPr>
                      <w:rFonts w:ascii="Times New Roman" w:hAnsi="Times New Roman" w:eastAsia="宋体" w:cs="Times New Roman"/>
                      <w:b/>
                      <w:bCs/>
                      <w:i w:val="0"/>
                      <w:iCs w:val="0"/>
                      <w:sz w:val="21"/>
                      <w:szCs w:val="21"/>
                      <w:u w:val="none"/>
                    </w:rPr>
                    <w:t>运输方式</w:t>
                  </w:r>
                </w:p>
              </w:tc>
              <w:tc>
                <w:tcPr>
                  <w:tcW w:w="524" w:type="pct"/>
                  <w:noWrap w:val="0"/>
                  <w:vAlign w:val="center"/>
                </w:tcPr>
                <w:p w14:paraId="2086C7EA">
                  <w:pPr>
                    <w:autoSpaceDE w:val="0"/>
                    <w:autoSpaceDN w:val="0"/>
                    <w:adjustRightInd w:val="0"/>
                    <w:jc w:val="center"/>
                    <w:rPr>
                      <w:rFonts w:ascii="Times New Roman" w:hAnsi="Times New Roman" w:eastAsia="宋体" w:cs="Times New Roman"/>
                      <w:b/>
                      <w:bCs/>
                      <w:i w:val="0"/>
                      <w:iCs w:val="0"/>
                      <w:sz w:val="21"/>
                      <w:szCs w:val="21"/>
                      <w:u w:val="none"/>
                    </w:rPr>
                  </w:pPr>
                  <w:r>
                    <w:rPr>
                      <w:rFonts w:ascii="Times New Roman" w:hAnsi="Times New Roman" w:eastAsia="宋体" w:cs="Times New Roman"/>
                      <w:b/>
                      <w:bCs/>
                      <w:i w:val="0"/>
                      <w:iCs w:val="0"/>
                      <w:sz w:val="21"/>
                      <w:szCs w:val="21"/>
                      <w:u w:val="none"/>
                    </w:rPr>
                    <w:t>存储</w:t>
                  </w:r>
                </w:p>
              </w:tc>
              <w:tc>
                <w:tcPr>
                  <w:tcW w:w="497" w:type="pct"/>
                  <w:noWrap w:val="0"/>
                  <w:vAlign w:val="center"/>
                </w:tcPr>
                <w:p w14:paraId="2C9EA1FC">
                  <w:pPr>
                    <w:autoSpaceDE w:val="0"/>
                    <w:autoSpaceDN w:val="0"/>
                    <w:adjustRightInd w:val="0"/>
                    <w:jc w:val="center"/>
                    <w:rPr>
                      <w:rFonts w:hint="eastAsia" w:ascii="Times New Roman" w:hAnsi="Times New Roman" w:eastAsia="宋体" w:cs="Times New Roman"/>
                      <w:b/>
                      <w:bCs/>
                      <w:i w:val="0"/>
                      <w:iCs w:val="0"/>
                      <w:sz w:val="21"/>
                      <w:szCs w:val="21"/>
                      <w:u w:val="none"/>
                      <w:lang w:eastAsia="zh-CN"/>
                    </w:rPr>
                  </w:pPr>
                  <w:r>
                    <w:rPr>
                      <w:rFonts w:hint="eastAsia" w:cs="Times New Roman"/>
                      <w:b/>
                      <w:bCs/>
                      <w:i w:val="0"/>
                      <w:iCs w:val="0"/>
                      <w:sz w:val="21"/>
                      <w:szCs w:val="21"/>
                      <w:u w:val="none"/>
                      <w:lang w:eastAsia="zh-CN"/>
                    </w:rPr>
                    <w:t>形态</w:t>
                  </w:r>
                </w:p>
              </w:tc>
              <w:tc>
                <w:tcPr>
                  <w:tcW w:w="598" w:type="pct"/>
                  <w:noWrap w:val="0"/>
                  <w:vAlign w:val="center"/>
                </w:tcPr>
                <w:p w14:paraId="74C316F0">
                  <w:pPr>
                    <w:autoSpaceDE w:val="0"/>
                    <w:autoSpaceDN w:val="0"/>
                    <w:adjustRightInd w:val="0"/>
                    <w:jc w:val="center"/>
                    <w:rPr>
                      <w:rFonts w:ascii="Times New Roman" w:hAnsi="Times New Roman" w:eastAsia="宋体" w:cs="Times New Roman"/>
                      <w:b/>
                      <w:bCs/>
                      <w:i w:val="0"/>
                      <w:iCs w:val="0"/>
                      <w:sz w:val="21"/>
                      <w:szCs w:val="21"/>
                      <w:u w:val="none"/>
                    </w:rPr>
                  </w:pPr>
                  <w:r>
                    <w:rPr>
                      <w:rFonts w:ascii="Times New Roman" w:hAnsi="Times New Roman" w:eastAsia="宋体" w:cs="Times New Roman"/>
                      <w:b/>
                      <w:bCs/>
                      <w:i w:val="0"/>
                      <w:iCs w:val="0"/>
                      <w:sz w:val="21"/>
                      <w:szCs w:val="21"/>
                      <w:u w:val="none"/>
                    </w:rPr>
                    <w:t>来源</w:t>
                  </w:r>
                </w:p>
              </w:tc>
            </w:tr>
            <w:tr w14:paraId="05625A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15" w:type="pct"/>
                  <w:noWrap w:val="0"/>
                  <w:vAlign w:val="center"/>
                </w:tcPr>
                <w:p w14:paraId="5C4A04B5">
                  <w:pPr>
                    <w:autoSpaceDE w:val="0"/>
                    <w:autoSpaceDN w:val="0"/>
                    <w:adjustRightInd w:val="0"/>
                    <w:jc w:val="center"/>
                    <w:rPr>
                      <w:rFonts w:ascii="Times New Roman" w:hAnsi="Times New Roman" w:eastAsia="宋体" w:cs="Times New Roman"/>
                      <w:i w:val="0"/>
                      <w:iCs w:val="0"/>
                      <w:sz w:val="21"/>
                      <w:szCs w:val="21"/>
                      <w:u w:val="none"/>
                    </w:rPr>
                  </w:pPr>
                  <w:r>
                    <w:rPr>
                      <w:rFonts w:ascii="Times New Roman" w:hAnsi="Times New Roman" w:eastAsia="宋体" w:cs="Times New Roman"/>
                      <w:i w:val="0"/>
                      <w:iCs w:val="0"/>
                      <w:sz w:val="21"/>
                      <w:szCs w:val="21"/>
                      <w:u w:val="none"/>
                    </w:rPr>
                    <w:t>1</w:t>
                  </w:r>
                </w:p>
              </w:tc>
              <w:tc>
                <w:tcPr>
                  <w:tcW w:w="913" w:type="pct"/>
                  <w:noWrap w:val="0"/>
                  <w:vAlign w:val="center"/>
                </w:tcPr>
                <w:p w14:paraId="5E88BA5C">
                  <w:pPr>
                    <w:autoSpaceDE w:val="0"/>
                    <w:autoSpaceDN w:val="0"/>
                    <w:adjustRightInd w:val="0"/>
                    <w:jc w:val="center"/>
                    <w:rPr>
                      <w:rFonts w:ascii="Times New Roman" w:hAnsi="Times New Roman" w:eastAsia="宋体" w:cs="Times New Roman"/>
                      <w:i w:val="0"/>
                      <w:iCs w:val="0"/>
                      <w:sz w:val="21"/>
                      <w:szCs w:val="21"/>
                      <w:u w:val="none"/>
                    </w:rPr>
                  </w:pPr>
                  <w:r>
                    <w:rPr>
                      <w:rFonts w:ascii="Times New Roman" w:hAnsi="Times New Roman" w:eastAsia="宋体" w:cs="Times New Roman"/>
                      <w:i w:val="0"/>
                      <w:iCs w:val="0"/>
                      <w:sz w:val="21"/>
                      <w:szCs w:val="21"/>
                      <w:u w:val="none"/>
                    </w:rPr>
                    <w:t>水泥</w:t>
                  </w:r>
                </w:p>
              </w:tc>
              <w:tc>
                <w:tcPr>
                  <w:tcW w:w="423" w:type="pct"/>
                  <w:shd w:val="clear" w:color="auto" w:fill="auto"/>
                  <w:noWrap w:val="0"/>
                  <w:vAlign w:val="center"/>
                </w:tcPr>
                <w:p w14:paraId="391ACFB0">
                  <w:pPr>
                    <w:autoSpaceDE w:val="0"/>
                    <w:autoSpaceDN w:val="0"/>
                    <w:adjustRightInd w:val="0"/>
                    <w:jc w:val="center"/>
                    <w:rPr>
                      <w:rFonts w:hint="default"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t/a</w:t>
                  </w:r>
                </w:p>
              </w:tc>
              <w:tc>
                <w:tcPr>
                  <w:tcW w:w="768" w:type="pct"/>
                  <w:noWrap w:val="0"/>
                  <w:vAlign w:val="center"/>
                </w:tcPr>
                <w:p w14:paraId="76C71338">
                  <w:pPr>
                    <w:autoSpaceDE w:val="0"/>
                    <w:autoSpaceDN w:val="0"/>
                    <w:adjustRightInd w:val="0"/>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60000</w:t>
                  </w:r>
                </w:p>
              </w:tc>
              <w:tc>
                <w:tcPr>
                  <w:tcW w:w="858" w:type="pct"/>
                  <w:noWrap w:val="0"/>
                  <w:vAlign w:val="center"/>
                </w:tcPr>
                <w:p w14:paraId="31A0E156">
                  <w:pPr>
                    <w:autoSpaceDE w:val="0"/>
                    <w:autoSpaceDN w:val="0"/>
                    <w:adjustRightInd w:val="0"/>
                    <w:jc w:val="center"/>
                    <w:rPr>
                      <w:rFonts w:ascii="Times New Roman" w:hAnsi="Times New Roman" w:eastAsia="宋体" w:cs="Times New Roman"/>
                      <w:i w:val="0"/>
                      <w:iCs w:val="0"/>
                      <w:sz w:val="21"/>
                      <w:szCs w:val="21"/>
                      <w:u w:val="none"/>
                    </w:rPr>
                  </w:pPr>
                  <w:r>
                    <w:rPr>
                      <w:rFonts w:ascii="Times New Roman" w:hAnsi="Times New Roman" w:eastAsia="宋体" w:cs="Times New Roman"/>
                      <w:i w:val="0"/>
                      <w:iCs w:val="0"/>
                      <w:sz w:val="21"/>
                      <w:szCs w:val="21"/>
                      <w:u w:val="none"/>
                    </w:rPr>
                    <w:t>汽运（罐车）</w:t>
                  </w:r>
                </w:p>
              </w:tc>
              <w:tc>
                <w:tcPr>
                  <w:tcW w:w="524" w:type="pct"/>
                  <w:noWrap w:val="0"/>
                  <w:vAlign w:val="center"/>
                </w:tcPr>
                <w:p w14:paraId="6475A23F">
                  <w:pPr>
                    <w:autoSpaceDE w:val="0"/>
                    <w:autoSpaceDN w:val="0"/>
                    <w:adjustRightInd w:val="0"/>
                    <w:jc w:val="center"/>
                    <w:rPr>
                      <w:rFonts w:ascii="Times New Roman" w:hAnsi="Times New Roman" w:eastAsia="宋体" w:cs="Times New Roman"/>
                      <w:i w:val="0"/>
                      <w:iCs w:val="0"/>
                      <w:sz w:val="21"/>
                      <w:szCs w:val="21"/>
                      <w:u w:val="none"/>
                    </w:rPr>
                  </w:pPr>
                  <w:r>
                    <w:rPr>
                      <w:rFonts w:hint="eastAsia" w:ascii="Times New Roman" w:hAnsi="Times New Roman" w:eastAsia="宋体" w:cs="Times New Roman"/>
                      <w:i w:val="0"/>
                      <w:iCs w:val="0"/>
                      <w:sz w:val="21"/>
                      <w:szCs w:val="21"/>
                      <w:u w:val="none"/>
                    </w:rPr>
                    <w:t>筒仓</w:t>
                  </w:r>
                </w:p>
              </w:tc>
              <w:tc>
                <w:tcPr>
                  <w:tcW w:w="497" w:type="pct"/>
                  <w:noWrap w:val="0"/>
                  <w:vAlign w:val="center"/>
                </w:tcPr>
                <w:p w14:paraId="1E8BFA20">
                  <w:pPr>
                    <w:autoSpaceDE w:val="0"/>
                    <w:autoSpaceDN w:val="0"/>
                    <w:adjustRightInd w:val="0"/>
                    <w:jc w:val="center"/>
                    <w:rPr>
                      <w:rFonts w:hint="eastAsia" w:ascii="Times New Roman" w:hAnsi="Times New Roman" w:eastAsia="宋体" w:cs="Times New Roman"/>
                      <w:i w:val="0"/>
                      <w:iCs w:val="0"/>
                      <w:sz w:val="21"/>
                      <w:szCs w:val="21"/>
                      <w:u w:val="none"/>
                      <w:lang w:eastAsia="zh-CN"/>
                    </w:rPr>
                  </w:pPr>
                  <w:r>
                    <w:rPr>
                      <w:rFonts w:hint="eastAsia" w:cs="Times New Roman"/>
                      <w:i w:val="0"/>
                      <w:iCs w:val="0"/>
                      <w:sz w:val="21"/>
                      <w:szCs w:val="21"/>
                      <w:u w:val="none"/>
                      <w:lang w:eastAsia="zh-CN"/>
                    </w:rPr>
                    <w:t>固态</w:t>
                  </w:r>
                </w:p>
              </w:tc>
              <w:tc>
                <w:tcPr>
                  <w:tcW w:w="598" w:type="pct"/>
                  <w:shd w:val="clear" w:color="auto" w:fill="auto"/>
                  <w:noWrap w:val="0"/>
                  <w:vAlign w:val="center"/>
                </w:tcPr>
                <w:p w14:paraId="31A35B9F">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外购</w:t>
                  </w:r>
                </w:p>
              </w:tc>
            </w:tr>
            <w:tr w14:paraId="45D271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15" w:type="pct"/>
                  <w:noWrap w:val="0"/>
                  <w:vAlign w:val="center"/>
                </w:tcPr>
                <w:p w14:paraId="6A091064">
                  <w:pPr>
                    <w:autoSpaceDE w:val="0"/>
                    <w:autoSpaceDN w:val="0"/>
                    <w:adjustRightInd w:val="0"/>
                    <w:jc w:val="center"/>
                    <w:rPr>
                      <w:rFonts w:ascii="Times New Roman" w:hAnsi="Times New Roman" w:eastAsia="宋体" w:cs="Times New Roman"/>
                      <w:i w:val="0"/>
                      <w:iCs w:val="0"/>
                      <w:sz w:val="21"/>
                      <w:szCs w:val="21"/>
                      <w:u w:val="none"/>
                    </w:rPr>
                  </w:pPr>
                  <w:r>
                    <w:rPr>
                      <w:rFonts w:hint="eastAsia" w:ascii="Times New Roman" w:hAnsi="Times New Roman" w:eastAsia="宋体" w:cs="Times New Roman"/>
                      <w:i w:val="0"/>
                      <w:iCs w:val="0"/>
                      <w:sz w:val="21"/>
                      <w:szCs w:val="21"/>
                      <w:u w:val="none"/>
                    </w:rPr>
                    <w:t>2</w:t>
                  </w:r>
                </w:p>
              </w:tc>
              <w:tc>
                <w:tcPr>
                  <w:tcW w:w="913" w:type="pct"/>
                  <w:noWrap w:val="0"/>
                  <w:vAlign w:val="center"/>
                </w:tcPr>
                <w:p w14:paraId="6C7702F7">
                  <w:pPr>
                    <w:autoSpaceDE w:val="0"/>
                    <w:autoSpaceDN w:val="0"/>
                    <w:adjustRightInd w:val="0"/>
                    <w:jc w:val="center"/>
                    <w:rPr>
                      <w:rFonts w:ascii="Times New Roman" w:hAnsi="Times New Roman" w:eastAsia="宋体" w:cs="Times New Roman"/>
                      <w:i w:val="0"/>
                      <w:iCs w:val="0"/>
                      <w:sz w:val="21"/>
                      <w:szCs w:val="21"/>
                      <w:u w:val="none"/>
                    </w:rPr>
                  </w:pPr>
                  <w:r>
                    <w:rPr>
                      <w:rFonts w:hint="eastAsia" w:ascii="Times New Roman" w:hAnsi="Times New Roman" w:eastAsia="宋体" w:cs="Times New Roman"/>
                      <w:i w:val="0"/>
                      <w:iCs w:val="0"/>
                      <w:sz w:val="21"/>
                      <w:szCs w:val="21"/>
                      <w:u w:val="none"/>
                    </w:rPr>
                    <w:t>粉煤灰</w:t>
                  </w:r>
                </w:p>
              </w:tc>
              <w:tc>
                <w:tcPr>
                  <w:tcW w:w="423" w:type="pct"/>
                  <w:shd w:val="clear" w:color="auto" w:fill="auto"/>
                  <w:noWrap w:val="0"/>
                  <w:vAlign w:val="center"/>
                </w:tcPr>
                <w:p w14:paraId="782A1B4C">
                  <w:pPr>
                    <w:autoSpaceDE w:val="0"/>
                    <w:autoSpaceDN w:val="0"/>
                    <w:adjustRightInd w:val="0"/>
                    <w:jc w:val="center"/>
                    <w:rPr>
                      <w:rFonts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t/a</w:t>
                  </w:r>
                </w:p>
              </w:tc>
              <w:tc>
                <w:tcPr>
                  <w:tcW w:w="768" w:type="pct"/>
                  <w:noWrap w:val="0"/>
                  <w:vAlign w:val="center"/>
                </w:tcPr>
                <w:p w14:paraId="29BB176A">
                  <w:pPr>
                    <w:autoSpaceDE w:val="0"/>
                    <w:autoSpaceDN w:val="0"/>
                    <w:adjustRightInd w:val="0"/>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1400</w:t>
                  </w:r>
                </w:p>
              </w:tc>
              <w:tc>
                <w:tcPr>
                  <w:tcW w:w="858" w:type="pct"/>
                  <w:noWrap w:val="0"/>
                  <w:vAlign w:val="center"/>
                </w:tcPr>
                <w:p w14:paraId="378B96A1">
                  <w:pPr>
                    <w:autoSpaceDE w:val="0"/>
                    <w:autoSpaceDN w:val="0"/>
                    <w:adjustRightInd w:val="0"/>
                    <w:jc w:val="center"/>
                    <w:rPr>
                      <w:rFonts w:ascii="Times New Roman" w:hAnsi="Times New Roman" w:eastAsia="宋体" w:cs="Times New Roman"/>
                      <w:i w:val="0"/>
                      <w:iCs w:val="0"/>
                      <w:sz w:val="21"/>
                      <w:szCs w:val="21"/>
                      <w:u w:val="none"/>
                    </w:rPr>
                  </w:pPr>
                  <w:r>
                    <w:rPr>
                      <w:rFonts w:ascii="Times New Roman" w:hAnsi="Times New Roman" w:eastAsia="宋体" w:cs="Times New Roman"/>
                      <w:i w:val="0"/>
                      <w:iCs w:val="0"/>
                      <w:sz w:val="21"/>
                      <w:szCs w:val="21"/>
                      <w:u w:val="none"/>
                    </w:rPr>
                    <w:t>汽运（罐车）</w:t>
                  </w:r>
                </w:p>
              </w:tc>
              <w:tc>
                <w:tcPr>
                  <w:tcW w:w="524" w:type="pct"/>
                  <w:noWrap w:val="0"/>
                  <w:vAlign w:val="center"/>
                </w:tcPr>
                <w:p w14:paraId="4F57848A">
                  <w:pPr>
                    <w:autoSpaceDE w:val="0"/>
                    <w:autoSpaceDN w:val="0"/>
                    <w:adjustRightInd w:val="0"/>
                    <w:jc w:val="center"/>
                    <w:rPr>
                      <w:rFonts w:ascii="Times New Roman" w:hAnsi="Times New Roman" w:eastAsia="宋体" w:cs="Times New Roman"/>
                      <w:i w:val="0"/>
                      <w:iCs w:val="0"/>
                      <w:sz w:val="21"/>
                      <w:szCs w:val="21"/>
                      <w:u w:val="none"/>
                    </w:rPr>
                  </w:pPr>
                  <w:r>
                    <w:rPr>
                      <w:rFonts w:hint="eastAsia" w:ascii="Times New Roman" w:hAnsi="Times New Roman" w:eastAsia="宋体" w:cs="Times New Roman"/>
                      <w:i w:val="0"/>
                      <w:iCs w:val="0"/>
                      <w:sz w:val="21"/>
                      <w:szCs w:val="21"/>
                      <w:u w:val="none"/>
                    </w:rPr>
                    <w:t>筒仓</w:t>
                  </w:r>
                </w:p>
              </w:tc>
              <w:tc>
                <w:tcPr>
                  <w:tcW w:w="497" w:type="pct"/>
                  <w:noWrap w:val="0"/>
                  <w:vAlign w:val="center"/>
                </w:tcPr>
                <w:p w14:paraId="5DA4ADEC">
                  <w:pPr>
                    <w:autoSpaceDE w:val="0"/>
                    <w:autoSpaceDN w:val="0"/>
                    <w:adjustRightInd w:val="0"/>
                    <w:jc w:val="center"/>
                    <w:rPr>
                      <w:rFonts w:hint="eastAsia" w:ascii="Times New Roman" w:hAnsi="Times New Roman" w:eastAsia="宋体" w:cs="Times New Roman"/>
                      <w:i w:val="0"/>
                      <w:iCs w:val="0"/>
                      <w:sz w:val="21"/>
                      <w:szCs w:val="21"/>
                      <w:u w:val="none"/>
                    </w:rPr>
                  </w:pPr>
                  <w:r>
                    <w:rPr>
                      <w:rFonts w:hint="eastAsia" w:cs="Times New Roman"/>
                      <w:i w:val="0"/>
                      <w:iCs w:val="0"/>
                      <w:sz w:val="21"/>
                      <w:szCs w:val="21"/>
                      <w:u w:val="none"/>
                      <w:lang w:eastAsia="zh-CN"/>
                    </w:rPr>
                    <w:t>固态</w:t>
                  </w:r>
                </w:p>
              </w:tc>
              <w:tc>
                <w:tcPr>
                  <w:tcW w:w="598" w:type="pct"/>
                  <w:shd w:val="clear" w:color="auto" w:fill="auto"/>
                  <w:noWrap w:val="0"/>
                  <w:vAlign w:val="center"/>
                </w:tcPr>
                <w:p w14:paraId="40A0441F">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外购</w:t>
                  </w:r>
                </w:p>
              </w:tc>
            </w:tr>
            <w:tr w14:paraId="0A99C1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15" w:type="pct"/>
                  <w:noWrap w:val="0"/>
                  <w:vAlign w:val="center"/>
                </w:tcPr>
                <w:p w14:paraId="0D1AACDA">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cs="Times New Roman"/>
                      <w:i w:val="0"/>
                      <w:iCs w:val="0"/>
                      <w:sz w:val="21"/>
                      <w:szCs w:val="21"/>
                      <w:u w:val="none"/>
                      <w:lang w:val="en-US" w:eastAsia="zh-CN"/>
                    </w:rPr>
                    <w:t>3</w:t>
                  </w:r>
                </w:p>
              </w:tc>
              <w:tc>
                <w:tcPr>
                  <w:tcW w:w="913" w:type="pct"/>
                  <w:noWrap w:val="0"/>
                  <w:vAlign w:val="center"/>
                </w:tcPr>
                <w:p w14:paraId="30250155">
                  <w:pPr>
                    <w:autoSpaceDE w:val="0"/>
                    <w:autoSpaceDN w:val="0"/>
                    <w:adjustRightInd w:val="0"/>
                    <w:jc w:val="center"/>
                    <w:rPr>
                      <w:rFonts w:hint="eastAsia" w:ascii="Times New Roman" w:hAnsi="Times New Roman" w:eastAsia="宋体" w:cs="Times New Roman"/>
                      <w:i w:val="0"/>
                      <w:iCs w:val="0"/>
                      <w:sz w:val="21"/>
                      <w:szCs w:val="21"/>
                      <w:u w:val="none"/>
                      <w:lang w:eastAsia="zh-CN"/>
                    </w:rPr>
                  </w:pPr>
                  <w:r>
                    <w:rPr>
                      <w:rFonts w:hint="eastAsia" w:cs="Times New Roman"/>
                      <w:i w:val="0"/>
                      <w:iCs w:val="0"/>
                      <w:sz w:val="21"/>
                      <w:szCs w:val="21"/>
                      <w:u w:val="none"/>
                      <w:lang w:eastAsia="zh-CN"/>
                    </w:rPr>
                    <w:t>矿粉</w:t>
                  </w:r>
                </w:p>
              </w:tc>
              <w:tc>
                <w:tcPr>
                  <w:tcW w:w="423" w:type="pct"/>
                  <w:shd w:val="clear" w:color="auto" w:fill="auto"/>
                  <w:noWrap w:val="0"/>
                  <w:vAlign w:val="center"/>
                </w:tcPr>
                <w:p w14:paraId="1741168A">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ascii="Times New Roman" w:hAnsi="Times New Roman" w:eastAsia="宋体" w:cs="Times New Roman"/>
                      <w:i w:val="0"/>
                      <w:iCs w:val="0"/>
                      <w:sz w:val="21"/>
                      <w:szCs w:val="21"/>
                      <w:u w:val="none"/>
                      <w:lang w:val="en-US" w:eastAsia="zh-CN"/>
                    </w:rPr>
                    <w:t>t/a</w:t>
                  </w:r>
                </w:p>
              </w:tc>
              <w:tc>
                <w:tcPr>
                  <w:tcW w:w="768" w:type="pct"/>
                  <w:noWrap w:val="0"/>
                  <w:vAlign w:val="center"/>
                </w:tcPr>
                <w:p w14:paraId="142B5DA1">
                  <w:pPr>
                    <w:autoSpaceDE w:val="0"/>
                    <w:autoSpaceDN w:val="0"/>
                    <w:adjustRightInd w:val="0"/>
                    <w:jc w:val="center"/>
                    <w:rPr>
                      <w:rFonts w:hint="default"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1400</w:t>
                  </w:r>
                </w:p>
              </w:tc>
              <w:tc>
                <w:tcPr>
                  <w:tcW w:w="858" w:type="pct"/>
                  <w:shd w:val="clear" w:color="auto" w:fill="auto"/>
                  <w:noWrap w:val="0"/>
                  <w:vAlign w:val="center"/>
                </w:tcPr>
                <w:p w14:paraId="2DEC19E7">
                  <w:pPr>
                    <w:autoSpaceDE w:val="0"/>
                    <w:autoSpaceDN w:val="0"/>
                    <w:adjustRightInd w:val="0"/>
                    <w:jc w:val="center"/>
                    <w:rPr>
                      <w:rFonts w:ascii="Times New Roman" w:hAnsi="Times New Roman" w:eastAsia="宋体" w:cs="Times New Roman"/>
                      <w:i w:val="0"/>
                      <w:iCs w:val="0"/>
                      <w:kern w:val="2"/>
                      <w:sz w:val="21"/>
                      <w:szCs w:val="21"/>
                      <w:u w:val="none"/>
                      <w:lang w:val="en-US" w:eastAsia="zh-CN" w:bidi="ar-SA"/>
                    </w:rPr>
                  </w:pPr>
                  <w:r>
                    <w:rPr>
                      <w:rFonts w:ascii="Times New Roman" w:hAnsi="Times New Roman" w:eastAsia="宋体" w:cs="Times New Roman"/>
                      <w:i w:val="0"/>
                      <w:iCs w:val="0"/>
                      <w:sz w:val="21"/>
                      <w:szCs w:val="21"/>
                      <w:u w:val="none"/>
                    </w:rPr>
                    <w:t>汽运（罐车）</w:t>
                  </w:r>
                </w:p>
              </w:tc>
              <w:tc>
                <w:tcPr>
                  <w:tcW w:w="524" w:type="pct"/>
                  <w:shd w:val="clear" w:color="auto" w:fill="auto"/>
                  <w:noWrap w:val="0"/>
                  <w:vAlign w:val="center"/>
                </w:tcPr>
                <w:p w14:paraId="2F12055A">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rPr>
                    <w:t>筒仓</w:t>
                  </w:r>
                </w:p>
              </w:tc>
              <w:tc>
                <w:tcPr>
                  <w:tcW w:w="497" w:type="pct"/>
                  <w:noWrap w:val="0"/>
                  <w:vAlign w:val="center"/>
                </w:tcPr>
                <w:p w14:paraId="6695B4B1">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cs="Times New Roman"/>
                      <w:i w:val="0"/>
                      <w:iCs w:val="0"/>
                      <w:sz w:val="21"/>
                      <w:szCs w:val="21"/>
                      <w:u w:val="none"/>
                      <w:lang w:eastAsia="zh-CN"/>
                    </w:rPr>
                    <w:t>固态</w:t>
                  </w:r>
                </w:p>
              </w:tc>
              <w:tc>
                <w:tcPr>
                  <w:tcW w:w="598" w:type="pct"/>
                  <w:shd w:val="clear" w:color="auto" w:fill="auto"/>
                  <w:noWrap w:val="0"/>
                  <w:vAlign w:val="center"/>
                </w:tcPr>
                <w:p w14:paraId="75FC15DA">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外购</w:t>
                  </w:r>
                </w:p>
              </w:tc>
            </w:tr>
            <w:tr w14:paraId="1125E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15" w:type="pct"/>
                  <w:noWrap w:val="0"/>
                  <w:vAlign w:val="center"/>
                </w:tcPr>
                <w:p w14:paraId="62410988">
                  <w:pPr>
                    <w:autoSpaceDE w:val="0"/>
                    <w:autoSpaceDN w:val="0"/>
                    <w:adjustRightInd w:val="0"/>
                    <w:jc w:val="center"/>
                    <w:rPr>
                      <w:rFonts w:hint="default" w:cs="Times New Roman"/>
                      <w:i w:val="0"/>
                      <w:iCs w:val="0"/>
                      <w:sz w:val="21"/>
                      <w:szCs w:val="21"/>
                      <w:u w:val="none"/>
                      <w:lang w:val="en-US" w:eastAsia="zh-CN"/>
                    </w:rPr>
                  </w:pPr>
                  <w:r>
                    <w:rPr>
                      <w:rFonts w:hint="eastAsia" w:cs="Times New Roman"/>
                      <w:i w:val="0"/>
                      <w:iCs w:val="0"/>
                      <w:sz w:val="21"/>
                      <w:szCs w:val="21"/>
                      <w:u w:val="none"/>
                      <w:lang w:val="en-US" w:eastAsia="zh-CN"/>
                    </w:rPr>
                    <w:t>4</w:t>
                  </w:r>
                </w:p>
              </w:tc>
              <w:tc>
                <w:tcPr>
                  <w:tcW w:w="913" w:type="pct"/>
                  <w:noWrap w:val="0"/>
                  <w:vAlign w:val="center"/>
                </w:tcPr>
                <w:p w14:paraId="6D5041F7">
                  <w:pPr>
                    <w:autoSpaceDE w:val="0"/>
                    <w:autoSpaceDN w:val="0"/>
                    <w:adjustRightInd w:val="0"/>
                    <w:jc w:val="center"/>
                    <w:rPr>
                      <w:rFonts w:hint="eastAsia" w:cs="Times New Roman"/>
                      <w:i w:val="0"/>
                      <w:iCs w:val="0"/>
                      <w:sz w:val="21"/>
                      <w:szCs w:val="21"/>
                      <w:u w:val="none"/>
                      <w:lang w:eastAsia="zh-CN"/>
                    </w:rPr>
                  </w:pPr>
                  <w:r>
                    <w:rPr>
                      <w:rFonts w:hint="eastAsia" w:cs="Times New Roman"/>
                      <w:i w:val="0"/>
                      <w:iCs w:val="0"/>
                      <w:sz w:val="21"/>
                      <w:szCs w:val="21"/>
                      <w:u w:val="none"/>
                      <w:lang w:eastAsia="zh-CN"/>
                    </w:rPr>
                    <w:t>砂子</w:t>
                  </w:r>
                </w:p>
              </w:tc>
              <w:tc>
                <w:tcPr>
                  <w:tcW w:w="423" w:type="pct"/>
                  <w:shd w:val="clear" w:color="auto" w:fill="auto"/>
                  <w:noWrap w:val="0"/>
                  <w:vAlign w:val="center"/>
                </w:tcPr>
                <w:p w14:paraId="5785EDE5">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ascii="Times New Roman" w:hAnsi="Times New Roman" w:eastAsia="宋体" w:cs="Times New Roman"/>
                      <w:i w:val="0"/>
                      <w:iCs w:val="0"/>
                      <w:sz w:val="21"/>
                      <w:szCs w:val="21"/>
                      <w:u w:val="none"/>
                      <w:lang w:val="en-US" w:eastAsia="zh-CN"/>
                    </w:rPr>
                    <w:t>t/a</w:t>
                  </w:r>
                </w:p>
              </w:tc>
              <w:tc>
                <w:tcPr>
                  <w:tcW w:w="768" w:type="pct"/>
                  <w:shd w:val="clear" w:color="auto" w:fill="auto"/>
                  <w:noWrap w:val="0"/>
                  <w:vAlign w:val="center"/>
                </w:tcPr>
                <w:p w14:paraId="762384A9">
                  <w:pPr>
                    <w:widowControl/>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eastAsia" w:cs="Times New Roman"/>
                      <w:i w:val="0"/>
                      <w:iCs w:val="0"/>
                      <w:color w:val="000000"/>
                      <w:kern w:val="0"/>
                      <w:sz w:val="21"/>
                      <w:szCs w:val="21"/>
                      <w:u w:val="none"/>
                      <w:lang w:val="en-US" w:eastAsia="zh-CN" w:bidi="ar"/>
                    </w:rPr>
                    <w:t>33615.0134</w:t>
                  </w:r>
                </w:p>
              </w:tc>
              <w:tc>
                <w:tcPr>
                  <w:tcW w:w="858" w:type="pct"/>
                  <w:shd w:val="clear" w:color="auto" w:fill="auto"/>
                  <w:noWrap w:val="0"/>
                  <w:vAlign w:val="center"/>
                </w:tcPr>
                <w:p w14:paraId="22BD1307">
                  <w:pPr>
                    <w:autoSpaceDE w:val="0"/>
                    <w:autoSpaceDN w:val="0"/>
                    <w:adjustRightInd w:val="0"/>
                    <w:jc w:val="center"/>
                    <w:rPr>
                      <w:rFonts w:ascii="Times New Roman" w:hAnsi="Times New Roman" w:eastAsia="宋体" w:cs="Times New Roman"/>
                      <w:i w:val="0"/>
                      <w:iCs w:val="0"/>
                      <w:kern w:val="2"/>
                      <w:sz w:val="21"/>
                      <w:szCs w:val="21"/>
                      <w:highlight w:val="none"/>
                      <w:u w:val="none"/>
                      <w:lang w:val="en-US" w:eastAsia="zh-CN" w:bidi="ar-SA"/>
                    </w:rPr>
                  </w:pPr>
                  <w:r>
                    <w:rPr>
                      <w:rFonts w:ascii="Times New Roman" w:hAnsi="Times New Roman" w:eastAsia="宋体" w:cs="Times New Roman"/>
                      <w:i w:val="0"/>
                      <w:iCs w:val="0"/>
                      <w:sz w:val="21"/>
                      <w:szCs w:val="21"/>
                      <w:highlight w:val="none"/>
                      <w:u w:val="none"/>
                    </w:rPr>
                    <w:t>汽运</w:t>
                  </w:r>
                </w:p>
              </w:tc>
              <w:tc>
                <w:tcPr>
                  <w:tcW w:w="524" w:type="pct"/>
                  <w:shd w:val="clear" w:color="auto" w:fill="auto"/>
                  <w:noWrap w:val="0"/>
                  <w:vAlign w:val="center"/>
                </w:tcPr>
                <w:p w14:paraId="4B830884">
                  <w:pPr>
                    <w:autoSpaceDE w:val="0"/>
                    <w:autoSpaceDN w:val="0"/>
                    <w:adjustRightInd w:val="0"/>
                    <w:jc w:val="center"/>
                    <w:rPr>
                      <w:rFonts w:hint="eastAsia" w:ascii="Times New Roman" w:hAnsi="Times New Roman" w:eastAsia="宋体" w:cs="Times New Roman"/>
                      <w:i w:val="0"/>
                      <w:iCs w:val="0"/>
                      <w:kern w:val="2"/>
                      <w:sz w:val="21"/>
                      <w:szCs w:val="21"/>
                      <w:highlight w:val="none"/>
                      <w:u w:val="none"/>
                      <w:lang w:val="en-US" w:eastAsia="zh-CN" w:bidi="ar-SA"/>
                    </w:rPr>
                  </w:pPr>
                  <w:r>
                    <w:rPr>
                      <w:rFonts w:ascii="Times New Roman" w:hAnsi="Times New Roman" w:eastAsia="宋体" w:cs="Times New Roman"/>
                      <w:i w:val="0"/>
                      <w:iCs w:val="0"/>
                      <w:sz w:val="21"/>
                      <w:szCs w:val="21"/>
                      <w:highlight w:val="none"/>
                      <w:u w:val="none"/>
                    </w:rPr>
                    <w:t>料</w:t>
                  </w:r>
                  <w:r>
                    <w:rPr>
                      <w:rFonts w:hint="eastAsia" w:ascii="Times New Roman" w:hAnsi="Times New Roman" w:eastAsia="宋体" w:cs="Times New Roman"/>
                      <w:i w:val="0"/>
                      <w:iCs w:val="0"/>
                      <w:sz w:val="21"/>
                      <w:szCs w:val="21"/>
                      <w:highlight w:val="none"/>
                      <w:u w:val="none"/>
                    </w:rPr>
                    <w:t>场</w:t>
                  </w:r>
                </w:p>
              </w:tc>
              <w:tc>
                <w:tcPr>
                  <w:tcW w:w="497" w:type="pct"/>
                  <w:shd w:val="clear" w:color="auto" w:fill="auto"/>
                  <w:noWrap w:val="0"/>
                  <w:vAlign w:val="center"/>
                </w:tcPr>
                <w:p w14:paraId="032C84DD">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r>
                    <w:rPr>
                      <w:rFonts w:hint="eastAsia" w:cs="Times New Roman"/>
                      <w:i w:val="0"/>
                      <w:iCs w:val="0"/>
                      <w:sz w:val="21"/>
                      <w:szCs w:val="21"/>
                      <w:u w:val="none"/>
                      <w:lang w:eastAsia="zh-CN"/>
                    </w:rPr>
                    <w:t>固态</w:t>
                  </w:r>
                </w:p>
              </w:tc>
              <w:tc>
                <w:tcPr>
                  <w:tcW w:w="598" w:type="pct"/>
                  <w:shd w:val="clear" w:color="auto" w:fill="auto"/>
                  <w:noWrap w:val="0"/>
                  <w:vAlign w:val="center"/>
                </w:tcPr>
                <w:p w14:paraId="6B3B4064">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外购</w:t>
                  </w:r>
                </w:p>
              </w:tc>
            </w:tr>
            <w:tr w14:paraId="5E62CA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15" w:type="pct"/>
                  <w:noWrap w:val="0"/>
                  <w:vAlign w:val="center"/>
                </w:tcPr>
                <w:p w14:paraId="2696DA8F">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cs="Times New Roman"/>
                      <w:i w:val="0"/>
                      <w:iCs w:val="0"/>
                      <w:sz w:val="21"/>
                      <w:szCs w:val="21"/>
                      <w:u w:val="none"/>
                      <w:lang w:val="en-US" w:eastAsia="zh-CN"/>
                    </w:rPr>
                    <w:t>5</w:t>
                  </w:r>
                </w:p>
              </w:tc>
              <w:tc>
                <w:tcPr>
                  <w:tcW w:w="913" w:type="pct"/>
                  <w:noWrap w:val="0"/>
                  <w:vAlign w:val="center"/>
                </w:tcPr>
                <w:p w14:paraId="4CBB85A9">
                  <w:pPr>
                    <w:autoSpaceDE w:val="0"/>
                    <w:autoSpaceDN w:val="0"/>
                    <w:adjustRightInd w:val="0"/>
                    <w:jc w:val="center"/>
                    <w:rPr>
                      <w:rFonts w:hint="eastAsia" w:ascii="Times New Roman" w:hAnsi="Times New Roman" w:eastAsia="宋体" w:cs="Times New Roman"/>
                      <w:i w:val="0"/>
                      <w:iCs w:val="0"/>
                      <w:sz w:val="21"/>
                      <w:szCs w:val="21"/>
                      <w:highlight w:val="none"/>
                      <w:u w:val="none"/>
                      <w:lang w:val="en-US" w:eastAsia="zh-CN"/>
                    </w:rPr>
                  </w:pPr>
                  <w:r>
                    <w:rPr>
                      <w:rFonts w:hint="eastAsia" w:cs="Times New Roman"/>
                      <w:i w:val="0"/>
                      <w:iCs w:val="0"/>
                      <w:sz w:val="21"/>
                      <w:szCs w:val="21"/>
                      <w:highlight w:val="none"/>
                      <w:u w:val="none"/>
                      <w:lang w:val="en-US" w:eastAsia="zh-CN"/>
                    </w:rPr>
                    <w:t>碎石</w:t>
                  </w:r>
                </w:p>
              </w:tc>
              <w:tc>
                <w:tcPr>
                  <w:tcW w:w="423" w:type="pct"/>
                  <w:shd w:val="clear" w:color="auto" w:fill="auto"/>
                  <w:noWrap w:val="0"/>
                  <w:vAlign w:val="center"/>
                </w:tcPr>
                <w:p w14:paraId="608FED60">
                  <w:pPr>
                    <w:autoSpaceDE w:val="0"/>
                    <w:autoSpaceDN w:val="0"/>
                    <w:adjustRightInd w:val="0"/>
                    <w:jc w:val="center"/>
                    <w:rPr>
                      <w:rFonts w:ascii="Times New Roman" w:hAnsi="Times New Roman" w:eastAsia="宋体" w:cs="Times New Roman"/>
                      <w:i w:val="0"/>
                      <w:iCs w:val="0"/>
                      <w:kern w:val="2"/>
                      <w:sz w:val="21"/>
                      <w:szCs w:val="21"/>
                      <w:highlight w:val="none"/>
                      <w:u w:val="none"/>
                      <w:lang w:val="en-US" w:eastAsia="zh-CN" w:bidi="ar-SA"/>
                    </w:rPr>
                  </w:pPr>
                  <w:r>
                    <w:rPr>
                      <w:rFonts w:hint="eastAsia" w:ascii="Times New Roman" w:hAnsi="Times New Roman" w:eastAsia="宋体" w:cs="Times New Roman"/>
                      <w:i w:val="0"/>
                      <w:iCs w:val="0"/>
                      <w:sz w:val="21"/>
                      <w:szCs w:val="21"/>
                      <w:highlight w:val="none"/>
                      <w:u w:val="none"/>
                      <w:lang w:val="en-US" w:eastAsia="zh-CN"/>
                    </w:rPr>
                    <w:t>t/a</w:t>
                  </w:r>
                </w:p>
              </w:tc>
              <w:tc>
                <w:tcPr>
                  <w:tcW w:w="768" w:type="pct"/>
                  <w:shd w:val="clear" w:color="auto" w:fill="auto"/>
                  <w:noWrap w:val="0"/>
                  <w:vAlign w:val="center"/>
                </w:tcPr>
                <w:p w14:paraId="0E6E52D2">
                  <w:pPr>
                    <w:widowControl/>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eastAsia" w:cs="Times New Roman"/>
                      <w:i w:val="0"/>
                      <w:iCs w:val="0"/>
                      <w:color w:val="000000" w:themeColor="text1"/>
                      <w:kern w:val="2"/>
                      <w:sz w:val="21"/>
                      <w:szCs w:val="21"/>
                      <w:u w:val="none"/>
                      <w:lang w:val="en-US" w:eastAsia="zh-CN" w:bidi="ar-SA"/>
                      <w14:textFill>
                        <w14:solidFill>
                          <w14:schemeClr w14:val="tx1"/>
                        </w14:solidFill>
                      </w14:textFill>
                    </w:rPr>
                    <w:t>38420</w:t>
                  </w:r>
                </w:p>
              </w:tc>
              <w:tc>
                <w:tcPr>
                  <w:tcW w:w="858" w:type="pct"/>
                  <w:noWrap w:val="0"/>
                  <w:vAlign w:val="center"/>
                </w:tcPr>
                <w:p w14:paraId="7906D0B8">
                  <w:pPr>
                    <w:autoSpaceDE w:val="0"/>
                    <w:autoSpaceDN w:val="0"/>
                    <w:adjustRightInd w:val="0"/>
                    <w:jc w:val="center"/>
                    <w:rPr>
                      <w:rFonts w:ascii="Times New Roman" w:hAnsi="Times New Roman" w:eastAsia="宋体" w:cs="Times New Roman"/>
                      <w:i w:val="0"/>
                      <w:iCs w:val="0"/>
                      <w:sz w:val="21"/>
                      <w:szCs w:val="21"/>
                      <w:highlight w:val="none"/>
                      <w:u w:val="none"/>
                      <w:lang w:val="en-US" w:eastAsia="zh-CN"/>
                    </w:rPr>
                  </w:pPr>
                  <w:r>
                    <w:rPr>
                      <w:rFonts w:ascii="Times New Roman" w:hAnsi="Times New Roman" w:eastAsia="宋体" w:cs="Times New Roman"/>
                      <w:i w:val="0"/>
                      <w:iCs w:val="0"/>
                      <w:sz w:val="21"/>
                      <w:szCs w:val="21"/>
                      <w:highlight w:val="none"/>
                      <w:u w:val="none"/>
                    </w:rPr>
                    <w:t>汽运</w:t>
                  </w:r>
                </w:p>
              </w:tc>
              <w:tc>
                <w:tcPr>
                  <w:tcW w:w="524" w:type="pct"/>
                  <w:noWrap w:val="0"/>
                  <w:vAlign w:val="center"/>
                </w:tcPr>
                <w:p w14:paraId="08039311">
                  <w:pPr>
                    <w:autoSpaceDE w:val="0"/>
                    <w:autoSpaceDN w:val="0"/>
                    <w:adjustRightInd w:val="0"/>
                    <w:jc w:val="center"/>
                    <w:rPr>
                      <w:rFonts w:hint="eastAsia" w:ascii="Times New Roman" w:hAnsi="Times New Roman" w:eastAsia="宋体" w:cs="Times New Roman"/>
                      <w:i w:val="0"/>
                      <w:iCs w:val="0"/>
                      <w:sz w:val="21"/>
                      <w:szCs w:val="21"/>
                      <w:highlight w:val="none"/>
                      <w:u w:val="none"/>
                      <w:lang w:val="en-US" w:eastAsia="zh-CN"/>
                    </w:rPr>
                  </w:pPr>
                  <w:r>
                    <w:rPr>
                      <w:rFonts w:ascii="Times New Roman" w:hAnsi="Times New Roman" w:eastAsia="宋体" w:cs="Times New Roman"/>
                      <w:i w:val="0"/>
                      <w:iCs w:val="0"/>
                      <w:sz w:val="21"/>
                      <w:szCs w:val="21"/>
                      <w:highlight w:val="none"/>
                      <w:u w:val="none"/>
                    </w:rPr>
                    <w:t>料</w:t>
                  </w:r>
                  <w:r>
                    <w:rPr>
                      <w:rFonts w:hint="eastAsia" w:ascii="Times New Roman" w:hAnsi="Times New Roman" w:eastAsia="宋体" w:cs="Times New Roman"/>
                      <w:i w:val="0"/>
                      <w:iCs w:val="0"/>
                      <w:sz w:val="21"/>
                      <w:szCs w:val="21"/>
                      <w:highlight w:val="none"/>
                      <w:u w:val="none"/>
                    </w:rPr>
                    <w:t>场</w:t>
                  </w:r>
                </w:p>
              </w:tc>
              <w:tc>
                <w:tcPr>
                  <w:tcW w:w="497" w:type="pct"/>
                  <w:noWrap w:val="0"/>
                  <w:vAlign w:val="center"/>
                </w:tcPr>
                <w:p w14:paraId="155154D6">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cs="Times New Roman"/>
                      <w:i w:val="0"/>
                      <w:iCs w:val="0"/>
                      <w:sz w:val="21"/>
                      <w:szCs w:val="21"/>
                      <w:u w:val="none"/>
                      <w:lang w:eastAsia="zh-CN"/>
                    </w:rPr>
                    <w:t>固态</w:t>
                  </w:r>
                </w:p>
              </w:tc>
              <w:tc>
                <w:tcPr>
                  <w:tcW w:w="598" w:type="pct"/>
                  <w:shd w:val="clear" w:color="auto" w:fill="auto"/>
                  <w:noWrap w:val="0"/>
                  <w:vAlign w:val="center"/>
                </w:tcPr>
                <w:p w14:paraId="2BB45080">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外购</w:t>
                  </w:r>
                </w:p>
              </w:tc>
            </w:tr>
            <w:tr w14:paraId="13E068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15" w:type="pct"/>
                  <w:noWrap w:val="0"/>
                  <w:vAlign w:val="center"/>
                </w:tcPr>
                <w:p w14:paraId="31B1CED9">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cs="Times New Roman"/>
                      <w:i w:val="0"/>
                      <w:iCs w:val="0"/>
                      <w:sz w:val="21"/>
                      <w:szCs w:val="21"/>
                      <w:u w:val="none"/>
                      <w:lang w:val="en-US" w:eastAsia="zh-CN"/>
                    </w:rPr>
                    <w:t>6</w:t>
                  </w:r>
                </w:p>
              </w:tc>
              <w:tc>
                <w:tcPr>
                  <w:tcW w:w="913" w:type="pct"/>
                  <w:noWrap w:val="0"/>
                  <w:vAlign w:val="center"/>
                </w:tcPr>
                <w:p w14:paraId="4304F2D2">
                  <w:pPr>
                    <w:autoSpaceDE w:val="0"/>
                    <w:autoSpaceDN w:val="0"/>
                    <w:adjustRightInd w:val="0"/>
                    <w:jc w:val="center"/>
                    <w:rPr>
                      <w:rFonts w:ascii="Times New Roman" w:hAnsi="Times New Roman" w:eastAsia="宋体" w:cs="Times New Roman"/>
                      <w:i w:val="0"/>
                      <w:iCs w:val="0"/>
                      <w:sz w:val="21"/>
                      <w:szCs w:val="21"/>
                      <w:u w:val="none"/>
                      <w:lang w:val="en-US" w:eastAsia="zh-CN"/>
                    </w:rPr>
                  </w:pPr>
                  <w:r>
                    <w:rPr>
                      <w:rFonts w:ascii="Times New Roman" w:hAnsi="Times New Roman" w:eastAsia="宋体" w:cs="Times New Roman"/>
                      <w:i w:val="0"/>
                      <w:iCs w:val="0"/>
                      <w:sz w:val="21"/>
                      <w:szCs w:val="21"/>
                      <w:u w:val="none"/>
                    </w:rPr>
                    <w:t>水</w:t>
                  </w:r>
                </w:p>
              </w:tc>
              <w:tc>
                <w:tcPr>
                  <w:tcW w:w="423" w:type="pct"/>
                  <w:shd w:val="clear" w:color="auto" w:fill="auto"/>
                  <w:noWrap w:val="0"/>
                  <w:vAlign w:val="center"/>
                </w:tcPr>
                <w:p w14:paraId="0AD3CF31">
                  <w:pPr>
                    <w:autoSpaceDE w:val="0"/>
                    <w:autoSpaceDN w:val="0"/>
                    <w:adjustRightInd w:val="0"/>
                    <w:jc w:val="center"/>
                    <w:rPr>
                      <w:rFonts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t/a</w:t>
                  </w:r>
                </w:p>
              </w:tc>
              <w:tc>
                <w:tcPr>
                  <w:tcW w:w="768" w:type="pct"/>
                  <w:noWrap w:val="0"/>
                  <w:vAlign w:val="center"/>
                </w:tcPr>
                <w:p w14:paraId="3ACE0D5F">
                  <w:pPr>
                    <w:autoSpaceDE w:val="0"/>
                    <w:autoSpaceDN w:val="0"/>
                    <w:adjustRightInd w:val="0"/>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highlight w:val="none"/>
                      <w:u w:val="none"/>
                      <w:lang w:val="en-US" w:eastAsia="zh-CN"/>
                    </w:rPr>
                    <w:t>9000</w:t>
                  </w:r>
                </w:p>
              </w:tc>
              <w:tc>
                <w:tcPr>
                  <w:tcW w:w="858" w:type="pct"/>
                  <w:noWrap w:val="0"/>
                  <w:vAlign w:val="center"/>
                </w:tcPr>
                <w:p w14:paraId="012214F8">
                  <w:pPr>
                    <w:autoSpaceDE w:val="0"/>
                    <w:autoSpaceDN w:val="0"/>
                    <w:adjustRightInd w:val="0"/>
                    <w:jc w:val="center"/>
                    <w:rPr>
                      <w:rFonts w:ascii="Times New Roman" w:hAnsi="Times New Roman" w:eastAsia="宋体" w:cs="Times New Roman"/>
                      <w:i w:val="0"/>
                      <w:iCs w:val="0"/>
                      <w:sz w:val="21"/>
                      <w:szCs w:val="21"/>
                      <w:u w:val="none"/>
                      <w:lang w:val="en-US" w:eastAsia="zh-CN"/>
                    </w:rPr>
                  </w:pPr>
                  <w:r>
                    <w:rPr>
                      <w:rFonts w:ascii="Times New Roman" w:hAnsi="Times New Roman" w:eastAsia="宋体" w:cs="Times New Roman"/>
                      <w:i w:val="0"/>
                      <w:iCs w:val="0"/>
                      <w:sz w:val="21"/>
                      <w:szCs w:val="21"/>
                      <w:u w:val="none"/>
                    </w:rPr>
                    <w:t>--</w:t>
                  </w:r>
                </w:p>
              </w:tc>
              <w:tc>
                <w:tcPr>
                  <w:tcW w:w="524" w:type="pct"/>
                  <w:noWrap w:val="0"/>
                  <w:vAlign w:val="center"/>
                </w:tcPr>
                <w:p w14:paraId="3B16C4FC">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ascii="Times New Roman" w:hAnsi="Times New Roman" w:eastAsia="宋体" w:cs="Times New Roman"/>
                      <w:i w:val="0"/>
                      <w:iCs w:val="0"/>
                      <w:sz w:val="21"/>
                      <w:szCs w:val="21"/>
                      <w:u w:val="none"/>
                    </w:rPr>
                    <w:t>--</w:t>
                  </w:r>
                </w:p>
              </w:tc>
              <w:tc>
                <w:tcPr>
                  <w:tcW w:w="497" w:type="pct"/>
                  <w:noWrap w:val="0"/>
                  <w:vAlign w:val="center"/>
                </w:tcPr>
                <w:p w14:paraId="71E19C2F">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cs="Times New Roman"/>
                      <w:i w:val="0"/>
                      <w:iCs w:val="0"/>
                      <w:sz w:val="21"/>
                      <w:szCs w:val="21"/>
                      <w:u w:val="none"/>
                      <w:lang w:eastAsia="zh-CN"/>
                    </w:rPr>
                    <w:t>液态</w:t>
                  </w:r>
                </w:p>
              </w:tc>
              <w:tc>
                <w:tcPr>
                  <w:tcW w:w="598" w:type="pct"/>
                  <w:shd w:val="clear" w:color="auto" w:fill="auto"/>
                  <w:noWrap w:val="0"/>
                  <w:vAlign w:val="center"/>
                </w:tcPr>
                <w:p w14:paraId="3662F586">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p>
              </w:tc>
            </w:tr>
            <w:tr w14:paraId="1AD6D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15" w:type="pct"/>
                  <w:noWrap w:val="0"/>
                  <w:vAlign w:val="center"/>
                </w:tcPr>
                <w:p w14:paraId="297DADC2">
                  <w:pPr>
                    <w:autoSpaceDE w:val="0"/>
                    <w:autoSpaceDN w:val="0"/>
                    <w:adjustRightInd w:val="0"/>
                    <w:jc w:val="center"/>
                    <w:rPr>
                      <w:rFonts w:hint="eastAsia" w:ascii="Times New Roman" w:hAnsi="Times New Roman" w:eastAsia="宋体" w:cs="Times New Roman"/>
                      <w:i w:val="0"/>
                      <w:iCs w:val="0"/>
                      <w:sz w:val="21"/>
                      <w:szCs w:val="21"/>
                      <w:u w:val="none"/>
                      <w:lang w:val="en-US" w:eastAsia="zh-CN"/>
                    </w:rPr>
                  </w:pPr>
                  <w:r>
                    <w:rPr>
                      <w:rFonts w:hint="eastAsia" w:cs="Times New Roman"/>
                      <w:i w:val="0"/>
                      <w:iCs w:val="0"/>
                      <w:sz w:val="21"/>
                      <w:szCs w:val="21"/>
                      <w:u w:val="none"/>
                      <w:lang w:val="en-US" w:eastAsia="zh-CN"/>
                    </w:rPr>
                    <w:t>7</w:t>
                  </w:r>
                </w:p>
              </w:tc>
              <w:tc>
                <w:tcPr>
                  <w:tcW w:w="913" w:type="pct"/>
                  <w:noWrap w:val="0"/>
                  <w:vAlign w:val="center"/>
                </w:tcPr>
                <w:p w14:paraId="5740C33F">
                  <w:pPr>
                    <w:autoSpaceDE w:val="0"/>
                    <w:autoSpaceDN w:val="0"/>
                    <w:adjustRightInd w:val="0"/>
                    <w:jc w:val="center"/>
                    <w:rPr>
                      <w:rFonts w:ascii="Times New Roman" w:hAnsi="Times New Roman" w:eastAsia="宋体" w:cs="Times New Roman"/>
                      <w:i w:val="0"/>
                      <w:iCs w:val="0"/>
                      <w:sz w:val="21"/>
                      <w:szCs w:val="21"/>
                      <w:u w:val="none"/>
                      <w:lang w:val="en-US" w:eastAsia="zh-CN"/>
                    </w:rPr>
                  </w:pPr>
                  <w:r>
                    <w:rPr>
                      <w:rFonts w:ascii="Times New Roman" w:hAnsi="Times New Roman" w:eastAsia="宋体" w:cs="Times New Roman"/>
                      <w:i w:val="0"/>
                      <w:iCs w:val="0"/>
                      <w:sz w:val="21"/>
                      <w:szCs w:val="21"/>
                      <w:u w:val="none"/>
                    </w:rPr>
                    <w:t>外加剂</w:t>
                  </w:r>
                </w:p>
              </w:tc>
              <w:tc>
                <w:tcPr>
                  <w:tcW w:w="423" w:type="pct"/>
                  <w:shd w:val="clear" w:color="auto" w:fill="auto"/>
                  <w:noWrap w:val="0"/>
                  <w:vAlign w:val="center"/>
                </w:tcPr>
                <w:p w14:paraId="273CD59A">
                  <w:pPr>
                    <w:autoSpaceDE w:val="0"/>
                    <w:autoSpaceDN w:val="0"/>
                    <w:adjustRightInd w:val="0"/>
                    <w:jc w:val="center"/>
                    <w:rPr>
                      <w:rFonts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t/a</w:t>
                  </w:r>
                </w:p>
              </w:tc>
              <w:tc>
                <w:tcPr>
                  <w:tcW w:w="768" w:type="pct"/>
                  <w:noWrap w:val="0"/>
                  <w:vAlign w:val="center"/>
                </w:tcPr>
                <w:p w14:paraId="7499B701">
                  <w:pPr>
                    <w:autoSpaceDE w:val="0"/>
                    <w:autoSpaceDN w:val="0"/>
                    <w:adjustRightInd w:val="0"/>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200</w:t>
                  </w:r>
                </w:p>
              </w:tc>
              <w:tc>
                <w:tcPr>
                  <w:tcW w:w="858" w:type="pct"/>
                  <w:noWrap w:val="0"/>
                  <w:vAlign w:val="center"/>
                </w:tcPr>
                <w:p w14:paraId="16C29D2E">
                  <w:pPr>
                    <w:autoSpaceDE w:val="0"/>
                    <w:autoSpaceDN w:val="0"/>
                    <w:adjustRightInd w:val="0"/>
                    <w:jc w:val="center"/>
                    <w:rPr>
                      <w:rFonts w:ascii="Times New Roman" w:hAnsi="Times New Roman" w:eastAsia="宋体" w:cs="Times New Roman"/>
                      <w:i w:val="0"/>
                      <w:iCs w:val="0"/>
                      <w:sz w:val="21"/>
                      <w:szCs w:val="21"/>
                      <w:u w:val="none"/>
                      <w:lang w:val="en-US" w:eastAsia="zh-CN"/>
                    </w:rPr>
                  </w:pPr>
                  <w:r>
                    <w:rPr>
                      <w:rFonts w:ascii="Times New Roman" w:hAnsi="Times New Roman" w:eastAsia="宋体" w:cs="Times New Roman"/>
                      <w:i w:val="0"/>
                      <w:iCs w:val="0"/>
                      <w:sz w:val="21"/>
                      <w:szCs w:val="21"/>
                      <w:u w:val="none"/>
                    </w:rPr>
                    <w:t>汽运</w:t>
                  </w:r>
                  <w:r>
                    <w:rPr>
                      <w:rFonts w:hint="eastAsia" w:ascii="Times New Roman" w:hAnsi="Times New Roman" w:eastAsia="宋体" w:cs="Times New Roman"/>
                      <w:i w:val="0"/>
                      <w:iCs w:val="0"/>
                      <w:sz w:val="21"/>
                      <w:szCs w:val="21"/>
                      <w:u w:val="none"/>
                    </w:rPr>
                    <w:t>，包装方式桶装</w:t>
                  </w:r>
                </w:p>
              </w:tc>
              <w:tc>
                <w:tcPr>
                  <w:tcW w:w="524" w:type="pct"/>
                  <w:noWrap w:val="0"/>
                  <w:vAlign w:val="center"/>
                </w:tcPr>
                <w:p w14:paraId="152015ED">
                  <w:pPr>
                    <w:autoSpaceDE w:val="0"/>
                    <w:autoSpaceDN w:val="0"/>
                    <w:adjustRightInd w:val="0"/>
                    <w:jc w:val="center"/>
                    <w:rPr>
                      <w:rFonts w:ascii="Times New Roman" w:hAnsi="Times New Roman" w:eastAsia="宋体" w:cs="Times New Roman"/>
                      <w:i w:val="0"/>
                      <w:iCs w:val="0"/>
                      <w:sz w:val="21"/>
                      <w:szCs w:val="21"/>
                      <w:u w:val="none"/>
                      <w:lang w:val="en-US" w:eastAsia="zh-CN"/>
                    </w:rPr>
                  </w:pPr>
                  <w:r>
                    <w:rPr>
                      <w:rFonts w:hint="eastAsia" w:ascii="Times New Roman" w:hAnsi="Times New Roman" w:eastAsia="宋体" w:cs="Times New Roman"/>
                      <w:i w:val="0"/>
                      <w:iCs w:val="0"/>
                      <w:sz w:val="21"/>
                      <w:szCs w:val="21"/>
                      <w:u w:val="none"/>
                    </w:rPr>
                    <w:t>储罐</w:t>
                  </w:r>
                </w:p>
              </w:tc>
              <w:tc>
                <w:tcPr>
                  <w:tcW w:w="497" w:type="pct"/>
                  <w:noWrap w:val="0"/>
                  <w:vAlign w:val="center"/>
                </w:tcPr>
                <w:p w14:paraId="704955B0">
                  <w:pPr>
                    <w:autoSpaceDE w:val="0"/>
                    <w:autoSpaceDN w:val="0"/>
                    <w:adjustRightInd w:val="0"/>
                    <w:jc w:val="center"/>
                    <w:rPr>
                      <w:rFonts w:ascii="Times New Roman" w:hAnsi="Times New Roman" w:eastAsia="宋体" w:cs="Times New Roman"/>
                      <w:i w:val="0"/>
                      <w:iCs w:val="0"/>
                      <w:sz w:val="21"/>
                      <w:szCs w:val="21"/>
                      <w:u w:val="none"/>
                      <w:lang w:val="en-US" w:eastAsia="zh-CN"/>
                    </w:rPr>
                  </w:pPr>
                  <w:r>
                    <w:rPr>
                      <w:rFonts w:hint="eastAsia" w:cs="Times New Roman"/>
                      <w:i w:val="0"/>
                      <w:iCs w:val="0"/>
                      <w:sz w:val="21"/>
                      <w:szCs w:val="21"/>
                      <w:u w:val="none"/>
                      <w:lang w:eastAsia="zh-CN"/>
                    </w:rPr>
                    <w:t>液态</w:t>
                  </w:r>
                </w:p>
              </w:tc>
              <w:tc>
                <w:tcPr>
                  <w:tcW w:w="598" w:type="pct"/>
                  <w:shd w:val="clear" w:color="auto" w:fill="auto"/>
                  <w:noWrap w:val="0"/>
                  <w:vAlign w:val="center"/>
                </w:tcPr>
                <w:p w14:paraId="436BFAD9">
                  <w:pPr>
                    <w:autoSpaceDE w:val="0"/>
                    <w:autoSpaceDN w:val="0"/>
                    <w:adjustRightInd w:val="0"/>
                    <w:jc w:val="center"/>
                    <w:rPr>
                      <w:rFonts w:hint="eastAsia" w:ascii="Times New Roman" w:hAnsi="Times New Roman" w:eastAsia="宋体" w:cs="Times New Roman"/>
                      <w:i w:val="0"/>
                      <w:iCs w:val="0"/>
                      <w:kern w:val="2"/>
                      <w:sz w:val="21"/>
                      <w:szCs w:val="21"/>
                      <w:u w:val="none"/>
                      <w:lang w:val="en-US" w:eastAsia="zh-CN" w:bidi="ar-SA"/>
                    </w:rPr>
                  </w:pPr>
                  <w:r>
                    <w:rPr>
                      <w:rFonts w:hint="eastAsia" w:ascii="Times New Roman" w:hAnsi="Times New Roman" w:eastAsia="宋体" w:cs="Times New Roman"/>
                      <w:i w:val="0"/>
                      <w:iCs w:val="0"/>
                      <w:sz w:val="21"/>
                      <w:szCs w:val="21"/>
                      <w:u w:val="none"/>
                      <w:lang w:val="en-US" w:eastAsia="zh-CN"/>
                    </w:rPr>
                    <w:t>外购</w:t>
                  </w:r>
                </w:p>
              </w:tc>
            </w:tr>
          </w:tbl>
          <w:p w14:paraId="22BF024C">
            <w:pPr>
              <w:adjustRightInd w:val="0"/>
              <w:spacing w:line="360" w:lineRule="auto"/>
              <w:ind w:firstLine="420" w:firstLineChars="200"/>
              <w:jc w:val="both"/>
              <w:rPr>
                <w:bCs/>
                <w:color w:val="000000"/>
                <w:szCs w:val="21"/>
                <w:u w:val="single"/>
              </w:rPr>
            </w:pPr>
            <w:r>
              <w:rPr>
                <w:rFonts w:hint="eastAsia"/>
                <w:bCs/>
                <w:color w:val="000000"/>
                <w:szCs w:val="21"/>
                <w:u w:val="single"/>
              </w:rPr>
              <w:t>外加剂：学名为</w:t>
            </w:r>
            <w:r>
              <w:rPr>
                <w:bCs/>
                <w:color w:val="000000"/>
                <w:szCs w:val="21"/>
                <w:u w:val="single"/>
              </w:rPr>
              <w:t>聚羧酸减水剂</w:t>
            </w:r>
            <w:r>
              <w:rPr>
                <w:rFonts w:hint="eastAsia"/>
                <w:bCs/>
                <w:color w:val="000000"/>
                <w:szCs w:val="21"/>
                <w:u w:val="single"/>
                <w:lang w:eastAsia="zh-CN"/>
              </w:rPr>
              <w:t>（</w:t>
            </w:r>
            <w:r>
              <w:rPr>
                <w:bCs/>
                <w:color w:val="000000"/>
                <w:szCs w:val="21"/>
                <w:u w:val="single"/>
              </w:rPr>
              <w:t>Polycarboxylate Superplasticizer</w:t>
            </w:r>
            <w:r>
              <w:rPr>
                <w:rFonts w:hint="eastAsia"/>
                <w:bCs/>
                <w:color w:val="000000"/>
                <w:szCs w:val="21"/>
                <w:u w:val="single"/>
                <w:lang w:eastAsia="zh-CN"/>
              </w:rPr>
              <w:t>），</w:t>
            </w:r>
            <w:r>
              <w:rPr>
                <w:bCs/>
                <w:color w:val="000000"/>
                <w:szCs w:val="21"/>
                <w:u w:val="single"/>
              </w:rPr>
              <w:t>是一种高性能</w:t>
            </w:r>
            <w:r>
              <w:rPr>
                <w:bCs/>
                <w:color w:val="000000"/>
                <w:szCs w:val="21"/>
                <w:u w:val="single"/>
              </w:rPr>
              <w:fldChar w:fldCharType="begin"/>
            </w:r>
            <w:r>
              <w:rPr>
                <w:bCs/>
                <w:color w:val="000000"/>
                <w:szCs w:val="21"/>
                <w:u w:val="single"/>
              </w:rPr>
              <w:instrText xml:space="preserve"> HYPERLINK "https://baike.so.com/doc/4894019-5112261.html" \t "_blank" </w:instrText>
            </w:r>
            <w:r>
              <w:rPr>
                <w:bCs/>
                <w:color w:val="000000"/>
                <w:szCs w:val="21"/>
                <w:u w:val="single"/>
              </w:rPr>
              <w:fldChar w:fldCharType="separate"/>
            </w:r>
            <w:r>
              <w:rPr>
                <w:rStyle w:val="25"/>
                <w:bCs/>
                <w:color w:val="000000"/>
                <w:szCs w:val="21"/>
                <w:u w:val="single"/>
              </w:rPr>
              <w:t>减水剂</w:t>
            </w:r>
            <w:r>
              <w:rPr>
                <w:bCs/>
                <w:color w:val="000000"/>
                <w:szCs w:val="21"/>
                <w:u w:val="single"/>
              </w:rPr>
              <w:fldChar w:fldCharType="end"/>
            </w:r>
            <w:r>
              <w:rPr>
                <w:bCs/>
                <w:color w:val="000000"/>
                <w:szCs w:val="21"/>
                <w:u w:val="single"/>
              </w:rPr>
              <w:t>，由聚乙烯醇单甲醚和甲基丙烯酸先酯化再和甲基丙烯酸缩合而成的大分子链化合物，是水泥混凝土运用中的一种水泥</w:t>
            </w:r>
            <w:r>
              <w:rPr>
                <w:bCs/>
                <w:color w:val="000000"/>
                <w:szCs w:val="21"/>
                <w:u w:val="single"/>
              </w:rPr>
              <w:fldChar w:fldCharType="begin"/>
            </w:r>
            <w:r>
              <w:rPr>
                <w:bCs/>
                <w:color w:val="000000"/>
                <w:szCs w:val="21"/>
                <w:u w:val="single"/>
              </w:rPr>
              <w:instrText xml:space="preserve"> HYPERLINK "https://baike.so.com/doc/4331955-4536663.html" \t "_blank" </w:instrText>
            </w:r>
            <w:r>
              <w:rPr>
                <w:bCs/>
                <w:color w:val="000000"/>
                <w:szCs w:val="21"/>
                <w:u w:val="single"/>
              </w:rPr>
              <w:fldChar w:fldCharType="separate"/>
            </w:r>
            <w:r>
              <w:rPr>
                <w:rStyle w:val="25"/>
                <w:bCs/>
                <w:color w:val="000000"/>
                <w:szCs w:val="21"/>
                <w:u w:val="single"/>
              </w:rPr>
              <w:t>分散剂</w:t>
            </w:r>
            <w:r>
              <w:rPr>
                <w:bCs/>
                <w:color w:val="000000"/>
                <w:szCs w:val="21"/>
                <w:u w:val="single"/>
              </w:rPr>
              <w:fldChar w:fldCharType="end"/>
            </w:r>
            <w:r>
              <w:rPr>
                <w:bCs/>
                <w:color w:val="000000"/>
                <w:szCs w:val="21"/>
                <w:u w:val="single"/>
              </w:rPr>
              <w:t>。</w:t>
            </w:r>
          </w:p>
          <w:p w14:paraId="4C5AD013">
            <w:pPr>
              <w:adjustRightInd w:val="0"/>
              <w:spacing w:line="360" w:lineRule="auto"/>
              <w:ind w:firstLine="482" w:firstLineChars="200"/>
              <w:jc w:val="left"/>
              <w:rPr>
                <w:b/>
                <w:bCs/>
                <w:sz w:val="24"/>
                <w:szCs w:val="24"/>
              </w:rPr>
            </w:pPr>
            <w:r>
              <w:rPr>
                <w:rFonts w:hint="eastAsia"/>
                <w:b/>
                <w:bCs/>
                <w:color w:val="000000"/>
                <w:sz w:val="24"/>
                <w:szCs w:val="24"/>
                <w:highlight w:val="none"/>
                <w:lang w:val="en-US" w:eastAsia="zh-CN"/>
              </w:rPr>
              <w:t>7</w:t>
            </w:r>
            <w:r>
              <w:rPr>
                <w:b/>
                <w:bCs/>
                <w:color w:val="000000"/>
                <w:sz w:val="24"/>
                <w:szCs w:val="24"/>
                <w:highlight w:val="none"/>
              </w:rPr>
              <w:t>、厂区平面布置</w:t>
            </w:r>
          </w:p>
          <w:p w14:paraId="4343CE54">
            <w:pPr>
              <w:pStyle w:val="52"/>
              <w:adjustRightInd w:val="0"/>
              <w:ind w:firstLine="420"/>
              <w:rPr>
                <w:sz w:val="24"/>
                <w:szCs w:val="24"/>
              </w:rPr>
            </w:pPr>
            <w:r>
              <w:rPr>
                <w:rFonts w:hint="eastAsia"/>
                <w:sz w:val="24"/>
                <w:szCs w:val="24"/>
              </w:rPr>
              <w:t>本项目厂区所处位置地势平坦，项目根据原材料、产品的性质、规模、生产流程、运输、消防、安全和环境保护的要求，结合场地自然条件等因素，按照国家有关标准和要求，对建</w:t>
            </w:r>
            <w:r>
              <w:rPr>
                <w:rFonts w:hint="eastAsia"/>
                <w:sz w:val="24"/>
                <w:szCs w:val="24"/>
                <w:lang w:eastAsia="zh-CN"/>
              </w:rPr>
              <w:t>构</w:t>
            </w:r>
            <w:r>
              <w:rPr>
                <w:rFonts w:hint="eastAsia"/>
                <w:sz w:val="24"/>
                <w:szCs w:val="24"/>
              </w:rPr>
              <w:t>筑物、运输</w:t>
            </w:r>
            <w:r>
              <w:rPr>
                <w:rFonts w:hint="eastAsia"/>
                <w:sz w:val="24"/>
                <w:szCs w:val="24"/>
                <w:lang w:eastAsia="zh-CN"/>
              </w:rPr>
              <w:t>道路</w:t>
            </w:r>
            <w:r>
              <w:rPr>
                <w:rFonts w:hint="eastAsia"/>
                <w:sz w:val="24"/>
                <w:szCs w:val="24"/>
              </w:rPr>
              <w:t>进行布置。厂区生产区范围呈</w:t>
            </w:r>
            <w:r>
              <w:rPr>
                <w:rFonts w:hint="eastAsia"/>
                <w:sz w:val="24"/>
                <w:szCs w:val="24"/>
                <w:lang w:val="en-US" w:eastAsia="zh-CN"/>
              </w:rPr>
              <w:t>横向分布</w:t>
            </w:r>
            <w:r>
              <w:rPr>
                <w:rFonts w:hint="eastAsia"/>
                <w:sz w:val="24"/>
                <w:szCs w:val="24"/>
              </w:rPr>
              <w:t>，</w:t>
            </w:r>
            <w:r>
              <w:rPr>
                <w:rFonts w:hint="eastAsia"/>
                <w:sz w:val="24"/>
                <w:szCs w:val="24"/>
                <w:lang w:eastAsia="zh-CN"/>
              </w:rPr>
              <w:t>从西到东为堆料区、搅拌站作业区、</w:t>
            </w:r>
            <w:r>
              <w:rPr>
                <w:rFonts w:hint="eastAsia"/>
                <w:sz w:val="24"/>
                <w:szCs w:val="24"/>
                <w:lang w:val="en-US" w:eastAsia="zh-CN"/>
              </w:rPr>
              <w:t>筒仓，</w:t>
            </w:r>
            <w:r>
              <w:rPr>
                <w:rFonts w:hint="eastAsia"/>
                <w:sz w:val="24"/>
                <w:szCs w:val="24"/>
                <w:lang w:eastAsia="zh-CN"/>
              </w:rPr>
              <w:t>办公</w:t>
            </w:r>
            <w:r>
              <w:rPr>
                <w:rFonts w:hint="eastAsia"/>
                <w:sz w:val="24"/>
                <w:szCs w:val="24"/>
                <w:lang w:val="en-US" w:eastAsia="zh-CN"/>
              </w:rPr>
              <w:t>综合楼位于厂区北侧</w:t>
            </w:r>
            <w:r>
              <w:rPr>
                <w:rFonts w:hint="eastAsia"/>
                <w:sz w:val="24"/>
                <w:szCs w:val="24"/>
                <w:highlight w:val="none"/>
                <w:lang w:eastAsia="zh-CN"/>
              </w:rPr>
              <w:t>。</w:t>
            </w:r>
            <w:r>
              <w:rPr>
                <w:rFonts w:hint="eastAsia"/>
                <w:sz w:val="24"/>
                <w:szCs w:val="24"/>
                <w:lang w:eastAsia="zh-CN"/>
              </w:rPr>
              <w:t>厂区</w:t>
            </w:r>
            <w:r>
              <w:rPr>
                <w:rFonts w:hint="eastAsia"/>
                <w:sz w:val="24"/>
                <w:szCs w:val="24"/>
              </w:rPr>
              <w:t>配备较为完善的供电、通讯等基础设施，厂区平</w:t>
            </w:r>
            <w:r>
              <w:rPr>
                <w:rFonts w:hint="eastAsia"/>
                <w:sz w:val="24"/>
                <w:szCs w:val="24"/>
                <w:highlight w:val="none"/>
              </w:rPr>
              <w:t>面布置详见附图</w:t>
            </w:r>
            <w:r>
              <w:rPr>
                <w:sz w:val="24"/>
                <w:szCs w:val="24"/>
                <w:highlight w:val="none"/>
              </w:rPr>
              <w:t>。</w:t>
            </w:r>
          </w:p>
          <w:p w14:paraId="6770333F">
            <w:pPr>
              <w:adjustRightInd w:val="0"/>
              <w:spacing w:line="360" w:lineRule="auto"/>
              <w:ind w:firstLine="482" w:firstLineChars="200"/>
              <w:jc w:val="left"/>
              <w:rPr>
                <w:b/>
                <w:bCs/>
                <w:sz w:val="24"/>
                <w:szCs w:val="24"/>
              </w:rPr>
            </w:pPr>
            <w:r>
              <w:rPr>
                <w:rFonts w:hint="eastAsia"/>
                <w:b/>
                <w:bCs/>
                <w:sz w:val="24"/>
                <w:szCs w:val="24"/>
                <w:lang w:val="en-US" w:eastAsia="zh-CN"/>
              </w:rPr>
              <w:t>8</w:t>
            </w:r>
            <w:r>
              <w:rPr>
                <w:b/>
                <w:bCs/>
                <w:sz w:val="24"/>
                <w:szCs w:val="24"/>
              </w:rPr>
              <w:t>、劳动定员及工作制度</w:t>
            </w:r>
          </w:p>
          <w:p w14:paraId="20EDA5F7">
            <w:pPr>
              <w:adjustRightInd w:val="0"/>
              <w:spacing w:line="360" w:lineRule="auto"/>
              <w:ind w:firstLine="480" w:firstLineChars="200"/>
              <w:jc w:val="left"/>
              <w:rPr>
                <w:sz w:val="24"/>
                <w:szCs w:val="24"/>
                <w:highlight w:val="none"/>
                <w:u w:val="none"/>
              </w:rPr>
            </w:pPr>
            <w:r>
              <w:rPr>
                <w:sz w:val="24"/>
                <w:szCs w:val="24"/>
                <w:highlight w:val="none"/>
                <w:u w:val="none"/>
              </w:rPr>
              <w:t>本项目共有劳动人员</w:t>
            </w:r>
            <w:r>
              <w:rPr>
                <w:rFonts w:hint="eastAsia"/>
                <w:sz w:val="24"/>
                <w:szCs w:val="24"/>
                <w:highlight w:val="none"/>
                <w:u w:val="none"/>
                <w:lang w:val="en-US" w:eastAsia="zh-CN"/>
              </w:rPr>
              <w:t>20</w:t>
            </w:r>
            <w:r>
              <w:rPr>
                <w:sz w:val="24"/>
                <w:szCs w:val="24"/>
                <w:highlight w:val="none"/>
                <w:u w:val="none"/>
              </w:rPr>
              <w:t>人，</w:t>
            </w:r>
            <w:r>
              <w:rPr>
                <w:rFonts w:hint="eastAsia"/>
                <w:sz w:val="24"/>
                <w:szCs w:val="24"/>
                <w:highlight w:val="none"/>
                <w:u w:val="none"/>
              </w:rPr>
              <w:t>年</w:t>
            </w:r>
            <w:r>
              <w:rPr>
                <w:rFonts w:hint="eastAsia"/>
                <w:sz w:val="24"/>
                <w:szCs w:val="24"/>
                <w:highlight w:val="none"/>
                <w:u w:val="none"/>
                <w:lang w:val="en-US" w:eastAsia="zh-CN"/>
              </w:rPr>
              <w:t>工作24</w:t>
            </w:r>
            <w:r>
              <w:rPr>
                <w:rFonts w:hint="eastAsia"/>
                <w:sz w:val="24"/>
                <w:szCs w:val="24"/>
                <w:highlight w:val="none"/>
                <w:u w:val="none"/>
              </w:rPr>
              <w:t>0天，</w:t>
            </w:r>
            <w:r>
              <w:rPr>
                <w:rFonts w:hint="eastAsia"/>
                <w:sz w:val="24"/>
                <w:szCs w:val="24"/>
                <w:highlight w:val="none"/>
                <w:u w:val="none"/>
                <w:lang w:eastAsia="zh-CN"/>
              </w:rPr>
              <w:t>冬季不生产，每天</w:t>
            </w:r>
            <w:r>
              <w:rPr>
                <w:rFonts w:hint="eastAsia"/>
                <w:sz w:val="24"/>
                <w:szCs w:val="24"/>
                <w:highlight w:val="none"/>
                <w:u w:val="none"/>
              </w:rPr>
              <w:t>1班制，</w:t>
            </w:r>
            <w:r>
              <w:rPr>
                <w:rFonts w:hint="eastAsia"/>
                <w:sz w:val="24"/>
                <w:szCs w:val="24"/>
                <w:highlight w:val="none"/>
                <w:u w:val="single"/>
              </w:rPr>
              <w:t>每</w:t>
            </w:r>
            <w:r>
              <w:rPr>
                <w:rFonts w:hint="eastAsia"/>
                <w:sz w:val="24"/>
                <w:szCs w:val="24"/>
                <w:highlight w:val="none"/>
                <w:u w:val="single"/>
                <w:lang w:eastAsia="zh-CN"/>
              </w:rPr>
              <w:t>班</w:t>
            </w:r>
            <w:r>
              <w:rPr>
                <w:rFonts w:hint="eastAsia"/>
                <w:sz w:val="24"/>
                <w:szCs w:val="24"/>
                <w:highlight w:val="none"/>
                <w:u w:val="single"/>
              </w:rPr>
              <w:t>工作</w:t>
            </w:r>
            <w:r>
              <w:rPr>
                <w:rFonts w:hint="eastAsia"/>
                <w:sz w:val="24"/>
                <w:szCs w:val="24"/>
                <w:highlight w:val="none"/>
                <w:u w:val="single"/>
                <w:lang w:val="en-US" w:eastAsia="zh-CN"/>
              </w:rPr>
              <w:t>10</w:t>
            </w:r>
            <w:r>
              <w:rPr>
                <w:rFonts w:hint="eastAsia"/>
                <w:sz w:val="24"/>
                <w:szCs w:val="24"/>
                <w:highlight w:val="none"/>
                <w:u w:val="single"/>
              </w:rPr>
              <w:t>h</w:t>
            </w:r>
            <w:r>
              <w:rPr>
                <w:rFonts w:hint="eastAsia"/>
                <w:sz w:val="24"/>
                <w:szCs w:val="24"/>
                <w:highlight w:val="none"/>
                <w:u w:val="single"/>
                <w:lang w:eastAsia="zh-CN"/>
              </w:rPr>
              <w:t>，全年工作</w:t>
            </w:r>
            <w:r>
              <w:rPr>
                <w:rFonts w:hint="eastAsia"/>
                <w:sz w:val="24"/>
                <w:szCs w:val="24"/>
                <w:highlight w:val="none"/>
                <w:u w:val="single"/>
                <w:lang w:val="en-US" w:eastAsia="zh-CN"/>
              </w:rPr>
              <w:t>2400h</w:t>
            </w:r>
            <w:r>
              <w:rPr>
                <w:rFonts w:hint="eastAsia"/>
                <w:sz w:val="24"/>
                <w:szCs w:val="24"/>
                <w:highlight w:val="none"/>
                <w:u w:val="none"/>
              </w:rPr>
              <w:t>；</w:t>
            </w:r>
            <w:r>
              <w:rPr>
                <w:rFonts w:hint="eastAsia"/>
                <w:sz w:val="24"/>
                <w:szCs w:val="24"/>
                <w:highlight w:val="none"/>
                <w:u w:val="none"/>
                <w:lang w:eastAsia="zh-CN"/>
              </w:rPr>
              <w:t>员工用餐采用订餐方式</w:t>
            </w:r>
            <w:r>
              <w:rPr>
                <w:sz w:val="24"/>
                <w:szCs w:val="24"/>
                <w:highlight w:val="none"/>
                <w:u w:val="none"/>
              </w:rPr>
              <w:t>，不设食堂。</w:t>
            </w:r>
          </w:p>
          <w:p w14:paraId="6F6DB28C">
            <w:pPr>
              <w:adjustRightInd w:val="0"/>
              <w:snapToGrid w:val="0"/>
              <w:spacing w:line="360" w:lineRule="auto"/>
              <w:ind w:firstLine="482" w:firstLineChars="200"/>
              <w:rPr>
                <w:b/>
                <w:bCs/>
                <w:sz w:val="24"/>
              </w:rPr>
            </w:pPr>
            <w:r>
              <w:rPr>
                <w:rFonts w:hint="eastAsia"/>
                <w:b/>
                <w:bCs/>
                <w:sz w:val="24"/>
                <w:lang w:val="en-US" w:eastAsia="zh-CN"/>
              </w:rPr>
              <w:t>9</w:t>
            </w:r>
            <w:r>
              <w:rPr>
                <w:b/>
                <w:bCs/>
                <w:sz w:val="24"/>
              </w:rPr>
              <w:t>、土石方量</w:t>
            </w:r>
          </w:p>
          <w:p w14:paraId="146155DF">
            <w:pPr>
              <w:adjustRightInd w:val="0"/>
              <w:snapToGrid w:val="0"/>
              <w:spacing w:line="360" w:lineRule="auto"/>
              <w:ind w:firstLine="480" w:firstLineChars="200"/>
              <w:rPr>
                <w:sz w:val="24"/>
                <w:u w:val="none"/>
              </w:rPr>
            </w:pPr>
            <w:r>
              <w:rPr>
                <w:sz w:val="24"/>
                <w:u w:val="none"/>
              </w:rPr>
              <w:t>本项目土方填挖量不大，施工过程中挖方量为</w:t>
            </w:r>
            <w:r>
              <w:rPr>
                <w:rFonts w:hint="eastAsia"/>
                <w:sz w:val="24"/>
                <w:u w:val="none"/>
                <w:lang w:val="en-US" w:eastAsia="zh-CN"/>
              </w:rPr>
              <w:t>45</w:t>
            </w:r>
            <w:r>
              <w:rPr>
                <w:sz w:val="24"/>
                <w:u w:val="none"/>
              </w:rPr>
              <w:t>m</w:t>
            </w:r>
            <w:r>
              <w:rPr>
                <w:sz w:val="24"/>
                <w:u w:val="none"/>
                <w:vertAlign w:val="superscript"/>
              </w:rPr>
              <w:t>3</w:t>
            </w:r>
            <w:r>
              <w:rPr>
                <w:sz w:val="24"/>
                <w:u w:val="none"/>
              </w:rPr>
              <w:t>，填方量为</w:t>
            </w:r>
            <w:r>
              <w:rPr>
                <w:rFonts w:hint="eastAsia"/>
                <w:sz w:val="24"/>
                <w:u w:val="none"/>
                <w:lang w:val="en-US" w:eastAsia="zh-CN"/>
              </w:rPr>
              <w:t>30</w:t>
            </w:r>
            <w:r>
              <w:rPr>
                <w:sz w:val="24"/>
                <w:u w:val="none"/>
              </w:rPr>
              <w:t>m</w:t>
            </w:r>
            <w:r>
              <w:rPr>
                <w:sz w:val="24"/>
                <w:u w:val="none"/>
                <w:vertAlign w:val="superscript"/>
              </w:rPr>
              <w:t>3</w:t>
            </w:r>
            <w:r>
              <w:rPr>
                <w:sz w:val="24"/>
                <w:u w:val="none"/>
              </w:rPr>
              <w:t>，弃方</w:t>
            </w:r>
            <w:r>
              <w:rPr>
                <w:rFonts w:hint="eastAsia"/>
                <w:sz w:val="24"/>
                <w:u w:val="none"/>
                <w:lang w:val="en-US" w:eastAsia="zh-CN"/>
              </w:rPr>
              <w:t>15</w:t>
            </w:r>
            <w:r>
              <w:rPr>
                <w:sz w:val="24"/>
                <w:u w:val="none"/>
              </w:rPr>
              <w:t>m</w:t>
            </w:r>
            <w:r>
              <w:rPr>
                <w:sz w:val="24"/>
                <w:u w:val="none"/>
                <w:vertAlign w:val="superscript"/>
              </w:rPr>
              <w:t>3</w:t>
            </w:r>
            <w:r>
              <w:rPr>
                <w:sz w:val="24"/>
                <w:u w:val="none"/>
              </w:rPr>
              <w:t>，弃方用于厂区地面平整。土石方工程量平衡详见</w:t>
            </w:r>
            <w:r>
              <w:rPr>
                <w:rFonts w:hint="eastAsia"/>
                <w:sz w:val="24"/>
                <w:u w:val="none"/>
                <w:lang w:eastAsia="zh-CN"/>
              </w:rPr>
              <w:t>下表</w:t>
            </w:r>
            <w:r>
              <w:rPr>
                <w:sz w:val="24"/>
                <w:u w:val="none"/>
              </w:rPr>
              <w:t>。</w:t>
            </w:r>
          </w:p>
          <w:p w14:paraId="50718542">
            <w:pPr>
              <w:keepNext w:val="0"/>
              <w:keepLines w:val="0"/>
              <w:pageBreakBefore w:val="0"/>
              <w:widowControl w:val="0"/>
              <w:kinsoku/>
              <w:wordWrap/>
              <w:overflowPunct/>
              <w:topLinePunct w:val="0"/>
              <w:autoSpaceDE/>
              <w:autoSpaceDN/>
              <w:bidi w:val="0"/>
              <w:adjustRightInd w:val="0"/>
              <w:snapToGrid w:val="0"/>
              <w:jc w:val="center"/>
              <w:textAlignment w:val="auto"/>
              <w:rPr>
                <w:b/>
                <w:bCs/>
                <w:sz w:val="24"/>
                <w:u w:val="none"/>
              </w:rPr>
            </w:pPr>
            <w:r>
              <w:rPr>
                <w:b/>
                <w:bCs/>
                <w:sz w:val="24"/>
                <w:u w:val="none"/>
              </w:rPr>
              <w:t>表</w:t>
            </w:r>
            <w:r>
              <w:rPr>
                <w:rFonts w:hint="eastAsia"/>
                <w:b/>
                <w:bCs/>
                <w:sz w:val="24"/>
                <w:u w:val="none"/>
                <w:lang w:val="en-US" w:eastAsia="zh-CN"/>
              </w:rPr>
              <w:t>2-6</w:t>
            </w:r>
            <w:r>
              <w:rPr>
                <w:b/>
                <w:bCs/>
                <w:sz w:val="24"/>
                <w:u w:val="none"/>
              </w:rPr>
              <w:t xml:space="preserve">  土石方工程量</w:t>
            </w:r>
          </w:p>
          <w:tbl>
            <w:tblPr>
              <w:tblStyle w:val="21"/>
              <w:tblW w:w="7982" w:type="dxa"/>
              <w:tblInd w:w="3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846"/>
              <w:gridCol w:w="1946"/>
              <w:gridCol w:w="2447"/>
            </w:tblGrid>
            <w:tr w14:paraId="660469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743" w:type="dxa"/>
                  <w:noWrap/>
                  <w:vAlign w:val="center"/>
                </w:tcPr>
                <w:p w14:paraId="459E30B4">
                  <w:pPr>
                    <w:jc w:val="center"/>
                    <w:rPr>
                      <w:szCs w:val="21"/>
                      <w:u w:val="none"/>
                    </w:rPr>
                  </w:pPr>
                  <w:r>
                    <w:rPr>
                      <w:szCs w:val="21"/>
                      <w:u w:val="none"/>
                    </w:rPr>
                    <w:t>挖方</w:t>
                  </w:r>
                </w:p>
              </w:tc>
              <w:tc>
                <w:tcPr>
                  <w:tcW w:w="1846" w:type="dxa"/>
                  <w:noWrap/>
                  <w:vAlign w:val="center"/>
                </w:tcPr>
                <w:p w14:paraId="5FA85B3F">
                  <w:pPr>
                    <w:jc w:val="center"/>
                    <w:rPr>
                      <w:szCs w:val="21"/>
                      <w:u w:val="none"/>
                    </w:rPr>
                  </w:pPr>
                  <w:r>
                    <w:rPr>
                      <w:szCs w:val="21"/>
                      <w:u w:val="none"/>
                    </w:rPr>
                    <w:t>填方</w:t>
                  </w:r>
                </w:p>
              </w:tc>
              <w:tc>
                <w:tcPr>
                  <w:tcW w:w="1946" w:type="dxa"/>
                  <w:noWrap/>
                  <w:vAlign w:val="center"/>
                </w:tcPr>
                <w:p w14:paraId="021B486B">
                  <w:pPr>
                    <w:jc w:val="center"/>
                    <w:rPr>
                      <w:szCs w:val="21"/>
                      <w:u w:val="none"/>
                    </w:rPr>
                  </w:pPr>
                  <w:r>
                    <w:rPr>
                      <w:szCs w:val="21"/>
                      <w:u w:val="none"/>
                    </w:rPr>
                    <w:t>弃方</w:t>
                  </w:r>
                </w:p>
              </w:tc>
              <w:tc>
                <w:tcPr>
                  <w:tcW w:w="2447" w:type="dxa"/>
                  <w:noWrap/>
                  <w:vAlign w:val="center"/>
                </w:tcPr>
                <w:p w14:paraId="5C97D53B">
                  <w:pPr>
                    <w:jc w:val="center"/>
                    <w:rPr>
                      <w:szCs w:val="21"/>
                      <w:u w:val="none"/>
                    </w:rPr>
                  </w:pPr>
                  <w:r>
                    <w:rPr>
                      <w:szCs w:val="21"/>
                      <w:u w:val="none"/>
                    </w:rPr>
                    <w:t>备注</w:t>
                  </w:r>
                </w:p>
              </w:tc>
            </w:tr>
            <w:tr w14:paraId="7D3524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743" w:type="dxa"/>
                  <w:noWrap/>
                  <w:vAlign w:val="center"/>
                </w:tcPr>
                <w:p w14:paraId="0D4278EE">
                  <w:pPr>
                    <w:jc w:val="center"/>
                    <w:rPr>
                      <w:szCs w:val="21"/>
                      <w:u w:val="none"/>
                    </w:rPr>
                  </w:pPr>
                  <w:r>
                    <w:rPr>
                      <w:rFonts w:hint="eastAsia"/>
                      <w:szCs w:val="21"/>
                      <w:u w:val="none"/>
                      <w:lang w:val="en-US" w:eastAsia="zh-CN"/>
                    </w:rPr>
                    <w:t>45</w:t>
                  </w:r>
                  <w:r>
                    <w:rPr>
                      <w:szCs w:val="21"/>
                      <w:u w:val="none"/>
                    </w:rPr>
                    <w:t>m</w:t>
                  </w:r>
                  <w:r>
                    <w:rPr>
                      <w:szCs w:val="21"/>
                      <w:u w:val="none"/>
                      <w:vertAlign w:val="superscript"/>
                    </w:rPr>
                    <w:t>3</w:t>
                  </w:r>
                </w:p>
              </w:tc>
              <w:tc>
                <w:tcPr>
                  <w:tcW w:w="1846" w:type="dxa"/>
                  <w:noWrap/>
                  <w:vAlign w:val="center"/>
                </w:tcPr>
                <w:p w14:paraId="31801AF5">
                  <w:pPr>
                    <w:jc w:val="center"/>
                    <w:rPr>
                      <w:szCs w:val="21"/>
                      <w:u w:val="none"/>
                    </w:rPr>
                  </w:pPr>
                  <w:r>
                    <w:rPr>
                      <w:rFonts w:hint="eastAsia"/>
                      <w:szCs w:val="21"/>
                      <w:u w:val="none"/>
                      <w:lang w:val="en-US" w:eastAsia="zh-CN"/>
                    </w:rPr>
                    <w:t>30</w:t>
                  </w:r>
                  <w:r>
                    <w:rPr>
                      <w:szCs w:val="21"/>
                      <w:u w:val="none"/>
                    </w:rPr>
                    <w:t>m</w:t>
                  </w:r>
                  <w:r>
                    <w:rPr>
                      <w:szCs w:val="21"/>
                      <w:u w:val="none"/>
                      <w:vertAlign w:val="superscript"/>
                    </w:rPr>
                    <w:t>3</w:t>
                  </w:r>
                </w:p>
              </w:tc>
              <w:tc>
                <w:tcPr>
                  <w:tcW w:w="1946" w:type="dxa"/>
                  <w:noWrap/>
                  <w:vAlign w:val="center"/>
                </w:tcPr>
                <w:p w14:paraId="7BE5682A">
                  <w:pPr>
                    <w:jc w:val="center"/>
                    <w:rPr>
                      <w:szCs w:val="21"/>
                      <w:u w:val="none"/>
                    </w:rPr>
                  </w:pPr>
                  <w:r>
                    <w:rPr>
                      <w:rFonts w:hint="eastAsia"/>
                      <w:szCs w:val="21"/>
                      <w:u w:val="none"/>
                      <w:lang w:val="en-US" w:eastAsia="zh-CN"/>
                    </w:rPr>
                    <w:t>15</w:t>
                  </w:r>
                  <w:r>
                    <w:rPr>
                      <w:szCs w:val="21"/>
                      <w:u w:val="none"/>
                    </w:rPr>
                    <w:t>m</w:t>
                  </w:r>
                  <w:r>
                    <w:rPr>
                      <w:szCs w:val="21"/>
                      <w:u w:val="none"/>
                      <w:vertAlign w:val="superscript"/>
                    </w:rPr>
                    <w:t>3</w:t>
                  </w:r>
                </w:p>
              </w:tc>
              <w:tc>
                <w:tcPr>
                  <w:tcW w:w="2447" w:type="dxa"/>
                  <w:noWrap/>
                  <w:vAlign w:val="center"/>
                </w:tcPr>
                <w:p w14:paraId="78A6A3FA">
                  <w:pPr>
                    <w:adjustRightInd w:val="0"/>
                    <w:snapToGrid w:val="0"/>
                    <w:jc w:val="center"/>
                    <w:rPr>
                      <w:szCs w:val="21"/>
                      <w:u w:val="none"/>
                    </w:rPr>
                  </w:pPr>
                  <w:r>
                    <w:rPr>
                      <w:szCs w:val="21"/>
                      <w:u w:val="none"/>
                    </w:rPr>
                    <w:t>弃方用于厂区地面平整</w:t>
                  </w:r>
                </w:p>
              </w:tc>
            </w:tr>
          </w:tbl>
          <w:p w14:paraId="118209D1">
            <w:pPr>
              <w:pStyle w:val="10"/>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firstLine="482" w:firstLineChars="200"/>
              <w:textAlignment w:val="auto"/>
              <w:rPr>
                <w:rFonts w:ascii="Times New Roman" w:hAnsi="Times New Roman"/>
                <w:b/>
                <w:bCs/>
                <w:sz w:val="24"/>
                <w:szCs w:val="24"/>
              </w:rPr>
            </w:pPr>
            <w:r>
              <w:rPr>
                <w:rFonts w:hint="eastAsia" w:ascii="Times New Roman" w:hAnsi="Times New Roman"/>
                <w:b/>
                <w:bCs/>
                <w:sz w:val="24"/>
                <w:szCs w:val="24"/>
                <w:lang w:val="en-US" w:eastAsia="zh-CN"/>
              </w:rPr>
              <w:t>10</w:t>
            </w:r>
            <w:r>
              <w:rPr>
                <w:rFonts w:ascii="Times New Roman" w:hAnsi="Times New Roman"/>
                <w:b/>
                <w:bCs/>
                <w:sz w:val="24"/>
                <w:szCs w:val="24"/>
              </w:rPr>
              <w:t>、公用工程</w:t>
            </w:r>
          </w:p>
          <w:p w14:paraId="30B6E19C">
            <w:pPr>
              <w:keepNext w:val="0"/>
              <w:keepLines w:val="0"/>
              <w:widowControl/>
              <w:suppressLineNumbers w:val="0"/>
              <w:spacing w:line="360" w:lineRule="auto"/>
              <w:ind w:firstLine="480" w:firstLineChars="200"/>
              <w:jc w:val="both"/>
              <w:rPr>
                <w:rFonts w:hint="eastAsia" w:eastAsia="宋体"/>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本项目</w:t>
            </w:r>
            <w:r>
              <w:rPr>
                <w:rFonts w:hint="eastAsia"/>
                <w:color w:val="000000" w:themeColor="text1"/>
                <w:sz w:val="24"/>
                <w:szCs w:val="24"/>
                <w:highlight w:val="none"/>
                <w:lang w:val="en-US" w:eastAsia="zh-CN"/>
                <w14:textFill>
                  <w14:solidFill>
                    <w14:schemeClr w14:val="tx1"/>
                  </w14:solidFill>
                </w14:textFill>
              </w:rPr>
              <w:t>用水为职工</w:t>
            </w:r>
            <w:r>
              <w:rPr>
                <w:color w:val="000000" w:themeColor="text1"/>
                <w:sz w:val="24"/>
                <w:szCs w:val="24"/>
                <w:highlight w:val="none"/>
                <w14:textFill>
                  <w14:solidFill>
                    <w14:schemeClr w14:val="tx1"/>
                  </w14:solidFill>
                </w14:textFill>
              </w:rPr>
              <w:t>生活用水</w:t>
            </w:r>
            <w:r>
              <w:rPr>
                <w:rFonts w:hint="eastAsia"/>
                <w:color w:val="000000" w:themeColor="text1"/>
                <w:sz w:val="24"/>
                <w:szCs w:val="24"/>
                <w:highlight w:val="none"/>
                <w:lang w:val="en-US" w:eastAsia="zh-CN"/>
                <w14:textFill>
                  <w14:solidFill>
                    <w14:schemeClr w14:val="tx1"/>
                  </w14:solidFill>
                </w14:textFill>
              </w:rPr>
              <w:t>及生产用水，生产用水包括混凝土搅拌用水、罐车清洗用水、设备清洗用水、堆场降尘用水、装卸降尘用水及场地降尘用水</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lang w:eastAsia="zh-CN"/>
                <w14:textFill>
                  <w14:solidFill>
                    <w14:schemeClr w14:val="tx1"/>
                  </w14:solidFill>
                </w14:textFill>
              </w:rPr>
              <w:t>经调查，项目所在地所处发开区域尚未覆盖给水管网，</w:t>
            </w:r>
            <w:r>
              <w:rPr>
                <w:rFonts w:hint="eastAsia"/>
                <w:color w:val="000000" w:themeColor="text1"/>
                <w:sz w:val="24"/>
                <w:szCs w:val="24"/>
                <w:highlight w:val="none"/>
                <w:lang w:val="en-US" w:eastAsia="zh-CN"/>
                <w14:textFill>
                  <w14:solidFill>
                    <w14:schemeClr w14:val="tx1"/>
                  </w14:solidFill>
                </w14:textFill>
              </w:rPr>
              <w:t>生活用水采用桶装水，生产用水取自东侧三道沟河地表水，</w:t>
            </w:r>
            <w:r>
              <w:rPr>
                <w:color w:val="000000" w:themeColor="text1"/>
                <w:sz w:val="24"/>
                <w:szCs w:val="24"/>
                <w:highlight w:val="none"/>
                <w14:textFill>
                  <w14:solidFill>
                    <w14:schemeClr w14:val="tx1"/>
                  </w14:solidFill>
                </w14:textFill>
              </w:rPr>
              <w:t>能够满足本项目用水需求</w:t>
            </w:r>
            <w:r>
              <w:rPr>
                <w:rFonts w:hint="eastAsia"/>
                <w:color w:val="000000" w:themeColor="text1"/>
                <w:sz w:val="24"/>
                <w:szCs w:val="24"/>
                <w:highlight w:val="none"/>
                <w:lang w:val="en-US" w:eastAsia="zh-CN"/>
                <w14:textFill>
                  <w14:solidFill>
                    <w14:schemeClr w14:val="tx1"/>
                  </w14:solidFill>
                </w14:textFill>
              </w:rPr>
              <w:t>，取水证正在办理中，</w:t>
            </w:r>
            <w:r>
              <w:rPr>
                <w:rFonts w:hint="eastAsia"/>
                <w:color w:val="000000" w:themeColor="text1"/>
                <w:sz w:val="24"/>
                <w:szCs w:val="24"/>
                <w:highlight w:val="none"/>
                <w:u w:val="single"/>
                <w:lang w:val="en-US" w:eastAsia="zh-CN"/>
                <w14:textFill>
                  <w14:solidFill>
                    <w14:schemeClr w14:val="tx1"/>
                  </w14:solidFill>
                </w14:textFill>
              </w:rPr>
              <w:t>本次项目不含饮水工程</w:t>
            </w:r>
            <w:r>
              <w:rPr>
                <w:color w:val="000000" w:themeColor="text1"/>
                <w:sz w:val="24"/>
                <w:szCs w:val="24"/>
                <w:highlight w:val="none"/>
                <w14:textFill>
                  <w14:solidFill>
                    <w14:schemeClr w14:val="tx1"/>
                  </w14:solidFill>
                </w14:textFill>
              </w:rPr>
              <w:t>。</w:t>
            </w:r>
          </w:p>
          <w:p w14:paraId="0E354BDF">
            <w:pPr>
              <w:pStyle w:val="53"/>
              <w:ind w:firstLine="420"/>
              <w:rPr>
                <w:rFonts w:ascii="Times New Roman" w:hAnsi="Times New Roman"/>
                <w:iCs/>
                <w:color w:val="000000" w:themeColor="text1"/>
                <w:sz w:val="24"/>
                <w:szCs w:val="24"/>
                <w:highlight w:val="none"/>
                <w:u w:val="none" w:color="auto"/>
                <w14:textFill>
                  <w14:solidFill>
                    <w14:schemeClr w14:val="tx1"/>
                  </w14:solidFill>
                </w14:textFill>
              </w:rPr>
            </w:pPr>
            <w:r>
              <w:rPr>
                <w:rFonts w:ascii="Times New Roman" w:hAnsi="Times New Roman"/>
                <w:iCs/>
                <w:color w:val="000000" w:themeColor="text1"/>
                <w:sz w:val="24"/>
                <w:szCs w:val="24"/>
                <w:highlight w:val="none"/>
                <w:u w:val="none" w:color="auto"/>
                <w14:textFill>
                  <w14:solidFill>
                    <w14:schemeClr w14:val="tx1"/>
                  </w14:solidFill>
                </w14:textFill>
              </w:rPr>
              <w:t>①生活用水</w:t>
            </w:r>
          </w:p>
          <w:p w14:paraId="2C514C70">
            <w:pPr>
              <w:pStyle w:val="53"/>
              <w:ind w:firstLine="420"/>
              <w:rPr>
                <w:rFonts w:hint="eastAsia" w:ascii="Times New Roman" w:hAnsi="Times New Roman" w:eastAsia="宋体" w:cs="Times New Roman"/>
                <w:iCs/>
                <w:color w:val="000000" w:themeColor="text1"/>
                <w:sz w:val="24"/>
                <w:szCs w:val="24"/>
                <w:highlight w:val="none"/>
                <w:u w:val="none" w:color="auto"/>
                <w:lang w:eastAsia="zh-CN"/>
                <w14:textFill>
                  <w14:solidFill>
                    <w14:schemeClr w14:val="tx1"/>
                  </w14:solidFill>
                </w14:textFill>
              </w:rPr>
            </w:pPr>
            <w:r>
              <w:rPr>
                <w:rFonts w:ascii="Times New Roman" w:hAnsi="Times New Roman"/>
                <w:iCs/>
                <w:color w:val="000000" w:themeColor="text1"/>
                <w:sz w:val="24"/>
                <w:szCs w:val="24"/>
                <w:highlight w:val="none"/>
                <w:u w:val="none" w:color="auto"/>
                <w14:textFill>
                  <w14:solidFill>
                    <w14:schemeClr w14:val="tx1"/>
                  </w14:solidFill>
                </w14:textFill>
              </w:rPr>
              <w:t>项目职工</w:t>
            </w:r>
            <w:r>
              <w:rPr>
                <w:rFonts w:hint="eastAsia" w:ascii="Times New Roman" w:hAnsi="Times New Roman"/>
                <w:iCs/>
                <w:color w:val="000000" w:themeColor="text1"/>
                <w:sz w:val="24"/>
                <w:szCs w:val="24"/>
                <w:highlight w:val="none"/>
                <w:u w:val="none" w:color="auto"/>
                <w:lang w:val="en-US" w:eastAsia="zh-CN"/>
                <w14:textFill>
                  <w14:solidFill>
                    <w14:schemeClr w14:val="tx1"/>
                  </w14:solidFill>
                </w14:textFill>
              </w:rPr>
              <w:t>20</w:t>
            </w:r>
            <w:r>
              <w:rPr>
                <w:rFonts w:ascii="Times New Roman" w:hAnsi="Times New Roman"/>
                <w:iCs/>
                <w:color w:val="000000" w:themeColor="text1"/>
                <w:sz w:val="24"/>
                <w:szCs w:val="24"/>
                <w:highlight w:val="none"/>
                <w:u w:val="none" w:color="auto"/>
                <w14:textFill>
                  <w14:solidFill>
                    <w14:schemeClr w14:val="tx1"/>
                  </w14:solidFill>
                </w14:textFill>
              </w:rPr>
              <w:t>人，年生产</w:t>
            </w:r>
            <w:r>
              <w:rPr>
                <w:rFonts w:hint="eastAsia" w:ascii="Times New Roman" w:hAnsi="Times New Roman"/>
                <w:iCs/>
                <w:color w:val="000000" w:themeColor="text1"/>
                <w:sz w:val="24"/>
                <w:szCs w:val="24"/>
                <w:highlight w:val="none"/>
                <w:u w:val="none" w:color="auto"/>
                <w:lang w:val="en-US" w:eastAsia="zh-CN"/>
                <w14:textFill>
                  <w14:solidFill>
                    <w14:schemeClr w14:val="tx1"/>
                  </w14:solidFill>
                </w14:textFill>
              </w:rPr>
              <w:t>240</w:t>
            </w:r>
            <w:r>
              <w:rPr>
                <w:rFonts w:ascii="Times New Roman" w:hAnsi="Times New Roman"/>
                <w:iCs/>
                <w:color w:val="000000" w:themeColor="text1"/>
                <w:sz w:val="24"/>
                <w:szCs w:val="24"/>
                <w:highlight w:val="none"/>
                <w:u w:val="none" w:color="auto"/>
                <w14:textFill>
                  <w14:solidFill>
                    <w14:schemeClr w14:val="tx1"/>
                  </w14:solidFill>
                </w14:textFill>
              </w:rPr>
              <w:t>天，</w:t>
            </w:r>
            <w:r>
              <w:rPr>
                <w:rFonts w:hint="eastAsia" w:ascii="Times New Roman" w:hAnsi="Times New Roman" w:cs="Times New Roman"/>
                <w:sz w:val="24"/>
                <w:szCs w:val="24"/>
                <w:u w:val="none" w:color="auto"/>
                <w:lang w:eastAsia="zh-CN"/>
              </w:rPr>
              <w:t>根据</w:t>
            </w:r>
            <w:r>
              <w:rPr>
                <w:rFonts w:hint="default" w:ascii="Times New Roman" w:hAnsi="Times New Roman" w:cs="Times New Roman"/>
                <w:sz w:val="24"/>
                <w:szCs w:val="24"/>
                <w:u w:val="none" w:color="auto"/>
              </w:rPr>
              <w:t>《吉林省地方</w:t>
            </w:r>
            <w:r>
              <w:rPr>
                <w:rFonts w:hint="eastAsia" w:ascii="Times New Roman" w:hAnsi="Times New Roman" w:cs="Times New Roman"/>
                <w:sz w:val="24"/>
                <w:szCs w:val="24"/>
                <w:u w:val="none" w:color="auto"/>
                <w:lang w:eastAsia="zh-CN"/>
              </w:rPr>
              <w:t>标准</w:t>
            </w:r>
            <w:r>
              <w:rPr>
                <w:rFonts w:hint="eastAsia" w:ascii="Times New Roman" w:hAnsi="Times New Roman" w:cs="Times New Roman"/>
                <w:sz w:val="24"/>
                <w:szCs w:val="24"/>
                <w:u w:val="none" w:color="auto"/>
                <w:lang w:val="en-US" w:eastAsia="zh-CN"/>
              </w:rPr>
              <w:t xml:space="preserve"> </w:t>
            </w:r>
            <w:r>
              <w:rPr>
                <w:rFonts w:hint="default" w:ascii="Times New Roman" w:hAnsi="Times New Roman" w:cs="Times New Roman"/>
                <w:sz w:val="24"/>
                <w:szCs w:val="24"/>
                <w:u w:val="none" w:color="auto"/>
              </w:rPr>
              <w:t>用水定额</w:t>
            </w:r>
            <w:r>
              <w:rPr>
                <w:rFonts w:hint="eastAsia" w:ascii="Times New Roman" w:hAnsi="Times New Roman" w:cs="Times New Roman"/>
                <w:sz w:val="24"/>
                <w:szCs w:val="24"/>
                <w:u w:val="none" w:color="auto"/>
                <w:lang w:val="en-US" w:eastAsia="zh-CN"/>
              </w:rPr>
              <w:t xml:space="preserve"> 第4部分：居民生活</w:t>
            </w:r>
            <w:r>
              <w:rPr>
                <w:rFonts w:hint="default" w:ascii="Times New Roman" w:hAnsi="Times New Roman" w:cs="Times New Roman"/>
                <w:sz w:val="24"/>
                <w:szCs w:val="24"/>
                <w:u w:val="none" w:color="auto"/>
              </w:rPr>
              <w:t>》（DB22/T 389</w:t>
            </w:r>
            <w:r>
              <w:rPr>
                <w:rFonts w:hint="eastAsia" w:ascii="Times New Roman" w:hAnsi="Times New Roman" w:cs="Times New Roman"/>
                <w:sz w:val="24"/>
                <w:szCs w:val="24"/>
                <w:u w:val="none" w:color="auto"/>
                <w:lang w:val="en-US" w:eastAsia="zh-CN"/>
              </w:rPr>
              <w:t>.4</w:t>
            </w:r>
            <w:r>
              <w:rPr>
                <w:rFonts w:hint="default" w:ascii="Times New Roman" w:hAnsi="Times New Roman" w:cs="Times New Roman"/>
                <w:sz w:val="24"/>
                <w:szCs w:val="24"/>
                <w:u w:val="none" w:color="auto"/>
              </w:rPr>
              <w:t>-20</w:t>
            </w:r>
            <w:r>
              <w:rPr>
                <w:rFonts w:hint="eastAsia" w:ascii="Times New Roman" w:hAnsi="Times New Roman" w:cs="Times New Roman"/>
                <w:sz w:val="24"/>
                <w:szCs w:val="24"/>
                <w:u w:val="none" w:color="auto"/>
                <w:lang w:val="en-US" w:eastAsia="zh-CN"/>
              </w:rPr>
              <w:t>25</w:t>
            </w:r>
            <w:r>
              <w:rPr>
                <w:rFonts w:hint="default" w:ascii="Times New Roman" w:hAnsi="Times New Roman" w:cs="Times New Roman"/>
                <w:sz w:val="24"/>
                <w:szCs w:val="24"/>
                <w:u w:val="none" w:color="auto"/>
              </w:rPr>
              <w:t>）</w:t>
            </w:r>
            <w:r>
              <w:rPr>
                <w:rFonts w:hint="eastAsia" w:ascii="Times New Roman" w:hAnsi="Times New Roman" w:cs="Times New Roman"/>
                <w:sz w:val="24"/>
                <w:szCs w:val="24"/>
                <w:u w:val="none" w:color="auto"/>
                <w:lang w:eastAsia="zh-CN"/>
              </w:rPr>
              <w:t>，</w:t>
            </w:r>
            <w:r>
              <w:rPr>
                <w:rFonts w:ascii="Times New Roman" w:hAnsi="Times New Roman" w:cs="Times New Roman"/>
                <w:sz w:val="24"/>
                <w:szCs w:val="24"/>
                <w:u w:val="none" w:color="auto"/>
              </w:rPr>
              <w:t>生活用水按</w:t>
            </w:r>
            <w:r>
              <w:rPr>
                <w:rFonts w:hint="eastAsia" w:ascii="Times New Roman" w:hAnsi="Times New Roman" w:cs="Times New Roman"/>
                <w:sz w:val="24"/>
                <w:szCs w:val="24"/>
                <w:u w:val="none" w:color="auto"/>
                <w:lang w:val="en-US" w:eastAsia="zh-CN"/>
              </w:rPr>
              <w:t>60</w:t>
            </w:r>
            <w:r>
              <w:rPr>
                <w:rFonts w:ascii="Times New Roman" w:hAnsi="Times New Roman" w:cs="Times New Roman"/>
                <w:sz w:val="24"/>
                <w:szCs w:val="24"/>
                <w:u w:val="none" w:color="auto"/>
              </w:rPr>
              <w:t>L/人·d计</w:t>
            </w:r>
            <w:r>
              <w:rPr>
                <w:rFonts w:ascii="Times New Roman" w:hAnsi="Times New Roman"/>
                <w:color w:val="000000" w:themeColor="text1"/>
                <w:kern w:val="0"/>
                <w:sz w:val="24"/>
                <w:u w:val="none" w:color="auto"/>
                <w14:textFill>
                  <w14:solidFill>
                    <w14:schemeClr w14:val="tx1"/>
                  </w14:solidFill>
                </w14:textFill>
              </w:rPr>
              <w:t>，</w:t>
            </w:r>
            <w:r>
              <w:rPr>
                <w:rFonts w:ascii="Times New Roman" w:hAnsi="Times New Roman"/>
                <w:iCs/>
                <w:color w:val="000000" w:themeColor="text1"/>
                <w:sz w:val="24"/>
                <w:szCs w:val="24"/>
                <w:highlight w:val="none"/>
                <w:u w:val="none" w:color="auto"/>
                <w14:textFill>
                  <w14:solidFill>
                    <w14:schemeClr w14:val="tx1"/>
                  </w14:solidFill>
                </w14:textFill>
              </w:rPr>
              <w:t>则生活用水量为</w:t>
            </w:r>
            <w:r>
              <w:rPr>
                <w:rFonts w:hint="eastAsia" w:ascii="Times New Roman" w:hAnsi="Times New Roman"/>
                <w:iCs/>
                <w:color w:val="000000" w:themeColor="text1"/>
                <w:sz w:val="24"/>
                <w:szCs w:val="24"/>
                <w:highlight w:val="none"/>
                <w:u w:val="none" w:color="auto"/>
                <w:lang w:val="en-US" w:eastAsia="zh-CN"/>
                <w14:textFill>
                  <w14:solidFill>
                    <w14:schemeClr w14:val="tx1"/>
                  </w14:solidFill>
                </w14:textFill>
              </w:rPr>
              <w:t>1.2</w:t>
            </w:r>
            <w:r>
              <w:rPr>
                <w:rFonts w:ascii="Times New Roman" w:hAnsi="Times New Roman"/>
                <w:iCs/>
                <w:color w:val="000000" w:themeColor="text1"/>
                <w:sz w:val="24"/>
                <w:szCs w:val="24"/>
                <w:highlight w:val="none"/>
                <w:u w:val="none" w:color="auto"/>
                <w14:textFill>
                  <w14:solidFill>
                    <w14:schemeClr w14:val="tx1"/>
                  </w14:solidFill>
                </w14:textFill>
              </w:rPr>
              <w:t>m</w:t>
            </w:r>
            <w:r>
              <w:rPr>
                <w:rFonts w:ascii="Times New Roman" w:hAnsi="Times New Roman"/>
                <w:iCs/>
                <w:color w:val="000000" w:themeColor="text1"/>
                <w:sz w:val="24"/>
                <w:szCs w:val="24"/>
                <w:highlight w:val="none"/>
                <w:u w:val="none" w:color="auto"/>
                <w:vertAlign w:val="superscript"/>
                <w14:textFill>
                  <w14:solidFill>
                    <w14:schemeClr w14:val="tx1"/>
                  </w14:solidFill>
                </w14:textFill>
              </w:rPr>
              <w:t>3</w:t>
            </w:r>
            <w:r>
              <w:rPr>
                <w:rFonts w:ascii="Times New Roman" w:hAnsi="Times New Roman"/>
                <w:iCs/>
                <w:color w:val="000000" w:themeColor="text1"/>
                <w:sz w:val="24"/>
                <w:szCs w:val="24"/>
                <w:highlight w:val="none"/>
                <w:u w:val="none" w:color="auto"/>
                <w14:textFill>
                  <w14:solidFill>
                    <w14:schemeClr w14:val="tx1"/>
                  </w14:solidFill>
                </w14:textFill>
              </w:rPr>
              <w:t>/d</w:t>
            </w:r>
            <w:r>
              <w:rPr>
                <w:rFonts w:hint="eastAsia" w:ascii="Times New Roman" w:hAnsi="Times New Roman"/>
                <w:iCs/>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iCs/>
                <w:color w:val="000000" w:themeColor="text1"/>
                <w:sz w:val="24"/>
                <w:szCs w:val="24"/>
                <w:highlight w:val="none"/>
                <w:u w:val="none" w:color="auto"/>
                <w:lang w:val="en-US" w:eastAsia="zh-CN"/>
                <w14:textFill>
                  <w14:solidFill>
                    <w14:schemeClr w14:val="tx1"/>
                  </w14:solidFill>
                </w14:textFill>
              </w:rPr>
              <w:t>288</w:t>
            </w:r>
            <w:r>
              <w:rPr>
                <w:rFonts w:ascii="Times New Roman" w:hAnsi="Times New Roman"/>
                <w:iCs/>
                <w:color w:val="000000" w:themeColor="text1"/>
                <w:sz w:val="24"/>
                <w:szCs w:val="24"/>
                <w:highlight w:val="none"/>
                <w:u w:val="none" w:color="auto"/>
                <w14:textFill>
                  <w14:solidFill>
                    <w14:schemeClr w14:val="tx1"/>
                  </w14:solidFill>
                </w14:textFill>
              </w:rPr>
              <w:t>m</w:t>
            </w:r>
            <w:r>
              <w:rPr>
                <w:rFonts w:ascii="Times New Roman" w:hAnsi="Times New Roman"/>
                <w:iCs/>
                <w:color w:val="000000" w:themeColor="text1"/>
                <w:sz w:val="24"/>
                <w:szCs w:val="24"/>
                <w:highlight w:val="none"/>
                <w:u w:val="none" w:color="auto"/>
                <w:vertAlign w:val="superscript"/>
                <w14:textFill>
                  <w14:solidFill>
                    <w14:schemeClr w14:val="tx1"/>
                  </w14:solidFill>
                </w14:textFill>
              </w:rPr>
              <w:t>3</w:t>
            </w:r>
            <w:r>
              <w:rPr>
                <w:rFonts w:hint="eastAsia" w:ascii="Times New Roman" w:hAnsi="Times New Roman"/>
                <w:iCs/>
                <w:color w:val="000000" w:themeColor="text1"/>
                <w:sz w:val="24"/>
                <w:szCs w:val="24"/>
                <w:highlight w:val="none"/>
                <w:u w:val="none" w:color="auto"/>
                <w:lang w:eastAsia="zh-CN"/>
                <w14:textFill>
                  <w14:solidFill>
                    <w14:schemeClr w14:val="tx1"/>
                  </w14:solidFill>
                </w14:textFill>
              </w:rPr>
              <w:t>/a）。</w:t>
            </w:r>
            <w:r>
              <w:rPr>
                <w:rFonts w:hint="eastAsia" w:ascii="Times New Roman" w:hAnsi="Times New Roman" w:eastAsia="宋体" w:cs="Times New Roman"/>
                <w:color w:val="000000" w:themeColor="text1"/>
                <w:kern w:val="0"/>
                <w:sz w:val="24"/>
                <w:u w:val="none" w:color="auto"/>
                <w:lang w:val="en-US" w:eastAsia="zh-CN"/>
                <w14:textFill>
                  <w14:solidFill>
                    <w14:schemeClr w14:val="tx1"/>
                  </w14:solidFill>
                </w14:textFill>
              </w:rPr>
              <w:t>职工生活污水产生</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量按用水量的80%计，则生活污水产生量为0.</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96</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230.4m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/a），排入</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防渗旱厕，</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定期清掏</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作</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农肥。</w:t>
            </w:r>
          </w:p>
          <w:p w14:paraId="523BECE7">
            <w:pPr>
              <w:pStyle w:val="53"/>
              <w:ind w:firstLine="420"/>
              <w:rPr>
                <w:rFonts w:ascii="Times New Roman" w:hAnsi="Times New Roman" w:eastAsia="宋体" w:cs="Times New Roman"/>
                <w:iCs/>
                <w:color w:val="000000" w:themeColor="text1"/>
                <w:sz w:val="24"/>
                <w:szCs w:val="24"/>
                <w:highlight w:val="none"/>
                <w:u w:val="none" w:color="auto"/>
                <w14:textFill>
                  <w14:solidFill>
                    <w14:schemeClr w14:val="tx1"/>
                  </w14:solidFill>
                </w14:textFill>
              </w:rPr>
            </w:pPr>
            <w:r>
              <w:rPr>
                <w:rFonts w:hint="eastAsia" w:ascii="Times New Roman" w:hAnsi="Times New Roman" w:eastAsia="宋体" w:cs="Times New Roman"/>
                <w:iCs/>
                <w:color w:val="000000" w:themeColor="text1"/>
                <w:sz w:val="24"/>
                <w:szCs w:val="24"/>
                <w:highlight w:val="none"/>
                <w:u w:val="none" w:color="auto"/>
                <w14:textFill>
                  <w14:solidFill>
                    <w14:schemeClr w14:val="tx1"/>
                  </w14:solidFill>
                </w14:textFill>
              </w:rPr>
              <w:t>②</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混凝土搅拌用水</w:t>
            </w:r>
          </w:p>
          <w:p w14:paraId="47001916">
            <w:pPr>
              <w:pStyle w:val="53"/>
              <w:ind w:firstLine="420"/>
              <w:rPr>
                <w:rFonts w:ascii="Times New Roman" w:hAnsi="Times New Roman" w:eastAsia="宋体" w:cs="Times New Roman"/>
                <w:iCs/>
                <w:color w:val="000000" w:themeColor="text1"/>
                <w:sz w:val="24"/>
                <w:szCs w:val="24"/>
                <w:highlight w:val="none"/>
                <w:u w:val="none" w:color="auto"/>
                <w14:textFill>
                  <w14:solidFill>
                    <w14:schemeClr w14:val="tx1"/>
                  </w14:solidFill>
                </w14:textFill>
              </w:rPr>
            </w:pP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根据</w:t>
            </w:r>
            <w:r>
              <w:rPr>
                <w:rFonts w:hint="eastAsia" w:ascii="Times New Roman" w:hAnsi="Times New Roman" w:cs="Times New Roman"/>
                <w:iCs/>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工业用水定额：预拌混凝土及水泥制品</w:t>
            </w:r>
            <w:r>
              <w:rPr>
                <w:rFonts w:hint="eastAsia" w:ascii="Times New Roman" w:hAnsi="Times New Roman" w:cs="Times New Roman"/>
                <w:iCs/>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水节约[2020]290号（4）</w:t>
            </w:r>
            <w:r>
              <w:rPr>
                <w:rFonts w:hint="eastAsia" w:ascii="Times New Roman" w:hAnsi="Times New Roman" w:cs="Times New Roman"/>
                <w:iCs/>
                <w:color w:val="000000" w:themeColor="text1"/>
                <w:sz w:val="24"/>
                <w:szCs w:val="24"/>
                <w:highlight w:val="none"/>
                <w:u w:val="none" w:color="auto"/>
                <w:lang w:eastAsia="zh-CN"/>
                <w14:textFill>
                  <w14:solidFill>
                    <w14:schemeClr w14:val="tx1"/>
                  </w14:solidFill>
                </w14:textFill>
              </w:rPr>
              <w:t>）</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预拌混凝土用水定额为0.15m</w:t>
            </w:r>
            <w:r>
              <w:rPr>
                <w:rFonts w:hint="eastAsia" w:ascii="Times New Roman" w:hAnsi="Times New Roman"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ascii="Times New Roman" w:hAnsi="Times New Roman" w:cs="Times New Roman"/>
                <w:iCs/>
                <w:color w:val="000000" w:themeColor="text1"/>
                <w:sz w:val="24"/>
                <w:szCs w:val="24"/>
                <w:highlight w:val="none"/>
                <w:u w:val="none" w:color="auto"/>
                <w:vertAlign w:val="baseline"/>
                <w:lang w:val="en-US" w:eastAsia="zh-CN"/>
                <w14:textFill>
                  <w14:solidFill>
                    <w14:schemeClr w14:val="tx1"/>
                  </w14:solidFill>
                </w14:textFill>
              </w:rPr>
              <w:t>-产品</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，本项目商品</w:t>
            </w:r>
            <w:r>
              <w:rPr>
                <w:rFonts w:hint="eastAsia"/>
                <w:i w:val="0"/>
                <w:iCs w:val="0"/>
                <w:color w:val="000000" w:themeColor="text1"/>
                <w:sz w:val="24"/>
                <w:szCs w:val="24"/>
                <w:u w:val="none" w:color="auto"/>
                <w14:textFill>
                  <w14:solidFill>
                    <w14:schemeClr w14:val="tx1"/>
                  </w14:solidFill>
                </w14:textFill>
              </w:rPr>
              <w:t>混凝土产量为</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6万</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/a，则</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混凝土搅拌</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生产过程中</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用</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水量为</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37.5</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9000</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m</w:t>
            </w:r>
            <w:r>
              <w:rPr>
                <w:rFonts w:ascii="Times New Roman" w:hAnsi="Times New Roman" w:eastAsia="宋体" w:cs="Times New Roman"/>
                <w:iCs/>
                <w:color w:val="000000" w:themeColor="text1"/>
                <w:sz w:val="24"/>
                <w:szCs w:val="24"/>
                <w:highlight w:val="none"/>
                <w:u w:val="none" w:color="auto"/>
                <w:vertAlign w:val="superscript"/>
                <w14:textFill>
                  <w14:solidFill>
                    <w14:schemeClr w14:val="tx1"/>
                  </w14:solidFill>
                </w14:textFill>
              </w:rPr>
              <w:t>3</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/a</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eastAsia="zh-CN"/>
                <w14:textFill>
                  <w14:solidFill>
                    <w14:schemeClr w14:val="tx1"/>
                  </w14:solidFill>
                </w14:textFill>
              </w:rPr>
              <w:t>，其中</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33.5</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m</w:t>
            </w:r>
            <w:r>
              <w:rPr>
                <w:rFonts w:ascii="Times New Roman" w:hAnsi="Times New Roman" w:eastAsia="宋体" w:cs="Times New Roman"/>
                <w:iCs/>
                <w:color w:val="000000" w:themeColor="text1"/>
                <w:sz w:val="24"/>
                <w:szCs w:val="24"/>
                <w:highlight w:val="none"/>
                <w:u w:val="none" w:color="auto"/>
                <w:vertAlign w:val="superscript"/>
                <w14:textFill>
                  <w14:solidFill>
                    <w14:schemeClr w14:val="tx1"/>
                  </w14:solidFill>
                </w14:textFill>
              </w:rPr>
              <w:t>3</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eastAsia="zh-CN"/>
                <w14:textFill>
                  <w14:solidFill>
                    <w14:schemeClr w14:val="tx1"/>
                  </w14:solidFill>
                </w14:textFill>
              </w:rPr>
              <w:t>为新鲜水，</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4</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m</w:t>
            </w:r>
            <w:r>
              <w:rPr>
                <w:rFonts w:ascii="Times New Roman" w:hAnsi="Times New Roman" w:eastAsia="宋体" w:cs="Times New Roman"/>
                <w:iCs/>
                <w:color w:val="000000" w:themeColor="text1"/>
                <w:sz w:val="24"/>
                <w:szCs w:val="24"/>
                <w:highlight w:val="none"/>
                <w:u w:val="none" w:color="auto"/>
                <w:vertAlign w:val="superscript"/>
                <w14:textFill>
                  <w14:solidFill>
                    <w14:schemeClr w14:val="tx1"/>
                  </w14:solidFill>
                </w14:textFill>
              </w:rPr>
              <w:t>3</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eastAsia="zh-CN"/>
                <w14:textFill>
                  <w14:solidFill>
                    <w14:schemeClr w14:val="tx1"/>
                  </w14:solidFill>
                </w14:textFill>
              </w:rPr>
              <w:t>为罐车清洗废水及设备清洗废水</w:t>
            </w:r>
            <w:r>
              <w:rPr>
                <w:rFonts w:ascii="Times New Roman" w:hAnsi="Times New Roman" w:eastAsia="宋体" w:cs="Times New Roman"/>
                <w:iCs/>
                <w:color w:val="000000" w:themeColor="text1"/>
                <w:sz w:val="24"/>
                <w:szCs w:val="24"/>
                <w:highlight w:val="none"/>
                <w:u w:val="none" w:color="auto"/>
                <w14:textFill>
                  <w14:solidFill>
                    <w14:schemeClr w14:val="tx1"/>
                  </w14:solidFill>
                </w14:textFill>
              </w:rPr>
              <w:t>。</w:t>
            </w:r>
          </w:p>
          <w:p w14:paraId="570239E1">
            <w:pPr>
              <w:pStyle w:val="53"/>
              <w:ind w:firstLine="420"/>
              <w:rPr>
                <w:rFonts w:hint="eastAsia" w:ascii="Times New Roman" w:hAnsi="Times New Roman" w:eastAsia="宋体" w:cs="Times New Roman"/>
                <w:iCs/>
                <w:color w:val="000000" w:themeColor="text1"/>
                <w:sz w:val="24"/>
                <w:szCs w:val="24"/>
                <w:highlight w:val="none"/>
                <w:u w:val="none" w:color="auto"/>
                <w14:textFill>
                  <w14:solidFill>
                    <w14:schemeClr w14:val="tx1"/>
                  </w14:solidFill>
                </w14:textFill>
              </w:rPr>
            </w:pPr>
            <w:r>
              <w:rPr>
                <w:rFonts w:hint="eastAsia" w:ascii="Times New Roman" w:hAnsi="Times New Roman" w:eastAsia="宋体" w:cs="Times New Roman"/>
                <w:iCs/>
                <w:color w:val="000000" w:themeColor="text1"/>
                <w:sz w:val="24"/>
                <w:szCs w:val="24"/>
                <w:highlight w:val="none"/>
                <w:u w:val="none" w:color="auto"/>
                <w14:textFill>
                  <w14:solidFill>
                    <w14:schemeClr w14:val="tx1"/>
                  </w14:solidFill>
                </w14:textFill>
              </w:rPr>
              <w:t>③</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罐车</w:t>
            </w:r>
            <w:r>
              <w:rPr>
                <w:rFonts w:hint="eastAsia" w:ascii="Times New Roman" w:hAnsi="Times New Roman" w:eastAsia="宋体" w:cs="Times New Roman"/>
                <w:iCs/>
                <w:color w:val="000000" w:themeColor="text1"/>
                <w:sz w:val="24"/>
                <w:szCs w:val="24"/>
                <w:highlight w:val="none"/>
                <w:u w:val="none" w:color="auto"/>
                <w14:textFill>
                  <w14:solidFill>
                    <w14:schemeClr w14:val="tx1"/>
                  </w14:solidFill>
                </w14:textFill>
              </w:rPr>
              <w:t>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用</w:t>
            </w:r>
            <w:r>
              <w:rPr>
                <w:rFonts w:hint="eastAsia" w:ascii="Times New Roman" w:hAnsi="Times New Roman" w:eastAsia="宋体" w:cs="Times New Roman"/>
                <w:iCs/>
                <w:color w:val="000000" w:themeColor="text1"/>
                <w:sz w:val="24"/>
                <w:szCs w:val="24"/>
                <w:highlight w:val="none"/>
                <w:u w:val="none" w:color="auto"/>
                <w14:textFill>
                  <w14:solidFill>
                    <w14:schemeClr w14:val="tx1"/>
                  </w14:solidFill>
                </w14:textFill>
              </w:rPr>
              <w:t>水</w:t>
            </w:r>
          </w:p>
          <w:p w14:paraId="0F0E14C0">
            <w:pPr>
              <w:pStyle w:val="53"/>
              <w:ind w:firstLine="420"/>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项目</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混凝土</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生产规模</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6</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万</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/a，运输量平均每天</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250m</w:t>
            </w:r>
            <w:r>
              <w:rPr>
                <w:rFonts w:hint="eastAsia" w:ascii="Times New Roman" w:hAnsi="Times New Roman"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单车一次</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运输量为</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12、18m</w:t>
            </w:r>
            <w:r>
              <w:rPr>
                <w:rFonts w:hint="eastAsia" w:ascii="Times New Roman" w:hAnsi="Times New Roman"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，每天大约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需</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运输</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按20</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次，每次均需对运输车辆进行冲洗，车辆冲洗水量大约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0.2</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辆·</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次，则项目</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罐车</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用</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水约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4.0</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960</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/a）。废水产生量按用水量的</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8</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0%计，</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罐车</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清洗</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废</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水</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产生量</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约</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为</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3.2</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768</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罐车清洗</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废</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水</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经</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三级</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沉淀池</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沉淀</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处理后</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回用于生产，不外排。</w:t>
            </w:r>
          </w:p>
          <w:p w14:paraId="0E026B3B">
            <w:pPr>
              <w:pStyle w:val="53"/>
              <w:ind w:firstLine="420"/>
              <w:rPr>
                <w:rFonts w:hint="eastAsia" w:ascii="Times New Roman" w:hAnsi="Times New Roman" w:eastAsia="宋体" w:cs="Times New Roman"/>
                <w:iCs/>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宋体" w:cs="Times New Roman"/>
                <w:iCs/>
                <w:color w:val="000000" w:themeColor="text1"/>
                <w:sz w:val="24"/>
                <w:szCs w:val="24"/>
                <w:highlight w:val="none"/>
                <w:u w:val="none" w:color="auto"/>
                <w14:textFill>
                  <w14:solidFill>
                    <w14:schemeClr w14:val="tx1"/>
                  </w14:solidFill>
                </w14:textFill>
              </w:rPr>
              <w:t>④设备</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清</w:t>
            </w:r>
            <w:r>
              <w:rPr>
                <w:rFonts w:hint="eastAsia" w:ascii="Times New Roman" w:hAnsi="Times New Roman" w:eastAsia="宋体" w:cs="Times New Roman"/>
                <w:iCs/>
                <w:color w:val="000000" w:themeColor="text1"/>
                <w:sz w:val="24"/>
                <w:szCs w:val="24"/>
                <w:highlight w:val="none"/>
                <w:u w:val="none" w:color="auto"/>
                <w14:textFill>
                  <w14:solidFill>
                    <w14:schemeClr w14:val="tx1"/>
                  </w14:solidFill>
                </w14:textFill>
              </w:rPr>
              <w:t>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用</w:t>
            </w:r>
            <w:r>
              <w:rPr>
                <w:rFonts w:hint="eastAsia" w:ascii="Times New Roman" w:hAnsi="Times New Roman" w:eastAsia="宋体" w:cs="Times New Roman"/>
                <w:iCs/>
                <w:color w:val="000000" w:themeColor="text1"/>
                <w:sz w:val="24"/>
                <w:szCs w:val="24"/>
                <w:highlight w:val="none"/>
                <w:u w:val="none" w:color="auto"/>
                <w14:textFill>
                  <w14:solidFill>
                    <w14:schemeClr w14:val="tx1"/>
                  </w14:solidFill>
                </w14:textFill>
              </w:rPr>
              <w:t>水</w:t>
            </w:r>
          </w:p>
          <w:p w14:paraId="140559E8">
            <w:pPr>
              <w:pStyle w:val="53"/>
              <w:ind w:firstLine="420"/>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搅拌站设备定期清洗，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平均</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每天清洗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1</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次，每次</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每台搅拌机</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用水量</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按1</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计算，则项目设备清洗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用</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水约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1</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240</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/a）。废水产生量按用水量的</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8</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0%计，设备清洗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废</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水约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0.8</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192</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/a）。设备清洗废水</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经</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三级</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沉淀池</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沉淀</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处理后</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回</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用于生产，不外排。</w:t>
            </w:r>
          </w:p>
          <w:p w14:paraId="779F2F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⑤</w:t>
            </w:r>
            <w:r>
              <w:rPr>
                <w:rFonts w:hint="eastAsia" w:ascii="宋体" w:hAnsi="宋体" w:cs="宋体"/>
                <w:color w:val="000000" w:themeColor="text1"/>
                <w:kern w:val="0"/>
                <w:sz w:val="24"/>
                <w:szCs w:val="24"/>
                <w:highlight w:val="none"/>
                <w:u w:val="none" w:color="auto"/>
                <w:lang w:val="en-US" w:eastAsia="zh-CN" w:bidi="ar"/>
                <w14:textFill>
                  <w14:solidFill>
                    <w14:schemeClr w14:val="tx1"/>
                  </w14:solidFill>
                </w14:textFill>
              </w:rPr>
              <w:t>骨料料库</w:t>
            </w: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降尘用水</w:t>
            </w:r>
          </w:p>
          <w:p w14:paraId="40F537AF">
            <w:pPr>
              <w:pStyle w:val="53"/>
              <w:rPr>
                <w:rFonts w:hint="default"/>
                <w:color w:val="000000" w:themeColor="text1"/>
                <w:u w:val="none" w:color="auto"/>
                <w:lang w:val="en-US" w:eastAsia="zh-CN"/>
                <w14:textFill>
                  <w14:solidFill>
                    <w14:schemeClr w14:val="tx1"/>
                  </w14:solidFill>
                </w14:textFill>
              </w:rPr>
            </w:pPr>
            <w:r>
              <w:rPr>
                <w:rFonts w:hint="eastAsia" w:ascii="Times New Roman" w:hAnsi="Times New Roman"/>
                <w:iCs/>
                <w:color w:val="000000" w:themeColor="text1"/>
                <w:sz w:val="24"/>
                <w:u w:val="none" w:color="auto"/>
                <w:lang w:eastAsia="zh-CN"/>
                <w14:textFill>
                  <w14:solidFill>
                    <w14:schemeClr w14:val="tx1"/>
                  </w14:solidFill>
                </w14:textFill>
              </w:rPr>
              <w:t>骨料料库</w:t>
            </w:r>
            <w:r>
              <w:rPr>
                <w:rFonts w:ascii="Times New Roman" w:hAnsi="Times New Roman"/>
                <w:iCs/>
                <w:color w:val="000000" w:themeColor="text1"/>
                <w:sz w:val="24"/>
                <w:u w:val="none" w:color="auto"/>
                <w14:textFill>
                  <w14:solidFill>
                    <w14:schemeClr w14:val="tx1"/>
                  </w14:solidFill>
                </w14:textFill>
              </w:rPr>
              <w:t>进行</w:t>
            </w:r>
            <w:r>
              <w:rPr>
                <w:rFonts w:hint="eastAsia" w:ascii="Times New Roman" w:hAnsi="Times New Roman"/>
                <w:iCs/>
                <w:color w:val="000000" w:themeColor="text1"/>
                <w:sz w:val="24"/>
                <w:u w:val="none" w:color="auto"/>
                <w:lang w:val="en-US" w:eastAsia="zh-CN"/>
                <w14:textFill>
                  <w14:solidFill>
                    <w14:schemeClr w14:val="tx1"/>
                  </w14:solidFill>
                </w14:textFill>
              </w:rPr>
              <w:t>洒水</w:t>
            </w:r>
            <w:r>
              <w:rPr>
                <w:rFonts w:ascii="Times New Roman" w:hAnsi="Times New Roman"/>
                <w:iCs/>
                <w:color w:val="000000" w:themeColor="text1"/>
                <w:sz w:val="24"/>
                <w:u w:val="none" w:color="auto"/>
                <w14:textFill>
                  <w14:solidFill>
                    <w14:schemeClr w14:val="tx1"/>
                  </w14:solidFill>
                </w14:textFill>
              </w:rPr>
              <w:t>降尘，</w:t>
            </w:r>
            <w:r>
              <w:rPr>
                <w:rFonts w:hint="eastAsia" w:ascii="Times New Roman" w:hAnsi="Times New Roman"/>
                <w:iCs/>
                <w:color w:val="000000" w:themeColor="text1"/>
                <w:sz w:val="24"/>
                <w:u w:val="none" w:color="auto"/>
                <w14:textFill>
                  <w14:solidFill>
                    <w14:schemeClr w14:val="tx1"/>
                  </w14:solidFill>
                </w14:textFill>
              </w:rPr>
              <w:t>对</w:t>
            </w:r>
            <w:r>
              <w:rPr>
                <w:rFonts w:hint="eastAsia" w:ascii="Times New Roman" w:hAnsi="Times New Roman"/>
                <w:iCs/>
                <w:color w:val="000000" w:themeColor="text1"/>
                <w:sz w:val="24"/>
                <w:u w:val="none" w:color="auto"/>
                <w:lang w:eastAsia="zh-CN"/>
                <w14:textFill>
                  <w14:solidFill>
                    <w14:schemeClr w14:val="tx1"/>
                  </w14:solidFill>
                </w14:textFill>
              </w:rPr>
              <w:t>骨料料堆</w:t>
            </w:r>
            <w:r>
              <w:rPr>
                <w:rFonts w:hint="eastAsia" w:ascii="Times New Roman" w:hAnsi="Times New Roman"/>
                <w:iCs/>
                <w:color w:val="000000" w:themeColor="text1"/>
                <w:sz w:val="24"/>
                <w:u w:val="none" w:color="auto"/>
                <w14:textFill>
                  <w14:solidFill>
                    <w14:schemeClr w14:val="tx1"/>
                  </w14:solidFill>
                </w14:textFill>
              </w:rPr>
              <w:t>表面进行湿润作用，</w:t>
            </w:r>
            <w:r>
              <w:rPr>
                <w:rFonts w:ascii="Times New Roman" w:hAnsi="Times New Roman"/>
                <w:iCs/>
                <w:color w:val="000000" w:themeColor="text1"/>
                <w:sz w:val="24"/>
                <w:u w:val="none" w:color="auto"/>
                <w14:textFill>
                  <w14:solidFill>
                    <w14:schemeClr w14:val="tx1"/>
                  </w14:solidFill>
                </w14:textFill>
              </w:rPr>
              <w:t>不形成径流，完全损耗，不产生废水，用水量约</w:t>
            </w:r>
            <w:r>
              <w:rPr>
                <w:rFonts w:hint="eastAsia" w:ascii="Times New Roman" w:hAnsi="Times New Roman"/>
                <w:iCs/>
                <w:color w:val="000000" w:themeColor="text1"/>
                <w:sz w:val="24"/>
                <w:u w:val="none" w:color="auto"/>
                <w:lang w:val="en-US" w:eastAsia="zh-CN"/>
                <w14:textFill>
                  <w14:solidFill>
                    <w14:schemeClr w14:val="tx1"/>
                  </w14:solidFill>
                </w14:textFill>
              </w:rPr>
              <w:t>2</w:t>
            </w:r>
            <w:r>
              <w:rPr>
                <w:rFonts w:ascii="Times New Roman" w:hAnsi="Times New Roman"/>
                <w:iCs/>
                <w:color w:val="000000" w:themeColor="text1"/>
                <w:sz w:val="24"/>
                <w:u w:val="none" w:color="auto"/>
                <w14:textFill>
                  <w14:solidFill>
                    <w14:schemeClr w14:val="tx1"/>
                  </w14:solidFill>
                </w14:textFill>
              </w:rPr>
              <w:t>m</w:t>
            </w:r>
            <w:r>
              <w:rPr>
                <w:rFonts w:ascii="Times New Roman" w:hAnsi="Times New Roman"/>
                <w:iCs/>
                <w:color w:val="000000" w:themeColor="text1"/>
                <w:sz w:val="24"/>
                <w:u w:val="none" w:color="auto"/>
                <w:vertAlign w:val="superscript"/>
                <w14:textFill>
                  <w14:solidFill>
                    <w14:schemeClr w14:val="tx1"/>
                  </w14:solidFill>
                </w14:textFill>
              </w:rPr>
              <w:t>3</w:t>
            </w:r>
            <w:r>
              <w:rPr>
                <w:rFonts w:ascii="Times New Roman" w:hAnsi="Times New Roman"/>
                <w:iCs/>
                <w:color w:val="000000" w:themeColor="text1"/>
                <w:sz w:val="24"/>
                <w:u w:val="none" w:color="auto"/>
                <w14:textFill>
                  <w14:solidFill>
                    <w14:schemeClr w14:val="tx1"/>
                  </w14:solidFill>
                </w14:textFill>
              </w:rPr>
              <w:t>/d，则年降尘用水</w:t>
            </w:r>
            <w:r>
              <w:rPr>
                <w:rFonts w:hint="eastAsia" w:ascii="Times New Roman" w:hAnsi="Times New Roman"/>
                <w:iCs/>
                <w:color w:val="000000" w:themeColor="text1"/>
                <w:sz w:val="24"/>
                <w:u w:val="none" w:color="auto"/>
                <w:lang w:val="en-US" w:eastAsia="zh-CN"/>
                <w14:textFill>
                  <w14:solidFill>
                    <w14:schemeClr w14:val="tx1"/>
                  </w14:solidFill>
                </w14:textFill>
              </w:rPr>
              <w:t>480</w:t>
            </w:r>
            <w:r>
              <w:rPr>
                <w:rFonts w:ascii="Times New Roman" w:hAnsi="Times New Roman"/>
                <w:iCs/>
                <w:color w:val="000000" w:themeColor="text1"/>
                <w:sz w:val="24"/>
                <w:u w:val="none" w:color="auto"/>
                <w14:textFill>
                  <w14:solidFill>
                    <w14:schemeClr w14:val="tx1"/>
                  </w14:solidFill>
                </w14:textFill>
              </w:rPr>
              <w:t>m</w:t>
            </w:r>
            <w:r>
              <w:rPr>
                <w:rFonts w:ascii="Times New Roman" w:hAnsi="Times New Roman"/>
                <w:iCs/>
                <w:color w:val="000000" w:themeColor="text1"/>
                <w:sz w:val="24"/>
                <w:u w:val="none" w:color="auto"/>
                <w:vertAlign w:val="superscript"/>
                <w14:textFill>
                  <w14:solidFill>
                    <w14:schemeClr w14:val="tx1"/>
                  </w14:solidFill>
                </w14:textFill>
              </w:rPr>
              <w:t>3</w:t>
            </w:r>
            <w:r>
              <w:rPr>
                <w:rFonts w:ascii="Times New Roman" w:hAnsi="Times New Roman"/>
                <w:iCs/>
                <w:color w:val="000000" w:themeColor="text1"/>
                <w:sz w:val="24"/>
                <w:u w:val="none" w:color="auto"/>
                <w14:textFill>
                  <w14:solidFill>
                    <w14:schemeClr w14:val="tx1"/>
                  </w14:solidFill>
                </w14:textFill>
              </w:rPr>
              <w:t>/a。</w:t>
            </w:r>
          </w:p>
          <w:p w14:paraId="0B9552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bCs/>
                <w:iCs/>
                <w:color w:val="000000" w:themeColor="text1"/>
                <w:sz w:val="24"/>
                <w:szCs w:val="24"/>
                <w:highlight w:val="none"/>
                <w:u w:val="none" w:color="auto"/>
                <w:lang w:val="en-US" w:eastAsia="zh-CN"/>
                <w14:textFill>
                  <w14:solidFill>
                    <w14:schemeClr w14:val="tx1"/>
                  </w14:solidFill>
                </w14:textFill>
              </w:rPr>
            </w:pPr>
            <w:r>
              <w:rPr>
                <w:rFonts w:hint="eastAsia" w:cs="Times New Roman"/>
                <w:bCs/>
                <w:iCs/>
                <w:color w:val="000000" w:themeColor="text1"/>
                <w:sz w:val="24"/>
                <w:szCs w:val="24"/>
                <w:highlight w:val="none"/>
                <w:u w:val="none" w:color="auto"/>
                <w:lang w:val="en-US" w:eastAsia="zh-CN"/>
                <w14:textFill>
                  <w14:solidFill>
                    <w14:schemeClr w14:val="tx1"/>
                  </w14:solidFill>
                </w14:textFill>
              </w:rPr>
              <w:t>⑥装卸降尘用水</w:t>
            </w:r>
          </w:p>
          <w:p w14:paraId="390DCA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pPr>
            <w:r>
              <w:rPr>
                <w:rFonts w:hint="eastAsia" w:cs="Times New Roman"/>
                <w:bCs/>
                <w:iCs/>
                <w:color w:val="000000" w:themeColor="text1"/>
                <w:sz w:val="24"/>
                <w:szCs w:val="24"/>
                <w:highlight w:val="none"/>
                <w:u w:val="none" w:color="auto"/>
                <w:lang w:val="en-US" w:eastAsia="zh-CN"/>
                <w14:textFill>
                  <w14:solidFill>
                    <w14:schemeClr w14:val="tx1"/>
                  </w14:solidFill>
                </w14:textFill>
              </w:rPr>
              <w:t>本项目装卸过程采取洒水降尘方式，用水量为2m</w:t>
            </w:r>
            <w:r>
              <w:rPr>
                <w:rFonts w:hint="eastAsia" w:cs="Times New Roman"/>
                <w:bCs/>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cs="Times New Roman"/>
                <w:bCs/>
                <w:iCs/>
                <w:color w:val="000000" w:themeColor="text1"/>
                <w:sz w:val="24"/>
                <w:szCs w:val="24"/>
                <w:highlight w:val="none"/>
                <w:u w:val="none" w:color="auto"/>
                <w:lang w:val="en-US" w:eastAsia="zh-CN"/>
                <w14:textFill>
                  <w14:solidFill>
                    <w14:schemeClr w14:val="tx1"/>
                  </w14:solidFill>
                </w14:textFill>
              </w:rPr>
              <w:t>/d（480m</w:t>
            </w:r>
            <w:r>
              <w:rPr>
                <w:rFonts w:hint="eastAsia" w:cs="Times New Roman"/>
                <w:bCs/>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cs="Times New Roman"/>
                <w:bCs/>
                <w:iCs/>
                <w:color w:val="000000" w:themeColor="text1"/>
                <w:sz w:val="24"/>
                <w:szCs w:val="24"/>
                <w:highlight w:val="none"/>
                <w:u w:val="none" w:color="auto"/>
                <w:lang w:val="en-US" w:eastAsia="zh-CN"/>
                <w14:textFill>
                  <w14:solidFill>
                    <w14:schemeClr w14:val="tx1"/>
                  </w14:solidFill>
                </w14:textFill>
              </w:rPr>
              <w:t>/a）。</w:t>
            </w:r>
          </w:p>
          <w:p w14:paraId="1884BE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color="auto"/>
                <w:lang w:val="en-US" w:eastAsia="zh-CN" w:bidi="ar"/>
                <w14:textFill>
                  <w14:solidFill>
                    <w14:schemeClr w14:val="tx1"/>
                  </w14:solidFill>
                </w14:textFill>
              </w:rPr>
              <w:t>⑦场地降尘用水</w:t>
            </w:r>
          </w:p>
          <w:p w14:paraId="030861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iCs/>
                <w:color w:val="000000" w:themeColor="text1"/>
                <w:sz w:val="24"/>
                <w:szCs w:val="24"/>
                <w:highlight w:val="none"/>
                <w:u w:val="none" w:color="auto"/>
                <w14:textFill>
                  <w14:solidFill>
                    <w14:schemeClr w14:val="tx1"/>
                  </w14:solidFill>
                </w14:textFill>
              </w:rPr>
            </w:pPr>
            <w:r>
              <w:rPr>
                <w:rFonts w:hint="default" w:ascii="Times New Roman" w:hAnsi="Times New Roman" w:eastAsia="宋体" w:cs="Times New Roman"/>
                <w:bCs/>
                <w:iCs/>
                <w:color w:val="000000" w:themeColor="text1"/>
                <w:sz w:val="24"/>
                <w:szCs w:val="24"/>
                <w:highlight w:val="none"/>
                <w:u w:val="none" w:color="auto"/>
                <w14:textFill>
                  <w14:solidFill>
                    <w14:schemeClr w14:val="tx1"/>
                  </w14:solidFill>
                </w14:textFill>
              </w:rPr>
              <w:t>本项目</w:t>
            </w:r>
            <w:r>
              <w:rPr>
                <w:rFonts w:hint="eastAsia" w:cs="Times New Roman"/>
                <w:bCs/>
                <w:iCs/>
                <w:color w:val="000000" w:themeColor="text1"/>
                <w:sz w:val="24"/>
                <w:szCs w:val="24"/>
                <w:highlight w:val="none"/>
                <w:u w:val="none" w:color="auto"/>
                <w:lang w:val="en-US" w:eastAsia="zh-CN"/>
                <w14:textFill>
                  <w14:solidFill>
                    <w14:schemeClr w14:val="tx1"/>
                  </w14:solidFill>
                </w14:textFill>
              </w:rPr>
              <w:t>对厂区内</w:t>
            </w:r>
            <w:r>
              <w:rPr>
                <w:rFonts w:hint="eastAsia" w:ascii="Times New Roman" w:hAnsi="Times New Roman" w:eastAsia="宋体" w:cs="Times New Roman"/>
                <w:bCs/>
                <w:iCs/>
                <w:color w:val="000000" w:themeColor="text1"/>
                <w:sz w:val="24"/>
                <w:szCs w:val="24"/>
                <w:highlight w:val="none"/>
                <w:u w:val="none" w:color="auto"/>
                <w:lang w:val="en-US" w:eastAsia="zh-CN"/>
                <w14:textFill>
                  <w14:solidFill>
                    <w14:schemeClr w14:val="tx1"/>
                  </w14:solidFill>
                </w14:textFill>
              </w:rPr>
              <w:t>场地</w:t>
            </w:r>
            <w:r>
              <w:rPr>
                <w:rFonts w:hint="eastAsia" w:cs="Times New Roman"/>
                <w:bCs/>
                <w:iCs/>
                <w:color w:val="000000" w:themeColor="text1"/>
                <w:sz w:val="24"/>
                <w:szCs w:val="24"/>
                <w:highlight w:val="none"/>
                <w:u w:val="none" w:color="auto"/>
                <w:lang w:val="en-US" w:eastAsia="zh-CN"/>
                <w14:textFill>
                  <w14:solidFill>
                    <w14:schemeClr w14:val="tx1"/>
                  </w14:solidFill>
                </w14:textFill>
              </w:rPr>
              <w:t>洒水</w:t>
            </w:r>
            <w:r>
              <w:rPr>
                <w:rFonts w:hint="eastAsia" w:ascii="Times New Roman" w:hAnsi="Times New Roman" w:eastAsia="宋体" w:cs="Times New Roman"/>
                <w:bCs/>
                <w:iCs/>
                <w:color w:val="000000" w:themeColor="text1"/>
                <w:sz w:val="24"/>
                <w:szCs w:val="24"/>
                <w:highlight w:val="none"/>
                <w:u w:val="none" w:color="auto"/>
                <w:lang w:val="en-US" w:eastAsia="zh-CN"/>
                <w14:textFill>
                  <w14:solidFill>
                    <w14:schemeClr w14:val="tx1"/>
                  </w14:solidFill>
                </w14:textFill>
              </w:rPr>
              <w:t>降尘</w:t>
            </w:r>
            <w:r>
              <w:rPr>
                <w:rFonts w:hint="eastAsia" w:cs="Times New Roman"/>
                <w:bCs/>
                <w:iCs/>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eastAsia="宋体" w:cs="Times New Roman"/>
                <w:bCs/>
                <w:iCs/>
                <w:color w:val="000000" w:themeColor="text1"/>
                <w:sz w:val="24"/>
                <w:szCs w:val="24"/>
                <w:highlight w:val="none"/>
                <w:u w:val="none" w:color="auto"/>
                <w14:textFill>
                  <w14:solidFill>
                    <w14:schemeClr w14:val="tx1"/>
                  </w14:solidFill>
                </w14:textFill>
              </w:rPr>
              <w:t>日均用水量为</w:t>
            </w:r>
            <w:r>
              <w:rPr>
                <w:rFonts w:hint="eastAsia" w:cs="Times New Roman"/>
                <w:bCs/>
                <w:iCs/>
                <w:color w:val="000000" w:themeColor="text1"/>
                <w:sz w:val="24"/>
                <w:szCs w:val="24"/>
                <w:highlight w:val="none"/>
                <w:u w:val="none" w:color="auto"/>
                <w:lang w:val="en-US" w:eastAsia="zh-CN"/>
                <w14:textFill>
                  <w14:solidFill>
                    <w14:schemeClr w14:val="tx1"/>
                  </w14:solidFill>
                </w14:textFill>
              </w:rPr>
              <w:t>3.0</w:t>
            </w:r>
            <w:r>
              <w:rPr>
                <w:rFonts w:ascii="Times New Roman" w:hAnsi="Times New Roman"/>
                <w:iCs/>
                <w:color w:val="000000" w:themeColor="text1"/>
                <w:sz w:val="24"/>
                <w:u w:val="none" w:color="auto"/>
                <w14:textFill>
                  <w14:solidFill>
                    <w14:schemeClr w14:val="tx1"/>
                  </w14:solidFill>
                </w14:textFill>
              </w:rPr>
              <w:t>m</w:t>
            </w:r>
            <w:r>
              <w:rPr>
                <w:rFonts w:ascii="Times New Roman" w:hAnsi="Times New Roman"/>
                <w:iCs/>
                <w:color w:val="000000" w:themeColor="text1"/>
                <w:sz w:val="24"/>
                <w:u w:val="none" w:color="auto"/>
                <w:vertAlign w:val="superscript"/>
                <w14:textFill>
                  <w14:solidFill>
                    <w14:schemeClr w14:val="tx1"/>
                  </w14:solidFill>
                </w14:textFill>
              </w:rPr>
              <w:t>3</w:t>
            </w:r>
            <w:r>
              <w:rPr>
                <w:rFonts w:hint="eastAsia" w:cs="Times New Roman"/>
                <w:iCs/>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eastAsia="宋体" w:cs="Times New Roman"/>
                <w:iCs/>
                <w:color w:val="000000" w:themeColor="text1"/>
                <w:sz w:val="24"/>
                <w:szCs w:val="24"/>
                <w:highlight w:val="none"/>
                <w:u w:val="none" w:color="auto"/>
                <w14:textFill>
                  <w14:solidFill>
                    <w14:schemeClr w14:val="tx1"/>
                  </w14:solidFill>
                </w14:textFill>
              </w:rPr>
              <w:t>d，用水总量为</w:t>
            </w:r>
            <w:r>
              <w:rPr>
                <w:rFonts w:hint="eastAsia" w:cs="Times New Roman"/>
                <w:iCs/>
                <w:color w:val="000000" w:themeColor="text1"/>
                <w:sz w:val="24"/>
                <w:szCs w:val="24"/>
                <w:highlight w:val="none"/>
                <w:u w:val="none" w:color="auto"/>
                <w:lang w:val="en-US" w:eastAsia="zh-CN"/>
                <w14:textFill>
                  <w14:solidFill>
                    <w14:schemeClr w14:val="tx1"/>
                  </w14:solidFill>
                </w14:textFill>
              </w:rPr>
              <w:t>720</w:t>
            </w:r>
            <w:r>
              <w:rPr>
                <w:rFonts w:ascii="Times New Roman" w:hAnsi="Times New Roman"/>
                <w:iCs/>
                <w:color w:val="000000" w:themeColor="text1"/>
                <w:sz w:val="24"/>
                <w:u w:val="none" w:color="auto"/>
                <w14:textFill>
                  <w14:solidFill>
                    <w14:schemeClr w14:val="tx1"/>
                  </w14:solidFill>
                </w14:textFill>
              </w:rPr>
              <w:t>m</w:t>
            </w:r>
            <w:r>
              <w:rPr>
                <w:rFonts w:ascii="Times New Roman" w:hAnsi="Times New Roman"/>
                <w:iCs/>
                <w:color w:val="000000" w:themeColor="text1"/>
                <w:sz w:val="24"/>
                <w:u w:val="none" w:color="auto"/>
                <w:vertAlign w:val="superscript"/>
                <w14:textFill>
                  <w14:solidFill>
                    <w14:schemeClr w14:val="tx1"/>
                  </w14:solidFill>
                </w14:textFill>
              </w:rPr>
              <w:t>3</w:t>
            </w:r>
            <w:r>
              <w:rPr>
                <w:rFonts w:hint="default" w:ascii="Times New Roman" w:hAnsi="Times New Roman" w:eastAsia="宋体" w:cs="Times New Roman"/>
                <w:smallCaps w:val="0"/>
                <w:color w:val="000000" w:themeColor="text1"/>
                <w:sz w:val="24"/>
                <w:szCs w:val="24"/>
                <w:highlight w:val="none"/>
                <w:u w:val="none" w:color="auto"/>
                <w14:textFill>
                  <w14:solidFill>
                    <w14:schemeClr w14:val="tx1"/>
                  </w14:solidFill>
                </w14:textFill>
              </w:rPr>
              <w:t>/a</w:t>
            </w:r>
            <w:r>
              <w:rPr>
                <w:rFonts w:hint="default" w:ascii="Times New Roman" w:hAnsi="Times New Roman" w:eastAsia="宋体" w:cs="Times New Roman"/>
                <w:iCs/>
                <w:color w:val="000000" w:themeColor="text1"/>
                <w:sz w:val="24"/>
                <w:szCs w:val="24"/>
                <w:highlight w:val="none"/>
                <w:u w:val="none" w:color="auto"/>
                <w14:textFill>
                  <w14:solidFill>
                    <w14:schemeClr w14:val="tx1"/>
                  </w14:solidFill>
                </w14:textFill>
              </w:rPr>
              <w:t>。</w:t>
            </w:r>
          </w:p>
          <w:p w14:paraId="2F274D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u w:val="none" w:color="auto"/>
              </w:rPr>
            </w:pPr>
            <w:r>
              <w:rPr>
                <w:rFonts w:hint="eastAsia" w:ascii="Times New Roman" w:hAnsi="Times New Roman" w:eastAsia="宋体" w:cs="Times New Roman"/>
                <w:bCs/>
                <w:iCs/>
                <w:color w:val="000000" w:themeColor="text1"/>
                <w:sz w:val="24"/>
                <w:szCs w:val="24"/>
                <w:highlight w:val="none"/>
                <w:u w:val="none" w:color="auto"/>
                <w:lang w:val="en-US" w:eastAsia="zh-CN"/>
                <w14:textFill>
                  <w14:solidFill>
                    <w14:schemeClr w14:val="tx1"/>
                  </w14:solidFill>
                </w14:textFill>
              </w:rPr>
              <w:t>本项目水平衡详见图1。</w:t>
            </w:r>
          </w:p>
          <w:p w14:paraId="3F63AC4E">
            <w:pPr>
              <w:pStyle w:val="16"/>
              <w:ind w:left="0" w:leftChars="0" w:firstLine="0" w:firstLineChars="0"/>
              <w:jc w:val="both"/>
            </w:pPr>
          </w:p>
          <w:p w14:paraId="4A84993B">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sz w:val="24"/>
                <w:szCs w:val="24"/>
                <w:lang w:val="en-US" w:eastAsia="zh-CN"/>
              </w:rPr>
            </w:pPr>
            <w:r>
              <w:rPr>
                <w:rFonts w:hint="default" w:ascii="Times New Roman" w:hAnsi="Times New Roman" w:eastAsia="宋体" w:cs="Times New Roman"/>
                <w:color w:val="auto"/>
                <w:sz w:val="24"/>
                <w:highlight w:val="none"/>
                <w:u w:val="none" w:color="auto"/>
              </w:rPr>
              <w:object>
                <v:shape id="_x0000_i1025" o:spt="75" type="#_x0000_t75" style="height:240.75pt;width:352.3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14:paraId="1EF85578">
            <w:pPr>
              <w:pStyle w:val="53"/>
              <w:ind w:firstLine="420"/>
              <w:jc w:val="center"/>
              <w:rPr>
                <w:rFonts w:hint="eastAsia"/>
                <w:b/>
                <w:bCs/>
                <w:color w:val="000000" w:themeColor="text1"/>
                <w:highlight w:val="none"/>
                <w14:textFill>
                  <w14:solidFill>
                    <w14:schemeClr w14:val="tx1"/>
                  </w14:solidFill>
                </w14:textFill>
              </w:rPr>
            </w:pPr>
          </w:p>
          <w:p w14:paraId="67E41689">
            <w:pPr>
              <w:pStyle w:val="53"/>
              <w:ind w:firstLine="420"/>
              <w:jc w:val="center"/>
              <w:rPr>
                <w:rFonts w:hint="eastAsia"/>
                <w:b/>
                <w:bCs/>
                <w:color w:val="000000" w:themeColor="text1"/>
                <w:sz w:val="24"/>
                <w:szCs w:val="24"/>
                <w:highlight w:val="none"/>
                <w:u w:val="none"/>
                <w14:textFill>
                  <w14:solidFill>
                    <w14:schemeClr w14:val="tx1"/>
                  </w14:solidFill>
                </w14:textFill>
              </w:rPr>
            </w:pPr>
            <w:r>
              <w:rPr>
                <w:rFonts w:hint="eastAsia"/>
                <w:b/>
                <w:bCs/>
                <w:color w:val="000000" w:themeColor="text1"/>
                <w:sz w:val="24"/>
                <w:szCs w:val="24"/>
                <w:highlight w:val="none"/>
                <w:u w:val="none"/>
                <w14:textFill>
                  <w14:solidFill>
                    <w14:schemeClr w14:val="tx1"/>
                  </w14:solidFill>
                </w14:textFill>
              </w:rPr>
              <w:t>图</w:t>
            </w:r>
            <w:r>
              <w:rPr>
                <w:rFonts w:hint="eastAsia"/>
                <w:b/>
                <w:bCs/>
                <w:color w:val="000000" w:themeColor="text1"/>
                <w:sz w:val="24"/>
                <w:szCs w:val="24"/>
                <w:highlight w:val="none"/>
                <w:u w:val="none"/>
                <w:lang w:val="en-US" w:eastAsia="zh-CN"/>
                <w14:textFill>
                  <w14:solidFill>
                    <w14:schemeClr w14:val="tx1"/>
                  </w14:solidFill>
                </w14:textFill>
              </w:rPr>
              <w:t>2-</w:t>
            </w:r>
            <w:r>
              <w:rPr>
                <w:rFonts w:hint="eastAsia"/>
                <w:b/>
                <w:bCs/>
                <w:color w:val="000000" w:themeColor="text1"/>
                <w:sz w:val="24"/>
                <w:szCs w:val="24"/>
                <w:highlight w:val="none"/>
                <w:u w:val="none"/>
                <w14:textFill>
                  <w14:solidFill>
                    <w14:schemeClr w14:val="tx1"/>
                  </w14:solidFill>
                </w14:textFill>
              </w:rPr>
              <w:t>1  本项目水平衡图（单位：</w:t>
            </w:r>
            <w:r>
              <w:rPr>
                <w:rFonts w:hint="eastAsia" w:ascii="Times New Roman" w:hAnsi="Times New Roman" w:cs="Times New Roman"/>
                <w:b/>
                <w:bCs/>
                <w:color w:val="000000" w:themeColor="text1"/>
                <w:sz w:val="24"/>
                <w:szCs w:val="24"/>
                <w:highlight w:val="none"/>
                <w:u w:val="none"/>
                <w:lang w:val="en-US" w:eastAsia="zh-CN"/>
                <w14:textFill>
                  <w14:solidFill>
                    <w14:schemeClr w14:val="tx1"/>
                  </w14:solidFill>
                </w14:textFill>
              </w:rPr>
              <w:t>m</w:t>
            </w:r>
            <w:r>
              <w:rPr>
                <w:rFonts w:hint="eastAsia" w:ascii="Times New Roman" w:hAnsi="Times New Roman" w:cs="Times New Roman"/>
                <w:b/>
                <w:bCs/>
                <w:color w:val="000000" w:themeColor="text1"/>
                <w:sz w:val="24"/>
                <w:szCs w:val="24"/>
                <w:highlight w:val="none"/>
                <w:u w:val="none"/>
                <w:vertAlign w:val="superscript"/>
                <w:lang w:val="en-US" w:eastAsia="zh-CN"/>
                <w14:textFill>
                  <w14:solidFill>
                    <w14:schemeClr w14:val="tx1"/>
                  </w14:solidFill>
                </w14:textFill>
              </w:rPr>
              <w:t>3</w:t>
            </w:r>
            <w:r>
              <w:rPr>
                <w:rFonts w:hint="default" w:ascii="Times New Roman" w:hAnsi="Times New Roman" w:cs="Times New Roman"/>
                <w:b/>
                <w:bCs/>
                <w:color w:val="000000" w:themeColor="text1"/>
                <w:sz w:val="24"/>
                <w:szCs w:val="24"/>
                <w:highlight w:val="none"/>
                <w:u w:val="none"/>
                <w14:textFill>
                  <w14:solidFill>
                    <w14:schemeClr w14:val="tx1"/>
                  </w14:solidFill>
                </w14:textFill>
              </w:rPr>
              <w:t>/</w:t>
            </w:r>
            <w:r>
              <w:rPr>
                <w:rFonts w:hint="eastAsia" w:ascii="Times New Roman" w:hAnsi="Times New Roman" w:cs="Times New Roman"/>
                <w:b/>
                <w:bCs/>
                <w:color w:val="000000" w:themeColor="text1"/>
                <w:sz w:val="24"/>
                <w:szCs w:val="24"/>
                <w:highlight w:val="none"/>
                <w:u w:val="none"/>
                <w:lang w:val="en-US" w:eastAsia="zh-CN"/>
                <w14:textFill>
                  <w14:solidFill>
                    <w14:schemeClr w14:val="tx1"/>
                  </w14:solidFill>
                </w14:textFill>
              </w:rPr>
              <w:t>d</w:t>
            </w:r>
            <w:r>
              <w:rPr>
                <w:rFonts w:hint="eastAsia"/>
                <w:b/>
                <w:bCs/>
                <w:color w:val="000000" w:themeColor="text1"/>
                <w:sz w:val="24"/>
                <w:szCs w:val="24"/>
                <w:highlight w:val="none"/>
                <w:u w:val="none"/>
                <w14:textFill>
                  <w14:solidFill>
                    <w14:schemeClr w14:val="tx1"/>
                  </w14:solidFill>
                </w14:textFill>
              </w:rPr>
              <w:t>）</w:t>
            </w:r>
          </w:p>
          <w:p w14:paraId="48BC7EAA">
            <w:pPr>
              <w:pStyle w:val="10"/>
              <w:adjustRightInd w:val="0"/>
              <w:spacing w:before="0" w:beforeAutospacing="0" w:after="0" w:afterAutospacing="0"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cs="Times New Roman"/>
                <w:b/>
                <w:bCs/>
                <w:sz w:val="24"/>
                <w:szCs w:val="24"/>
                <w:lang w:val="en-US" w:eastAsia="zh-CN"/>
              </w:rPr>
              <w:t>11</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供电</w:t>
            </w:r>
            <w:r>
              <w:rPr>
                <w:rFonts w:hint="eastAsia" w:ascii="Times New Roman" w:hAnsi="Times New Roman" w:eastAsia="宋体" w:cs="Times New Roman"/>
                <w:b/>
                <w:bCs/>
                <w:sz w:val="24"/>
                <w:szCs w:val="24"/>
              </w:rPr>
              <w:t>工程</w:t>
            </w:r>
          </w:p>
          <w:p w14:paraId="48E6887D">
            <w:pPr>
              <w:adjustRightInd w:val="0"/>
              <w:spacing w:line="360" w:lineRule="auto"/>
              <w:ind w:firstLine="480" w:firstLineChars="200"/>
              <w:jc w:val="left"/>
              <w:rPr>
                <w:sz w:val="24"/>
                <w:szCs w:val="24"/>
              </w:rPr>
            </w:pPr>
            <w:r>
              <w:rPr>
                <w:sz w:val="24"/>
                <w:szCs w:val="24"/>
              </w:rPr>
              <w:t>本项目电源</w:t>
            </w:r>
            <w:r>
              <w:rPr>
                <w:rFonts w:hint="eastAsia"/>
                <w:sz w:val="24"/>
                <w:szCs w:val="24"/>
                <w:lang w:eastAsia="zh-CN"/>
              </w:rPr>
              <w:t>由当地</w:t>
            </w:r>
            <w:r>
              <w:rPr>
                <w:rFonts w:hint="eastAsia"/>
                <w:sz w:val="24"/>
                <w:szCs w:val="24"/>
              </w:rPr>
              <w:t>供电局</w:t>
            </w:r>
            <w:r>
              <w:rPr>
                <w:sz w:val="24"/>
                <w:szCs w:val="24"/>
              </w:rPr>
              <w:t>统一供给，能够满足本项目用电需求。</w:t>
            </w:r>
          </w:p>
          <w:p w14:paraId="18C61CFC">
            <w:pPr>
              <w:pStyle w:val="10"/>
              <w:adjustRightInd w:val="0"/>
              <w:spacing w:before="0" w:beforeAutospacing="0" w:after="0" w:afterAutospacing="0"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1</w:t>
            </w:r>
            <w:r>
              <w:rPr>
                <w:rFonts w:hint="eastAsia" w:ascii="Times New Roman" w:hAnsi="Times New Roman" w:cs="Times New Roman"/>
                <w:b/>
                <w:bCs/>
                <w:sz w:val="24"/>
                <w:szCs w:val="24"/>
                <w:lang w:val="en-US" w:eastAsia="zh-CN"/>
              </w:rPr>
              <w:t>2</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供热</w:t>
            </w:r>
            <w:r>
              <w:rPr>
                <w:rFonts w:hint="eastAsia" w:ascii="Times New Roman" w:hAnsi="Times New Roman" w:eastAsia="宋体" w:cs="Times New Roman"/>
                <w:b/>
                <w:bCs/>
                <w:sz w:val="24"/>
                <w:szCs w:val="24"/>
              </w:rPr>
              <w:t>工程</w:t>
            </w:r>
          </w:p>
          <w:p w14:paraId="2C2DAE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rPr>
            </w:pPr>
            <w:r>
              <w:rPr>
                <w:rFonts w:hint="eastAsia"/>
                <w:sz w:val="24"/>
                <w:szCs w:val="24"/>
              </w:rPr>
              <w:t>本项目生产不用热，</w:t>
            </w:r>
            <w:r>
              <w:rPr>
                <w:rFonts w:hint="eastAsia" w:cs="Times New Roman"/>
                <w:sz w:val="24"/>
                <w:szCs w:val="24"/>
                <w:lang w:eastAsia="zh-CN"/>
              </w:rPr>
              <w:t>冬季不生产，无需采暖</w:t>
            </w:r>
            <w:r>
              <w:rPr>
                <w:rFonts w:hint="eastAsia" w:ascii="Times New Roman" w:hAnsi="Times New Roman" w:eastAsia="宋体" w:cs="Times New Roman"/>
                <w:sz w:val="24"/>
                <w:szCs w:val="24"/>
              </w:rPr>
              <w:t>。</w:t>
            </w:r>
          </w:p>
          <w:p w14:paraId="734A6D39">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Times New Roman"/>
                <w:b/>
                <w:bCs/>
                <w:sz w:val="24"/>
                <w:szCs w:val="24"/>
              </w:rPr>
            </w:pPr>
            <w:r>
              <w:rPr>
                <w:rFonts w:hint="eastAsia" w:cs="Times New Roman"/>
                <w:b/>
                <w:bCs/>
                <w:sz w:val="24"/>
                <w:szCs w:val="24"/>
                <w:lang w:val="en-US" w:eastAsia="zh-CN"/>
              </w:rPr>
              <w:t>13、</w:t>
            </w:r>
            <w:r>
              <w:rPr>
                <w:rFonts w:hint="default" w:ascii="Times New Roman" w:hAnsi="Times New Roman" w:eastAsia="宋体" w:cs="Times New Roman"/>
                <w:b/>
                <w:bCs/>
                <w:color w:val="000000"/>
                <w:kern w:val="2"/>
                <w:sz w:val="24"/>
                <w:szCs w:val="24"/>
                <w:highlight w:val="none"/>
                <w:u w:val="none" w:color="auto"/>
              </w:rPr>
              <w:t>项目实施进度</w:t>
            </w:r>
          </w:p>
          <w:p w14:paraId="6B82B6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ascii="Times New Roman" w:hAnsi="Times New Roman" w:eastAsia="宋体" w:cs="Times New Roman"/>
                <w:b w:val="0"/>
                <w:bCs w:val="0"/>
                <w:color w:val="000000"/>
                <w:kern w:val="2"/>
                <w:sz w:val="24"/>
                <w:szCs w:val="24"/>
                <w:highlight w:val="none"/>
                <w:u w:val="none" w:color="auto"/>
              </w:rPr>
              <w:t>本项目拟动工时间为202</w:t>
            </w:r>
            <w:r>
              <w:rPr>
                <w:rFonts w:hint="eastAsia" w:cs="Times New Roman"/>
                <w:b w:val="0"/>
                <w:bCs w:val="0"/>
                <w:color w:val="000000"/>
                <w:kern w:val="2"/>
                <w:sz w:val="24"/>
                <w:szCs w:val="24"/>
                <w:highlight w:val="none"/>
                <w:u w:val="none" w:color="auto"/>
                <w:lang w:val="en-US" w:eastAsia="zh-CN"/>
              </w:rPr>
              <w:t>6</w:t>
            </w:r>
            <w:r>
              <w:rPr>
                <w:rFonts w:hint="default" w:ascii="Times New Roman" w:hAnsi="Times New Roman" w:eastAsia="宋体" w:cs="Times New Roman"/>
                <w:b w:val="0"/>
                <w:bCs w:val="0"/>
                <w:color w:val="000000"/>
                <w:kern w:val="2"/>
                <w:sz w:val="24"/>
                <w:szCs w:val="24"/>
                <w:highlight w:val="none"/>
                <w:u w:val="none" w:color="auto"/>
              </w:rPr>
              <w:t>年</w:t>
            </w:r>
            <w:r>
              <w:rPr>
                <w:rFonts w:hint="eastAsia" w:ascii="Times New Roman" w:hAnsi="Times New Roman" w:cs="Times New Roman"/>
                <w:b w:val="0"/>
                <w:bCs w:val="0"/>
                <w:color w:val="000000"/>
                <w:kern w:val="2"/>
                <w:sz w:val="24"/>
                <w:szCs w:val="24"/>
                <w:highlight w:val="none"/>
                <w:u w:val="none" w:color="auto"/>
                <w:lang w:val="en-US" w:eastAsia="zh-CN"/>
              </w:rPr>
              <w:t>6</w:t>
            </w:r>
            <w:r>
              <w:rPr>
                <w:rFonts w:hint="default" w:ascii="Times New Roman" w:hAnsi="Times New Roman" w:eastAsia="宋体" w:cs="Times New Roman"/>
                <w:b w:val="0"/>
                <w:bCs w:val="0"/>
                <w:color w:val="000000"/>
                <w:kern w:val="2"/>
                <w:sz w:val="24"/>
                <w:szCs w:val="24"/>
                <w:highlight w:val="none"/>
                <w:u w:val="none" w:color="auto"/>
              </w:rPr>
              <w:t>月，</w:t>
            </w:r>
            <w:r>
              <w:rPr>
                <w:rFonts w:hint="default" w:ascii="Times New Roman" w:hAnsi="Times New Roman" w:eastAsia="宋体" w:cs="Times New Roman"/>
                <w:b w:val="0"/>
                <w:bCs w:val="0"/>
                <w:color w:val="000000"/>
                <w:kern w:val="2"/>
                <w:sz w:val="24"/>
                <w:szCs w:val="24"/>
                <w:highlight w:val="none"/>
                <w:u w:val="none" w:color="auto"/>
                <w:lang w:val="en-US" w:eastAsia="zh-CN"/>
              </w:rPr>
              <w:t>预计</w:t>
            </w:r>
            <w:r>
              <w:rPr>
                <w:rFonts w:hint="default" w:ascii="Times New Roman" w:hAnsi="Times New Roman" w:eastAsia="宋体" w:cs="Times New Roman"/>
                <w:b w:val="0"/>
                <w:bCs w:val="0"/>
                <w:color w:val="000000"/>
                <w:kern w:val="2"/>
                <w:sz w:val="24"/>
                <w:szCs w:val="24"/>
                <w:highlight w:val="none"/>
                <w:u w:val="none" w:color="auto"/>
              </w:rPr>
              <w:t>投产时间为202</w:t>
            </w:r>
            <w:r>
              <w:rPr>
                <w:rFonts w:hint="eastAsia" w:cs="Times New Roman"/>
                <w:b w:val="0"/>
                <w:bCs w:val="0"/>
                <w:color w:val="000000"/>
                <w:kern w:val="2"/>
                <w:sz w:val="24"/>
                <w:szCs w:val="24"/>
                <w:highlight w:val="none"/>
                <w:u w:val="none" w:color="auto"/>
                <w:lang w:val="en-US" w:eastAsia="zh-CN"/>
              </w:rPr>
              <w:t>6</w:t>
            </w:r>
            <w:r>
              <w:rPr>
                <w:rFonts w:hint="default" w:ascii="Times New Roman" w:hAnsi="Times New Roman" w:eastAsia="宋体" w:cs="Times New Roman"/>
                <w:b w:val="0"/>
                <w:bCs w:val="0"/>
                <w:color w:val="000000"/>
                <w:kern w:val="2"/>
                <w:sz w:val="24"/>
                <w:szCs w:val="24"/>
                <w:highlight w:val="none"/>
                <w:u w:val="none" w:color="auto"/>
              </w:rPr>
              <w:t>年</w:t>
            </w:r>
            <w:r>
              <w:rPr>
                <w:rFonts w:hint="eastAsia" w:ascii="Times New Roman" w:hAnsi="Times New Roman" w:cs="Times New Roman"/>
                <w:b w:val="0"/>
                <w:bCs w:val="0"/>
                <w:color w:val="000000"/>
                <w:kern w:val="2"/>
                <w:sz w:val="24"/>
                <w:szCs w:val="24"/>
                <w:highlight w:val="none"/>
                <w:u w:val="none" w:color="auto"/>
                <w:lang w:val="en-US" w:eastAsia="zh-CN"/>
              </w:rPr>
              <w:t>7</w:t>
            </w:r>
            <w:r>
              <w:rPr>
                <w:rFonts w:hint="default" w:ascii="Times New Roman" w:hAnsi="Times New Roman" w:eastAsia="宋体" w:cs="Times New Roman"/>
                <w:b w:val="0"/>
                <w:bCs w:val="0"/>
                <w:color w:val="000000"/>
                <w:kern w:val="2"/>
                <w:sz w:val="24"/>
                <w:szCs w:val="24"/>
                <w:highlight w:val="none"/>
                <w:u w:val="none" w:color="auto"/>
              </w:rPr>
              <w:t>月。</w:t>
            </w:r>
          </w:p>
        </w:tc>
      </w:tr>
      <w:tr w14:paraId="00C68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32" w:type="dxa"/>
            <w:noWrap w:val="0"/>
            <w:vAlign w:val="center"/>
          </w:tcPr>
          <w:p w14:paraId="2D4DB548">
            <w:pPr>
              <w:pStyle w:val="18"/>
              <w:adjustRightInd w:val="0"/>
              <w:snapToGrid w:val="0"/>
              <w:spacing w:before="0" w:beforeAutospacing="0" w:after="0" w:afterAutospacing="0"/>
              <w:jc w:val="center"/>
              <w:rPr>
                <w:rFonts w:cs="宋体"/>
                <w:sz w:val="24"/>
                <w:szCs w:val="24"/>
              </w:rPr>
            </w:pPr>
            <w:r>
              <w:rPr>
                <w:rFonts w:hint="eastAsia" w:cs="宋体"/>
                <w:sz w:val="24"/>
                <w:szCs w:val="24"/>
              </w:rPr>
              <w:t>工艺流程和产排污环节</w:t>
            </w:r>
          </w:p>
        </w:tc>
        <w:tc>
          <w:tcPr>
            <w:tcW w:w="8228" w:type="dxa"/>
            <w:noWrap w:val="0"/>
            <w:vAlign w:val="top"/>
          </w:tcPr>
          <w:p w14:paraId="6118ECC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szCs w:val="24"/>
                <w:highlight w:val="none"/>
                <w:u w:val="none"/>
              </w:rPr>
            </w:pPr>
            <w:r>
              <w:rPr>
                <w:rFonts w:hint="eastAsia"/>
                <w:b/>
                <w:sz w:val="24"/>
                <w:szCs w:val="24"/>
                <w:highlight w:val="none"/>
                <w:u w:val="none"/>
                <w:lang w:val="en-US" w:eastAsia="zh-CN"/>
              </w:rPr>
              <w:t>1、</w:t>
            </w:r>
            <w:r>
              <w:rPr>
                <w:rFonts w:hint="eastAsia"/>
                <w:b/>
                <w:sz w:val="24"/>
                <w:szCs w:val="24"/>
                <w:highlight w:val="none"/>
                <w:u w:val="none"/>
              </w:rPr>
              <w:t>工艺流程简述</w:t>
            </w:r>
          </w:p>
          <w:p w14:paraId="2F75155D">
            <w:pPr>
              <w:adjustRightInd w:val="0"/>
              <w:spacing w:line="360" w:lineRule="auto"/>
              <w:ind w:firstLine="480" w:firstLineChars="200"/>
              <w:rPr>
                <w:rFonts w:hint="eastAsia"/>
                <w:sz w:val="24"/>
                <w:szCs w:val="24"/>
                <w:highlight w:val="none"/>
                <w:u w:val="none"/>
              </w:rPr>
            </w:pPr>
            <w:r>
              <w:rPr>
                <w:rFonts w:hint="eastAsia"/>
                <w:sz w:val="24"/>
                <w:szCs w:val="24"/>
                <w:highlight w:val="none"/>
                <w:u w:val="none"/>
              </w:rPr>
              <w:t>本项目为商品混凝土生产加工项目，</w:t>
            </w:r>
            <w:r>
              <w:rPr>
                <w:rFonts w:hint="eastAsia"/>
                <w:sz w:val="24"/>
                <w:szCs w:val="24"/>
                <w:highlight w:val="none"/>
                <w:u w:val="none"/>
                <w:lang w:eastAsia="zh-CN"/>
              </w:rPr>
              <w:t>砂石骨料</w:t>
            </w:r>
            <w:r>
              <w:rPr>
                <w:rFonts w:hint="eastAsia"/>
                <w:sz w:val="24"/>
                <w:szCs w:val="24"/>
                <w:highlight w:val="none"/>
                <w:u w:val="none"/>
              </w:rPr>
              <w:t>以及粉料由运输车辆运进厂区，卸入</w:t>
            </w:r>
            <w:r>
              <w:rPr>
                <w:rFonts w:hint="eastAsia"/>
                <w:sz w:val="24"/>
                <w:szCs w:val="24"/>
                <w:highlight w:val="none"/>
                <w:u w:val="none"/>
                <w:lang w:eastAsia="zh-CN"/>
              </w:rPr>
              <w:t>骨</w:t>
            </w:r>
            <w:r>
              <w:rPr>
                <w:rFonts w:hint="eastAsia"/>
                <w:sz w:val="24"/>
                <w:szCs w:val="24"/>
                <w:highlight w:val="none"/>
                <w:u w:val="none"/>
              </w:rPr>
              <w:t>料堆放场及储罐内，混凝土搅拌工序均在搅拌楼内进行，粉料罐及搅拌</w:t>
            </w:r>
            <w:r>
              <w:rPr>
                <w:rFonts w:hint="eastAsia"/>
                <w:sz w:val="24"/>
                <w:szCs w:val="24"/>
                <w:highlight w:val="none"/>
                <w:u w:val="none"/>
                <w:lang w:val="en-US" w:eastAsia="zh-CN"/>
              </w:rPr>
              <w:t>机</w:t>
            </w:r>
            <w:r>
              <w:rPr>
                <w:rFonts w:hint="eastAsia"/>
                <w:sz w:val="24"/>
                <w:szCs w:val="24"/>
                <w:highlight w:val="none"/>
                <w:u w:val="none"/>
              </w:rPr>
              <w:t>均设置了</w:t>
            </w:r>
            <w:r>
              <w:rPr>
                <w:rFonts w:hint="eastAsia"/>
                <w:sz w:val="24"/>
                <w:szCs w:val="24"/>
                <w:highlight w:val="none"/>
                <w:u w:val="none"/>
                <w:lang w:val="en-US" w:eastAsia="zh-CN"/>
              </w:rPr>
              <w:t>脉冲袋式</w:t>
            </w:r>
            <w:r>
              <w:rPr>
                <w:rFonts w:hint="eastAsia"/>
                <w:sz w:val="24"/>
                <w:szCs w:val="24"/>
                <w:highlight w:val="none"/>
                <w:u w:val="none"/>
              </w:rPr>
              <w:t>除尘器，用于收集原料堆放及混凝土搅拌过程产生的粉尘，来减少粉尘的排放。</w:t>
            </w:r>
          </w:p>
          <w:p w14:paraId="5C8CC6D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eastAsia="宋体"/>
                <w:iCs/>
                <w:sz w:val="24"/>
                <w:szCs w:val="24"/>
                <w:highlight w:val="none"/>
                <w:u w:val="none"/>
                <w:lang w:val="en-US" w:eastAsia="zh-CN"/>
              </w:rPr>
            </w:pPr>
            <w:r>
              <w:rPr>
                <w:rFonts w:hint="eastAsia"/>
                <w:b/>
                <w:sz w:val="24"/>
                <w:szCs w:val="24"/>
                <w:highlight w:val="none"/>
                <w:u w:val="none"/>
                <w:lang w:val="en-US" w:eastAsia="zh-CN"/>
              </w:rPr>
              <w:t>2、</w:t>
            </w:r>
            <w:r>
              <w:rPr>
                <w:b/>
                <w:sz w:val="24"/>
                <w:szCs w:val="24"/>
                <w:highlight w:val="none"/>
                <w:u w:val="none"/>
              </w:rPr>
              <w:t>工艺流程</w:t>
            </w:r>
            <w:r>
              <w:rPr>
                <w:rFonts w:hint="eastAsia"/>
                <w:b/>
                <w:sz w:val="24"/>
                <w:szCs w:val="24"/>
                <w:highlight w:val="none"/>
                <w:u w:val="none"/>
              </w:rPr>
              <w:t>分析</w:t>
            </w:r>
          </w:p>
          <w:p w14:paraId="33678347">
            <w:pPr>
              <w:spacing w:line="360" w:lineRule="auto"/>
              <w:ind w:firstLine="480" w:firstLineChars="200"/>
              <w:rPr>
                <w:rFonts w:hint="eastAsia"/>
                <w:iCs/>
                <w:sz w:val="24"/>
                <w:szCs w:val="24"/>
                <w:highlight w:val="none"/>
                <w:u w:val="single"/>
              </w:rPr>
            </w:pPr>
            <w:r>
              <w:rPr>
                <w:rFonts w:hint="eastAsia"/>
                <w:iCs/>
                <w:sz w:val="24"/>
                <w:szCs w:val="24"/>
                <w:highlight w:val="none"/>
                <w:u w:val="single"/>
              </w:rPr>
              <w:t>本项目生产工序主要由物料储存、物料称量输送、搅拌工序、外运等几部分组成，生产工艺如下：</w:t>
            </w:r>
          </w:p>
          <w:p w14:paraId="2B90B34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iCs/>
                <w:sz w:val="24"/>
                <w:szCs w:val="24"/>
                <w:highlight w:val="none"/>
                <w:u w:val="single"/>
              </w:rPr>
            </w:pPr>
            <w:r>
              <w:rPr>
                <w:rFonts w:hint="eastAsia" w:ascii="宋体" w:hAnsi="宋体" w:eastAsia="宋体" w:cs="宋体"/>
                <w:iCs/>
                <w:sz w:val="24"/>
                <w:szCs w:val="24"/>
                <w:highlight w:val="none"/>
                <w:u w:val="single"/>
              </w:rPr>
              <w:t>①</w:t>
            </w:r>
            <w:r>
              <w:rPr>
                <w:rFonts w:hint="eastAsia"/>
                <w:iCs/>
                <w:sz w:val="24"/>
                <w:szCs w:val="24"/>
                <w:highlight w:val="none"/>
                <w:u w:val="single"/>
              </w:rPr>
              <w:t>物料储存</w:t>
            </w:r>
          </w:p>
          <w:p w14:paraId="343A640E">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hint="default" w:ascii="Times New Roman" w:hAnsi="Times New Roman" w:cs="Times New Roman"/>
                <w:iCs/>
                <w:sz w:val="24"/>
                <w:szCs w:val="24"/>
                <w:highlight w:val="none"/>
                <w:u w:val="single"/>
              </w:rPr>
              <w:t>原料</w:t>
            </w:r>
            <w:r>
              <w:rPr>
                <w:rFonts w:hint="default" w:ascii="Times New Roman" w:hAnsi="Times New Roman" w:cs="Times New Roman"/>
                <w:iCs/>
                <w:sz w:val="24"/>
                <w:szCs w:val="24"/>
                <w:highlight w:val="none"/>
                <w:u w:val="single"/>
                <w:lang w:eastAsia="zh-CN"/>
              </w:rPr>
              <w:t>砂子、碎石</w:t>
            </w:r>
            <w:r>
              <w:rPr>
                <w:rFonts w:hint="default" w:ascii="Times New Roman" w:hAnsi="Times New Roman" w:cs="Times New Roman"/>
                <w:iCs/>
                <w:sz w:val="24"/>
                <w:szCs w:val="24"/>
                <w:highlight w:val="none"/>
                <w:u w:val="single"/>
              </w:rPr>
              <w:t>等骨料</w:t>
            </w:r>
            <w:r>
              <w:rPr>
                <w:rFonts w:hint="default" w:ascii="Times New Roman" w:hAnsi="Times New Roman" w:cs="Times New Roman"/>
                <w:iCs/>
                <w:sz w:val="24"/>
                <w:szCs w:val="24"/>
                <w:highlight w:val="none"/>
                <w:u w:val="single"/>
                <w:lang w:val="en-US" w:eastAsia="zh-CN"/>
              </w:rPr>
              <w:t>按照生产需要进行购买，砂子进场粒径</w:t>
            </w:r>
            <w:r>
              <w:rPr>
                <w:rFonts w:hint="eastAsia" w:ascii="Times New Roman" w:hAnsi="Times New Roman" w:cs="Times New Roman"/>
                <w:iCs/>
                <w:sz w:val="24"/>
                <w:szCs w:val="24"/>
                <w:highlight w:val="none"/>
                <w:u w:val="single"/>
                <w:lang w:val="en-US" w:eastAsia="zh-CN"/>
              </w:rPr>
              <w:t>为0.15-</w:t>
            </w:r>
            <w:r>
              <w:rPr>
                <w:rFonts w:hint="default" w:ascii="Times New Roman" w:hAnsi="Times New Roman" w:eastAsia="宋体" w:cs="Times New Roman"/>
                <w:iCs/>
                <w:sz w:val="24"/>
                <w:szCs w:val="24"/>
                <w:highlight w:val="none"/>
                <w:u w:val="single"/>
                <w:lang w:val="en-US" w:eastAsia="zh-CN"/>
              </w:rPr>
              <w:t>4.75mm，碎石</w:t>
            </w:r>
            <w:r>
              <w:rPr>
                <w:rFonts w:hint="eastAsia" w:ascii="Times New Roman" w:hAnsi="Times New Roman" w:eastAsia="宋体" w:cs="Times New Roman"/>
                <w:iCs/>
                <w:sz w:val="24"/>
                <w:szCs w:val="24"/>
                <w:highlight w:val="none"/>
                <w:u w:val="single"/>
                <w:lang w:val="en-US" w:eastAsia="zh-CN"/>
              </w:rPr>
              <w:t>进场</w:t>
            </w:r>
            <w:r>
              <w:rPr>
                <w:rFonts w:hint="default" w:ascii="Times New Roman" w:hAnsi="Times New Roman" w:eastAsia="宋体" w:cs="Times New Roman"/>
                <w:iCs/>
                <w:sz w:val="24"/>
                <w:szCs w:val="24"/>
                <w:highlight w:val="none"/>
                <w:u w:val="single"/>
                <w:lang w:val="en-US" w:eastAsia="zh-CN"/>
              </w:rPr>
              <w:t>粒径</w:t>
            </w:r>
            <w:r>
              <w:rPr>
                <w:rFonts w:hint="eastAsia" w:ascii="Times New Roman" w:hAnsi="Times New Roman" w:eastAsia="宋体" w:cs="Times New Roman"/>
                <w:iCs/>
                <w:sz w:val="24"/>
                <w:szCs w:val="24"/>
                <w:highlight w:val="none"/>
                <w:u w:val="single"/>
                <w:lang w:val="en-US" w:eastAsia="zh-CN"/>
              </w:rPr>
              <w:t>为</w:t>
            </w:r>
            <w:r>
              <w:rPr>
                <w:rFonts w:hint="eastAsia" w:ascii="Times New Roman" w:hAnsi="Times New Roman" w:cs="Times New Roman"/>
                <w:iCs/>
                <w:sz w:val="24"/>
                <w:szCs w:val="24"/>
                <w:highlight w:val="none"/>
                <w:u w:val="single"/>
                <w:lang w:val="en-US" w:eastAsia="zh-CN"/>
              </w:rPr>
              <w:t>0.5-1</w:t>
            </w:r>
            <w:r>
              <w:rPr>
                <w:rFonts w:hint="default" w:ascii="Times New Roman" w:hAnsi="Times New Roman" w:eastAsia="宋体" w:cs="Times New Roman"/>
                <w:iCs/>
                <w:sz w:val="24"/>
                <w:szCs w:val="24"/>
                <w:highlight w:val="none"/>
                <w:u w:val="single"/>
                <w:lang w:val="en-US" w:eastAsia="zh-CN"/>
              </w:rPr>
              <w:t>mm</w:t>
            </w:r>
            <w:r>
              <w:rPr>
                <w:rFonts w:hint="eastAsia" w:ascii="Times New Roman" w:hAnsi="Times New Roman" w:cs="Times New Roman"/>
                <w:iCs/>
                <w:sz w:val="24"/>
                <w:szCs w:val="24"/>
                <w:highlight w:val="none"/>
                <w:u w:val="single"/>
                <w:lang w:val="en-US" w:eastAsia="zh-CN"/>
              </w:rPr>
              <w:t>、12-23</w:t>
            </w:r>
            <w:r>
              <w:rPr>
                <w:rFonts w:hint="default" w:ascii="Times New Roman" w:hAnsi="Times New Roman" w:eastAsia="宋体" w:cs="Times New Roman"/>
                <w:iCs/>
                <w:sz w:val="24"/>
                <w:szCs w:val="24"/>
                <w:highlight w:val="none"/>
                <w:u w:val="single"/>
                <w:lang w:val="en-US" w:eastAsia="zh-CN"/>
              </w:rPr>
              <w:t>mm，</w:t>
            </w:r>
            <w:r>
              <w:rPr>
                <w:rFonts w:hint="eastAsia"/>
                <w:iCs/>
                <w:sz w:val="24"/>
                <w:szCs w:val="24"/>
                <w:highlight w:val="none"/>
                <w:u w:val="single"/>
                <w:lang w:val="en-US" w:eastAsia="zh-CN"/>
              </w:rPr>
              <w:t>本项目不进行砂石的粉碎，</w:t>
            </w:r>
            <w:r>
              <w:rPr>
                <w:rFonts w:hint="eastAsia"/>
                <w:iCs/>
                <w:sz w:val="24"/>
                <w:szCs w:val="24"/>
                <w:highlight w:val="none"/>
                <w:u w:val="single"/>
              </w:rPr>
              <w:t>由密闭篷布货车运输到厂区</w:t>
            </w:r>
            <w:r>
              <w:rPr>
                <w:rFonts w:hint="eastAsia"/>
                <w:iCs/>
                <w:sz w:val="24"/>
                <w:szCs w:val="24"/>
                <w:highlight w:val="none"/>
                <w:u w:val="single"/>
                <w:lang w:val="en-US" w:eastAsia="zh-CN"/>
              </w:rPr>
              <w:t>骨料堆场内</w:t>
            </w:r>
            <w:r>
              <w:rPr>
                <w:rFonts w:hint="eastAsia"/>
                <w:iCs/>
                <w:sz w:val="24"/>
                <w:szCs w:val="24"/>
                <w:highlight w:val="none"/>
                <w:u w:val="single"/>
              </w:rPr>
              <w:t>储存，装卸采用自卸方式，</w:t>
            </w:r>
            <w:r>
              <w:rPr>
                <w:rFonts w:hint="eastAsia"/>
                <w:iCs/>
                <w:sz w:val="24"/>
                <w:szCs w:val="24"/>
                <w:highlight w:val="none"/>
                <w:u w:val="single"/>
                <w:lang w:val="en-US" w:eastAsia="zh-CN"/>
              </w:rPr>
              <w:t>骨料堆场地面硬化、封闭料库、洒水降尘</w:t>
            </w:r>
            <w:r>
              <w:rPr>
                <w:rFonts w:hint="eastAsia"/>
                <w:iCs/>
                <w:sz w:val="24"/>
                <w:szCs w:val="24"/>
                <w:highlight w:val="none"/>
                <w:u w:val="single"/>
              </w:rPr>
              <w:t>；水泥、粉煤灰</w:t>
            </w:r>
            <w:r>
              <w:rPr>
                <w:rFonts w:hint="eastAsia"/>
                <w:iCs/>
                <w:sz w:val="24"/>
                <w:szCs w:val="24"/>
                <w:highlight w:val="none"/>
                <w:u w:val="single"/>
                <w:lang w:eastAsia="zh-CN"/>
              </w:rPr>
              <w:t>、</w:t>
            </w:r>
            <w:r>
              <w:rPr>
                <w:rFonts w:hint="eastAsia"/>
                <w:iCs/>
                <w:sz w:val="24"/>
                <w:szCs w:val="24"/>
                <w:highlight w:val="none"/>
                <w:u w:val="single"/>
                <w:lang w:val="en-US" w:eastAsia="zh-CN"/>
              </w:rPr>
              <w:t>矿粉</w:t>
            </w:r>
            <w:r>
              <w:rPr>
                <w:rFonts w:hint="eastAsia"/>
                <w:iCs/>
                <w:sz w:val="24"/>
                <w:szCs w:val="24"/>
                <w:highlight w:val="none"/>
                <w:u w:val="single"/>
              </w:rPr>
              <w:t>等粉料分别由专用罐车运输进厂，通过罐车自带的管道以负压吸入料斗，再以压缩空气（正压）通过管道吸入散装粉料仓，整个输送过程在密闭的管道中完成，各粉料仓</w:t>
            </w:r>
            <w:r>
              <w:rPr>
                <w:rFonts w:hint="eastAsia"/>
                <w:iCs/>
                <w:sz w:val="24"/>
                <w:szCs w:val="24"/>
                <w:highlight w:val="none"/>
                <w:u w:val="single"/>
                <w:lang w:eastAsia="zh-CN"/>
              </w:rPr>
              <w:t>顶</w:t>
            </w:r>
            <w:r>
              <w:rPr>
                <w:rFonts w:hint="eastAsia"/>
                <w:iCs/>
                <w:sz w:val="24"/>
                <w:szCs w:val="24"/>
                <w:highlight w:val="none"/>
                <w:u w:val="single"/>
              </w:rPr>
              <w:t>设除尘器，含尘废气经过除尘后排放，粉尘过滤在仓内；</w:t>
            </w:r>
            <w:r>
              <w:rPr>
                <w:rFonts w:hint="eastAsia"/>
                <w:iCs/>
                <w:sz w:val="24"/>
                <w:szCs w:val="24"/>
                <w:highlight w:val="none"/>
                <w:u w:val="single"/>
                <w:lang w:val="en-US" w:eastAsia="zh-CN"/>
              </w:rPr>
              <w:t>外加</w:t>
            </w:r>
            <w:r>
              <w:rPr>
                <w:rFonts w:hint="eastAsia"/>
                <w:iCs/>
                <w:sz w:val="24"/>
                <w:szCs w:val="24"/>
                <w:highlight w:val="none"/>
                <w:u w:val="single"/>
              </w:rPr>
              <w:t>剂由专用罐车运输至厂区储存至</w:t>
            </w:r>
            <w:r>
              <w:rPr>
                <w:rFonts w:hint="eastAsia"/>
                <w:iCs/>
                <w:sz w:val="24"/>
                <w:szCs w:val="24"/>
                <w:highlight w:val="none"/>
                <w:u w:val="single"/>
                <w:lang w:val="en-US" w:eastAsia="zh-CN"/>
              </w:rPr>
              <w:t>外</w:t>
            </w:r>
            <w:r>
              <w:rPr>
                <w:rFonts w:hint="eastAsia"/>
                <w:iCs/>
                <w:sz w:val="24"/>
                <w:szCs w:val="24"/>
                <w:highlight w:val="none"/>
                <w:u w:val="single"/>
              </w:rPr>
              <w:t>加剂储罐。</w:t>
            </w:r>
          </w:p>
          <w:p w14:paraId="7D947C4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hint="eastAsia" w:ascii="宋体" w:hAnsi="宋体" w:cs="宋体"/>
                <w:iCs/>
                <w:sz w:val="24"/>
                <w:szCs w:val="24"/>
                <w:highlight w:val="none"/>
                <w:u w:val="single"/>
              </w:rPr>
              <w:t>②</w:t>
            </w:r>
            <w:r>
              <w:rPr>
                <w:rFonts w:hint="eastAsia"/>
                <w:iCs/>
                <w:sz w:val="24"/>
                <w:szCs w:val="24"/>
                <w:highlight w:val="none"/>
                <w:u w:val="single"/>
              </w:rPr>
              <w:t>物料称量</w:t>
            </w:r>
          </w:p>
          <w:p w14:paraId="511006A0">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hint="eastAsia"/>
                <w:iCs/>
                <w:sz w:val="24"/>
                <w:szCs w:val="24"/>
                <w:highlight w:val="none"/>
                <w:u w:val="single"/>
              </w:rPr>
              <w:t>各物料按照一定比例进行加料，</w:t>
            </w:r>
            <w:r>
              <w:rPr>
                <w:rFonts w:hint="eastAsia"/>
                <w:iCs/>
                <w:sz w:val="24"/>
                <w:szCs w:val="24"/>
                <w:highlight w:val="none"/>
                <w:u w:val="single"/>
                <w:lang w:eastAsia="zh-CN"/>
              </w:rPr>
              <w:t>砂子、碎石</w:t>
            </w:r>
            <w:r>
              <w:rPr>
                <w:rFonts w:hint="eastAsia"/>
                <w:iCs/>
                <w:sz w:val="24"/>
                <w:szCs w:val="24"/>
                <w:highlight w:val="none"/>
                <w:u w:val="single"/>
              </w:rPr>
              <w:t>在</w:t>
            </w:r>
            <w:r>
              <w:rPr>
                <w:rFonts w:hint="eastAsia"/>
                <w:iCs/>
                <w:sz w:val="24"/>
                <w:szCs w:val="24"/>
                <w:highlight w:val="none"/>
                <w:u w:val="single"/>
                <w:lang w:val="en-US" w:eastAsia="zh-CN"/>
              </w:rPr>
              <w:t>骨料堆场内</w:t>
            </w:r>
            <w:r>
              <w:rPr>
                <w:rFonts w:hint="eastAsia"/>
                <w:iCs/>
                <w:sz w:val="24"/>
                <w:szCs w:val="24"/>
                <w:highlight w:val="none"/>
                <w:u w:val="single"/>
              </w:rPr>
              <w:t>堆存，由车辆装载至斗式料仓，料仓上方设洒水装置，料仓下方安装自动计量系统，骨料经过计量后由密闭的皮带输送机送入混凝土搅拌机；水泥、粉煤灰</w:t>
            </w:r>
            <w:r>
              <w:rPr>
                <w:rFonts w:hint="eastAsia"/>
                <w:iCs/>
                <w:sz w:val="24"/>
                <w:szCs w:val="24"/>
                <w:highlight w:val="none"/>
                <w:u w:val="single"/>
                <w:lang w:eastAsia="zh-CN"/>
              </w:rPr>
              <w:t>、矿粉</w:t>
            </w:r>
            <w:r>
              <w:rPr>
                <w:rFonts w:hint="eastAsia"/>
                <w:iCs/>
                <w:sz w:val="24"/>
                <w:szCs w:val="24"/>
                <w:highlight w:val="none"/>
                <w:u w:val="single"/>
              </w:rPr>
              <w:t>等粉料由密闭螺旋输送机输送到粉料秤斗进行计量，利用重力从秤斗进入搅拌机；</w:t>
            </w:r>
            <w:r>
              <w:rPr>
                <w:rFonts w:hint="eastAsia"/>
                <w:iCs/>
                <w:sz w:val="24"/>
                <w:szCs w:val="24"/>
                <w:highlight w:val="none"/>
                <w:u w:val="single"/>
                <w:lang w:val="en-US" w:eastAsia="zh-CN"/>
              </w:rPr>
              <w:t>外</w:t>
            </w:r>
            <w:r>
              <w:rPr>
                <w:rFonts w:hint="eastAsia"/>
                <w:iCs/>
                <w:sz w:val="24"/>
                <w:szCs w:val="24"/>
                <w:highlight w:val="none"/>
                <w:u w:val="single"/>
              </w:rPr>
              <w:t>加剂由泵从储罐泵至搅拌机；生产搅拌用水采用压力供水，搅拌用水由水秤斗计量后送入搅拌机，项目物料投送过程中粉尘产生量较少。</w:t>
            </w:r>
          </w:p>
          <w:p w14:paraId="00010BC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ascii="宋体" w:hAnsi="宋体" w:cs="宋体"/>
                <w:iCs/>
                <w:sz w:val="24"/>
                <w:szCs w:val="24"/>
                <w:highlight w:val="none"/>
                <w:u w:val="single"/>
              </w:rPr>
              <w:t>③</w:t>
            </w:r>
            <w:r>
              <w:rPr>
                <w:rFonts w:hint="eastAsia" w:ascii="宋体" w:hAnsi="宋体" w:cs="宋体"/>
                <w:iCs/>
                <w:sz w:val="24"/>
                <w:szCs w:val="24"/>
                <w:highlight w:val="none"/>
                <w:u w:val="single"/>
              </w:rPr>
              <w:t>搅拌</w:t>
            </w:r>
            <w:r>
              <w:rPr>
                <w:rFonts w:hint="eastAsia"/>
                <w:iCs/>
                <w:sz w:val="24"/>
                <w:szCs w:val="24"/>
                <w:highlight w:val="none"/>
                <w:u w:val="single"/>
              </w:rPr>
              <w:t>工序</w:t>
            </w:r>
          </w:p>
          <w:p w14:paraId="5BA5AB2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hint="eastAsia"/>
                <w:iCs/>
                <w:sz w:val="24"/>
                <w:szCs w:val="24"/>
                <w:highlight w:val="none"/>
                <w:u w:val="single"/>
              </w:rPr>
              <w:t>经过计量后各种原料进入搅拌机进行机械式强制搅拌。本项目搅拌</w:t>
            </w:r>
            <w:r>
              <w:rPr>
                <w:rFonts w:hint="eastAsia"/>
                <w:iCs/>
                <w:sz w:val="24"/>
                <w:szCs w:val="24"/>
                <w:highlight w:val="none"/>
                <w:u w:val="single"/>
                <w:lang w:val="en-US" w:eastAsia="zh-CN"/>
              </w:rPr>
              <w:t>楼</w:t>
            </w:r>
            <w:r>
              <w:rPr>
                <w:rFonts w:hint="eastAsia"/>
                <w:iCs/>
                <w:sz w:val="24"/>
                <w:szCs w:val="24"/>
                <w:highlight w:val="none"/>
                <w:u w:val="single"/>
              </w:rPr>
              <w:t>为全封闭作业，在搅拌机机壳上部用一根通风管与</w:t>
            </w:r>
            <w:r>
              <w:rPr>
                <w:rFonts w:hint="eastAsia"/>
                <w:iCs/>
                <w:sz w:val="24"/>
                <w:szCs w:val="24"/>
                <w:highlight w:val="none"/>
                <w:u w:val="single"/>
                <w:lang w:val="en-US" w:eastAsia="zh-CN"/>
              </w:rPr>
              <w:t>集</w:t>
            </w:r>
            <w:r>
              <w:rPr>
                <w:rFonts w:hint="eastAsia"/>
                <w:iCs/>
                <w:sz w:val="24"/>
                <w:szCs w:val="24"/>
                <w:highlight w:val="none"/>
                <w:u w:val="single"/>
              </w:rPr>
              <w:t>尘设备连接，产生粉尘通过各自管道进入</w:t>
            </w:r>
            <w:r>
              <w:rPr>
                <w:rFonts w:hint="eastAsia"/>
                <w:iCs/>
                <w:sz w:val="24"/>
                <w:szCs w:val="24"/>
                <w:highlight w:val="none"/>
                <w:u w:val="single"/>
                <w:lang w:val="en-US" w:eastAsia="zh-CN"/>
              </w:rPr>
              <w:t>脉冲袋式</w:t>
            </w:r>
            <w:r>
              <w:rPr>
                <w:rFonts w:hint="eastAsia"/>
                <w:iCs/>
                <w:sz w:val="24"/>
                <w:szCs w:val="24"/>
                <w:highlight w:val="none"/>
                <w:u w:val="single"/>
              </w:rPr>
              <w:t>除尘器净化后排放，</w:t>
            </w:r>
            <w:r>
              <w:rPr>
                <w:rFonts w:hint="eastAsia"/>
                <w:iCs/>
                <w:sz w:val="24"/>
                <w:szCs w:val="24"/>
                <w:highlight w:val="none"/>
                <w:u w:val="single"/>
                <w:lang w:val="en-US" w:eastAsia="zh-CN"/>
              </w:rPr>
              <w:t>除尘器</w:t>
            </w:r>
            <w:r>
              <w:rPr>
                <w:rFonts w:hint="eastAsia"/>
                <w:iCs/>
                <w:sz w:val="24"/>
                <w:szCs w:val="24"/>
                <w:highlight w:val="none"/>
                <w:u w:val="single"/>
                <w:lang w:eastAsia="zh-CN"/>
              </w:rPr>
              <w:t>收集粉尘</w:t>
            </w:r>
            <w:r>
              <w:rPr>
                <w:rFonts w:hint="eastAsia"/>
                <w:iCs/>
                <w:sz w:val="24"/>
                <w:szCs w:val="24"/>
                <w:highlight w:val="none"/>
                <w:u w:val="single"/>
              </w:rPr>
              <w:t>经收集后回用于本工序，本工序严格控制各原料配料量，以保证混凝土的质量。</w:t>
            </w:r>
          </w:p>
          <w:p w14:paraId="40D2DCB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hint="eastAsia" w:ascii="宋体" w:hAnsi="宋体" w:cs="宋体"/>
                <w:iCs/>
                <w:sz w:val="24"/>
                <w:szCs w:val="24"/>
                <w:highlight w:val="none"/>
                <w:u w:val="single"/>
              </w:rPr>
              <w:t>④</w:t>
            </w:r>
            <w:r>
              <w:rPr>
                <w:rFonts w:hint="eastAsia"/>
                <w:iCs/>
                <w:sz w:val="24"/>
                <w:szCs w:val="24"/>
                <w:highlight w:val="none"/>
                <w:u w:val="single"/>
              </w:rPr>
              <w:t>外运</w:t>
            </w:r>
          </w:p>
          <w:p w14:paraId="31D338C8">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hint="eastAsia"/>
                <w:iCs/>
                <w:sz w:val="24"/>
                <w:szCs w:val="24"/>
                <w:highlight w:val="none"/>
                <w:u w:val="single"/>
              </w:rPr>
              <w:t>搅拌均匀后的混凝土由搅拌机出料口卸入罐车直接运至</w:t>
            </w:r>
            <w:r>
              <w:rPr>
                <w:rFonts w:hint="eastAsia"/>
                <w:iCs/>
                <w:sz w:val="24"/>
                <w:szCs w:val="24"/>
                <w:highlight w:val="none"/>
                <w:u w:val="single"/>
                <w:lang w:eastAsia="zh-CN"/>
              </w:rPr>
              <w:t>购买方处，不在厂区内储存</w:t>
            </w:r>
            <w:r>
              <w:rPr>
                <w:rFonts w:hint="eastAsia"/>
                <w:iCs/>
                <w:sz w:val="24"/>
                <w:szCs w:val="24"/>
                <w:highlight w:val="none"/>
                <w:u w:val="single"/>
              </w:rPr>
              <w:t>。</w:t>
            </w:r>
          </w:p>
          <w:p w14:paraId="038EE8C8">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hint="eastAsia" w:ascii="宋体" w:hAnsi="宋体" w:cs="宋体"/>
                <w:iCs/>
                <w:sz w:val="24"/>
                <w:szCs w:val="24"/>
                <w:highlight w:val="none"/>
                <w:u w:val="single"/>
              </w:rPr>
              <w:t>⑤</w:t>
            </w:r>
            <w:r>
              <w:rPr>
                <w:rFonts w:hint="eastAsia"/>
                <w:iCs/>
                <w:sz w:val="24"/>
                <w:szCs w:val="24"/>
                <w:highlight w:val="none"/>
                <w:u w:val="single"/>
              </w:rPr>
              <w:t>清洁</w:t>
            </w:r>
          </w:p>
          <w:p w14:paraId="61649C91">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iCs/>
                <w:sz w:val="24"/>
                <w:szCs w:val="24"/>
                <w:highlight w:val="none"/>
                <w:u w:val="single"/>
              </w:rPr>
            </w:pPr>
            <w:r>
              <w:rPr>
                <w:rFonts w:hint="eastAsia"/>
                <w:iCs/>
                <w:sz w:val="24"/>
                <w:szCs w:val="24"/>
                <w:highlight w:val="none"/>
                <w:u w:val="single"/>
              </w:rPr>
              <w:t>生产结束后，职工利用水枪等冲洗设施对搅拌设</w:t>
            </w:r>
            <w:r>
              <w:rPr>
                <w:rFonts w:hint="eastAsia" w:ascii="Times New Roman" w:hAnsi="Times New Roman" w:eastAsia="宋体" w:cs="Times New Roman"/>
                <w:iCs/>
                <w:sz w:val="24"/>
                <w:szCs w:val="24"/>
                <w:highlight w:val="none"/>
                <w:u w:val="single"/>
              </w:rPr>
              <w:t>备、罐车等进行冲洗，冲洗后的废水</w:t>
            </w:r>
            <w:r>
              <w:rPr>
                <w:rFonts w:hint="eastAsia" w:ascii="Times New Roman" w:hAnsi="Times New Roman" w:eastAsia="宋体" w:cs="Times New Roman"/>
                <w:iCs/>
                <w:sz w:val="24"/>
                <w:szCs w:val="24"/>
                <w:highlight w:val="none"/>
                <w:u w:val="single"/>
                <w:lang w:val="en-US" w:eastAsia="zh-CN"/>
              </w:rPr>
              <w:t>经</w:t>
            </w:r>
            <w:r>
              <w:rPr>
                <w:rFonts w:hint="eastAsia" w:cs="Times New Roman"/>
                <w:iCs/>
                <w:sz w:val="24"/>
                <w:szCs w:val="24"/>
                <w:highlight w:val="none"/>
                <w:u w:val="single"/>
                <w:lang w:val="en-US" w:eastAsia="zh-CN"/>
              </w:rPr>
              <w:t>三级</w:t>
            </w:r>
            <w:r>
              <w:rPr>
                <w:rFonts w:hint="eastAsia" w:ascii="Times New Roman" w:hAnsi="Times New Roman" w:eastAsia="宋体" w:cs="Times New Roman"/>
                <w:iCs/>
                <w:sz w:val="24"/>
                <w:szCs w:val="24"/>
                <w:highlight w:val="none"/>
                <w:u w:val="single"/>
                <w:lang w:val="en-US" w:eastAsia="zh-CN"/>
              </w:rPr>
              <w:t>沉淀池</w:t>
            </w:r>
            <w:r>
              <w:rPr>
                <w:rFonts w:hint="eastAsia" w:cs="Times New Roman"/>
                <w:iCs/>
                <w:sz w:val="24"/>
                <w:szCs w:val="24"/>
                <w:highlight w:val="none"/>
                <w:u w:val="single"/>
                <w:lang w:val="en-US" w:eastAsia="zh-CN"/>
              </w:rPr>
              <w:t>沉淀</w:t>
            </w:r>
            <w:r>
              <w:rPr>
                <w:rFonts w:hint="eastAsia" w:ascii="Times New Roman" w:hAnsi="Times New Roman" w:eastAsia="宋体" w:cs="Times New Roman"/>
                <w:iCs/>
                <w:sz w:val="24"/>
                <w:szCs w:val="24"/>
                <w:highlight w:val="none"/>
                <w:u w:val="single"/>
                <w:lang w:val="en-US" w:eastAsia="zh-CN"/>
              </w:rPr>
              <w:t>处理后回用于生产</w:t>
            </w:r>
            <w:r>
              <w:rPr>
                <w:rFonts w:hint="eastAsia" w:cs="Times New Roman"/>
                <w:iCs/>
                <w:sz w:val="24"/>
                <w:szCs w:val="24"/>
                <w:highlight w:val="none"/>
                <w:u w:val="single"/>
                <w:lang w:eastAsia="zh-CN"/>
              </w:rPr>
              <w:t>，</w:t>
            </w:r>
            <w:r>
              <w:rPr>
                <w:rFonts w:hint="eastAsia" w:ascii="Times New Roman" w:hAnsi="Times New Roman" w:eastAsia="宋体" w:cs="Times New Roman"/>
                <w:iCs/>
                <w:sz w:val="24"/>
                <w:szCs w:val="24"/>
                <w:highlight w:val="none"/>
                <w:u w:val="single"/>
              </w:rPr>
              <w:t>沉淀池沉淀物</w:t>
            </w:r>
            <w:r>
              <w:rPr>
                <w:rFonts w:hint="eastAsia" w:cs="Times New Roman"/>
                <w:iCs/>
                <w:sz w:val="24"/>
                <w:szCs w:val="24"/>
                <w:highlight w:val="none"/>
                <w:u w:val="single"/>
                <w:lang w:eastAsia="zh-CN"/>
              </w:rPr>
              <w:t>定期清掏，</w:t>
            </w:r>
            <w:r>
              <w:rPr>
                <w:rFonts w:hint="eastAsia"/>
                <w:iCs/>
                <w:sz w:val="24"/>
                <w:szCs w:val="24"/>
                <w:highlight w:val="none"/>
                <w:u w:val="single"/>
              </w:rPr>
              <w:t>全部回用于生产工序。</w:t>
            </w:r>
          </w:p>
          <w:p w14:paraId="0EC14B38">
            <w:pPr>
              <w:spacing w:line="360" w:lineRule="auto"/>
              <w:jc w:val="center"/>
              <w:rPr>
                <w:rFonts w:hint="eastAsia" w:eastAsia="宋体"/>
                <w:iCs/>
                <w:sz w:val="24"/>
                <w:szCs w:val="24"/>
                <w:u w:val="none"/>
                <w:lang w:eastAsia="zh-CN"/>
              </w:rPr>
            </w:pPr>
            <w:r>
              <w:rPr>
                <w:rFonts w:hint="eastAsia" w:eastAsia="宋体"/>
                <w:iCs/>
                <w:sz w:val="24"/>
                <w:szCs w:val="24"/>
                <w:u w:val="none"/>
                <w:lang w:eastAsia="zh-CN"/>
              </w:rPr>
              <w:drawing>
                <wp:inline distT="0" distB="0" distL="114300" distR="114300">
                  <wp:extent cx="5086350" cy="3354705"/>
                  <wp:effectExtent l="0" t="0" r="0" b="17145"/>
                  <wp:docPr id="3" name="图片 3" descr="生产工艺流程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产工艺流程图_00"/>
                          <pic:cNvPicPr>
                            <a:picLocks noChangeAspect="1"/>
                          </pic:cNvPicPr>
                        </pic:nvPicPr>
                        <pic:blipFill>
                          <a:blip r:embed="rId10"/>
                          <a:stretch>
                            <a:fillRect/>
                          </a:stretch>
                        </pic:blipFill>
                        <pic:spPr>
                          <a:xfrm>
                            <a:off x="0" y="0"/>
                            <a:ext cx="5086350" cy="3354705"/>
                          </a:xfrm>
                          <a:prstGeom prst="rect">
                            <a:avLst/>
                          </a:prstGeom>
                        </pic:spPr>
                      </pic:pic>
                    </a:graphicData>
                  </a:graphic>
                </wp:inline>
              </w:drawing>
            </w:r>
          </w:p>
          <w:p w14:paraId="7D2F6034">
            <w:pPr>
              <w:spacing w:line="240" w:lineRule="auto"/>
              <w:ind w:left="-103" w:leftChars="-49" w:firstLine="422" w:firstLineChars="200"/>
              <w:jc w:val="center"/>
              <w:rPr>
                <w:i w:val="0"/>
                <w:iCs w:val="0"/>
                <w:szCs w:val="21"/>
                <w:u w:val="none"/>
              </w:rPr>
            </w:pPr>
            <w:r>
              <w:rPr>
                <w:rFonts w:hint="eastAsia"/>
                <w:b/>
                <w:bCs/>
                <w:i w:val="0"/>
                <w:iCs w:val="0"/>
                <w:szCs w:val="21"/>
                <w:u w:val="none"/>
              </w:rPr>
              <w:t>图</w:t>
            </w:r>
            <w:r>
              <w:rPr>
                <w:rFonts w:hint="eastAsia"/>
                <w:b/>
                <w:bCs/>
                <w:i w:val="0"/>
                <w:iCs w:val="0"/>
                <w:szCs w:val="21"/>
                <w:u w:val="none"/>
                <w:lang w:val="en-US" w:eastAsia="zh-CN"/>
              </w:rPr>
              <w:t>2-</w:t>
            </w:r>
            <w:r>
              <w:rPr>
                <w:rFonts w:hint="eastAsia"/>
                <w:b/>
                <w:bCs/>
                <w:i w:val="0"/>
                <w:iCs w:val="0"/>
                <w:szCs w:val="21"/>
                <w:u w:val="none"/>
              </w:rPr>
              <w:t>2</w:t>
            </w:r>
            <w:r>
              <w:rPr>
                <w:b/>
                <w:bCs/>
                <w:i w:val="0"/>
                <w:iCs w:val="0"/>
                <w:szCs w:val="21"/>
                <w:u w:val="none"/>
              </w:rPr>
              <w:t xml:space="preserve"> </w:t>
            </w:r>
            <w:r>
              <w:rPr>
                <w:rFonts w:hint="eastAsia"/>
                <w:b/>
                <w:bCs/>
                <w:i w:val="0"/>
                <w:iCs w:val="0"/>
                <w:szCs w:val="21"/>
                <w:u w:val="none"/>
                <w:lang w:val="en-US" w:eastAsia="zh-CN"/>
              </w:rPr>
              <w:t xml:space="preserve"> </w:t>
            </w:r>
            <w:r>
              <w:rPr>
                <w:rFonts w:hint="eastAsia"/>
                <w:b/>
                <w:bCs/>
                <w:i w:val="0"/>
                <w:iCs w:val="0"/>
                <w:szCs w:val="21"/>
                <w:u w:val="none"/>
                <w:lang w:eastAsia="zh-CN"/>
              </w:rPr>
              <w:t>生产</w:t>
            </w:r>
            <w:r>
              <w:rPr>
                <w:rFonts w:hint="eastAsia"/>
                <w:b/>
                <w:bCs/>
                <w:i w:val="0"/>
                <w:iCs w:val="0"/>
                <w:szCs w:val="21"/>
                <w:u w:val="none"/>
              </w:rPr>
              <w:t>工艺流程及产污节点图</w:t>
            </w:r>
          </w:p>
          <w:p w14:paraId="5D4F2272">
            <w:pPr>
              <w:numPr>
                <w:ilvl w:val="0"/>
                <w:numId w:val="0"/>
              </w:numPr>
              <w:adjustRightInd w:val="0"/>
              <w:spacing w:line="360" w:lineRule="auto"/>
              <w:ind w:firstLine="482" w:firstLineChars="200"/>
              <w:rPr>
                <w:rFonts w:hint="eastAsia" w:ascii="Times New Roman" w:hAnsi="Times New Roman" w:eastAsia="宋体" w:cs="Times New Roman"/>
                <w:b/>
                <w:bCs/>
                <w:i w:val="0"/>
                <w:iCs w:val="0"/>
                <w:kern w:val="2"/>
                <w:sz w:val="24"/>
                <w:szCs w:val="24"/>
                <w:highlight w:val="none"/>
                <w:u w:val="none"/>
                <w:lang w:val="en-US" w:eastAsia="zh-CN" w:bidi="ar-SA"/>
              </w:rPr>
            </w:pPr>
          </w:p>
          <w:p w14:paraId="0AED7AFB">
            <w:pPr>
              <w:numPr>
                <w:ilvl w:val="0"/>
                <w:numId w:val="0"/>
              </w:numPr>
              <w:adjustRightInd w:val="0"/>
              <w:spacing w:line="360" w:lineRule="auto"/>
              <w:ind w:firstLine="482" w:firstLineChars="200"/>
              <w:rPr>
                <w:rFonts w:hint="eastAsia"/>
                <w:b w:val="0"/>
                <w:bCs w:val="0"/>
                <w:i w:val="0"/>
                <w:iCs w:val="0"/>
                <w:sz w:val="24"/>
                <w:szCs w:val="24"/>
                <w:highlight w:val="none"/>
                <w:u w:val="none"/>
                <w:lang w:val="en-US" w:eastAsia="zh-CN"/>
              </w:rPr>
            </w:pPr>
            <w:r>
              <w:rPr>
                <w:rFonts w:hint="eastAsia" w:cs="Times New Roman"/>
                <w:b/>
                <w:bCs/>
                <w:i w:val="0"/>
                <w:iCs w:val="0"/>
                <w:kern w:val="2"/>
                <w:sz w:val="24"/>
                <w:szCs w:val="24"/>
                <w:highlight w:val="none"/>
                <w:u w:val="none"/>
                <w:lang w:val="en-US" w:eastAsia="zh-CN" w:bidi="ar-SA"/>
              </w:rPr>
              <w:t>3</w:t>
            </w:r>
            <w:r>
              <w:rPr>
                <w:rFonts w:hint="eastAsia" w:ascii="Times New Roman" w:hAnsi="Times New Roman" w:eastAsia="宋体" w:cs="Times New Roman"/>
                <w:b/>
                <w:bCs/>
                <w:i w:val="0"/>
                <w:iCs w:val="0"/>
                <w:kern w:val="2"/>
                <w:sz w:val="24"/>
                <w:szCs w:val="24"/>
                <w:highlight w:val="none"/>
                <w:u w:val="none"/>
                <w:lang w:val="en-US" w:eastAsia="zh-CN" w:bidi="ar-SA"/>
              </w:rPr>
              <w:t>、</w:t>
            </w:r>
            <w:r>
              <w:rPr>
                <w:rFonts w:hint="eastAsia"/>
                <w:b/>
                <w:bCs/>
                <w:i w:val="0"/>
                <w:iCs w:val="0"/>
                <w:sz w:val="24"/>
                <w:szCs w:val="24"/>
                <w:highlight w:val="none"/>
                <w:u w:val="none"/>
                <w:lang w:val="en-US" w:eastAsia="zh-CN"/>
              </w:rPr>
              <w:t>化验室</w:t>
            </w:r>
          </w:p>
          <w:p w14:paraId="36DC69EC">
            <w:pPr>
              <w:numPr>
                <w:ilvl w:val="0"/>
                <w:numId w:val="0"/>
              </w:numPr>
              <w:adjustRightInd w:val="0"/>
              <w:spacing w:line="360" w:lineRule="auto"/>
              <w:ind w:firstLine="480" w:firstLineChars="200"/>
              <w:rPr>
                <w:rFonts w:hint="default"/>
                <w:b w:val="0"/>
                <w:bCs w:val="0"/>
                <w:i w:val="0"/>
                <w:iCs w:val="0"/>
                <w:sz w:val="24"/>
                <w:szCs w:val="24"/>
                <w:highlight w:val="none"/>
                <w:u w:val="none"/>
                <w:lang w:val="en-US" w:eastAsia="zh-CN"/>
              </w:rPr>
            </w:pPr>
            <w:r>
              <w:rPr>
                <w:rFonts w:hint="default"/>
                <w:b w:val="0"/>
                <w:bCs w:val="0"/>
                <w:i w:val="0"/>
                <w:iCs w:val="0"/>
                <w:sz w:val="24"/>
                <w:szCs w:val="24"/>
                <w:highlight w:val="none"/>
                <w:u w:val="none"/>
                <w:lang w:val="en-US" w:eastAsia="zh-CN"/>
              </w:rPr>
              <w:t>项目</w:t>
            </w:r>
            <w:r>
              <w:rPr>
                <w:rFonts w:hint="eastAsia"/>
                <w:b w:val="0"/>
                <w:bCs w:val="0"/>
                <w:i w:val="0"/>
                <w:iCs w:val="0"/>
                <w:sz w:val="24"/>
                <w:szCs w:val="24"/>
                <w:highlight w:val="none"/>
                <w:u w:val="none"/>
                <w:lang w:val="en-US" w:eastAsia="zh-CN"/>
              </w:rPr>
              <w:t>化验室</w:t>
            </w:r>
            <w:r>
              <w:rPr>
                <w:rFonts w:hint="default"/>
                <w:b w:val="0"/>
                <w:bCs w:val="0"/>
                <w:i w:val="0"/>
                <w:iCs w:val="0"/>
                <w:sz w:val="24"/>
                <w:szCs w:val="24"/>
                <w:highlight w:val="none"/>
                <w:u w:val="none"/>
                <w:lang w:val="en-US" w:eastAsia="zh-CN"/>
              </w:rPr>
              <w:t>主要工作内容为实验样品质量检测，针对产品试件进行抗折强度</w:t>
            </w:r>
            <w:r>
              <w:rPr>
                <w:rFonts w:hint="eastAsia"/>
                <w:b w:val="0"/>
                <w:bCs w:val="0"/>
                <w:i w:val="0"/>
                <w:iCs w:val="0"/>
                <w:sz w:val="24"/>
                <w:szCs w:val="24"/>
                <w:highlight w:val="none"/>
                <w:u w:val="none"/>
                <w:lang w:val="en-US" w:eastAsia="zh-CN"/>
              </w:rPr>
              <w:t>、</w:t>
            </w:r>
            <w:r>
              <w:rPr>
                <w:rFonts w:hint="default"/>
                <w:b w:val="0"/>
                <w:bCs w:val="0"/>
                <w:i w:val="0"/>
                <w:iCs w:val="0"/>
                <w:sz w:val="24"/>
                <w:szCs w:val="24"/>
                <w:highlight w:val="none"/>
                <w:u w:val="none"/>
                <w:lang w:val="en-US" w:eastAsia="zh-CN"/>
              </w:rPr>
              <w:t>抗压强度等一系列的物理性能、耐久性能试验。</w:t>
            </w:r>
            <w:r>
              <w:rPr>
                <w:rFonts w:hint="eastAsia"/>
                <w:b w:val="0"/>
                <w:bCs w:val="0"/>
                <w:i w:val="0"/>
                <w:iCs w:val="0"/>
                <w:sz w:val="24"/>
                <w:szCs w:val="24"/>
                <w:highlight w:val="none"/>
                <w:u w:val="none"/>
                <w:lang w:val="en-US" w:eastAsia="zh-CN"/>
              </w:rPr>
              <w:t>化验室</w:t>
            </w:r>
            <w:r>
              <w:rPr>
                <w:rFonts w:hint="default"/>
                <w:b w:val="0"/>
                <w:bCs w:val="0"/>
                <w:i w:val="0"/>
                <w:iCs w:val="0"/>
                <w:sz w:val="24"/>
                <w:szCs w:val="24"/>
                <w:highlight w:val="none"/>
                <w:u w:val="none"/>
                <w:lang w:val="en-US" w:eastAsia="zh-CN"/>
              </w:rPr>
              <w:t>全部采用物理实验，不使用化学试剂，不产生废水</w:t>
            </w:r>
            <w:r>
              <w:rPr>
                <w:rFonts w:hint="eastAsia"/>
                <w:b w:val="0"/>
                <w:bCs w:val="0"/>
                <w:i w:val="0"/>
                <w:iCs w:val="0"/>
                <w:sz w:val="24"/>
                <w:szCs w:val="24"/>
                <w:highlight w:val="none"/>
                <w:u w:val="none"/>
                <w:lang w:val="en-US" w:eastAsia="zh-CN"/>
              </w:rPr>
              <w:t>，</w:t>
            </w:r>
            <w:r>
              <w:rPr>
                <w:rFonts w:hint="default"/>
                <w:b w:val="0"/>
                <w:bCs w:val="0"/>
                <w:i w:val="0"/>
                <w:iCs w:val="0"/>
                <w:sz w:val="24"/>
                <w:szCs w:val="24"/>
                <w:highlight w:val="none"/>
                <w:u w:val="none"/>
                <w:lang w:val="en-US" w:eastAsia="zh-CN"/>
              </w:rPr>
              <w:t>试验完成后将会产生废物试验样品废弃物全部收集后</w:t>
            </w:r>
            <w:r>
              <w:rPr>
                <w:rFonts w:hint="eastAsia"/>
                <w:b w:val="0"/>
                <w:bCs w:val="0"/>
                <w:i w:val="0"/>
                <w:iCs w:val="0"/>
                <w:sz w:val="24"/>
                <w:szCs w:val="24"/>
                <w:highlight w:val="none"/>
                <w:u w:val="none"/>
                <w:lang w:val="en-US" w:eastAsia="zh-CN"/>
              </w:rPr>
              <w:t>交由建材厂综合利用</w:t>
            </w:r>
            <w:r>
              <w:rPr>
                <w:rFonts w:hint="default"/>
                <w:b w:val="0"/>
                <w:bCs w:val="0"/>
                <w:i w:val="0"/>
                <w:iCs w:val="0"/>
                <w:sz w:val="24"/>
                <w:szCs w:val="24"/>
                <w:highlight w:val="none"/>
                <w:u w:val="none"/>
                <w:lang w:val="en-US" w:eastAsia="zh-CN"/>
              </w:rPr>
              <w:t>。</w:t>
            </w:r>
          </w:p>
          <w:p w14:paraId="4552B5FD">
            <w:pPr>
              <w:adjustRightInd w:val="0"/>
              <w:spacing w:line="360" w:lineRule="auto"/>
              <w:ind w:firstLine="482" w:firstLineChars="200"/>
              <w:rPr>
                <w:rFonts w:hint="eastAsia"/>
                <w:b/>
                <w:bCs/>
                <w:i w:val="0"/>
                <w:iCs w:val="0"/>
                <w:sz w:val="24"/>
                <w:szCs w:val="24"/>
                <w:highlight w:val="none"/>
                <w:u w:val="none"/>
              </w:rPr>
            </w:pPr>
            <w:r>
              <w:rPr>
                <w:rFonts w:hint="eastAsia"/>
                <w:b/>
                <w:bCs/>
                <w:i w:val="0"/>
                <w:iCs w:val="0"/>
                <w:sz w:val="24"/>
                <w:szCs w:val="24"/>
                <w:highlight w:val="none"/>
                <w:u w:val="none"/>
                <w:lang w:val="en-US" w:eastAsia="zh-CN"/>
              </w:rPr>
              <w:t>4、</w:t>
            </w:r>
            <w:r>
              <w:rPr>
                <w:rFonts w:hint="eastAsia"/>
                <w:b/>
                <w:bCs/>
                <w:i w:val="0"/>
                <w:iCs w:val="0"/>
                <w:sz w:val="24"/>
                <w:szCs w:val="24"/>
                <w:highlight w:val="none"/>
                <w:u w:val="none"/>
              </w:rPr>
              <w:t>产污环节</w:t>
            </w:r>
          </w:p>
          <w:p w14:paraId="02A27663">
            <w:pPr>
              <w:numPr>
                <w:ilvl w:val="0"/>
                <w:numId w:val="0"/>
              </w:numPr>
              <w:adjustRightInd w:val="0"/>
              <w:spacing w:line="360" w:lineRule="auto"/>
              <w:ind w:firstLine="480" w:firstLineChars="200"/>
              <w:rPr>
                <w:rFonts w:hint="default" w:ascii="Times New Roman" w:hAnsi="Times New Roman" w:eastAsia="宋体" w:cs="Times New Roman"/>
                <w:b w:val="0"/>
                <w:bCs w:val="0"/>
                <w:i w:val="0"/>
                <w:iCs w:val="0"/>
                <w:sz w:val="24"/>
                <w:szCs w:val="24"/>
                <w:highlight w:val="none"/>
                <w:u w:val="none"/>
                <w:lang w:val="en-US" w:eastAsia="zh-CN"/>
              </w:rPr>
            </w:pPr>
            <w:r>
              <w:rPr>
                <w:rFonts w:hint="eastAsia" w:ascii="Times New Roman" w:hAnsi="Times New Roman" w:eastAsia="宋体" w:cs="Times New Roman"/>
                <w:b w:val="0"/>
                <w:bCs w:val="0"/>
                <w:i w:val="0"/>
                <w:iCs w:val="0"/>
                <w:sz w:val="24"/>
                <w:szCs w:val="24"/>
                <w:highlight w:val="none"/>
                <w:u w:val="none"/>
                <w:lang w:val="en-US" w:eastAsia="zh-CN"/>
              </w:rPr>
              <w:t>本项目主要产污环节如下：</w:t>
            </w:r>
          </w:p>
          <w:p w14:paraId="013A0EEF">
            <w:pPr>
              <w:numPr>
                <w:ilvl w:val="0"/>
                <w:numId w:val="0"/>
              </w:numPr>
              <w:adjustRightInd w:val="0"/>
              <w:spacing w:line="360" w:lineRule="auto"/>
              <w:ind w:firstLine="480" w:firstLineChars="200"/>
              <w:rPr>
                <w:rFonts w:hint="default" w:ascii="Times New Roman" w:hAnsi="Times New Roman" w:eastAsia="宋体" w:cs="Times New Roman"/>
                <w:b w:val="0"/>
                <w:bCs w:val="0"/>
                <w:i w:val="0"/>
                <w:iCs w:val="0"/>
                <w:sz w:val="24"/>
                <w:szCs w:val="24"/>
                <w:highlight w:val="none"/>
                <w:u w:val="none"/>
                <w:lang w:val="en-US" w:eastAsia="zh-CN"/>
              </w:rPr>
            </w:pPr>
            <w:r>
              <w:rPr>
                <w:rFonts w:hint="eastAsia" w:ascii="Times New Roman" w:hAnsi="Times New Roman" w:eastAsia="宋体" w:cs="Times New Roman"/>
                <w:b w:val="0"/>
                <w:bCs w:val="0"/>
                <w:i w:val="0"/>
                <w:iCs w:val="0"/>
                <w:sz w:val="24"/>
                <w:szCs w:val="24"/>
                <w:highlight w:val="none"/>
                <w:u w:val="none"/>
                <w:lang w:val="en-US" w:eastAsia="zh-CN"/>
              </w:rPr>
              <w:t>①废气</w:t>
            </w:r>
          </w:p>
          <w:p w14:paraId="3D3DC016">
            <w:pPr>
              <w:numPr>
                <w:ilvl w:val="0"/>
                <w:numId w:val="0"/>
              </w:numPr>
              <w:adjustRightInd w:val="0"/>
              <w:spacing w:line="360" w:lineRule="auto"/>
              <w:ind w:firstLine="480" w:firstLineChars="200"/>
              <w:rPr>
                <w:rFonts w:hint="default" w:ascii="Times New Roman" w:hAnsi="Times New Roman" w:eastAsia="宋体" w:cs="Times New Roman"/>
                <w:b w:val="0"/>
                <w:bCs w:val="0"/>
                <w:i w:val="0"/>
                <w:iCs w:val="0"/>
                <w:sz w:val="24"/>
                <w:szCs w:val="24"/>
                <w:highlight w:val="none"/>
                <w:u w:val="none"/>
                <w:lang w:val="en-US" w:eastAsia="zh-CN"/>
              </w:rPr>
            </w:pPr>
            <w:r>
              <w:rPr>
                <w:rFonts w:hint="eastAsia" w:ascii="Times New Roman" w:hAnsi="Times New Roman" w:eastAsia="宋体" w:cs="Times New Roman"/>
                <w:b w:val="0"/>
                <w:bCs w:val="0"/>
                <w:i w:val="0"/>
                <w:iCs w:val="0"/>
                <w:sz w:val="24"/>
                <w:szCs w:val="24"/>
                <w:highlight w:val="none"/>
                <w:u w:val="none"/>
                <w:lang w:val="en-US" w:eastAsia="zh-CN"/>
              </w:rPr>
              <w:t>本项目大气污染物主要为搅拌工序、水泥储罐、粉煤灰</w:t>
            </w:r>
            <w:r>
              <w:rPr>
                <w:rFonts w:hint="eastAsia" w:cs="Times New Roman"/>
                <w:b w:val="0"/>
                <w:bCs w:val="0"/>
                <w:i w:val="0"/>
                <w:iCs w:val="0"/>
                <w:sz w:val="24"/>
                <w:szCs w:val="24"/>
                <w:highlight w:val="none"/>
                <w:u w:val="none"/>
                <w:lang w:val="en-US" w:eastAsia="zh-CN"/>
              </w:rPr>
              <w:t>储</w:t>
            </w:r>
            <w:r>
              <w:rPr>
                <w:rFonts w:hint="eastAsia" w:ascii="Times New Roman" w:hAnsi="Times New Roman" w:eastAsia="宋体" w:cs="Times New Roman"/>
                <w:b w:val="0"/>
                <w:bCs w:val="0"/>
                <w:i w:val="0"/>
                <w:iCs w:val="0"/>
                <w:sz w:val="24"/>
                <w:szCs w:val="24"/>
                <w:highlight w:val="none"/>
                <w:u w:val="none"/>
                <w:lang w:val="en-US" w:eastAsia="zh-CN"/>
              </w:rPr>
              <w:t>罐、</w:t>
            </w:r>
            <w:r>
              <w:rPr>
                <w:rFonts w:hint="eastAsia" w:cs="Times New Roman"/>
                <w:b w:val="0"/>
                <w:bCs w:val="0"/>
                <w:i w:val="0"/>
                <w:iCs w:val="0"/>
                <w:sz w:val="24"/>
                <w:szCs w:val="24"/>
                <w:highlight w:val="none"/>
                <w:u w:val="none"/>
                <w:lang w:val="en-US" w:eastAsia="zh-CN"/>
              </w:rPr>
              <w:t>矿粉储罐、骨</w:t>
            </w:r>
            <w:r>
              <w:rPr>
                <w:rFonts w:hint="eastAsia" w:ascii="Times New Roman" w:hAnsi="Times New Roman" w:eastAsia="宋体" w:cs="Times New Roman"/>
                <w:b w:val="0"/>
                <w:bCs w:val="0"/>
                <w:i w:val="0"/>
                <w:iCs w:val="0"/>
                <w:sz w:val="24"/>
                <w:szCs w:val="24"/>
                <w:highlight w:val="none"/>
                <w:u w:val="none"/>
                <w:lang w:val="en-US" w:eastAsia="zh-CN"/>
              </w:rPr>
              <w:t>料</w:t>
            </w:r>
            <w:r>
              <w:rPr>
                <w:rFonts w:hint="eastAsia" w:cs="Times New Roman"/>
                <w:b w:val="0"/>
                <w:bCs w:val="0"/>
                <w:i w:val="0"/>
                <w:iCs w:val="0"/>
                <w:sz w:val="24"/>
                <w:szCs w:val="24"/>
                <w:highlight w:val="none"/>
                <w:u w:val="none"/>
                <w:lang w:val="en-US" w:eastAsia="zh-CN"/>
              </w:rPr>
              <w:t>料库</w:t>
            </w:r>
            <w:r>
              <w:rPr>
                <w:rFonts w:hint="eastAsia" w:ascii="Times New Roman" w:hAnsi="Times New Roman" w:eastAsia="宋体" w:cs="Times New Roman"/>
                <w:b w:val="0"/>
                <w:bCs w:val="0"/>
                <w:i w:val="0"/>
                <w:iCs w:val="0"/>
                <w:sz w:val="24"/>
                <w:szCs w:val="24"/>
                <w:highlight w:val="none"/>
                <w:u w:val="none"/>
                <w:lang w:val="en-US" w:eastAsia="zh-CN"/>
              </w:rPr>
              <w:t>、上料、车辆运输等过程无组织排放的粉尘。</w:t>
            </w:r>
          </w:p>
          <w:p w14:paraId="76B2008B">
            <w:pPr>
              <w:numPr>
                <w:ilvl w:val="0"/>
                <w:numId w:val="0"/>
              </w:numPr>
              <w:adjustRightInd w:val="0"/>
              <w:spacing w:line="360" w:lineRule="auto"/>
              <w:ind w:firstLine="480" w:firstLineChars="200"/>
              <w:rPr>
                <w:rFonts w:hint="default" w:ascii="Times New Roman" w:hAnsi="Times New Roman" w:eastAsia="宋体" w:cs="Times New Roman"/>
                <w:b w:val="0"/>
                <w:bCs w:val="0"/>
                <w:i w:val="0"/>
                <w:iCs w:val="0"/>
                <w:sz w:val="24"/>
                <w:szCs w:val="24"/>
                <w:highlight w:val="none"/>
                <w:u w:val="none"/>
                <w:lang w:val="en-US" w:eastAsia="zh-CN"/>
              </w:rPr>
            </w:pPr>
            <w:r>
              <w:rPr>
                <w:rFonts w:hint="eastAsia" w:ascii="Times New Roman" w:hAnsi="Times New Roman" w:eastAsia="宋体" w:cs="Times New Roman"/>
                <w:b w:val="0"/>
                <w:bCs w:val="0"/>
                <w:i w:val="0"/>
                <w:iCs w:val="0"/>
                <w:sz w:val="24"/>
                <w:szCs w:val="24"/>
                <w:highlight w:val="none"/>
                <w:u w:val="none"/>
                <w:lang w:val="en-US" w:eastAsia="zh-CN"/>
              </w:rPr>
              <w:t>②废水</w:t>
            </w:r>
          </w:p>
          <w:p w14:paraId="63046A63">
            <w:pPr>
              <w:numPr>
                <w:ilvl w:val="0"/>
                <w:numId w:val="0"/>
              </w:numPr>
              <w:adjustRightInd w:val="0"/>
              <w:spacing w:line="360" w:lineRule="auto"/>
              <w:ind w:firstLine="480" w:firstLineChars="200"/>
              <w:rPr>
                <w:rFonts w:hint="default" w:ascii="Times New Roman" w:hAnsi="Times New Roman" w:eastAsia="宋体" w:cs="Times New Roman"/>
                <w:b w:val="0"/>
                <w:bCs w:val="0"/>
                <w:i w:val="0"/>
                <w:iCs w:val="0"/>
                <w:sz w:val="24"/>
                <w:szCs w:val="24"/>
                <w:highlight w:val="none"/>
                <w:u w:val="none"/>
                <w:lang w:val="en-US" w:eastAsia="zh-CN"/>
              </w:rPr>
            </w:pPr>
            <w:r>
              <w:rPr>
                <w:rFonts w:hint="eastAsia" w:ascii="Times New Roman" w:hAnsi="Times New Roman" w:eastAsia="宋体" w:cs="Times New Roman"/>
                <w:b w:val="0"/>
                <w:bCs w:val="0"/>
                <w:i w:val="0"/>
                <w:iCs w:val="0"/>
                <w:sz w:val="24"/>
                <w:szCs w:val="24"/>
                <w:highlight w:val="none"/>
                <w:u w:val="none"/>
                <w:lang w:val="en-US" w:eastAsia="zh-CN"/>
              </w:rPr>
              <w:t>本项目产生的废水主要是生活</w:t>
            </w:r>
            <w:r>
              <w:rPr>
                <w:rFonts w:hint="eastAsia" w:cs="Times New Roman"/>
                <w:b w:val="0"/>
                <w:bCs w:val="0"/>
                <w:i w:val="0"/>
                <w:iCs w:val="0"/>
                <w:sz w:val="24"/>
                <w:szCs w:val="24"/>
                <w:highlight w:val="none"/>
                <w:u w:val="none"/>
                <w:lang w:val="en-US" w:eastAsia="zh-CN"/>
              </w:rPr>
              <w:t>污</w:t>
            </w:r>
            <w:r>
              <w:rPr>
                <w:rFonts w:hint="eastAsia" w:ascii="Times New Roman" w:hAnsi="Times New Roman" w:eastAsia="宋体" w:cs="Times New Roman"/>
                <w:b w:val="0"/>
                <w:bCs w:val="0"/>
                <w:i w:val="0"/>
                <w:iCs w:val="0"/>
                <w:sz w:val="24"/>
                <w:szCs w:val="24"/>
                <w:highlight w:val="none"/>
                <w:u w:val="none"/>
                <w:lang w:val="en-US" w:eastAsia="zh-CN"/>
              </w:rPr>
              <w:t>水</w:t>
            </w:r>
            <w:r>
              <w:rPr>
                <w:rFonts w:hint="eastAsia" w:cs="Times New Roman"/>
                <w:b w:val="0"/>
                <w:bCs w:val="0"/>
                <w:i w:val="0"/>
                <w:iCs w:val="0"/>
                <w:sz w:val="24"/>
                <w:szCs w:val="24"/>
                <w:highlight w:val="none"/>
                <w:u w:val="none"/>
                <w:lang w:val="en-US" w:eastAsia="zh-CN"/>
              </w:rPr>
              <w:t>、</w:t>
            </w:r>
            <w:r>
              <w:rPr>
                <w:rFonts w:hint="eastAsia" w:ascii="Times New Roman" w:hAnsi="Times New Roman" w:eastAsia="宋体" w:cs="Times New Roman"/>
                <w:b w:val="0"/>
                <w:bCs w:val="0"/>
                <w:i w:val="0"/>
                <w:iCs w:val="0"/>
                <w:sz w:val="24"/>
                <w:szCs w:val="24"/>
                <w:highlight w:val="none"/>
                <w:u w:val="none"/>
                <w:lang w:val="en-US" w:eastAsia="zh-CN"/>
              </w:rPr>
              <w:t>设备</w:t>
            </w:r>
            <w:r>
              <w:rPr>
                <w:rFonts w:hint="eastAsia" w:cs="Times New Roman"/>
                <w:b w:val="0"/>
                <w:bCs w:val="0"/>
                <w:i w:val="0"/>
                <w:iCs w:val="0"/>
                <w:sz w:val="24"/>
                <w:szCs w:val="24"/>
                <w:highlight w:val="none"/>
                <w:u w:val="none"/>
                <w:lang w:val="en-US" w:eastAsia="zh-CN"/>
              </w:rPr>
              <w:t>清</w:t>
            </w:r>
            <w:r>
              <w:rPr>
                <w:rFonts w:hint="eastAsia" w:ascii="Times New Roman" w:hAnsi="Times New Roman" w:eastAsia="宋体" w:cs="Times New Roman"/>
                <w:b w:val="0"/>
                <w:bCs w:val="0"/>
                <w:i w:val="0"/>
                <w:iCs w:val="0"/>
                <w:sz w:val="24"/>
                <w:szCs w:val="24"/>
                <w:highlight w:val="none"/>
                <w:u w:val="none"/>
                <w:lang w:val="en-US" w:eastAsia="zh-CN"/>
              </w:rPr>
              <w:t>洗废水、罐车清洗废水。</w:t>
            </w:r>
          </w:p>
          <w:p w14:paraId="2876C5B1">
            <w:pPr>
              <w:numPr>
                <w:ilvl w:val="0"/>
                <w:numId w:val="0"/>
              </w:numPr>
              <w:adjustRightInd w:val="0"/>
              <w:spacing w:line="360" w:lineRule="auto"/>
              <w:ind w:firstLine="480" w:firstLineChars="200"/>
              <w:rPr>
                <w:rFonts w:hint="default" w:ascii="Times New Roman" w:hAnsi="Times New Roman" w:eastAsia="宋体" w:cs="Times New Roman"/>
                <w:b w:val="0"/>
                <w:bCs w:val="0"/>
                <w:i w:val="0"/>
                <w:iCs w:val="0"/>
                <w:sz w:val="24"/>
                <w:szCs w:val="24"/>
                <w:highlight w:val="none"/>
                <w:u w:val="none"/>
                <w:lang w:val="en-US" w:eastAsia="zh-CN"/>
              </w:rPr>
            </w:pPr>
            <w:r>
              <w:rPr>
                <w:rFonts w:hint="eastAsia" w:ascii="Times New Roman" w:hAnsi="Times New Roman" w:eastAsia="宋体" w:cs="Times New Roman"/>
                <w:b w:val="0"/>
                <w:bCs w:val="0"/>
                <w:i w:val="0"/>
                <w:iCs w:val="0"/>
                <w:sz w:val="24"/>
                <w:szCs w:val="24"/>
                <w:highlight w:val="none"/>
                <w:u w:val="none"/>
                <w:lang w:val="en-US" w:eastAsia="zh-CN"/>
              </w:rPr>
              <w:t>③固废</w:t>
            </w:r>
          </w:p>
          <w:p w14:paraId="070B6C34">
            <w:pPr>
              <w:numPr>
                <w:ilvl w:val="0"/>
                <w:numId w:val="0"/>
              </w:numPr>
              <w:adjustRightInd w:val="0"/>
              <w:spacing w:line="360" w:lineRule="auto"/>
              <w:ind w:firstLine="480" w:firstLineChars="200"/>
              <w:rPr>
                <w:rFonts w:hint="default" w:ascii="Times New Roman" w:hAnsi="Times New Roman" w:eastAsia="宋体" w:cs="Times New Roman"/>
                <w:b w:val="0"/>
                <w:bCs w:val="0"/>
                <w:i w:val="0"/>
                <w:iCs w:val="0"/>
                <w:sz w:val="24"/>
                <w:szCs w:val="24"/>
                <w:highlight w:val="none"/>
                <w:u w:val="none"/>
                <w:lang w:val="en-US" w:eastAsia="zh-CN"/>
              </w:rPr>
            </w:pPr>
            <w:r>
              <w:rPr>
                <w:rFonts w:hint="eastAsia" w:cs="Times New Roman"/>
                <w:b w:val="0"/>
                <w:bCs w:val="0"/>
                <w:i w:val="0"/>
                <w:iCs w:val="0"/>
                <w:sz w:val="24"/>
                <w:szCs w:val="24"/>
                <w:highlight w:val="none"/>
                <w:u w:val="none"/>
                <w:lang w:val="en-US" w:eastAsia="zh-CN"/>
              </w:rPr>
              <w:t>本</w:t>
            </w:r>
            <w:r>
              <w:rPr>
                <w:rFonts w:hint="eastAsia" w:ascii="Times New Roman" w:hAnsi="Times New Roman" w:eastAsia="宋体" w:cs="Times New Roman"/>
                <w:b w:val="0"/>
                <w:bCs w:val="0"/>
                <w:i w:val="0"/>
                <w:iCs w:val="0"/>
                <w:sz w:val="24"/>
                <w:szCs w:val="24"/>
                <w:highlight w:val="none"/>
                <w:u w:val="none"/>
                <w:lang w:val="en-US" w:eastAsia="zh-CN"/>
              </w:rPr>
              <w:t>项目产生的固体废物主要是生活垃圾、</w:t>
            </w:r>
            <w:r>
              <w:rPr>
                <w:rFonts w:hint="eastAsia" w:cs="Times New Roman"/>
                <w:b w:val="0"/>
                <w:bCs w:val="0"/>
                <w:i w:val="0"/>
                <w:iCs w:val="0"/>
                <w:sz w:val="24"/>
                <w:szCs w:val="24"/>
                <w:highlight w:val="none"/>
                <w:u w:val="none"/>
                <w:lang w:val="en-US" w:eastAsia="zh-CN"/>
              </w:rPr>
              <w:t>除尘器</w:t>
            </w:r>
            <w:r>
              <w:rPr>
                <w:rFonts w:hint="eastAsia" w:ascii="Times New Roman" w:hAnsi="Times New Roman" w:eastAsia="宋体" w:cs="Times New Roman"/>
                <w:b w:val="0"/>
                <w:bCs w:val="0"/>
                <w:i w:val="0"/>
                <w:iCs w:val="0"/>
                <w:sz w:val="24"/>
                <w:szCs w:val="24"/>
                <w:highlight w:val="none"/>
                <w:u w:val="none"/>
                <w:lang w:val="en-US" w:eastAsia="zh-CN"/>
              </w:rPr>
              <w:t>收集粉尘、</w:t>
            </w:r>
            <w:r>
              <w:rPr>
                <w:rFonts w:hint="eastAsia" w:cs="Times New Roman"/>
                <w:b w:val="0"/>
                <w:bCs w:val="0"/>
                <w:i w:val="0"/>
                <w:iCs w:val="0"/>
                <w:sz w:val="24"/>
                <w:szCs w:val="24"/>
                <w:highlight w:val="none"/>
                <w:u w:val="none"/>
                <w:lang w:val="en-US" w:eastAsia="zh-CN"/>
              </w:rPr>
              <w:t>废布袋、沉淀池沉淀物、化验室废试样</w:t>
            </w:r>
            <w:r>
              <w:rPr>
                <w:rFonts w:hint="eastAsia" w:ascii="Times New Roman" w:hAnsi="Times New Roman" w:eastAsia="宋体" w:cs="Times New Roman"/>
                <w:b w:val="0"/>
                <w:bCs w:val="0"/>
                <w:i w:val="0"/>
                <w:iCs w:val="0"/>
                <w:sz w:val="24"/>
                <w:szCs w:val="24"/>
                <w:highlight w:val="none"/>
                <w:u w:val="none"/>
                <w:lang w:val="en-US" w:eastAsia="zh-CN"/>
              </w:rPr>
              <w:t>等。</w:t>
            </w:r>
          </w:p>
          <w:p w14:paraId="302B2514">
            <w:pPr>
              <w:numPr>
                <w:ilvl w:val="0"/>
                <w:numId w:val="0"/>
              </w:numPr>
              <w:adjustRightInd w:val="0"/>
              <w:spacing w:line="360" w:lineRule="auto"/>
              <w:ind w:firstLine="480" w:firstLineChars="200"/>
              <w:rPr>
                <w:rFonts w:hint="default" w:ascii="Times New Roman" w:hAnsi="Times New Roman" w:eastAsia="宋体" w:cs="Times New Roman"/>
                <w:b w:val="0"/>
                <w:bCs w:val="0"/>
                <w:i w:val="0"/>
                <w:iCs w:val="0"/>
                <w:sz w:val="24"/>
                <w:szCs w:val="24"/>
                <w:highlight w:val="none"/>
                <w:u w:val="none"/>
                <w:lang w:val="en-US" w:eastAsia="zh-CN"/>
              </w:rPr>
            </w:pPr>
            <w:r>
              <w:rPr>
                <w:rFonts w:hint="eastAsia" w:ascii="Times New Roman" w:hAnsi="Times New Roman" w:eastAsia="宋体" w:cs="Times New Roman"/>
                <w:b w:val="0"/>
                <w:bCs w:val="0"/>
                <w:i w:val="0"/>
                <w:iCs w:val="0"/>
                <w:sz w:val="24"/>
                <w:szCs w:val="24"/>
                <w:highlight w:val="none"/>
                <w:u w:val="none"/>
                <w:lang w:val="en-US" w:eastAsia="zh-CN"/>
              </w:rPr>
              <w:t>④噪声</w:t>
            </w:r>
          </w:p>
          <w:p w14:paraId="1A0D4855">
            <w:pPr>
              <w:numPr>
                <w:ilvl w:val="0"/>
                <w:numId w:val="0"/>
              </w:numPr>
              <w:adjustRightInd w:val="0"/>
              <w:spacing w:line="360" w:lineRule="auto"/>
              <w:ind w:firstLine="480" w:firstLineChars="200"/>
              <w:rPr>
                <w:rFonts w:hint="eastAsia" w:ascii="Times New Roman" w:hAnsi="Times New Roman" w:eastAsia="宋体" w:cs="Times New Roman"/>
                <w:b w:val="0"/>
                <w:bCs w:val="0"/>
                <w:i w:val="0"/>
                <w:iCs w:val="0"/>
                <w:sz w:val="24"/>
                <w:szCs w:val="24"/>
                <w:highlight w:val="none"/>
                <w:u w:val="none"/>
                <w:lang w:val="en-US" w:eastAsia="zh-CN"/>
              </w:rPr>
            </w:pPr>
            <w:r>
              <w:rPr>
                <w:rFonts w:hint="eastAsia" w:ascii="Times New Roman" w:hAnsi="Times New Roman" w:eastAsia="宋体" w:cs="Times New Roman"/>
                <w:b w:val="0"/>
                <w:bCs w:val="0"/>
                <w:i w:val="0"/>
                <w:iCs w:val="0"/>
                <w:sz w:val="24"/>
                <w:szCs w:val="24"/>
                <w:highlight w:val="none"/>
                <w:u w:val="none"/>
                <w:lang w:val="en-US" w:eastAsia="zh-CN"/>
              </w:rPr>
              <w:t>本项目噪声源主要是生产线生产设备运行时产生的噪声。</w:t>
            </w:r>
          </w:p>
          <w:p w14:paraId="07954FBA">
            <w:pPr>
              <w:jc w:val="center"/>
              <w:rPr>
                <w:rFonts w:ascii="Times New Roman" w:hAnsi="Times New Roman" w:eastAsia="宋体" w:cs="Times New Roman"/>
                <w:b/>
                <w:bCs/>
                <w:iCs/>
                <w:color w:val="auto"/>
                <w:sz w:val="21"/>
                <w:szCs w:val="21"/>
                <w:highlight w:val="none"/>
                <w:u w:val="single"/>
              </w:rPr>
            </w:pPr>
            <w:r>
              <w:rPr>
                <w:rFonts w:ascii="Times New Roman" w:hAnsi="Times New Roman" w:eastAsia="宋体" w:cs="Times New Roman"/>
                <w:b/>
                <w:bCs/>
                <w:iCs/>
                <w:color w:val="auto"/>
                <w:sz w:val="24"/>
                <w:szCs w:val="24"/>
                <w:highlight w:val="none"/>
                <w:u w:val="none"/>
              </w:rPr>
              <w:t>表</w:t>
            </w:r>
            <w:r>
              <w:rPr>
                <w:rFonts w:hint="eastAsia" w:cs="Times New Roman"/>
                <w:b/>
                <w:bCs/>
                <w:iCs/>
                <w:color w:val="auto"/>
                <w:sz w:val="24"/>
                <w:szCs w:val="24"/>
                <w:highlight w:val="none"/>
                <w:u w:val="none"/>
                <w:lang w:val="en-US" w:eastAsia="zh-CN"/>
              </w:rPr>
              <w:t>2-7</w:t>
            </w:r>
            <w:r>
              <w:rPr>
                <w:rFonts w:hint="eastAsia" w:ascii="Times New Roman" w:hAnsi="Times New Roman" w:eastAsia="宋体" w:cs="Times New Roman"/>
                <w:b/>
                <w:bCs/>
                <w:iCs/>
                <w:color w:val="auto"/>
                <w:sz w:val="24"/>
                <w:szCs w:val="24"/>
                <w:highlight w:val="none"/>
                <w:u w:val="none"/>
                <w:lang w:val="en-US" w:eastAsia="zh-CN"/>
              </w:rPr>
              <w:t xml:space="preserve">   运营期主要污染工序</w:t>
            </w:r>
            <w:r>
              <w:rPr>
                <w:rFonts w:ascii="Times New Roman" w:hAnsi="Times New Roman" w:eastAsia="宋体" w:cs="Times New Roman"/>
                <w:b/>
                <w:bCs/>
                <w:iCs/>
                <w:color w:val="auto"/>
                <w:sz w:val="24"/>
                <w:szCs w:val="24"/>
                <w:highlight w:val="none"/>
                <w:u w:val="none"/>
              </w:rPr>
              <w:t>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703"/>
              <w:gridCol w:w="2348"/>
              <w:gridCol w:w="2671"/>
            </w:tblGrid>
            <w:tr w14:paraId="036DC5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tcBorders>
                    <w:tl2br w:val="nil"/>
                    <w:tr2bl w:val="nil"/>
                  </w:tcBorders>
                  <w:noWrap w:val="0"/>
                  <w:vAlign w:val="center"/>
                </w:tcPr>
                <w:p w14:paraId="10439E81">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污染类别</w:t>
                  </w:r>
                </w:p>
              </w:tc>
              <w:tc>
                <w:tcPr>
                  <w:tcW w:w="1063" w:type="pct"/>
                  <w:tcBorders>
                    <w:tl2br w:val="nil"/>
                    <w:tr2bl w:val="nil"/>
                  </w:tcBorders>
                  <w:noWrap w:val="0"/>
                  <w:vAlign w:val="center"/>
                </w:tcPr>
                <w:p w14:paraId="6558625C">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污染源名称</w:t>
                  </w:r>
                </w:p>
              </w:tc>
              <w:tc>
                <w:tcPr>
                  <w:tcW w:w="1465" w:type="pct"/>
                  <w:tcBorders>
                    <w:tl2br w:val="nil"/>
                    <w:tr2bl w:val="nil"/>
                  </w:tcBorders>
                  <w:noWrap w:val="0"/>
                  <w:vAlign w:val="center"/>
                </w:tcPr>
                <w:p w14:paraId="38EFC7F8">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产污工序</w:t>
                  </w:r>
                </w:p>
              </w:tc>
              <w:tc>
                <w:tcPr>
                  <w:tcW w:w="1667" w:type="pct"/>
                  <w:tcBorders>
                    <w:tl2br w:val="nil"/>
                    <w:tr2bl w:val="nil"/>
                  </w:tcBorders>
                  <w:noWrap w:val="0"/>
                  <w:vAlign w:val="center"/>
                </w:tcPr>
                <w:p w14:paraId="48002E94">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主要污染因子</w:t>
                  </w:r>
                </w:p>
              </w:tc>
            </w:tr>
            <w:tr w14:paraId="1BDD14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vMerge w:val="restart"/>
                  <w:tcBorders>
                    <w:tl2br w:val="nil"/>
                    <w:tr2bl w:val="nil"/>
                  </w:tcBorders>
                  <w:noWrap w:val="0"/>
                  <w:vAlign w:val="center"/>
                </w:tcPr>
                <w:p w14:paraId="07F095FE">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废水</w:t>
                  </w:r>
                </w:p>
              </w:tc>
              <w:tc>
                <w:tcPr>
                  <w:tcW w:w="1063" w:type="pct"/>
                  <w:tcBorders>
                    <w:tl2br w:val="nil"/>
                    <w:tr2bl w:val="nil"/>
                  </w:tcBorders>
                  <w:noWrap w:val="0"/>
                  <w:vAlign w:val="center"/>
                </w:tcPr>
                <w:p w14:paraId="68DB6B43">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生活</w:t>
                  </w:r>
                  <w:r>
                    <w:rPr>
                      <w:rFonts w:hint="eastAsia" w:cs="Times New Roman"/>
                      <w:color w:val="auto"/>
                      <w:szCs w:val="21"/>
                      <w:highlight w:val="none"/>
                      <w:lang w:val="en-US" w:eastAsia="zh-CN"/>
                    </w:rPr>
                    <w:t>污</w:t>
                  </w:r>
                  <w:r>
                    <w:rPr>
                      <w:rFonts w:hint="eastAsia" w:ascii="Times New Roman" w:hAnsi="Times New Roman" w:eastAsia="宋体" w:cs="Times New Roman"/>
                      <w:color w:val="auto"/>
                      <w:szCs w:val="21"/>
                      <w:highlight w:val="none"/>
                      <w:lang w:val="en-US" w:eastAsia="zh-CN"/>
                    </w:rPr>
                    <w:t>水</w:t>
                  </w:r>
                </w:p>
              </w:tc>
              <w:tc>
                <w:tcPr>
                  <w:tcW w:w="1465" w:type="pct"/>
                  <w:tcBorders>
                    <w:tl2br w:val="nil"/>
                    <w:tr2bl w:val="nil"/>
                  </w:tcBorders>
                  <w:noWrap w:val="0"/>
                  <w:vAlign w:val="center"/>
                </w:tcPr>
                <w:p w14:paraId="3EBE51FF">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生活办公</w:t>
                  </w:r>
                </w:p>
              </w:tc>
              <w:tc>
                <w:tcPr>
                  <w:tcW w:w="1667" w:type="pct"/>
                  <w:tcBorders>
                    <w:tl2br w:val="nil"/>
                    <w:tr2bl w:val="nil"/>
                  </w:tcBorders>
                  <w:noWrap w:val="0"/>
                  <w:vAlign w:val="center"/>
                </w:tcPr>
                <w:p w14:paraId="505FBA29">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COD、BOD</w:t>
                  </w:r>
                  <w:r>
                    <w:rPr>
                      <w:rFonts w:hint="eastAsia" w:ascii="Times New Roman" w:hAnsi="Times New Roman" w:eastAsia="宋体" w:cs="Times New Roman"/>
                      <w:color w:val="auto"/>
                      <w:szCs w:val="21"/>
                      <w:highlight w:val="none"/>
                      <w:vertAlign w:val="subscript"/>
                      <w:lang w:val="en-US" w:eastAsia="zh-CN"/>
                    </w:rPr>
                    <w:t>5</w:t>
                  </w:r>
                  <w:r>
                    <w:rPr>
                      <w:rFonts w:hint="eastAsia" w:ascii="Times New Roman" w:hAnsi="Times New Roman" w:eastAsia="宋体" w:cs="Times New Roman"/>
                      <w:color w:val="auto"/>
                      <w:szCs w:val="21"/>
                      <w:highlight w:val="none"/>
                      <w:lang w:val="en-US" w:eastAsia="zh-CN"/>
                    </w:rPr>
                    <w:t>、SS、</w:t>
                  </w:r>
                  <w:r>
                    <w:rPr>
                      <w:rFonts w:hint="eastAsia" w:cs="Times New Roman"/>
                      <w:color w:val="auto"/>
                      <w:szCs w:val="21"/>
                      <w:highlight w:val="none"/>
                      <w:lang w:val="en-US" w:eastAsia="zh-CN"/>
                    </w:rPr>
                    <w:t>氨氮</w:t>
                  </w:r>
                </w:p>
              </w:tc>
            </w:tr>
            <w:tr w14:paraId="7D7DBA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vMerge w:val="continue"/>
                  <w:tcBorders>
                    <w:tl2br w:val="nil"/>
                    <w:tr2bl w:val="nil"/>
                  </w:tcBorders>
                  <w:noWrap w:val="0"/>
                  <w:vAlign w:val="center"/>
                </w:tcPr>
                <w:p w14:paraId="12A30BCE">
                  <w:pPr>
                    <w:snapToGrid w:val="0"/>
                    <w:jc w:val="center"/>
                    <w:rPr>
                      <w:rFonts w:hint="eastAsia" w:ascii="Times New Roman" w:hAnsi="Times New Roman" w:eastAsia="宋体" w:cs="Times New Roman"/>
                      <w:color w:val="auto"/>
                      <w:szCs w:val="21"/>
                      <w:highlight w:val="none"/>
                      <w:lang w:val="en-US" w:eastAsia="zh-CN"/>
                    </w:rPr>
                  </w:pPr>
                </w:p>
              </w:tc>
              <w:tc>
                <w:tcPr>
                  <w:tcW w:w="1063" w:type="pct"/>
                  <w:tcBorders>
                    <w:tl2br w:val="nil"/>
                    <w:tr2bl w:val="nil"/>
                  </w:tcBorders>
                  <w:noWrap w:val="0"/>
                  <w:vAlign w:val="center"/>
                </w:tcPr>
                <w:p w14:paraId="45964111">
                  <w:pPr>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设备</w:t>
                  </w:r>
                  <w:r>
                    <w:rPr>
                      <w:rFonts w:hint="eastAsia" w:cs="Times New Roman"/>
                      <w:color w:val="auto"/>
                      <w:szCs w:val="21"/>
                      <w:highlight w:val="none"/>
                      <w:lang w:val="en-US" w:eastAsia="zh-CN"/>
                    </w:rPr>
                    <w:t>清</w:t>
                  </w:r>
                  <w:r>
                    <w:rPr>
                      <w:rFonts w:hint="eastAsia" w:ascii="Times New Roman" w:hAnsi="Times New Roman" w:eastAsia="宋体" w:cs="Times New Roman"/>
                      <w:color w:val="auto"/>
                      <w:szCs w:val="21"/>
                      <w:highlight w:val="none"/>
                      <w:lang w:val="en-US" w:eastAsia="zh-CN"/>
                    </w:rPr>
                    <w:t>洗废水、罐车清洗废水</w:t>
                  </w:r>
                </w:p>
              </w:tc>
              <w:tc>
                <w:tcPr>
                  <w:tcW w:w="1465" w:type="pct"/>
                  <w:tcBorders>
                    <w:tl2br w:val="nil"/>
                    <w:tr2bl w:val="nil"/>
                  </w:tcBorders>
                  <w:noWrap w:val="0"/>
                  <w:vAlign w:val="center"/>
                </w:tcPr>
                <w:p w14:paraId="51DBEFF1">
                  <w:pPr>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设备</w:t>
                  </w:r>
                  <w:r>
                    <w:rPr>
                      <w:rFonts w:hint="eastAsia" w:cs="Times New Roman"/>
                      <w:color w:val="auto"/>
                      <w:szCs w:val="21"/>
                      <w:highlight w:val="none"/>
                      <w:lang w:val="en-US" w:eastAsia="zh-CN"/>
                    </w:rPr>
                    <w:t>清</w:t>
                  </w:r>
                  <w:r>
                    <w:rPr>
                      <w:rFonts w:hint="eastAsia" w:ascii="Times New Roman" w:hAnsi="Times New Roman" w:eastAsia="宋体" w:cs="Times New Roman"/>
                      <w:color w:val="auto"/>
                      <w:szCs w:val="21"/>
                      <w:highlight w:val="none"/>
                      <w:lang w:val="en-US" w:eastAsia="zh-CN"/>
                    </w:rPr>
                    <w:t>洗、罐车清洗</w:t>
                  </w:r>
                </w:p>
              </w:tc>
              <w:tc>
                <w:tcPr>
                  <w:tcW w:w="1667" w:type="pct"/>
                  <w:tcBorders>
                    <w:tl2br w:val="nil"/>
                    <w:tr2bl w:val="nil"/>
                  </w:tcBorders>
                  <w:noWrap w:val="0"/>
                  <w:vAlign w:val="center"/>
                </w:tcPr>
                <w:p w14:paraId="2F5F044C">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SS</w:t>
                  </w:r>
                </w:p>
              </w:tc>
            </w:tr>
            <w:tr w14:paraId="7F2589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tcBorders>
                    <w:tl2br w:val="nil"/>
                    <w:tr2bl w:val="nil"/>
                  </w:tcBorders>
                  <w:noWrap w:val="0"/>
                  <w:vAlign w:val="center"/>
                </w:tcPr>
                <w:p w14:paraId="7662B4B2">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废气</w:t>
                  </w:r>
                </w:p>
              </w:tc>
              <w:tc>
                <w:tcPr>
                  <w:tcW w:w="1063" w:type="pct"/>
                  <w:tcBorders>
                    <w:tl2br w:val="nil"/>
                    <w:tr2bl w:val="nil"/>
                  </w:tcBorders>
                  <w:noWrap w:val="0"/>
                  <w:vAlign w:val="center"/>
                </w:tcPr>
                <w:p w14:paraId="7167E507">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粉尘</w:t>
                  </w:r>
                </w:p>
              </w:tc>
              <w:tc>
                <w:tcPr>
                  <w:tcW w:w="1465" w:type="pct"/>
                  <w:tcBorders>
                    <w:tl2br w:val="nil"/>
                    <w:tr2bl w:val="nil"/>
                  </w:tcBorders>
                  <w:noWrap w:val="0"/>
                  <w:vAlign w:val="center"/>
                </w:tcPr>
                <w:p w14:paraId="7D486277">
                  <w:pPr>
                    <w:keepNext w:val="0"/>
                    <w:keepLines w:val="0"/>
                    <w:widowControl/>
                    <w:suppressLineNumbers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搅拌工序、水泥储罐、粉煤灰</w:t>
                  </w:r>
                  <w:r>
                    <w:rPr>
                      <w:rFonts w:hint="eastAsia" w:cs="Times New Roman"/>
                      <w:color w:val="auto"/>
                      <w:szCs w:val="21"/>
                      <w:highlight w:val="none"/>
                      <w:lang w:val="en-US" w:eastAsia="zh-CN"/>
                    </w:rPr>
                    <w:t>储</w:t>
                  </w:r>
                  <w:r>
                    <w:rPr>
                      <w:rFonts w:hint="eastAsia" w:ascii="Times New Roman" w:hAnsi="Times New Roman" w:eastAsia="宋体" w:cs="Times New Roman"/>
                      <w:color w:val="auto"/>
                      <w:szCs w:val="21"/>
                      <w:highlight w:val="none"/>
                      <w:lang w:val="en-US" w:eastAsia="zh-CN"/>
                    </w:rPr>
                    <w:t>罐、</w:t>
                  </w:r>
                  <w:r>
                    <w:rPr>
                      <w:rFonts w:hint="eastAsia" w:cs="Times New Roman"/>
                      <w:color w:val="auto"/>
                      <w:szCs w:val="21"/>
                      <w:highlight w:val="none"/>
                      <w:lang w:val="en-US" w:eastAsia="zh-CN"/>
                    </w:rPr>
                    <w:t>矿粉储罐、骨</w:t>
                  </w:r>
                  <w:r>
                    <w:rPr>
                      <w:rFonts w:hint="eastAsia" w:ascii="Times New Roman" w:hAnsi="Times New Roman" w:eastAsia="宋体" w:cs="Times New Roman"/>
                      <w:color w:val="auto"/>
                      <w:szCs w:val="21"/>
                      <w:highlight w:val="none"/>
                      <w:lang w:val="en-US" w:eastAsia="zh-CN"/>
                    </w:rPr>
                    <w:t>料堆场、上料、车辆运输</w:t>
                  </w:r>
                </w:p>
              </w:tc>
              <w:tc>
                <w:tcPr>
                  <w:tcW w:w="1667" w:type="pct"/>
                  <w:tcBorders>
                    <w:tl2br w:val="nil"/>
                    <w:tr2bl w:val="nil"/>
                  </w:tcBorders>
                  <w:noWrap w:val="0"/>
                  <w:vAlign w:val="center"/>
                </w:tcPr>
                <w:p w14:paraId="71FC33F1">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颗粒物</w:t>
                  </w:r>
                </w:p>
              </w:tc>
            </w:tr>
            <w:tr w14:paraId="546CE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tcBorders>
                    <w:tl2br w:val="nil"/>
                    <w:tr2bl w:val="nil"/>
                  </w:tcBorders>
                  <w:noWrap w:val="0"/>
                  <w:vAlign w:val="center"/>
                </w:tcPr>
                <w:p w14:paraId="6A29059D">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噪声</w:t>
                  </w:r>
                </w:p>
              </w:tc>
              <w:tc>
                <w:tcPr>
                  <w:tcW w:w="1063" w:type="pct"/>
                  <w:tcBorders>
                    <w:tl2br w:val="nil"/>
                    <w:tr2bl w:val="nil"/>
                  </w:tcBorders>
                  <w:noWrap w:val="0"/>
                  <w:vAlign w:val="center"/>
                </w:tcPr>
                <w:p w14:paraId="14923325">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设备噪声</w:t>
                  </w:r>
                </w:p>
              </w:tc>
              <w:tc>
                <w:tcPr>
                  <w:tcW w:w="1465" w:type="pct"/>
                  <w:tcBorders>
                    <w:tl2br w:val="nil"/>
                    <w:tr2bl w:val="nil"/>
                  </w:tcBorders>
                  <w:noWrap w:val="0"/>
                  <w:vAlign w:val="center"/>
                </w:tcPr>
                <w:p w14:paraId="2CD318B1">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设备运转</w:t>
                  </w:r>
                </w:p>
              </w:tc>
              <w:tc>
                <w:tcPr>
                  <w:tcW w:w="1667" w:type="pct"/>
                  <w:tcBorders>
                    <w:tl2br w:val="nil"/>
                    <w:tr2bl w:val="nil"/>
                  </w:tcBorders>
                  <w:noWrap w:val="0"/>
                  <w:vAlign w:val="center"/>
                </w:tcPr>
                <w:p w14:paraId="27C9C56B">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噪声</w:t>
                  </w:r>
                </w:p>
              </w:tc>
            </w:tr>
            <w:tr w14:paraId="7D4C66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vMerge w:val="restart"/>
                  <w:tcBorders>
                    <w:tl2br w:val="nil"/>
                    <w:tr2bl w:val="nil"/>
                  </w:tcBorders>
                  <w:noWrap w:val="0"/>
                  <w:vAlign w:val="center"/>
                </w:tcPr>
                <w:p w14:paraId="18DE7BB8">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固废</w:t>
                  </w:r>
                </w:p>
              </w:tc>
              <w:tc>
                <w:tcPr>
                  <w:tcW w:w="1063" w:type="pct"/>
                  <w:tcBorders>
                    <w:tl2br w:val="nil"/>
                    <w:tr2bl w:val="nil"/>
                  </w:tcBorders>
                  <w:noWrap w:val="0"/>
                  <w:vAlign w:val="center"/>
                </w:tcPr>
                <w:p w14:paraId="5D5CB0A7">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生活垃圾</w:t>
                  </w:r>
                </w:p>
              </w:tc>
              <w:tc>
                <w:tcPr>
                  <w:tcW w:w="1465" w:type="pct"/>
                  <w:tcBorders>
                    <w:tl2br w:val="nil"/>
                    <w:tr2bl w:val="nil"/>
                  </w:tcBorders>
                  <w:noWrap w:val="0"/>
                  <w:vAlign w:val="center"/>
                </w:tcPr>
                <w:p w14:paraId="517224BD">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生活办公</w:t>
                  </w:r>
                </w:p>
              </w:tc>
              <w:tc>
                <w:tcPr>
                  <w:tcW w:w="1667" w:type="pct"/>
                  <w:tcBorders>
                    <w:tl2br w:val="nil"/>
                    <w:tr2bl w:val="nil"/>
                  </w:tcBorders>
                  <w:noWrap w:val="0"/>
                  <w:vAlign w:val="center"/>
                </w:tcPr>
                <w:p w14:paraId="7BDF809A">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生活垃圾</w:t>
                  </w:r>
                </w:p>
              </w:tc>
            </w:tr>
            <w:tr w14:paraId="060703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vMerge w:val="continue"/>
                  <w:tcBorders>
                    <w:tl2br w:val="nil"/>
                    <w:tr2bl w:val="nil"/>
                  </w:tcBorders>
                  <w:noWrap w:val="0"/>
                  <w:vAlign w:val="center"/>
                </w:tcPr>
                <w:p w14:paraId="505279BD">
                  <w:pPr>
                    <w:snapToGrid w:val="0"/>
                    <w:jc w:val="center"/>
                    <w:rPr>
                      <w:rFonts w:hint="eastAsia" w:ascii="Times New Roman" w:hAnsi="Times New Roman" w:eastAsia="宋体" w:cs="Times New Roman"/>
                      <w:color w:val="auto"/>
                      <w:szCs w:val="21"/>
                      <w:highlight w:val="none"/>
                      <w:lang w:val="en-US" w:eastAsia="zh-CN"/>
                    </w:rPr>
                  </w:pPr>
                </w:p>
              </w:tc>
              <w:tc>
                <w:tcPr>
                  <w:tcW w:w="1063" w:type="pct"/>
                  <w:tcBorders>
                    <w:tl2br w:val="nil"/>
                    <w:tr2bl w:val="nil"/>
                  </w:tcBorders>
                  <w:noWrap w:val="0"/>
                  <w:vAlign w:val="center"/>
                </w:tcPr>
                <w:p w14:paraId="4C8B4E43">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除尘器</w:t>
                  </w:r>
                  <w:r>
                    <w:rPr>
                      <w:rFonts w:hint="eastAsia" w:ascii="Times New Roman" w:hAnsi="Times New Roman" w:eastAsia="宋体" w:cs="Times New Roman"/>
                      <w:color w:val="auto"/>
                      <w:szCs w:val="21"/>
                      <w:highlight w:val="none"/>
                      <w:lang w:val="en-US" w:eastAsia="zh-CN"/>
                    </w:rPr>
                    <w:t>收集粉尘</w:t>
                  </w:r>
                </w:p>
              </w:tc>
              <w:tc>
                <w:tcPr>
                  <w:tcW w:w="1465" w:type="pct"/>
                  <w:tcBorders>
                    <w:tl2br w:val="nil"/>
                    <w:tr2bl w:val="nil"/>
                  </w:tcBorders>
                  <w:noWrap w:val="0"/>
                  <w:vAlign w:val="center"/>
                </w:tcPr>
                <w:p w14:paraId="7DDE25B5">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废气治理</w:t>
                  </w:r>
                </w:p>
              </w:tc>
              <w:tc>
                <w:tcPr>
                  <w:tcW w:w="1667" w:type="pct"/>
                  <w:tcBorders>
                    <w:tl2br w:val="nil"/>
                    <w:tr2bl w:val="nil"/>
                  </w:tcBorders>
                  <w:noWrap w:val="0"/>
                  <w:vAlign w:val="center"/>
                </w:tcPr>
                <w:p w14:paraId="04A792BD">
                  <w:pPr>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一般</w:t>
                  </w:r>
                  <w:r>
                    <w:rPr>
                      <w:rFonts w:hint="eastAsia" w:cs="Times New Roman"/>
                      <w:color w:val="auto"/>
                      <w:szCs w:val="21"/>
                      <w:highlight w:val="none"/>
                      <w:lang w:val="en-US" w:eastAsia="zh-CN"/>
                    </w:rPr>
                    <w:t>工业</w:t>
                  </w:r>
                  <w:r>
                    <w:rPr>
                      <w:rFonts w:hint="eastAsia" w:ascii="Times New Roman" w:hAnsi="Times New Roman" w:eastAsia="宋体" w:cs="Times New Roman"/>
                      <w:color w:val="auto"/>
                      <w:szCs w:val="21"/>
                      <w:highlight w:val="none"/>
                      <w:lang w:val="en-US" w:eastAsia="zh-CN"/>
                    </w:rPr>
                    <w:t>固废</w:t>
                  </w:r>
                </w:p>
              </w:tc>
            </w:tr>
            <w:tr w14:paraId="24DEF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vMerge w:val="continue"/>
                  <w:tcBorders>
                    <w:tl2br w:val="nil"/>
                    <w:tr2bl w:val="nil"/>
                  </w:tcBorders>
                  <w:noWrap w:val="0"/>
                  <w:vAlign w:val="center"/>
                </w:tcPr>
                <w:p w14:paraId="0071EE94">
                  <w:pPr>
                    <w:snapToGrid w:val="0"/>
                    <w:jc w:val="center"/>
                    <w:rPr>
                      <w:rFonts w:hint="eastAsia" w:ascii="Times New Roman" w:hAnsi="Times New Roman" w:eastAsia="宋体" w:cs="Times New Roman"/>
                      <w:color w:val="auto"/>
                      <w:szCs w:val="21"/>
                      <w:highlight w:val="none"/>
                      <w:lang w:val="en-US" w:eastAsia="zh-CN"/>
                    </w:rPr>
                  </w:pPr>
                </w:p>
              </w:tc>
              <w:tc>
                <w:tcPr>
                  <w:tcW w:w="1063" w:type="pct"/>
                  <w:tcBorders>
                    <w:tl2br w:val="nil"/>
                    <w:tr2bl w:val="nil"/>
                  </w:tcBorders>
                  <w:noWrap w:val="0"/>
                  <w:vAlign w:val="center"/>
                </w:tcPr>
                <w:p w14:paraId="0553EEA4">
                  <w:pPr>
                    <w:snapToGrid w:val="0"/>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废布袋</w:t>
                  </w:r>
                </w:p>
              </w:tc>
              <w:tc>
                <w:tcPr>
                  <w:tcW w:w="1465" w:type="pct"/>
                  <w:tcBorders>
                    <w:tl2br w:val="nil"/>
                    <w:tr2bl w:val="nil"/>
                  </w:tcBorders>
                  <w:shd w:val="clear" w:color="auto" w:fill="auto"/>
                  <w:noWrap w:val="0"/>
                  <w:vAlign w:val="center"/>
                </w:tcPr>
                <w:p w14:paraId="6128C94A">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废气治理</w:t>
                  </w:r>
                </w:p>
              </w:tc>
              <w:tc>
                <w:tcPr>
                  <w:tcW w:w="1667" w:type="pct"/>
                  <w:tcBorders>
                    <w:tl2br w:val="nil"/>
                    <w:tr2bl w:val="nil"/>
                  </w:tcBorders>
                  <w:shd w:val="clear" w:color="auto" w:fill="auto"/>
                  <w:noWrap w:val="0"/>
                  <w:vAlign w:val="center"/>
                </w:tcPr>
                <w:p w14:paraId="50CE0611">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一般</w:t>
                  </w:r>
                  <w:r>
                    <w:rPr>
                      <w:rFonts w:hint="eastAsia" w:cs="Times New Roman"/>
                      <w:color w:val="auto"/>
                      <w:szCs w:val="21"/>
                      <w:highlight w:val="none"/>
                      <w:lang w:val="en-US" w:eastAsia="zh-CN"/>
                    </w:rPr>
                    <w:t>工业</w:t>
                  </w:r>
                  <w:r>
                    <w:rPr>
                      <w:rFonts w:hint="eastAsia" w:ascii="Times New Roman" w:hAnsi="Times New Roman" w:eastAsia="宋体" w:cs="Times New Roman"/>
                      <w:color w:val="auto"/>
                      <w:szCs w:val="21"/>
                      <w:highlight w:val="none"/>
                      <w:lang w:val="en-US" w:eastAsia="zh-CN"/>
                    </w:rPr>
                    <w:t>固废</w:t>
                  </w:r>
                </w:p>
              </w:tc>
            </w:tr>
            <w:tr w14:paraId="38147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vMerge w:val="continue"/>
                  <w:tcBorders>
                    <w:tl2br w:val="nil"/>
                    <w:tr2bl w:val="nil"/>
                  </w:tcBorders>
                  <w:noWrap w:val="0"/>
                  <w:vAlign w:val="center"/>
                </w:tcPr>
                <w:p w14:paraId="3131F4D1">
                  <w:pPr>
                    <w:snapToGrid w:val="0"/>
                    <w:jc w:val="center"/>
                    <w:rPr>
                      <w:rFonts w:hint="eastAsia" w:ascii="Times New Roman" w:hAnsi="Times New Roman" w:eastAsia="宋体" w:cs="Times New Roman"/>
                      <w:color w:val="auto"/>
                      <w:szCs w:val="21"/>
                      <w:highlight w:val="none"/>
                      <w:lang w:val="en-US" w:eastAsia="zh-CN"/>
                    </w:rPr>
                  </w:pPr>
                </w:p>
              </w:tc>
              <w:tc>
                <w:tcPr>
                  <w:tcW w:w="1063" w:type="pct"/>
                  <w:tcBorders>
                    <w:tl2br w:val="nil"/>
                    <w:tr2bl w:val="nil"/>
                  </w:tcBorders>
                  <w:noWrap w:val="0"/>
                  <w:vAlign w:val="center"/>
                </w:tcPr>
                <w:p w14:paraId="4C232B12">
                  <w:pPr>
                    <w:snapToGrid w:val="0"/>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沉淀池沉淀物</w:t>
                  </w:r>
                </w:p>
              </w:tc>
              <w:tc>
                <w:tcPr>
                  <w:tcW w:w="1465" w:type="pct"/>
                  <w:tcBorders>
                    <w:tl2br w:val="nil"/>
                    <w:tr2bl w:val="nil"/>
                  </w:tcBorders>
                  <w:shd w:val="clear" w:color="auto" w:fill="auto"/>
                  <w:noWrap w:val="0"/>
                  <w:vAlign w:val="center"/>
                </w:tcPr>
                <w:p w14:paraId="3BC89CE9">
                  <w:pPr>
                    <w:snapToGrid w:val="0"/>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废水治理</w:t>
                  </w:r>
                </w:p>
              </w:tc>
              <w:tc>
                <w:tcPr>
                  <w:tcW w:w="1667" w:type="pct"/>
                  <w:tcBorders>
                    <w:tl2br w:val="nil"/>
                    <w:tr2bl w:val="nil"/>
                  </w:tcBorders>
                  <w:shd w:val="clear" w:color="auto" w:fill="auto"/>
                  <w:noWrap w:val="0"/>
                  <w:vAlign w:val="center"/>
                </w:tcPr>
                <w:p w14:paraId="3F081ABB">
                  <w:pPr>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一般</w:t>
                  </w:r>
                  <w:r>
                    <w:rPr>
                      <w:rFonts w:hint="eastAsia" w:cs="Times New Roman"/>
                      <w:color w:val="auto"/>
                      <w:szCs w:val="21"/>
                      <w:highlight w:val="none"/>
                      <w:lang w:val="en-US" w:eastAsia="zh-CN"/>
                    </w:rPr>
                    <w:t>工业</w:t>
                  </w:r>
                  <w:r>
                    <w:rPr>
                      <w:rFonts w:hint="eastAsia" w:ascii="Times New Roman" w:hAnsi="Times New Roman" w:eastAsia="宋体" w:cs="Times New Roman"/>
                      <w:color w:val="auto"/>
                      <w:szCs w:val="21"/>
                      <w:highlight w:val="none"/>
                      <w:lang w:val="en-US" w:eastAsia="zh-CN"/>
                    </w:rPr>
                    <w:t>固废</w:t>
                  </w:r>
                </w:p>
              </w:tc>
            </w:tr>
            <w:tr w14:paraId="682F6F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3" w:type="pct"/>
                  <w:vMerge w:val="continue"/>
                  <w:tcBorders>
                    <w:tl2br w:val="nil"/>
                    <w:tr2bl w:val="nil"/>
                  </w:tcBorders>
                  <w:noWrap w:val="0"/>
                  <w:vAlign w:val="center"/>
                </w:tcPr>
                <w:p w14:paraId="2CFD5A46">
                  <w:pPr>
                    <w:snapToGrid w:val="0"/>
                    <w:jc w:val="center"/>
                    <w:rPr>
                      <w:rFonts w:hint="eastAsia" w:ascii="Times New Roman" w:hAnsi="Times New Roman" w:eastAsia="宋体" w:cs="Times New Roman"/>
                      <w:color w:val="auto"/>
                      <w:szCs w:val="21"/>
                      <w:highlight w:val="none"/>
                      <w:lang w:val="en-US" w:eastAsia="zh-CN"/>
                    </w:rPr>
                  </w:pPr>
                </w:p>
              </w:tc>
              <w:tc>
                <w:tcPr>
                  <w:tcW w:w="1063" w:type="pct"/>
                  <w:tcBorders>
                    <w:tl2br w:val="nil"/>
                    <w:tr2bl w:val="nil"/>
                  </w:tcBorders>
                  <w:noWrap w:val="0"/>
                  <w:vAlign w:val="center"/>
                </w:tcPr>
                <w:p w14:paraId="24B05AC4">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化验室废试样</w:t>
                  </w:r>
                </w:p>
              </w:tc>
              <w:tc>
                <w:tcPr>
                  <w:tcW w:w="1465" w:type="pct"/>
                  <w:tcBorders>
                    <w:tl2br w:val="nil"/>
                    <w:tr2bl w:val="nil"/>
                  </w:tcBorders>
                  <w:noWrap w:val="0"/>
                  <w:vAlign w:val="center"/>
                </w:tcPr>
                <w:p w14:paraId="0BCBF5EA">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化验室</w:t>
                  </w:r>
                </w:p>
              </w:tc>
              <w:tc>
                <w:tcPr>
                  <w:tcW w:w="1667" w:type="pct"/>
                  <w:tcBorders>
                    <w:tl2br w:val="nil"/>
                    <w:tr2bl w:val="nil"/>
                  </w:tcBorders>
                  <w:noWrap w:val="0"/>
                  <w:vAlign w:val="center"/>
                </w:tcPr>
                <w:p w14:paraId="447DE7A5">
                  <w:pPr>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一般</w:t>
                  </w:r>
                  <w:r>
                    <w:rPr>
                      <w:rFonts w:hint="eastAsia" w:cs="Times New Roman"/>
                      <w:color w:val="auto"/>
                      <w:szCs w:val="21"/>
                      <w:highlight w:val="none"/>
                      <w:lang w:val="en-US" w:eastAsia="zh-CN"/>
                    </w:rPr>
                    <w:t>工业</w:t>
                  </w:r>
                  <w:r>
                    <w:rPr>
                      <w:rFonts w:hint="eastAsia" w:ascii="Times New Roman" w:hAnsi="Times New Roman" w:eastAsia="宋体" w:cs="Times New Roman"/>
                      <w:color w:val="auto"/>
                      <w:szCs w:val="21"/>
                      <w:highlight w:val="none"/>
                      <w:lang w:val="en-US" w:eastAsia="zh-CN"/>
                    </w:rPr>
                    <w:t>固废</w:t>
                  </w:r>
                </w:p>
              </w:tc>
            </w:tr>
          </w:tbl>
          <w:p w14:paraId="3F6D3BA7">
            <w:pPr>
              <w:adjustRightInd w:val="0"/>
              <w:spacing w:line="360" w:lineRule="auto"/>
              <w:ind w:firstLine="482" w:firstLineChars="200"/>
              <w:rPr>
                <w:rFonts w:hint="eastAsia"/>
                <w:b/>
                <w:bCs/>
                <w:sz w:val="24"/>
                <w:szCs w:val="24"/>
              </w:rPr>
            </w:pPr>
            <w:r>
              <w:rPr>
                <w:rFonts w:hint="eastAsia"/>
                <w:b/>
                <w:bCs/>
                <w:sz w:val="24"/>
                <w:szCs w:val="24"/>
                <w:lang w:val="en-US" w:eastAsia="zh-CN"/>
              </w:rPr>
              <w:t>5</w:t>
            </w:r>
            <w:r>
              <w:rPr>
                <w:rFonts w:hint="eastAsia"/>
                <w:b/>
                <w:bCs/>
                <w:sz w:val="24"/>
                <w:szCs w:val="24"/>
              </w:rPr>
              <w:t>、</w:t>
            </w:r>
            <w:r>
              <w:rPr>
                <w:rFonts w:hint="eastAsia"/>
                <w:b/>
                <w:bCs/>
                <w:sz w:val="24"/>
                <w:szCs w:val="24"/>
                <w:highlight w:val="none"/>
              </w:rPr>
              <w:t>物料平衡</w:t>
            </w:r>
          </w:p>
          <w:p w14:paraId="788864E1">
            <w:pPr>
              <w:adjustRightInd w:val="0"/>
              <w:spacing w:line="360" w:lineRule="auto"/>
              <w:ind w:firstLine="480" w:firstLineChars="200"/>
              <w:rPr>
                <w:rFonts w:hint="eastAsia"/>
                <w:color w:val="000000" w:themeColor="text1"/>
                <w:sz w:val="24"/>
                <w:szCs w:val="24"/>
                <w:highlight w:val="none"/>
                <w:u w:val="none" w:color="auto"/>
                <w14:textFill>
                  <w14:solidFill>
                    <w14:schemeClr w14:val="tx1"/>
                  </w14:solidFill>
                </w14:textFill>
              </w:rPr>
            </w:pPr>
            <w:r>
              <w:rPr>
                <w:rFonts w:hint="eastAsia"/>
                <w:color w:val="000000" w:themeColor="text1"/>
                <w:sz w:val="24"/>
                <w:szCs w:val="24"/>
                <w:highlight w:val="none"/>
                <w:u w:val="none" w:color="auto"/>
                <w14:textFill>
                  <w14:solidFill>
                    <w14:schemeClr w14:val="tx1"/>
                  </w14:solidFill>
                </w14:textFill>
              </w:rPr>
              <w:t>根据混凝土生产工艺，使用的原料主要是</w:t>
            </w:r>
            <w:r>
              <w:rPr>
                <w:rFonts w:hint="eastAsia"/>
                <w:color w:val="000000" w:themeColor="text1"/>
                <w:sz w:val="24"/>
                <w:szCs w:val="24"/>
                <w:highlight w:val="none"/>
                <w:u w:val="none" w:color="auto"/>
                <w:lang w:eastAsia="zh-CN"/>
                <w14:textFill>
                  <w14:solidFill>
                    <w14:schemeClr w14:val="tx1"/>
                  </w14:solidFill>
                </w14:textFill>
              </w:rPr>
              <w:t>砂子、</w:t>
            </w:r>
            <w:r>
              <w:rPr>
                <w:rFonts w:hint="eastAsia"/>
                <w:color w:val="000000" w:themeColor="text1"/>
                <w:sz w:val="24"/>
                <w:szCs w:val="24"/>
                <w:highlight w:val="none"/>
                <w:u w:val="none" w:color="auto"/>
                <w:lang w:val="en-US" w:eastAsia="zh-CN"/>
                <w14:textFill>
                  <w14:solidFill>
                    <w14:schemeClr w14:val="tx1"/>
                  </w14:solidFill>
                </w14:textFill>
              </w:rPr>
              <w:t>碎石</w:t>
            </w:r>
            <w:r>
              <w:rPr>
                <w:rFonts w:hint="eastAsia"/>
                <w:color w:val="000000" w:themeColor="text1"/>
                <w:sz w:val="24"/>
                <w:szCs w:val="24"/>
                <w:highlight w:val="none"/>
                <w:u w:val="none" w:color="auto"/>
                <w:lang w:eastAsia="zh-CN"/>
                <w14:textFill>
                  <w14:solidFill>
                    <w14:schemeClr w14:val="tx1"/>
                  </w14:solidFill>
                </w14:textFill>
              </w:rPr>
              <w:t>、</w:t>
            </w:r>
            <w:r>
              <w:rPr>
                <w:rFonts w:hint="eastAsia"/>
                <w:color w:val="000000" w:themeColor="text1"/>
                <w:sz w:val="24"/>
                <w:szCs w:val="24"/>
                <w:highlight w:val="none"/>
                <w:u w:val="none" w:color="auto"/>
                <w14:textFill>
                  <w14:solidFill>
                    <w14:schemeClr w14:val="tx1"/>
                  </w14:solidFill>
                </w14:textFill>
              </w:rPr>
              <w:t>水泥、粉煤灰</w:t>
            </w:r>
            <w:r>
              <w:rPr>
                <w:rFonts w:hint="eastAsia"/>
                <w:color w:val="000000" w:themeColor="text1"/>
                <w:sz w:val="24"/>
                <w:szCs w:val="24"/>
                <w:highlight w:val="none"/>
                <w:u w:val="none" w:color="auto"/>
                <w:lang w:eastAsia="zh-CN"/>
                <w14:textFill>
                  <w14:solidFill>
                    <w14:schemeClr w14:val="tx1"/>
                  </w14:solidFill>
                </w14:textFill>
              </w:rPr>
              <w:t>、矿粉</w:t>
            </w:r>
            <w:r>
              <w:rPr>
                <w:rFonts w:hint="eastAsia"/>
                <w:color w:val="000000" w:themeColor="text1"/>
                <w:sz w:val="24"/>
                <w:szCs w:val="24"/>
                <w:highlight w:val="none"/>
                <w:u w:val="none" w:color="auto"/>
                <w14:textFill>
                  <w14:solidFill>
                    <w14:schemeClr w14:val="tx1"/>
                  </w14:solidFill>
                </w14:textFill>
              </w:rPr>
              <w:t>和水，本项目物料平衡详见下表，物料平衡详见下图。</w:t>
            </w:r>
          </w:p>
          <w:p w14:paraId="6BD3AFA3">
            <w:pPr>
              <w:pStyle w:val="54"/>
              <w:rPr>
                <w:rFonts w:eastAsia="宋体"/>
                <w:bCs/>
                <w:i w:val="0"/>
                <w:iCs w:val="0"/>
                <w:sz w:val="21"/>
                <w:szCs w:val="21"/>
                <w:highlight w:val="none"/>
                <w:u w:val="none" w:color="auto"/>
              </w:rPr>
            </w:pPr>
            <w:r>
              <w:rPr>
                <w:rFonts w:eastAsia="宋体"/>
                <w:bCs/>
                <w:i w:val="0"/>
                <w:iCs w:val="0"/>
                <w:sz w:val="24"/>
                <w:szCs w:val="24"/>
                <w:highlight w:val="none"/>
                <w:u w:val="none" w:color="auto"/>
              </w:rPr>
              <w:t>表</w:t>
            </w:r>
            <w:r>
              <w:rPr>
                <w:rFonts w:hint="eastAsia" w:eastAsia="宋体"/>
                <w:bCs/>
                <w:i w:val="0"/>
                <w:iCs w:val="0"/>
                <w:sz w:val="24"/>
                <w:szCs w:val="24"/>
                <w:highlight w:val="none"/>
                <w:u w:val="none" w:color="auto"/>
                <w:lang w:val="en-US" w:eastAsia="zh-CN"/>
              </w:rPr>
              <w:t>2-8</w:t>
            </w:r>
            <w:r>
              <w:rPr>
                <w:rFonts w:eastAsia="宋体"/>
                <w:bCs/>
                <w:i w:val="0"/>
                <w:iCs w:val="0"/>
                <w:sz w:val="24"/>
                <w:szCs w:val="24"/>
                <w:highlight w:val="none"/>
                <w:u w:val="none" w:color="auto"/>
              </w:rPr>
              <w:t xml:space="preserve">  </w:t>
            </w:r>
            <w:r>
              <w:rPr>
                <w:rFonts w:hint="eastAsia" w:eastAsia="宋体"/>
                <w:bCs/>
                <w:i w:val="0"/>
                <w:iCs w:val="0"/>
                <w:sz w:val="24"/>
                <w:szCs w:val="24"/>
                <w:highlight w:val="none"/>
                <w:u w:val="none" w:color="auto"/>
              </w:rPr>
              <w:t>本</w:t>
            </w:r>
            <w:r>
              <w:rPr>
                <w:rFonts w:eastAsia="宋体"/>
                <w:bCs/>
                <w:i w:val="0"/>
                <w:iCs w:val="0"/>
                <w:sz w:val="24"/>
                <w:szCs w:val="24"/>
                <w:highlight w:val="none"/>
                <w:u w:val="none" w:color="auto"/>
              </w:rPr>
              <w:t>项目物料平衡表</w:t>
            </w:r>
          </w:p>
          <w:tbl>
            <w:tblPr>
              <w:tblStyle w:val="21"/>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29"/>
              <w:gridCol w:w="1480"/>
              <w:gridCol w:w="1237"/>
              <w:gridCol w:w="1248"/>
              <w:gridCol w:w="1466"/>
              <w:gridCol w:w="1322"/>
              <w:gridCol w:w="27"/>
            </w:tblGrid>
            <w:tr w14:paraId="048A03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691" w:type="pct"/>
                  <w:gridSpan w:val="2"/>
                  <w:noWrap w:val="0"/>
                  <w:vAlign w:val="center"/>
                </w:tcPr>
                <w:p w14:paraId="039867A1">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进料量</w:t>
                  </w:r>
                </w:p>
              </w:tc>
              <w:tc>
                <w:tcPr>
                  <w:tcW w:w="3308" w:type="pct"/>
                  <w:gridSpan w:val="5"/>
                  <w:noWrap w:val="0"/>
                  <w:vAlign w:val="center"/>
                </w:tcPr>
                <w:p w14:paraId="585D6FCE">
                  <w:pPr>
                    <w:widowControl/>
                    <w:jc w:val="center"/>
                    <w:textAlignment w:val="center"/>
                    <w:rPr>
                      <w:i w:val="0"/>
                      <w:iCs w:val="0"/>
                      <w:color w:val="000000" w:themeColor="text1"/>
                      <w:kern w:val="0"/>
                      <w:szCs w:val="21"/>
                      <w:u w:val="none" w:color="auto"/>
                      <w:lang w:bidi="ar"/>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出料量</w:t>
                  </w:r>
                </w:p>
              </w:tc>
            </w:tr>
            <w:tr w14:paraId="772569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691" w:type="pct"/>
                  <w:gridSpan w:val="2"/>
                  <w:noWrap w:val="0"/>
                  <w:vAlign w:val="center"/>
                </w:tcPr>
                <w:p w14:paraId="512F42A9">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原辅材料</w:t>
                  </w:r>
                </w:p>
              </w:tc>
              <w:tc>
                <w:tcPr>
                  <w:tcW w:w="1551" w:type="pct"/>
                  <w:gridSpan w:val="2"/>
                  <w:noWrap w:val="0"/>
                  <w:vAlign w:val="center"/>
                </w:tcPr>
                <w:p w14:paraId="0E35F37E">
                  <w:pPr>
                    <w:widowControl/>
                    <w:jc w:val="center"/>
                    <w:textAlignment w:val="center"/>
                    <w:rPr>
                      <w:i w:val="0"/>
                      <w:iCs w:val="0"/>
                      <w:color w:val="000000" w:themeColor="text1"/>
                      <w:kern w:val="0"/>
                      <w:szCs w:val="21"/>
                      <w:u w:val="none" w:color="auto"/>
                      <w:lang w:bidi="ar"/>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产品</w:t>
                  </w:r>
                </w:p>
              </w:tc>
              <w:tc>
                <w:tcPr>
                  <w:tcW w:w="1757" w:type="pct"/>
                  <w:gridSpan w:val="3"/>
                  <w:noWrap w:val="0"/>
                  <w:vAlign w:val="center"/>
                </w:tcPr>
                <w:p w14:paraId="103DB0D0">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损失</w:t>
                  </w:r>
                </w:p>
              </w:tc>
            </w:tr>
            <w:tr w14:paraId="062BA5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767" w:type="pct"/>
                  <w:vMerge w:val="restart"/>
                  <w:noWrap w:val="0"/>
                  <w:vAlign w:val="center"/>
                </w:tcPr>
                <w:p w14:paraId="413B87C0">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名称</w:t>
                  </w:r>
                </w:p>
              </w:tc>
              <w:tc>
                <w:tcPr>
                  <w:tcW w:w="923" w:type="pct"/>
                  <w:noWrap w:val="0"/>
                  <w:vAlign w:val="center"/>
                </w:tcPr>
                <w:p w14:paraId="32F72995">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数量</w:t>
                  </w:r>
                </w:p>
              </w:tc>
              <w:tc>
                <w:tcPr>
                  <w:tcW w:w="772" w:type="pct"/>
                  <w:vMerge w:val="restart"/>
                  <w:noWrap w:val="0"/>
                  <w:vAlign w:val="center"/>
                </w:tcPr>
                <w:p w14:paraId="48F7E26F">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名称</w:t>
                  </w:r>
                </w:p>
              </w:tc>
              <w:tc>
                <w:tcPr>
                  <w:tcW w:w="779" w:type="pct"/>
                  <w:noWrap w:val="0"/>
                  <w:vAlign w:val="center"/>
                </w:tcPr>
                <w:p w14:paraId="5E079E54">
                  <w:pPr>
                    <w:widowControl/>
                    <w:jc w:val="center"/>
                    <w:textAlignment w:val="center"/>
                    <w:rPr>
                      <w:i w:val="0"/>
                      <w:iCs w:val="0"/>
                      <w:color w:val="000000" w:themeColor="text1"/>
                      <w:kern w:val="0"/>
                      <w:szCs w:val="21"/>
                      <w:u w:val="none" w:color="auto"/>
                      <w:lang w:bidi="ar"/>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数量</w:t>
                  </w:r>
                </w:p>
              </w:tc>
              <w:tc>
                <w:tcPr>
                  <w:tcW w:w="915" w:type="pct"/>
                  <w:vMerge w:val="restart"/>
                  <w:noWrap w:val="0"/>
                  <w:vAlign w:val="center"/>
                </w:tcPr>
                <w:p w14:paraId="089AC03B">
                  <w:pPr>
                    <w:widowControl/>
                    <w:adjustRightInd w:val="0"/>
                    <w:ind w:left="-105" w:leftChars="-50" w:right="-105" w:rightChars="-50"/>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类别</w:t>
                  </w:r>
                </w:p>
              </w:tc>
              <w:tc>
                <w:tcPr>
                  <w:tcW w:w="842" w:type="pct"/>
                  <w:gridSpan w:val="2"/>
                  <w:noWrap w:val="0"/>
                  <w:vAlign w:val="center"/>
                </w:tcPr>
                <w:p w14:paraId="1C135366">
                  <w:pPr>
                    <w:widowControl/>
                    <w:adjustRightInd w:val="0"/>
                    <w:ind w:left="-105" w:leftChars="-50" w:right="-105" w:rightChars="-50"/>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数量</w:t>
                  </w:r>
                </w:p>
              </w:tc>
            </w:tr>
            <w:tr w14:paraId="5D334E8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767" w:type="pct"/>
                  <w:vMerge w:val="continue"/>
                  <w:noWrap w:val="0"/>
                  <w:vAlign w:val="center"/>
                </w:tcPr>
                <w:p w14:paraId="6C09B001">
                  <w:pPr>
                    <w:jc w:val="center"/>
                    <w:rPr>
                      <w:i w:val="0"/>
                      <w:iCs w:val="0"/>
                      <w:color w:val="000000" w:themeColor="text1"/>
                      <w:szCs w:val="21"/>
                      <w:u w:val="none" w:color="auto"/>
                      <w14:textFill>
                        <w14:solidFill>
                          <w14:schemeClr w14:val="tx1"/>
                        </w14:solidFill>
                      </w14:textFill>
                    </w:rPr>
                  </w:pPr>
                </w:p>
              </w:tc>
              <w:tc>
                <w:tcPr>
                  <w:tcW w:w="923" w:type="pct"/>
                  <w:noWrap w:val="0"/>
                  <w:vAlign w:val="center"/>
                </w:tcPr>
                <w:p w14:paraId="31891782">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t</w:t>
                  </w:r>
                </w:p>
              </w:tc>
              <w:tc>
                <w:tcPr>
                  <w:tcW w:w="772" w:type="pct"/>
                  <w:vMerge w:val="continue"/>
                  <w:noWrap w:val="0"/>
                  <w:vAlign w:val="center"/>
                </w:tcPr>
                <w:p w14:paraId="5DE09E7A">
                  <w:pPr>
                    <w:jc w:val="center"/>
                    <w:rPr>
                      <w:i w:val="0"/>
                      <w:iCs w:val="0"/>
                      <w:color w:val="000000" w:themeColor="text1"/>
                      <w:szCs w:val="21"/>
                      <w:u w:val="none" w:color="auto"/>
                      <w14:textFill>
                        <w14:solidFill>
                          <w14:schemeClr w14:val="tx1"/>
                        </w14:solidFill>
                      </w14:textFill>
                    </w:rPr>
                  </w:pPr>
                </w:p>
              </w:tc>
              <w:tc>
                <w:tcPr>
                  <w:tcW w:w="779" w:type="pct"/>
                  <w:noWrap w:val="0"/>
                  <w:vAlign w:val="center"/>
                </w:tcPr>
                <w:p w14:paraId="0867AF57">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t</w:t>
                  </w:r>
                </w:p>
              </w:tc>
              <w:tc>
                <w:tcPr>
                  <w:tcW w:w="915" w:type="pct"/>
                  <w:vMerge w:val="continue"/>
                  <w:noWrap w:val="0"/>
                  <w:vAlign w:val="center"/>
                </w:tcPr>
                <w:p w14:paraId="5D230709">
                  <w:pPr>
                    <w:adjustRightInd w:val="0"/>
                    <w:ind w:left="-105" w:leftChars="-50" w:right="-105" w:rightChars="-50"/>
                    <w:jc w:val="center"/>
                    <w:rPr>
                      <w:i w:val="0"/>
                      <w:iCs w:val="0"/>
                      <w:color w:val="000000" w:themeColor="text1"/>
                      <w:szCs w:val="21"/>
                      <w:u w:val="none" w:color="auto"/>
                      <w14:textFill>
                        <w14:solidFill>
                          <w14:schemeClr w14:val="tx1"/>
                        </w14:solidFill>
                      </w14:textFill>
                    </w:rPr>
                  </w:pPr>
                </w:p>
              </w:tc>
              <w:tc>
                <w:tcPr>
                  <w:tcW w:w="842" w:type="pct"/>
                  <w:gridSpan w:val="2"/>
                  <w:noWrap w:val="0"/>
                  <w:vAlign w:val="center"/>
                </w:tcPr>
                <w:p w14:paraId="6F82418C">
                  <w:pPr>
                    <w:widowControl/>
                    <w:adjustRightInd w:val="0"/>
                    <w:ind w:left="-105" w:leftChars="-50" w:right="-105" w:rightChars="-50"/>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t</w:t>
                  </w:r>
                </w:p>
              </w:tc>
            </w:tr>
            <w:tr w14:paraId="38A82CC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6" w:type="pct"/>
                <w:trHeight w:val="170" w:hRule="atLeast"/>
              </w:trPr>
              <w:tc>
                <w:tcPr>
                  <w:tcW w:w="767" w:type="pct"/>
                  <w:noWrap w:val="0"/>
                  <w:vAlign w:val="center"/>
                </w:tcPr>
                <w:p w14:paraId="15E4CACA">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水泥</w:t>
                  </w:r>
                </w:p>
              </w:tc>
              <w:tc>
                <w:tcPr>
                  <w:tcW w:w="923" w:type="pct"/>
                  <w:noWrap w:val="0"/>
                  <w:vAlign w:val="center"/>
                </w:tcPr>
                <w:p w14:paraId="150F6E73">
                  <w:pPr>
                    <w:widowControl/>
                    <w:jc w:val="center"/>
                    <w:textAlignment w:val="center"/>
                    <w:rPr>
                      <w:rFonts w:hint="default" w:eastAsia="宋体"/>
                      <w:i w:val="0"/>
                      <w:iCs w:val="0"/>
                      <w:color w:val="000000" w:themeColor="text1"/>
                      <w:szCs w:val="21"/>
                      <w:u w:val="none" w:color="auto"/>
                      <w:lang w:val="en-US" w:eastAsia="zh-CN"/>
                      <w14:textFill>
                        <w14:solidFill>
                          <w14:schemeClr w14:val="tx1"/>
                        </w14:solidFill>
                      </w14:textFill>
                    </w:rPr>
                  </w:pPr>
                  <w:r>
                    <w:rPr>
                      <w:rFonts w:hint="eastAsia"/>
                      <w:i w:val="0"/>
                      <w:iCs w:val="0"/>
                      <w:color w:val="000000" w:themeColor="text1"/>
                      <w:szCs w:val="21"/>
                      <w:u w:val="none" w:color="auto"/>
                      <w:lang w:val="en-US" w:eastAsia="zh-CN"/>
                      <w14:textFill>
                        <w14:solidFill>
                          <w14:schemeClr w14:val="tx1"/>
                        </w14:solidFill>
                      </w14:textFill>
                    </w:rPr>
                    <w:t>60000</w:t>
                  </w:r>
                </w:p>
              </w:tc>
              <w:tc>
                <w:tcPr>
                  <w:tcW w:w="772" w:type="pct"/>
                  <w:noWrap w:val="0"/>
                  <w:vAlign w:val="center"/>
                </w:tcPr>
                <w:p w14:paraId="5876D354">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混凝土</w:t>
                  </w:r>
                </w:p>
              </w:tc>
              <w:tc>
                <w:tcPr>
                  <w:tcW w:w="779" w:type="pct"/>
                  <w:noWrap w:val="0"/>
                  <w:vAlign w:val="center"/>
                </w:tcPr>
                <w:p w14:paraId="59108E11">
                  <w:pPr>
                    <w:widowControl/>
                    <w:jc w:val="center"/>
                    <w:textAlignment w:val="center"/>
                    <w:rPr>
                      <w:rFonts w:hint="default" w:eastAsia="宋体"/>
                      <w:i w:val="0"/>
                      <w:iCs w:val="0"/>
                      <w:color w:val="000000" w:themeColor="text1"/>
                      <w:szCs w:val="21"/>
                      <w:highlight w:val="none"/>
                      <w:u w:val="none" w:color="auto"/>
                      <w:lang w:val="en-US" w:eastAsia="zh-CN"/>
                      <w14:textFill>
                        <w14:solidFill>
                          <w14:schemeClr w14:val="tx1"/>
                        </w14:solidFill>
                      </w14:textFill>
                    </w:rPr>
                  </w:pPr>
                  <w:r>
                    <w:rPr>
                      <w:rFonts w:hint="eastAsia"/>
                      <w:i w:val="0"/>
                      <w:iCs w:val="0"/>
                      <w:color w:val="000000" w:themeColor="text1"/>
                      <w:szCs w:val="21"/>
                      <w:highlight w:val="none"/>
                      <w:u w:val="none" w:color="auto"/>
                      <w:lang w:val="en-US" w:eastAsia="zh-CN"/>
                      <w14:textFill>
                        <w14:solidFill>
                          <w14:schemeClr w14:val="tx1"/>
                        </w14:solidFill>
                      </w14:textFill>
                    </w:rPr>
                    <w:t>144000</w:t>
                  </w:r>
                </w:p>
              </w:tc>
              <w:tc>
                <w:tcPr>
                  <w:tcW w:w="915" w:type="pct"/>
                  <w:shd w:val="clear" w:color="auto" w:fill="auto"/>
                  <w:noWrap w:val="0"/>
                  <w:vAlign w:val="center"/>
                </w:tcPr>
                <w:p w14:paraId="5E93CACF">
                  <w:pPr>
                    <w:widowControl/>
                    <w:adjustRightInd w:val="0"/>
                    <w:ind w:left="-105" w:leftChars="-50" w:right="-105" w:rightChars="-50"/>
                    <w:jc w:val="center"/>
                    <w:textAlignment w:val="center"/>
                    <w:rPr>
                      <w:rFonts w:hint="eastAsia"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i w:val="0"/>
                      <w:iCs w:val="0"/>
                      <w:color w:val="000000" w:themeColor="text1"/>
                      <w:kern w:val="0"/>
                      <w:szCs w:val="21"/>
                      <w:highlight w:val="none"/>
                      <w:u w:val="none" w:color="auto"/>
                      <w:lang w:bidi="ar"/>
                      <w14:textFill>
                        <w14:solidFill>
                          <w14:schemeClr w14:val="tx1"/>
                        </w14:solidFill>
                      </w14:textFill>
                    </w:rPr>
                    <w:t>收集粉尘</w:t>
                  </w:r>
                  <w:r>
                    <w:rPr>
                      <w:rFonts w:hint="eastAsia"/>
                      <w:i w:val="0"/>
                      <w:iCs w:val="0"/>
                      <w:color w:val="000000" w:themeColor="text1"/>
                      <w:kern w:val="0"/>
                      <w:szCs w:val="21"/>
                      <w:highlight w:val="none"/>
                      <w:u w:val="none" w:color="auto"/>
                      <w:lang w:eastAsia="zh-CN" w:bidi="ar"/>
                      <w14:textFill>
                        <w14:solidFill>
                          <w14:schemeClr w14:val="tx1"/>
                        </w14:solidFill>
                      </w14:textFill>
                    </w:rPr>
                    <w:t>（</w:t>
                  </w:r>
                  <w:r>
                    <w:rPr>
                      <w:rFonts w:hint="eastAsia"/>
                      <w:i w:val="0"/>
                      <w:iCs w:val="0"/>
                      <w:color w:val="000000" w:themeColor="text1"/>
                      <w:kern w:val="0"/>
                      <w:szCs w:val="21"/>
                      <w:highlight w:val="none"/>
                      <w:u w:val="none" w:color="auto"/>
                      <w:lang w:val="en-US" w:eastAsia="zh-CN" w:bidi="ar"/>
                      <w14:textFill>
                        <w14:solidFill>
                          <w14:schemeClr w14:val="tx1"/>
                        </w14:solidFill>
                      </w14:textFill>
                    </w:rPr>
                    <w:t>回用</w:t>
                  </w:r>
                  <w:r>
                    <w:rPr>
                      <w:rFonts w:hint="eastAsia"/>
                      <w:i w:val="0"/>
                      <w:iCs w:val="0"/>
                      <w:color w:val="000000" w:themeColor="text1"/>
                      <w:kern w:val="0"/>
                      <w:szCs w:val="21"/>
                      <w:highlight w:val="none"/>
                      <w:u w:val="none" w:color="auto"/>
                      <w:lang w:eastAsia="zh-CN" w:bidi="ar"/>
                      <w14:textFill>
                        <w14:solidFill>
                          <w14:schemeClr w14:val="tx1"/>
                        </w14:solidFill>
                      </w14:textFill>
                    </w:rPr>
                    <w:t>）</w:t>
                  </w:r>
                </w:p>
              </w:tc>
              <w:tc>
                <w:tcPr>
                  <w:tcW w:w="825" w:type="pct"/>
                  <w:shd w:val="clear" w:color="auto" w:fill="auto"/>
                  <w:noWrap w:val="0"/>
                  <w:vAlign w:val="center"/>
                </w:tcPr>
                <w:p w14:paraId="168E18DE">
                  <w:pPr>
                    <w:widowControl/>
                    <w:adjustRightInd w:val="0"/>
                    <w:ind w:left="-105" w:leftChars="-50" w:right="-105" w:rightChars="-50"/>
                    <w:jc w:val="center"/>
                    <w:textAlignment w:val="center"/>
                    <w:rPr>
                      <w:rFonts w:hint="default"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rFonts w:hint="eastAsia" w:cs="Times New Roman"/>
                      <w:i w:val="0"/>
                      <w:iCs w:val="0"/>
                      <w:color w:val="000000" w:themeColor="text1"/>
                      <w:kern w:val="2"/>
                      <w:sz w:val="21"/>
                      <w:szCs w:val="21"/>
                      <w:highlight w:val="none"/>
                      <w:u w:val="none" w:color="auto"/>
                      <w:lang w:val="en-US" w:eastAsia="zh-CN" w:bidi="ar-SA"/>
                      <w14:textFill>
                        <w14:solidFill>
                          <w14:schemeClr w14:val="tx1"/>
                        </w14:solidFill>
                      </w14:textFill>
                    </w:rPr>
                    <w:t>26.1772</w:t>
                  </w:r>
                </w:p>
              </w:tc>
            </w:tr>
            <w:tr w14:paraId="3191B7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6" w:type="pct"/>
                <w:trHeight w:val="170" w:hRule="atLeast"/>
              </w:trPr>
              <w:tc>
                <w:tcPr>
                  <w:tcW w:w="767" w:type="pct"/>
                  <w:noWrap w:val="0"/>
                  <w:vAlign w:val="center"/>
                </w:tcPr>
                <w:p w14:paraId="3F27E02B">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粉煤灰</w:t>
                  </w:r>
                </w:p>
              </w:tc>
              <w:tc>
                <w:tcPr>
                  <w:tcW w:w="923" w:type="pct"/>
                  <w:noWrap w:val="0"/>
                  <w:vAlign w:val="center"/>
                </w:tcPr>
                <w:p w14:paraId="656681F3">
                  <w:pPr>
                    <w:widowControl/>
                    <w:jc w:val="center"/>
                    <w:textAlignment w:val="center"/>
                    <w:rPr>
                      <w:rFonts w:hint="default" w:eastAsia="宋体"/>
                      <w:i w:val="0"/>
                      <w:iCs w:val="0"/>
                      <w:color w:val="000000" w:themeColor="text1"/>
                      <w:szCs w:val="21"/>
                      <w:u w:val="none" w:color="auto"/>
                      <w:lang w:val="en-US" w:eastAsia="zh-CN"/>
                      <w14:textFill>
                        <w14:solidFill>
                          <w14:schemeClr w14:val="tx1"/>
                        </w14:solidFill>
                      </w14:textFill>
                    </w:rPr>
                  </w:pPr>
                  <w:r>
                    <w:rPr>
                      <w:rFonts w:hint="eastAsia"/>
                      <w:i w:val="0"/>
                      <w:iCs w:val="0"/>
                      <w:color w:val="000000" w:themeColor="text1"/>
                      <w:szCs w:val="21"/>
                      <w:u w:val="none" w:color="auto"/>
                      <w:lang w:val="en-US" w:eastAsia="zh-CN"/>
                      <w14:textFill>
                        <w14:solidFill>
                          <w14:schemeClr w14:val="tx1"/>
                        </w14:solidFill>
                      </w14:textFill>
                    </w:rPr>
                    <w:t>1400</w:t>
                  </w:r>
                </w:p>
              </w:tc>
              <w:tc>
                <w:tcPr>
                  <w:tcW w:w="772" w:type="pct"/>
                  <w:shd w:val="clear" w:color="auto" w:fill="auto"/>
                  <w:noWrap w:val="0"/>
                  <w:vAlign w:val="center"/>
                </w:tcPr>
                <w:p w14:paraId="7E7926E2">
                  <w:pPr>
                    <w:jc w:val="center"/>
                    <w:rPr>
                      <w:rFonts w:hint="eastAsia" w:ascii="Times New Roman" w:hAnsi="Times New Roman" w:eastAsia="宋体" w:cs="Times New Roman"/>
                      <w:i w:val="0"/>
                      <w:iCs w:val="0"/>
                      <w:color w:val="000000" w:themeColor="text1"/>
                      <w:kern w:val="2"/>
                      <w:sz w:val="21"/>
                      <w:szCs w:val="21"/>
                      <w:u w:val="none" w:color="auto"/>
                      <w:lang w:val="en-US" w:eastAsia="zh-CN" w:bidi="ar-SA"/>
                      <w14:textFill>
                        <w14:solidFill>
                          <w14:schemeClr w14:val="tx1"/>
                        </w14:solidFill>
                      </w14:textFill>
                    </w:rPr>
                  </w:pPr>
                  <w:r>
                    <w:rPr>
                      <w:i w:val="0"/>
                      <w:iCs w:val="0"/>
                      <w:color w:val="000000" w:themeColor="text1"/>
                      <w:szCs w:val="21"/>
                      <w:u w:val="none" w:color="auto"/>
                      <w14:textFill>
                        <w14:solidFill>
                          <w14:schemeClr w14:val="tx1"/>
                        </w14:solidFill>
                      </w14:textFill>
                    </w:rPr>
                    <w:t>/</w:t>
                  </w:r>
                </w:p>
              </w:tc>
              <w:tc>
                <w:tcPr>
                  <w:tcW w:w="779" w:type="pct"/>
                  <w:shd w:val="clear" w:color="auto" w:fill="auto"/>
                  <w:noWrap w:val="0"/>
                  <w:vAlign w:val="center"/>
                </w:tcPr>
                <w:p w14:paraId="68D73822">
                  <w:pPr>
                    <w:jc w:val="center"/>
                    <w:rPr>
                      <w:rFonts w:hint="default"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915" w:type="pct"/>
                  <w:shd w:val="clear" w:color="auto" w:fill="auto"/>
                  <w:noWrap w:val="0"/>
                  <w:vAlign w:val="center"/>
                </w:tcPr>
                <w:p w14:paraId="1FEB8E2E">
                  <w:pPr>
                    <w:widowControl/>
                    <w:adjustRightInd w:val="0"/>
                    <w:ind w:left="-105" w:leftChars="-50" w:right="-105" w:rightChars="-50"/>
                    <w:jc w:val="center"/>
                    <w:textAlignment w:val="center"/>
                    <w:rPr>
                      <w:rFonts w:hint="eastAsia" w:ascii="Times New Roman" w:hAnsi="Times New Roman" w:eastAsia="宋体" w:cs="Times New Roman"/>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cs="Times New Roman"/>
                      <w:i w:val="0"/>
                      <w:iCs w:val="0"/>
                      <w:color w:val="000000" w:themeColor="text1"/>
                      <w:kern w:val="0"/>
                      <w:szCs w:val="21"/>
                      <w:highlight w:val="none"/>
                      <w:u w:val="none" w:color="auto"/>
                      <w:lang w:val="en-US" w:eastAsia="zh-CN" w:bidi="ar"/>
                      <w14:textFill>
                        <w14:solidFill>
                          <w14:schemeClr w14:val="tx1"/>
                        </w14:solidFill>
                      </w14:textFill>
                    </w:rPr>
                    <w:t>沉淀池沉淀物</w:t>
                  </w:r>
                  <w:r>
                    <w:rPr>
                      <w:rFonts w:hint="eastAsia" w:ascii="Times New Roman" w:hAnsi="Times New Roman" w:eastAsia="宋体" w:cs="Times New Roman"/>
                      <w:i w:val="0"/>
                      <w:iCs w:val="0"/>
                      <w:color w:val="000000" w:themeColor="text1"/>
                      <w:kern w:val="0"/>
                      <w:szCs w:val="21"/>
                      <w:highlight w:val="none"/>
                      <w:u w:val="none" w:color="auto"/>
                      <w:lang w:val="en-US" w:eastAsia="zh-CN" w:bidi="ar"/>
                      <w14:textFill>
                        <w14:solidFill>
                          <w14:schemeClr w14:val="tx1"/>
                        </w14:solidFill>
                      </w14:textFill>
                    </w:rPr>
                    <w:t>（回用）</w:t>
                  </w:r>
                </w:p>
              </w:tc>
              <w:tc>
                <w:tcPr>
                  <w:tcW w:w="825" w:type="pct"/>
                  <w:shd w:val="clear" w:color="auto" w:fill="auto"/>
                  <w:noWrap w:val="0"/>
                  <w:vAlign w:val="center"/>
                </w:tcPr>
                <w:p w14:paraId="1FED6CA2">
                  <w:pPr>
                    <w:widowControl/>
                    <w:adjustRightInd w:val="0"/>
                    <w:ind w:left="-105" w:leftChars="-50" w:right="-105" w:rightChars="-50"/>
                    <w:jc w:val="center"/>
                    <w:textAlignment w:val="center"/>
                    <w:rPr>
                      <w:rFonts w:hint="default"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rFonts w:hint="eastAsia"/>
                      <w:i w:val="0"/>
                      <w:iCs w:val="0"/>
                      <w:color w:val="000000" w:themeColor="text1"/>
                      <w:szCs w:val="21"/>
                      <w:highlight w:val="none"/>
                      <w:u w:val="none" w:color="auto"/>
                      <w:lang w:val="en-US" w:eastAsia="zh-CN"/>
                      <w14:textFill>
                        <w14:solidFill>
                          <w14:schemeClr w14:val="tx1"/>
                        </w14:solidFill>
                      </w14:textFill>
                    </w:rPr>
                    <w:t>5</w:t>
                  </w:r>
                </w:p>
              </w:tc>
            </w:tr>
            <w:tr w14:paraId="6D25AA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6" w:type="pct"/>
                <w:trHeight w:val="170" w:hRule="atLeast"/>
              </w:trPr>
              <w:tc>
                <w:tcPr>
                  <w:tcW w:w="767" w:type="pct"/>
                  <w:noWrap w:val="0"/>
                  <w:vAlign w:val="center"/>
                </w:tcPr>
                <w:p w14:paraId="6F9212BE">
                  <w:pPr>
                    <w:widowControl/>
                    <w:jc w:val="center"/>
                    <w:textAlignment w:val="center"/>
                    <w:rPr>
                      <w:rFonts w:hint="eastAsia" w:eastAsia="宋体"/>
                      <w:i w:val="0"/>
                      <w:iCs w:val="0"/>
                      <w:color w:val="000000" w:themeColor="text1"/>
                      <w:kern w:val="0"/>
                      <w:szCs w:val="21"/>
                      <w:u w:val="none" w:color="auto"/>
                      <w:lang w:eastAsia="zh-CN" w:bidi="ar"/>
                      <w14:textFill>
                        <w14:solidFill>
                          <w14:schemeClr w14:val="tx1"/>
                        </w14:solidFill>
                      </w14:textFill>
                    </w:rPr>
                  </w:pPr>
                  <w:r>
                    <w:rPr>
                      <w:rFonts w:hint="eastAsia"/>
                      <w:i w:val="0"/>
                      <w:iCs w:val="0"/>
                      <w:color w:val="000000" w:themeColor="text1"/>
                      <w:kern w:val="0"/>
                      <w:szCs w:val="21"/>
                      <w:u w:val="none" w:color="auto"/>
                      <w:lang w:eastAsia="zh-CN" w:bidi="ar"/>
                      <w14:textFill>
                        <w14:solidFill>
                          <w14:schemeClr w14:val="tx1"/>
                        </w14:solidFill>
                      </w14:textFill>
                    </w:rPr>
                    <w:t>矿粉</w:t>
                  </w:r>
                </w:p>
              </w:tc>
              <w:tc>
                <w:tcPr>
                  <w:tcW w:w="923" w:type="pct"/>
                  <w:noWrap w:val="0"/>
                  <w:vAlign w:val="center"/>
                </w:tcPr>
                <w:p w14:paraId="106B6045">
                  <w:pPr>
                    <w:widowControl/>
                    <w:jc w:val="center"/>
                    <w:textAlignment w:val="center"/>
                    <w:rPr>
                      <w:rFonts w:hint="default"/>
                      <w:i w:val="0"/>
                      <w:iCs w:val="0"/>
                      <w:color w:val="000000" w:themeColor="text1"/>
                      <w:szCs w:val="21"/>
                      <w:u w:val="none" w:color="auto"/>
                      <w:lang w:val="en-US" w:eastAsia="zh-CN"/>
                      <w14:textFill>
                        <w14:solidFill>
                          <w14:schemeClr w14:val="tx1"/>
                        </w14:solidFill>
                      </w14:textFill>
                    </w:rPr>
                  </w:pPr>
                  <w:r>
                    <w:rPr>
                      <w:rFonts w:hint="eastAsia"/>
                      <w:i w:val="0"/>
                      <w:iCs w:val="0"/>
                      <w:color w:val="000000" w:themeColor="text1"/>
                      <w:szCs w:val="21"/>
                      <w:u w:val="none" w:color="auto"/>
                      <w:lang w:val="en-US" w:eastAsia="zh-CN"/>
                      <w14:textFill>
                        <w14:solidFill>
                          <w14:schemeClr w14:val="tx1"/>
                        </w14:solidFill>
                      </w14:textFill>
                    </w:rPr>
                    <w:t>1400</w:t>
                  </w:r>
                </w:p>
              </w:tc>
              <w:tc>
                <w:tcPr>
                  <w:tcW w:w="772" w:type="pct"/>
                  <w:shd w:val="clear" w:color="auto" w:fill="auto"/>
                  <w:noWrap w:val="0"/>
                  <w:vAlign w:val="center"/>
                </w:tcPr>
                <w:p w14:paraId="2CD1DC4C">
                  <w:pPr>
                    <w:jc w:val="center"/>
                    <w:rPr>
                      <w:rFonts w:hint="eastAsia" w:ascii="Times New Roman" w:hAnsi="Times New Roman" w:eastAsia="宋体" w:cs="Times New Roman"/>
                      <w:i w:val="0"/>
                      <w:iCs w:val="0"/>
                      <w:color w:val="000000" w:themeColor="text1"/>
                      <w:kern w:val="2"/>
                      <w:sz w:val="21"/>
                      <w:szCs w:val="21"/>
                      <w:u w:val="none" w:color="auto"/>
                      <w:lang w:val="en-US" w:eastAsia="zh-CN" w:bidi="ar-SA"/>
                      <w14:textFill>
                        <w14:solidFill>
                          <w14:schemeClr w14:val="tx1"/>
                        </w14:solidFill>
                      </w14:textFill>
                    </w:rPr>
                  </w:pPr>
                  <w:r>
                    <w:rPr>
                      <w:i w:val="0"/>
                      <w:iCs w:val="0"/>
                      <w:color w:val="000000" w:themeColor="text1"/>
                      <w:szCs w:val="21"/>
                      <w:u w:val="none" w:color="auto"/>
                      <w14:textFill>
                        <w14:solidFill>
                          <w14:schemeClr w14:val="tx1"/>
                        </w14:solidFill>
                      </w14:textFill>
                    </w:rPr>
                    <w:t>/</w:t>
                  </w:r>
                </w:p>
              </w:tc>
              <w:tc>
                <w:tcPr>
                  <w:tcW w:w="779" w:type="pct"/>
                  <w:shd w:val="clear" w:color="auto" w:fill="auto"/>
                  <w:noWrap w:val="0"/>
                  <w:vAlign w:val="center"/>
                </w:tcPr>
                <w:p w14:paraId="01132299">
                  <w:pPr>
                    <w:jc w:val="center"/>
                    <w:rPr>
                      <w:rFonts w:hint="eastAsia"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915" w:type="pct"/>
                  <w:shd w:val="clear" w:color="auto" w:fill="auto"/>
                  <w:noWrap w:val="0"/>
                  <w:vAlign w:val="center"/>
                </w:tcPr>
                <w:p w14:paraId="183F4C7F">
                  <w:pPr>
                    <w:widowControl/>
                    <w:adjustRightInd w:val="0"/>
                    <w:ind w:left="-105" w:leftChars="-50" w:right="-105" w:rightChars="-50"/>
                    <w:jc w:val="center"/>
                    <w:textAlignment w:val="center"/>
                    <w:rPr>
                      <w:rFonts w:hint="eastAsia"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rFonts w:hint="eastAsia"/>
                      <w:i w:val="0"/>
                      <w:iCs w:val="0"/>
                      <w:color w:val="000000" w:themeColor="text1"/>
                      <w:kern w:val="0"/>
                      <w:szCs w:val="21"/>
                      <w:highlight w:val="none"/>
                      <w:u w:val="none" w:color="auto"/>
                      <w:lang w:val="en-US" w:eastAsia="zh-CN" w:bidi="ar"/>
                      <w14:textFill>
                        <w14:solidFill>
                          <w14:schemeClr w14:val="tx1"/>
                        </w14:solidFill>
                      </w14:textFill>
                    </w:rPr>
                    <w:t>无</w:t>
                  </w:r>
                  <w:r>
                    <w:rPr>
                      <w:i w:val="0"/>
                      <w:iCs w:val="0"/>
                      <w:color w:val="000000" w:themeColor="text1"/>
                      <w:kern w:val="0"/>
                      <w:szCs w:val="21"/>
                      <w:highlight w:val="none"/>
                      <w:u w:val="none" w:color="auto"/>
                      <w:lang w:bidi="ar"/>
                      <w14:textFill>
                        <w14:solidFill>
                          <w14:schemeClr w14:val="tx1"/>
                        </w14:solidFill>
                      </w14:textFill>
                    </w:rPr>
                    <w:t>组织粉尘</w:t>
                  </w:r>
                </w:p>
              </w:tc>
              <w:tc>
                <w:tcPr>
                  <w:tcW w:w="825" w:type="pct"/>
                  <w:shd w:val="clear" w:color="auto" w:fill="auto"/>
                  <w:noWrap w:val="0"/>
                  <w:vAlign w:val="center"/>
                </w:tcPr>
                <w:p w14:paraId="119B0867">
                  <w:pPr>
                    <w:widowControl/>
                    <w:adjustRightInd w:val="0"/>
                    <w:ind w:left="-105" w:leftChars="-50" w:right="-105" w:rightChars="-50"/>
                    <w:jc w:val="center"/>
                    <w:textAlignment w:val="center"/>
                    <w:rPr>
                      <w:rFonts w:hint="default"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rFonts w:hint="eastAsia"/>
                      <w:i w:val="0"/>
                      <w:iCs w:val="0"/>
                      <w:color w:val="000000" w:themeColor="text1"/>
                      <w:szCs w:val="21"/>
                      <w:highlight w:val="none"/>
                      <w:u w:val="none" w:color="auto"/>
                      <w:lang w:val="en-US" w:eastAsia="zh-CN"/>
                      <w14:textFill>
                        <w14:solidFill>
                          <w14:schemeClr w14:val="tx1"/>
                        </w14:solidFill>
                      </w14:textFill>
                    </w:rPr>
                    <w:t>0.8364</w:t>
                  </w:r>
                </w:p>
              </w:tc>
            </w:tr>
            <w:tr w14:paraId="16C5F8B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6" w:type="pct"/>
                <w:trHeight w:val="170" w:hRule="atLeast"/>
              </w:trPr>
              <w:tc>
                <w:tcPr>
                  <w:tcW w:w="767" w:type="pct"/>
                  <w:noWrap w:val="0"/>
                  <w:vAlign w:val="center"/>
                </w:tcPr>
                <w:p w14:paraId="6941FF2A">
                  <w:pPr>
                    <w:widowControl/>
                    <w:jc w:val="center"/>
                    <w:textAlignment w:val="center"/>
                    <w:rPr>
                      <w:rFonts w:hint="eastAsia"/>
                      <w:i w:val="0"/>
                      <w:iCs w:val="0"/>
                      <w:color w:val="000000" w:themeColor="text1"/>
                      <w:kern w:val="0"/>
                      <w:szCs w:val="21"/>
                      <w:u w:val="none" w:color="auto"/>
                      <w:lang w:eastAsia="zh-CN" w:bidi="ar"/>
                      <w14:textFill>
                        <w14:solidFill>
                          <w14:schemeClr w14:val="tx1"/>
                        </w14:solidFill>
                      </w14:textFill>
                    </w:rPr>
                  </w:pPr>
                  <w:r>
                    <w:rPr>
                      <w:rFonts w:hint="eastAsia"/>
                      <w:i w:val="0"/>
                      <w:iCs w:val="0"/>
                      <w:color w:val="000000" w:themeColor="text1"/>
                      <w:kern w:val="0"/>
                      <w:szCs w:val="21"/>
                      <w:u w:val="none" w:color="auto"/>
                      <w:lang w:eastAsia="zh-CN" w:bidi="ar"/>
                      <w14:textFill>
                        <w14:solidFill>
                          <w14:schemeClr w14:val="tx1"/>
                        </w14:solidFill>
                      </w14:textFill>
                    </w:rPr>
                    <w:t>砂子</w:t>
                  </w:r>
                </w:p>
              </w:tc>
              <w:tc>
                <w:tcPr>
                  <w:tcW w:w="923" w:type="pct"/>
                  <w:shd w:val="clear" w:color="auto" w:fill="auto"/>
                  <w:noWrap w:val="0"/>
                  <w:vAlign w:val="center"/>
                </w:tcPr>
                <w:p w14:paraId="79AE4D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0"/>
                      <w:sz w:val="21"/>
                      <w:szCs w:val="21"/>
                      <w:u w:val="none"/>
                      <w:lang w:val="en-US" w:eastAsia="zh-CN" w:bidi="ar"/>
                    </w:rPr>
                    <w:t>33615.0134</w:t>
                  </w:r>
                </w:p>
              </w:tc>
              <w:tc>
                <w:tcPr>
                  <w:tcW w:w="772" w:type="pct"/>
                  <w:shd w:val="clear" w:color="auto" w:fill="auto"/>
                  <w:noWrap w:val="0"/>
                  <w:vAlign w:val="center"/>
                </w:tcPr>
                <w:p w14:paraId="09964C4F">
                  <w:pPr>
                    <w:jc w:val="center"/>
                    <w:rPr>
                      <w:rFonts w:hint="eastAsia" w:ascii="Times New Roman" w:hAnsi="Times New Roman" w:eastAsia="宋体" w:cs="Times New Roman"/>
                      <w:i w:val="0"/>
                      <w:iCs w:val="0"/>
                      <w:color w:val="000000" w:themeColor="text1"/>
                      <w:kern w:val="2"/>
                      <w:sz w:val="21"/>
                      <w:szCs w:val="21"/>
                      <w:u w:val="none" w:color="auto"/>
                      <w:lang w:val="en-US" w:eastAsia="zh-CN" w:bidi="ar-SA"/>
                      <w14:textFill>
                        <w14:solidFill>
                          <w14:schemeClr w14:val="tx1"/>
                        </w14:solidFill>
                      </w14:textFill>
                    </w:rPr>
                  </w:pPr>
                  <w:r>
                    <w:rPr>
                      <w:i w:val="0"/>
                      <w:iCs w:val="0"/>
                      <w:color w:val="000000" w:themeColor="text1"/>
                      <w:szCs w:val="21"/>
                      <w:u w:val="none" w:color="auto"/>
                      <w14:textFill>
                        <w14:solidFill>
                          <w14:schemeClr w14:val="tx1"/>
                        </w14:solidFill>
                      </w14:textFill>
                    </w:rPr>
                    <w:t>/</w:t>
                  </w:r>
                </w:p>
              </w:tc>
              <w:tc>
                <w:tcPr>
                  <w:tcW w:w="779" w:type="pct"/>
                  <w:shd w:val="clear" w:color="auto" w:fill="auto"/>
                  <w:noWrap w:val="0"/>
                  <w:vAlign w:val="center"/>
                </w:tcPr>
                <w:p w14:paraId="44F154A2">
                  <w:pPr>
                    <w:jc w:val="center"/>
                    <w:rPr>
                      <w:rFonts w:hint="eastAsia"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915" w:type="pct"/>
                  <w:shd w:val="clear" w:color="auto" w:fill="auto"/>
                  <w:noWrap w:val="0"/>
                  <w:vAlign w:val="center"/>
                </w:tcPr>
                <w:p w14:paraId="10257277">
                  <w:pPr>
                    <w:jc w:val="center"/>
                    <w:rPr>
                      <w:rFonts w:hint="eastAsia"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rFonts w:hint="eastAsia"/>
                      <w:i w:val="0"/>
                      <w:iCs w:val="0"/>
                      <w:color w:val="000000" w:themeColor="text1"/>
                      <w:szCs w:val="21"/>
                      <w:highlight w:val="none"/>
                      <w:u w:val="none" w:color="auto"/>
                      <w:lang w:eastAsia="zh-CN"/>
                      <w14:textFill>
                        <w14:solidFill>
                          <w14:schemeClr w14:val="tx1"/>
                        </w14:solidFill>
                      </w14:textFill>
                    </w:rPr>
                    <w:t>化验室废试样</w:t>
                  </w:r>
                </w:p>
              </w:tc>
              <w:tc>
                <w:tcPr>
                  <w:tcW w:w="825" w:type="pct"/>
                  <w:shd w:val="clear" w:color="auto" w:fill="auto"/>
                  <w:noWrap w:val="0"/>
                  <w:vAlign w:val="center"/>
                </w:tcPr>
                <w:p w14:paraId="6F62F833">
                  <w:pPr>
                    <w:jc w:val="center"/>
                    <w:rPr>
                      <w:rFonts w:hint="eastAsia"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rFonts w:hint="eastAsia"/>
                      <w:i w:val="0"/>
                      <w:iCs w:val="0"/>
                      <w:color w:val="000000" w:themeColor="text1"/>
                      <w:szCs w:val="21"/>
                      <w:highlight w:val="none"/>
                      <w:u w:val="none" w:color="auto"/>
                      <w:lang w:val="en-US" w:eastAsia="zh-CN"/>
                      <w14:textFill>
                        <w14:solidFill>
                          <w14:schemeClr w14:val="tx1"/>
                        </w14:solidFill>
                      </w14:textFill>
                    </w:rPr>
                    <w:t>3</w:t>
                  </w:r>
                </w:p>
              </w:tc>
            </w:tr>
            <w:tr w14:paraId="19F5C0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6" w:type="pct"/>
                <w:trHeight w:val="170" w:hRule="atLeast"/>
              </w:trPr>
              <w:tc>
                <w:tcPr>
                  <w:tcW w:w="767" w:type="pct"/>
                  <w:noWrap w:val="0"/>
                  <w:vAlign w:val="center"/>
                </w:tcPr>
                <w:p w14:paraId="43BC8532">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碎石</w:t>
                  </w:r>
                </w:p>
              </w:tc>
              <w:tc>
                <w:tcPr>
                  <w:tcW w:w="923" w:type="pct"/>
                  <w:noWrap w:val="0"/>
                  <w:vAlign w:val="center"/>
                </w:tcPr>
                <w:p w14:paraId="42B63EB6">
                  <w:pPr>
                    <w:widowControl/>
                    <w:jc w:val="center"/>
                    <w:textAlignment w:val="center"/>
                    <w:rPr>
                      <w:rFonts w:hint="default" w:eastAsia="宋体"/>
                      <w:i w:val="0"/>
                      <w:iCs w:val="0"/>
                      <w:color w:val="000000" w:themeColor="text1"/>
                      <w:szCs w:val="21"/>
                      <w:u w:val="none" w:color="auto"/>
                      <w:lang w:val="en-US" w:eastAsia="zh-CN"/>
                      <w14:textFill>
                        <w14:solidFill>
                          <w14:schemeClr w14:val="tx1"/>
                        </w14:solidFill>
                      </w14:textFill>
                    </w:rPr>
                  </w:pPr>
                  <w:r>
                    <w:rPr>
                      <w:rFonts w:hint="eastAsia"/>
                      <w:i w:val="0"/>
                      <w:iCs w:val="0"/>
                      <w:color w:val="000000" w:themeColor="text1"/>
                      <w:szCs w:val="21"/>
                      <w:u w:val="none" w:color="auto"/>
                      <w:lang w:val="en-US" w:eastAsia="zh-CN"/>
                      <w14:textFill>
                        <w14:solidFill>
                          <w14:schemeClr w14:val="tx1"/>
                        </w14:solidFill>
                      </w14:textFill>
                    </w:rPr>
                    <w:t>38420</w:t>
                  </w:r>
                </w:p>
              </w:tc>
              <w:tc>
                <w:tcPr>
                  <w:tcW w:w="772" w:type="pct"/>
                  <w:noWrap w:val="0"/>
                  <w:vAlign w:val="center"/>
                </w:tcPr>
                <w:p w14:paraId="0D10DE3B">
                  <w:pPr>
                    <w:jc w:val="center"/>
                    <w:rPr>
                      <w:i w:val="0"/>
                      <w:iCs w:val="0"/>
                      <w:color w:val="000000" w:themeColor="text1"/>
                      <w:szCs w:val="21"/>
                      <w:u w:val="none" w:color="auto"/>
                      <w14:textFill>
                        <w14:solidFill>
                          <w14:schemeClr w14:val="tx1"/>
                        </w14:solidFill>
                      </w14:textFill>
                    </w:rPr>
                  </w:pPr>
                  <w:r>
                    <w:rPr>
                      <w:i w:val="0"/>
                      <w:iCs w:val="0"/>
                      <w:color w:val="000000" w:themeColor="text1"/>
                      <w:szCs w:val="21"/>
                      <w:u w:val="none" w:color="auto"/>
                      <w14:textFill>
                        <w14:solidFill>
                          <w14:schemeClr w14:val="tx1"/>
                        </w14:solidFill>
                      </w14:textFill>
                    </w:rPr>
                    <w:t>/</w:t>
                  </w:r>
                </w:p>
              </w:tc>
              <w:tc>
                <w:tcPr>
                  <w:tcW w:w="779" w:type="pct"/>
                  <w:noWrap w:val="0"/>
                  <w:vAlign w:val="center"/>
                </w:tcPr>
                <w:p w14:paraId="556898AC">
                  <w:pPr>
                    <w:jc w:val="center"/>
                    <w:rPr>
                      <w:i w:val="0"/>
                      <w:iCs w:val="0"/>
                      <w:color w:val="000000" w:themeColor="text1"/>
                      <w:szCs w:val="21"/>
                      <w:highlight w:val="none"/>
                      <w:u w:val="none" w:color="auto"/>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915" w:type="pct"/>
                  <w:shd w:val="clear" w:color="auto" w:fill="auto"/>
                  <w:noWrap w:val="0"/>
                  <w:vAlign w:val="center"/>
                </w:tcPr>
                <w:p w14:paraId="17BE6F17">
                  <w:pPr>
                    <w:jc w:val="center"/>
                    <w:rPr>
                      <w:rFonts w:hint="eastAsia"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825" w:type="pct"/>
                  <w:shd w:val="clear" w:color="auto" w:fill="auto"/>
                  <w:noWrap w:val="0"/>
                  <w:vAlign w:val="center"/>
                </w:tcPr>
                <w:p w14:paraId="30E3854E">
                  <w:pPr>
                    <w:jc w:val="center"/>
                    <w:rPr>
                      <w:rFonts w:hint="eastAsia" w:ascii="Times New Roman" w:hAnsi="Times New Roman" w:eastAsia="宋体" w:cs="Times New Roman"/>
                      <w:i w:val="0"/>
                      <w:iCs w:val="0"/>
                      <w:color w:val="000000" w:themeColor="text1"/>
                      <w:kern w:val="2"/>
                      <w:sz w:val="21"/>
                      <w:szCs w:val="21"/>
                      <w:highlight w:val="none"/>
                      <w:u w:val="none" w:color="auto"/>
                      <w:lang w:val="en-US" w:eastAsia="zh-CN" w:bidi="ar-SA"/>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r>
            <w:tr w14:paraId="4D210B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6" w:type="pct"/>
                <w:trHeight w:val="170" w:hRule="atLeast"/>
              </w:trPr>
              <w:tc>
                <w:tcPr>
                  <w:tcW w:w="767" w:type="pct"/>
                  <w:noWrap w:val="0"/>
                  <w:vAlign w:val="center"/>
                </w:tcPr>
                <w:p w14:paraId="63A7D95F">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外加剂</w:t>
                  </w:r>
                </w:p>
              </w:tc>
              <w:tc>
                <w:tcPr>
                  <w:tcW w:w="923" w:type="pct"/>
                  <w:noWrap w:val="0"/>
                  <w:vAlign w:val="center"/>
                </w:tcPr>
                <w:p w14:paraId="0AA80B84">
                  <w:pPr>
                    <w:widowControl/>
                    <w:jc w:val="center"/>
                    <w:textAlignment w:val="center"/>
                    <w:rPr>
                      <w:rFonts w:hint="default" w:eastAsia="宋体"/>
                      <w:i w:val="0"/>
                      <w:iCs w:val="0"/>
                      <w:color w:val="000000" w:themeColor="text1"/>
                      <w:szCs w:val="21"/>
                      <w:u w:val="none" w:color="auto"/>
                      <w:lang w:val="en-US" w:eastAsia="zh-CN"/>
                      <w14:textFill>
                        <w14:solidFill>
                          <w14:schemeClr w14:val="tx1"/>
                        </w14:solidFill>
                      </w14:textFill>
                    </w:rPr>
                  </w:pPr>
                  <w:r>
                    <w:rPr>
                      <w:rFonts w:hint="eastAsia"/>
                      <w:i w:val="0"/>
                      <w:iCs w:val="0"/>
                      <w:color w:val="000000" w:themeColor="text1"/>
                      <w:szCs w:val="21"/>
                      <w:u w:val="none" w:color="auto"/>
                      <w:lang w:val="en-US" w:eastAsia="zh-CN"/>
                      <w14:textFill>
                        <w14:solidFill>
                          <w14:schemeClr w14:val="tx1"/>
                        </w14:solidFill>
                      </w14:textFill>
                    </w:rPr>
                    <w:t>200</w:t>
                  </w:r>
                </w:p>
              </w:tc>
              <w:tc>
                <w:tcPr>
                  <w:tcW w:w="772" w:type="pct"/>
                  <w:noWrap w:val="0"/>
                  <w:vAlign w:val="center"/>
                </w:tcPr>
                <w:p w14:paraId="6FC79973">
                  <w:pPr>
                    <w:jc w:val="center"/>
                    <w:rPr>
                      <w:i w:val="0"/>
                      <w:iCs w:val="0"/>
                      <w:color w:val="000000" w:themeColor="text1"/>
                      <w:szCs w:val="21"/>
                      <w:u w:val="none" w:color="auto"/>
                      <w14:textFill>
                        <w14:solidFill>
                          <w14:schemeClr w14:val="tx1"/>
                        </w14:solidFill>
                      </w14:textFill>
                    </w:rPr>
                  </w:pPr>
                  <w:r>
                    <w:rPr>
                      <w:i w:val="0"/>
                      <w:iCs w:val="0"/>
                      <w:color w:val="000000" w:themeColor="text1"/>
                      <w:szCs w:val="21"/>
                      <w:u w:val="none" w:color="auto"/>
                      <w14:textFill>
                        <w14:solidFill>
                          <w14:schemeClr w14:val="tx1"/>
                        </w14:solidFill>
                      </w14:textFill>
                    </w:rPr>
                    <w:t>/</w:t>
                  </w:r>
                </w:p>
              </w:tc>
              <w:tc>
                <w:tcPr>
                  <w:tcW w:w="779" w:type="pct"/>
                  <w:noWrap w:val="0"/>
                  <w:vAlign w:val="center"/>
                </w:tcPr>
                <w:p w14:paraId="0694F523">
                  <w:pPr>
                    <w:jc w:val="center"/>
                    <w:rPr>
                      <w:i w:val="0"/>
                      <w:iCs w:val="0"/>
                      <w:color w:val="000000" w:themeColor="text1"/>
                      <w:szCs w:val="21"/>
                      <w:highlight w:val="none"/>
                      <w:u w:val="none" w:color="auto"/>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915" w:type="pct"/>
                  <w:noWrap/>
                  <w:vAlign w:val="center"/>
                </w:tcPr>
                <w:p w14:paraId="188A18D9">
                  <w:pPr>
                    <w:jc w:val="center"/>
                    <w:rPr>
                      <w:i w:val="0"/>
                      <w:iCs w:val="0"/>
                      <w:color w:val="000000" w:themeColor="text1"/>
                      <w:szCs w:val="21"/>
                      <w:highlight w:val="none"/>
                      <w:u w:val="none" w:color="auto"/>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825" w:type="pct"/>
                  <w:noWrap/>
                  <w:vAlign w:val="center"/>
                </w:tcPr>
                <w:p w14:paraId="33D1ED23">
                  <w:pPr>
                    <w:jc w:val="center"/>
                    <w:rPr>
                      <w:i w:val="0"/>
                      <w:iCs w:val="0"/>
                      <w:color w:val="000000" w:themeColor="text1"/>
                      <w:szCs w:val="21"/>
                      <w:highlight w:val="none"/>
                      <w:u w:val="none" w:color="auto"/>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r>
            <w:tr w14:paraId="4E759D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6" w:type="pct"/>
                <w:trHeight w:val="170" w:hRule="atLeast"/>
              </w:trPr>
              <w:tc>
                <w:tcPr>
                  <w:tcW w:w="767" w:type="pct"/>
                  <w:noWrap w:val="0"/>
                  <w:vAlign w:val="center"/>
                </w:tcPr>
                <w:p w14:paraId="4D8B997A">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水</w:t>
                  </w:r>
                </w:p>
              </w:tc>
              <w:tc>
                <w:tcPr>
                  <w:tcW w:w="923" w:type="pct"/>
                  <w:noWrap w:val="0"/>
                  <w:vAlign w:val="center"/>
                </w:tcPr>
                <w:p w14:paraId="5C32BA55">
                  <w:pPr>
                    <w:widowControl/>
                    <w:jc w:val="center"/>
                    <w:textAlignment w:val="center"/>
                    <w:rPr>
                      <w:rFonts w:hint="default" w:eastAsia="宋体"/>
                      <w:i w:val="0"/>
                      <w:iCs w:val="0"/>
                      <w:color w:val="000000" w:themeColor="text1"/>
                      <w:szCs w:val="21"/>
                      <w:u w:val="none" w:color="auto"/>
                      <w:lang w:val="en-US" w:eastAsia="zh-CN"/>
                      <w14:textFill>
                        <w14:solidFill>
                          <w14:schemeClr w14:val="tx1"/>
                        </w14:solidFill>
                      </w14:textFill>
                    </w:rPr>
                  </w:pPr>
                  <w:r>
                    <w:rPr>
                      <w:rFonts w:hint="eastAsia"/>
                      <w:i w:val="0"/>
                      <w:iCs w:val="0"/>
                      <w:color w:val="000000" w:themeColor="text1"/>
                      <w:szCs w:val="21"/>
                      <w:u w:val="none" w:color="auto"/>
                      <w:lang w:val="en-US" w:eastAsia="zh-CN"/>
                      <w14:textFill>
                        <w14:solidFill>
                          <w14:schemeClr w14:val="tx1"/>
                        </w14:solidFill>
                      </w14:textFill>
                    </w:rPr>
                    <w:t>9000</w:t>
                  </w:r>
                </w:p>
              </w:tc>
              <w:tc>
                <w:tcPr>
                  <w:tcW w:w="772" w:type="pct"/>
                  <w:noWrap w:val="0"/>
                  <w:vAlign w:val="center"/>
                </w:tcPr>
                <w:p w14:paraId="2C0E1F1B">
                  <w:pPr>
                    <w:jc w:val="center"/>
                    <w:rPr>
                      <w:i w:val="0"/>
                      <w:iCs w:val="0"/>
                      <w:color w:val="000000" w:themeColor="text1"/>
                      <w:szCs w:val="21"/>
                      <w:u w:val="none" w:color="auto"/>
                      <w14:textFill>
                        <w14:solidFill>
                          <w14:schemeClr w14:val="tx1"/>
                        </w14:solidFill>
                      </w14:textFill>
                    </w:rPr>
                  </w:pPr>
                  <w:r>
                    <w:rPr>
                      <w:i w:val="0"/>
                      <w:iCs w:val="0"/>
                      <w:color w:val="000000" w:themeColor="text1"/>
                      <w:szCs w:val="21"/>
                      <w:u w:val="none" w:color="auto"/>
                      <w14:textFill>
                        <w14:solidFill>
                          <w14:schemeClr w14:val="tx1"/>
                        </w14:solidFill>
                      </w14:textFill>
                    </w:rPr>
                    <w:t>/</w:t>
                  </w:r>
                </w:p>
              </w:tc>
              <w:tc>
                <w:tcPr>
                  <w:tcW w:w="779" w:type="pct"/>
                  <w:noWrap w:val="0"/>
                  <w:vAlign w:val="center"/>
                </w:tcPr>
                <w:p w14:paraId="1E392942">
                  <w:pPr>
                    <w:jc w:val="center"/>
                    <w:rPr>
                      <w:i w:val="0"/>
                      <w:iCs w:val="0"/>
                      <w:color w:val="000000" w:themeColor="text1"/>
                      <w:szCs w:val="21"/>
                      <w:highlight w:val="none"/>
                      <w:u w:val="none" w:color="auto"/>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915" w:type="pct"/>
                  <w:noWrap w:val="0"/>
                  <w:vAlign w:val="center"/>
                </w:tcPr>
                <w:p w14:paraId="132D08E2">
                  <w:pPr>
                    <w:jc w:val="center"/>
                    <w:rPr>
                      <w:i w:val="0"/>
                      <w:iCs w:val="0"/>
                      <w:color w:val="000000" w:themeColor="text1"/>
                      <w:szCs w:val="21"/>
                      <w:highlight w:val="none"/>
                      <w:u w:val="none" w:color="auto"/>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c>
                <w:tcPr>
                  <w:tcW w:w="825" w:type="pct"/>
                  <w:noWrap w:val="0"/>
                  <w:vAlign w:val="center"/>
                </w:tcPr>
                <w:p w14:paraId="386DDC7D">
                  <w:pPr>
                    <w:jc w:val="center"/>
                    <w:rPr>
                      <w:i w:val="0"/>
                      <w:iCs w:val="0"/>
                      <w:color w:val="000000" w:themeColor="text1"/>
                      <w:szCs w:val="21"/>
                      <w:highlight w:val="none"/>
                      <w:u w:val="none" w:color="auto"/>
                      <w14:textFill>
                        <w14:solidFill>
                          <w14:schemeClr w14:val="tx1"/>
                        </w14:solidFill>
                      </w14:textFill>
                    </w:rPr>
                  </w:pPr>
                  <w:r>
                    <w:rPr>
                      <w:i w:val="0"/>
                      <w:iCs w:val="0"/>
                      <w:color w:val="000000" w:themeColor="text1"/>
                      <w:szCs w:val="21"/>
                      <w:highlight w:val="none"/>
                      <w:u w:val="none" w:color="auto"/>
                      <w14:textFill>
                        <w14:solidFill>
                          <w14:schemeClr w14:val="tx1"/>
                        </w14:solidFill>
                      </w14:textFill>
                    </w:rPr>
                    <w:t>/</w:t>
                  </w:r>
                </w:p>
              </w:tc>
            </w:tr>
            <w:tr w14:paraId="28DF59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767" w:type="pct"/>
                  <w:noWrap w:val="0"/>
                  <w:vAlign w:val="center"/>
                </w:tcPr>
                <w:p w14:paraId="51BFD183">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小计</w:t>
                  </w:r>
                </w:p>
              </w:tc>
              <w:tc>
                <w:tcPr>
                  <w:tcW w:w="923" w:type="pct"/>
                  <w:noWrap w:val="0"/>
                  <w:vAlign w:val="center"/>
                </w:tcPr>
                <w:p w14:paraId="00F2E604">
                  <w:pPr>
                    <w:widowControl/>
                    <w:jc w:val="center"/>
                    <w:textAlignment w:val="center"/>
                    <w:rPr>
                      <w:rFonts w:hint="default" w:eastAsia="宋体"/>
                      <w:i w:val="0"/>
                      <w:iCs w:val="0"/>
                      <w:color w:val="000000" w:themeColor="text1"/>
                      <w:szCs w:val="21"/>
                      <w:u w:val="none" w:color="auto"/>
                      <w:lang w:val="en-US" w:eastAsia="zh-CN"/>
                      <w14:textFill>
                        <w14:solidFill>
                          <w14:schemeClr w14:val="tx1"/>
                        </w14:solidFill>
                      </w14:textFill>
                    </w:rPr>
                  </w:pPr>
                </w:p>
              </w:tc>
              <w:tc>
                <w:tcPr>
                  <w:tcW w:w="772" w:type="pct"/>
                  <w:noWrap w:val="0"/>
                  <w:vAlign w:val="center"/>
                </w:tcPr>
                <w:p w14:paraId="366998AE">
                  <w:pPr>
                    <w:widowControl/>
                    <w:jc w:val="center"/>
                    <w:textAlignment w:val="center"/>
                    <w:rPr>
                      <w:i w:val="0"/>
                      <w:iCs w:val="0"/>
                      <w:color w:val="000000" w:themeColor="text1"/>
                      <w:szCs w:val="21"/>
                      <w:u w:val="none" w:color="auto"/>
                      <w14:textFill>
                        <w14:solidFill>
                          <w14:schemeClr w14:val="tx1"/>
                        </w14:solidFill>
                      </w14:textFill>
                    </w:rPr>
                  </w:pPr>
                  <w:r>
                    <w:rPr>
                      <w:i w:val="0"/>
                      <w:iCs w:val="0"/>
                      <w:color w:val="000000" w:themeColor="text1"/>
                      <w:kern w:val="0"/>
                      <w:szCs w:val="21"/>
                      <w:u w:val="none" w:color="auto"/>
                      <w:lang w:bidi="ar"/>
                      <w14:textFill>
                        <w14:solidFill>
                          <w14:schemeClr w14:val="tx1"/>
                        </w14:solidFill>
                      </w14:textFill>
                    </w:rPr>
                    <w:t>小计</w:t>
                  </w:r>
                </w:p>
              </w:tc>
              <w:tc>
                <w:tcPr>
                  <w:tcW w:w="779" w:type="pct"/>
                  <w:noWrap w:val="0"/>
                  <w:vAlign w:val="center"/>
                </w:tcPr>
                <w:p w14:paraId="374F4D20">
                  <w:pPr>
                    <w:widowControl/>
                    <w:jc w:val="center"/>
                    <w:textAlignment w:val="center"/>
                    <w:rPr>
                      <w:rFonts w:hint="default" w:eastAsia="宋体"/>
                      <w:i w:val="0"/>
                      <w:iCs w:val="0"/>
                      <w:color w:val="000000" w:themeColor="text1"/>
                      <w:szCs w:val="21"/>
                      <w:highlight w:val="none"/>
                      <w:u w:val="none" w:color="auto"/>
                      <w:lang w:val="en-US" w:eastAsia="zh-CN"/>
                      <w14:textFill>
                        <w14:solidFill>
                          <w14:schemeClr w14:val="tx1"/>
                        </w14:solidFill>
                      </w14:textFill>
                    </w:rPr>
                  </w:pPr>
                  <w:r>
                    <w:rPr>
                      <w:rFonts w:hint="eastAsia"/>
                      <w:i w:val="0"/>
                      <w:iCs w:val="0"/>
                      <w:color w:val="000000" w:themeColor="text1"/>
                      <w:kern w:val="0"/>
                      <w:szCs w:val="21"/>
                      <w:highlight w:val="none"/>
                      <w:u w:val="none" w:color="auto"/>
                      <w:lang w:val="en-US" w:eastAsia="zh-CN" w:bidi="ar"/>
                      <w14:textFill>
                        <w14:solidFill>
                          <w14:schemeClr w14:val="tx1"/>
                        </w14:solidFill>
                      </w14:textFill>
                    </w:rPr>
                    <w:t>144000</w:t>
                  </w:r>
                </w:p>
              </w:tc>
              <w:tc>
                <w:tcPr>
                  <w:tcW w:w="915" w:type="pct"/>
                  <w:noWrap w:val="0"/>
                  <w:vAlign w:val="center"/>
                </w:tcPr>
                <w:p w14:paraId="7C500EDD">
                  <w:pPr>
                    <w:widowControl/>
                    <w:jc w:val="center"/>
                    <w:textAlignment w:val="center"/>
                    <w:rPr>
                      <w:i w:val="0"/>
                      <w:iCs w:val="0"/>
                      <w:color w:val="000000" w:themeColor="text1"/>
                      <w:szCs w:val="21"/>
                      <w:highlight w:val="none"/>
                      <w:u w:val="none" w:color="auto"/>
                      <w14:textFill>
                        <w14:solidFill>
                          <w14:schemeClr w14:val="tx1"/>
                        </w14:solidFill>
                      </w14:textFill>
                    </w:rPr>
                  </w:pPr>
                  <w:r>
                    <w:rPr>
                      <w:i w:val="0"/>
                      <w:iCs w:val="0"/>
                      <w:color w:val="000000" w:themeColor="text1"/>
                      <w:kern w:val="0"/>
                      <w:szCs w:val="21"/>
                      <w:highlight w:val="none"/>
                      <w:u w:val="none" w:color="auto"/>
                      <w:lang w:bidi="ar"/>
                      <w14:textFill>
                        <w14:solidFill>
                          <w14:schemeClr w14:val="tx1"/>
                        </w14:solidFill>
                      </w14:textFill>
                    </w:rPr>
                    <w:t>小计</w:t>
                  </w:r>
                </w:p>
              </w:tc>
              <w:tc>
                <w:tcPr>
                  <w:tcW w:w="842" w:type="pct"/>
                  <w:gridSpan w:val="2"/>
                  <w:noWrap w:val="0"/>
                  <w:vAlign w:val="center"/>
                </w:tcPr>
                <w:p w14:paraId="12E0B047">
                  <w:pPr>
                    <w:widowControl/>
                    <w:jc w:val="center"/>
                    <w:textAlignment w:val="center"/>
                    <w:rPr>
                      <w:rFonts w:hint="default" w:eastAsia="宋体"/>
                      <w:i w:val="0"/>
                      <w:iCs w:val="0"/>
                      <w:color w:val="000000" w:themeColor="text1"/>
                      <w:szCs w:val="21"/>
                      <w:highlight w:val="none"/>
                      <w:u w:val="none" w:color="auto"/>
                      <w:lang w:val="en-US" w:eastAsia="zh-CN"/>
                      <w14:textFill>
                        <w14:solidFill>
                          <w14:schemeClr w14:val="tx1"/>
                        </w14:solidFill>
                      </w14:textFill>
                    </w:rPr>
                  </w:pPr>
                  <w:r>
                    <w:rPr>
                      <w:rFonts w:hint="eastAsia"/>
                      <w:i w:val="0"/>
                      <w:iCs w:val="0"/>
                      <w:color w:val="000000" w:themeColor="text1"/>
                      <w:szCs w:val="21"/>
                      <w:highlight w:val="none"/>
                      <w:u w:val="none" w:color="auto"/>
                      <w:lang w:val="en-US" w:eastAsia="zh-CN"/>
                      <w14:textFill>
                        <w14:solidFill>
                          <w14:schemeClr w14:val="tx1"/>
                        </w14:solidFill>
                      </w14:textFill>
                    </w:rPr>
                    <w:t>35.0134</w:t>
                  </w:r>
                </w:p>
              </w:tc>
            </w:tr>
            <w:tr w14:paraId="097CBF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691" w:type="pct"/>
                  <w:gridSpan w:val="2"/>
                  <w:noWrap w:val="0"/>
                  <w:vAlign w:val="center"/>
                </w:tcPr>
                <w:p w14:paraId="1A4070B5">
                  <w:pPr>
                    <w:widowControl/>
                    <w:jc w:val="center"/>
                    <w:textAlignment w:val="center"/>
                    <w:rPr>
                      <w:rFonts w:hint="default"/>
                      <w:i w:val="0"/>
                      <w:iCs w:val="0"/>
                      <w:color w:val="000000" w:themeColor="text1"/>
                      <w:szCs w:val="21"/>
                      <w:u w:val="none" w:color="auto"/>
                      <w:lang w:val="en-US"/>
                      <w14:textFill>
                        <w14:solidFill>
                          <w14:schemeClr w14:val="tx1"/>
                        </w14:solidFill>
                      </w14:textFill>
                    </w:rPr>
                  </w:pPr>
                  <w:r>
                    <w:rPr>
                      <w:rFonts w:hint="eastAsia"/>
                      <w:i w:val="0"/>
                      <w:iCs w:val="0"/>
                      <w:color w:val="000000" w:themeColor="text1"/>
                      <w:szCs w:val="21"/>
                      <w:u w:val="none" w:color="auto"/>
                      <w:lang w:val="en-US" w:eastAsia="zh-CN"/>
                      <w14:textFill>
                        <w14:solidFill>
                          <w14:schemeClr w14:val="tx1"/>
                        </w14:solidFill>
                      </w14:textFill>
                    </w:rPr>
                    <w:t>144035.0134</w:t>
                  </w:r>
                </w:p>
              </w:tc>
              <w:tc>
                <w:tcPr>
                  <w:tcW w:w="3308" w:type="pct"/>
                  <w:gridSpan w:val="5"/>
                  <w:noWrap w:val="0"/>
                  <w:vAlign w:val="center"/>
                </w:tcPr>
                <w:p w14:paraId="0A45901A">
                  <w:pPr>
                    <w:widowControl/>
                    <w:jc w:val="center"/>
                    <w:textAlignment w:val="center"/>
                    <w:rPr>
                      <w:rFonts w:hint="default"/>
                      <w:i w:val="0"/>
                      <w:iCs w:val="0"/>
                      <w:color w:val="000000" w:themeColor="text1"/>
                      <w:kern w:val="0"/>
                      <w:szCs w:val="21"/>
                      <w:u w:val="none" w:color="auto"/>
                      <w:lang w:val="en-US" w:eastAsia="zh-CN" w:bidi="ar"/>
                      <w14:textFill>
                        <w14:solidFill>
                          <w14:schemeClr w14:val="tx1"/>
                        </w14:solidFill>
                      </w14:textFill>
                    </w:rPr>
                  </w:pPr>
                  <w:r>
                    <w:rPr>
                      <w:rFonts w:hint="eastAsia"/>
                      <w:i w:val="0"/>
                      <w:iCs w:val="0"/>
                      <w:color w:val="000000" w:themeColor="text1"/>
                      <w:szCs w:val="21"/>
                      <w:u w:val="none" w:color="auto"/>
                      <w:lang w:val="en-US" w:eastAsia="zh-CN"/>
                      <w14:textFill>
                        <w14:solidFill>
                          <w14:schemeClr w14:val="tx1"/>
                        </w14:solidFill>
                      </w14:textFill>
                    </w:rPr>
                    <w:t>144035.0134</w:t>
                  </w:r>
                </w:p>
              </w:tc>
            </w:tr>
          </w:tbl>
          <w:p w14:paraId="2901D3E0">
            <w:pPr>
              <w:rPr>
                <w:b w:val="0"/>
                <w:bCs w:val="0"/>
                <w:szCs w:val="21"/>
                <w:u w:val="none" w:color="auto"/>
              </w:rPr>
            </w:pPr>
            <w:r>
              <w:rPr>
                <w:b w:val="0"/>
                <w:bCs w:val="0"/>
                <w:spacing w:val="-6"/>
                <w:szCs w:val="21"/>
                <w:u w:val="none" w:color="auto"/>
              </w:rPr>
              <w:t>注：根据</w:t>
            </w:r>
            <w:r>
              <w:rPr>
                <w:rFonts w:hint="eastAsia"/>
                <w:b w:val="0"/>
                <w:bCs w:val="0"/>
                <w:spacing w:val="-6"/>
                <w:szCs w:val="21"/>
                <w:u w:val="none" w:color="auto"/>
                <w:lang w:eastAsia="zh-CN"/>
              </w:rPr>
              <w:t>调查，</w:t>
            </w:r>
            <w:r>
              <w:rPr>
                <w:b w:val="0"/>
                <w:bCs w:val="0"/>
                <w:spacing w:val="-6"/>
                <w:szCs w:val="21"/>
                <w:u w:val="none" w:color="auto"/>
              </w:rPr>
              <w:t>商品混凝土的密度</w:t>
            </w:r>
            <w:r>
              <w:rPr>
                <w:rFonts w:hint="default" w:ascii="Times New Roman" w:hAnsi="Times New Roman" w:cs="Times New Roman"/>
                <w:b w:val="0"/>
                <w:bCs w:val="0"/>
                <w:color w:val="auto"/>
                <w:spacing w:val="-6"/>
                <w:szCs w:val="21"/>
                <w:u w:val="none" w:color="auto"/>
              </w:rPr>
              <w:t>为</w:t>
            </w:r>
            <w:r>
              <w:rPr>
                <w:rFonts w:hint="eastAsia" w:ascii="Times New Roman" w:hAnsi="Times New Roman" w:cs="Times New Roman"/>
                <w:b w:val="0"/>
                <w:bCs w:val="0"/>
                <w:color w:val="auto"/>
                <w:spacing w:val="-6"/>
                <w:szCs w:val="21"/>
                <w:u w:val="none" w:color="auto"/>
                <w:lang w:val="en-US" w:eastAsia="zh-CN"/>
              </w:rPr>
              <w:t>2.4t</w:t>
            </w:r>
            <w:r>
              <w:rPr>
                <w:rFonts w:hint="default" w:ascii="Times New Roman" w:hAnsi="Times New Roman" w:cs="Times New Roman"/>
                <w:b w:val="0"/>
                <w:bCs w:val="0"/>
                <w:color w:val="auto"/>
                <w:spacing w:val="-6"/>
                <w:szCs w:val="21"/>
                <w:u w:val="none" w:color="auto"/>
              </w:rPr>
              <w:t>/m</w:t>
            </w:r>
            <w:r>
              <w:rPr>
                <w:rFonts w:hint="default" w:ascii="Times New Roman" w:hAnsi="Times New Roman" w:cs="Times New Roman"/>
                <w:b w:val="0"/>
                <w:bCs w:val="0"/>
                <w:color w:val="auto"/>
                <w:spacing w:val="-6"/>
                <w:szCs w:val="21"/>
                <w:u w:val="none" w:color="auto"/>
                <w:vertAlign w:val="superscript"/>
              </w:rPr>
              <w:t>3</w:t>
            </w:r>
            <w:r>
              <w:rPr>
                <w:rFonts w:hint="eastAsia" w:ascii="Times New Roman" w:hAnsi="Times New Roman" w:cs="Times New Roman"/>
                <w:b w:val="0"/>
                <w:bCs w:val="0"/>
                <w:color w:val="auto"/>
                <w:spacing w:val="-6"/>
                <w:szCs w:val="21"/>
                <w:u w:val="none" w:color="auto"/>
                <w:vertAlign w:val="baseline"/>
                <w:lang w:eastAsia="zh-CN"/>
              </w:rPr>
              <w:t>，则</w:t>
            </w:r>
            <w:r>
              <w:rPr>
                <w:rFonts w:hint="eastAsia" w:ascii="Times New Roman" w:hAnsi="Times New Roman" w:cs="Times New Roman"/>
                <w:b w:val="0"/>
                <w:bCs w:val="0"/>
                <w:color w:val="auto"/>
                <w:spacing w:val="-6"/>
                <w:szCs w:val="21"/>
                <w:u w:val="none" w:color="auto"/>
                <w:vertAlign w:val="baseline"/>
                <w:lang w:val="en-US" w:eastAsia="zh-CN"/>
              </w:rPr>
              <w:t>6万m</w:t>
            </w:r>
            <w:r>
              <w:rPr>
                <w:rFonts w:hint="eastAsia" w:ascii="Times New Roman" w:hAnsi="Times New Roman" w:cs="Times New Roman"/>
                <w:b w:val="0"/>
                <w:bCs w:val="0"/>
                <w:color w:val="auto"/>
                <w:spacing w:val="-6"/>
                <w:szCs w:val="21"/>
                <w:u w:val="none" w:color="auto"/>
                <w:vertAlign w:val="superscript"/>
                <w:lang w:val="en-US" w:eastAsia="zh-CN"/>
              </w:rPr>
              <w:t>3</w:t>
            </w:r>
            <w:r>
              <w:rPr>
                <w:rFonts w:hint="eastAsia" w:ascii="Times New Roman" w:hAnsi="Times New Roman" w:cs="Times New Roman"/>
                <w:b w:val="0"/>
                <w:bCs w:val="0"/>
                <w:color w:val="auto"/>
                <w:spacing w:val="-6"/>
                <w:szCs w:val="21"/>
                <w:u w:val="none" w:color="auto"/>
                <w:vertAlign w:val="baseline"/>
                <w:lang w:val="en-US" w:eastAsia="zh-CN"/>
              </w:rPr>
              <w:t>混凝土重量为14.4万t</w:t>
            </w:r>
            <w:r>
              <w:rPr>
                <w:rFonts w:hint="default" w:ascii="Times New Roman" w:hAnsi="Times New Roman" w:cs="Times New Roman"/>
                <w:b w:val="0"/>
                <w:bCs w:val="0"/>
                <w:color w:val="auto"/>
                <w:spacing w:val="-6"/>
                <w:szCs w:val="21"/>
                <w:u w:val="none" w:color="auto"/>
              </w:rPr>
              <w:t>。</w:t>
            </w:r>
          </w:p>
          <w:p w14:paraId="28E061DD">
            <w:pPr>
              <w:adjustRightInd w:val="0"/>
              <w:snapToGrid w:val="0"/>
              <w:jc w:val="both"/>
              <w:rPr>
                <w:rFonts w:hint="default" w:ascii="宋体" w:hAnsi="宋体" w:eastAsia="宋体"/>
                <w:bCs/>
                <w:sz w:val="24"/>
                <w:szCs w:val="24"/>
                <w:lang w:val="en-US" w:eastAsia="zh-CN"/>
              </w:rPr>
            </w:pPr>
          </w:p>
          <w:p w14:paraId="13F7E906">
            <w:pPr>
              <w:pStyle w:val="20"/>
              <w:rPr>
                <w:rFonts w:hint="default"/>
                <w:lang w:val="en-US" w:eastAsia="zh-CN"/>
              </w:rPr>
            </w:pPr>
          </w:p>
        </w:tc>
      </w:tr>
      <w:tr w14:paraId="6F97A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32" w:type="dxa"/>
            <w:noWrap w:val="0"/>
            <w:vAlign w:val="center"/>
          </w:tcPr>
          <w:p w14:paraId="3E130245">
            <w:pPr>
              <w:pStyle w:val="18"/>
              <w:adjustRightInd w:val="0"/>
              <w:snapToGrid w:val="0"/>
              <w:spacing w:before="0" w:beforeAutospacing="0" w:after="0" w:afterAutospacing="0"/>
              <w:jc w:val="center"/>
              <w:rPr>
                <w:rFonts w:cs="宋体"/>
                <w:sz w:val="24"/>
                <w:szCs w:val="24"/>
              </w:rPr>
            </w:pPr>
            <w:r>
              <w:rPr>
                <w:rFonts w:hint="eastAsia" w:cs="宋体"/>
                <w:bCs/>
                <w:kern w:val="2"/>
                <w:sz w:val="24"/>
                <w:szCs w:val="24"/>
              </w:rPr>
              <w:t>与项目有关的原有环境污染问题</w:t>
            </w:r>
          </w:p>
        </w:tc>
        <w:tc>
          <w:tcPr>
            <w:tcW w:w="8228" w:type="dxa"/>
            <w:noWrap w:val="0"/>
            <w:vAlign w:val="center"/>
          </w:tcPr>
          <w:p w14:paraId="03CC7FD5">
            <w:pPr>
              <w:adjustRightInd w:val="0"/>
              <w:snapToGrid w:val="0"/>
              <w:spacing w:line="360" w:lineRule="auto"/>
              <w:ind w:firstLine="480" w:firstLineChars="200"/>
              <w:jc w:val="both"/>
              <w:rPr>
                <w:rFonts w:hint="default" w:ascii="Times New Roman" w:hAnsi="Times New Roman" w:eastAsia="宋体" w:cs="Times New Roman"/>
                <w:iCs/>
                <w:sz w:val="24"/>
                <w:szCs w:val="24"/>
                <w:u w:val="single" w:color="auto"/>
                <w:lang w:val="en-US" w:eastAsia="zh-CN"/>
              </w:rPr>
            </w:pPr>
            <w:r>
              <w:rPr>
                <w:rFonts w:hint="eastAsia" w:ascii="Times New Roman" w:hAnsi="Times New Roman" w:eastAsia="宋体" w:cs="Times New Roman"/>
                <w:iCs/>
                <w:sz w:val="24"/>
                <w:szCs w:val="24"/>
                <w:u w:val="none" w:color="auto"/>
                <w:lang w:eastAsia="zh-CN"/>
              </w:rPr>
              <w:t>本</w:t>
            </w:r>
            <w:r>
              <w:rPr>
                <w:rFonts w:hint="eastAsia" w:ascii="Times New Roman" w:hAnsi="Times New Roman" w:eastAsia="宋体" w:cs="Times New Roman"/>
                <w:iCs/>
                <w:sz w:val="24"/>
                <w:szCs w:val="24"/>
                <w:u w:val="none" w:color="auto"/>
              </w:rPr>
              <w:t>项目</w:t>
            </w:r>
            <w:r>
              <w:rPr>
                <w:sz w:val="24"/>
                <w:szCs w:val="24"/>
                <w:u w:val="none" w:color="auto"/>
              </w:rPr>
              <w:t>位于</w:t>
            </w:r>
            <w:r>
              <w:rPr>
                <w:rFonts w:hint="eastAsia" w:ascii="宋体" w:hAnsi="宋体" w:cs="宋体"/>
                <w:sz w:val="24"/>
                <w:szCs w:val="24"/>
                <w:u w:val="none" w:color="auto"/>
                <w:lang w:val="en-US" w:eastAsia="zh-CN"/>
              </w:rPr>
              <w:t>白山市临江市临城村6社</w:t>
            </w:r>
            <w:r>
              <w:rPr>
                <w:rFonts w:hint="default" w:ascii="Times New Roman" w:hAnsi="Times New Roman" w:eastAsia="宋体" w:cs="Times New Roman"/>
                <w:iCs/>
                <w:sz w:val="24"/>
                <w:szCs w:val="24"/>
                <w:u w:val="none" w:color="auto"/>
                <w:lang w:val="en-US" w:eastAsia="zh-CN"/>
              </w:rPr>
              <w:t>，占地面积为</w:t>
            </w:r>
            <w:r>
              <w:rPr>
                <w:rFonts w:hint="eastAsia" w:cs="Times New Roman"/>
                <w:iCs/>
                <w:sz w:val="24"/>
                <w:szCs w:val="24"/>
                <w:u w:val="none" w:color="auto"/>
                <w:lang w:val="en-US" w:eastAsia="zh-CN"/>
              </w:rPr>
              <w:t>6997.74m</w:t>
            </w:r>
            <w:r>
              <w:rPr>
                <w:rFonts w:hint="default" w:ascii="Times New Roman" w:hAnsi="Times New Roman" w:eastAsia="宋体" w:cs="Times New Roman"/>
                <w:iCs/>
                <w:sz w:val="24"/>
                <w:szCs w:val="24"/>
                <w:u w:val="none" w:color="auto"/>
                <w:vertAlign w:val="superscript"/>
                <w:lang w:val="en-US" w:eastAsia="zh-CN"/>
              </w:rPr>
              <w:t>2</w:t>
            </w:r>
            <w:r>
              <w:rPr>
                <w:rFonts w:hint="default" w:ascii="Times New Roman" w:hAnsi="Times New Roman" w:eastAsia="宋体" w:cs="Times New Roman"/>
                <w:iCs/>
                <w:sz w:val="24"/>
                <w:szCs w:val="24"/>
                <w:u w:val="none" w:color="auto"/>
                <w:lang w:val="en-US" w:eastAsia="zh-CN"/>
              </w:rPr>
              <w:t>，</w:t>
            </w:r>
            <w:r>
              <w:rPr>
                <w:rFonts w:hint="eastAsia" w:cs="Times New Roman"/>
                <w:iCs/>
                <w:sz w:val="24"/>
                <w:szCs w:val="24"/>
                <w:u w:val="none" w:color="auto"/>
                <w:lang w:val="en-US" w:eastAsia="zh-CN"/>
              </w:rPr>
              <w:t>用地为工业用地，</w:t>
            </w:r>
            <w:r>
              <w:rPr>
                <w:rFonts w:hint="eastAsia" w:cs="Times New Roman"/>
                <w:iCs/>
                <w:sz w:val="24"/>
                <w:szCs w:val="24"/>
                <w:u w:val="single" w:color="auto"/>
                <w:lang w:val="en-US" w:eastAsia="zh-CN"/>
              </w:rPr>
              <w:t>厂区原有建设1条商品混凝土生产线，已拆除，目前为闲置空地，</w:t>
            </w:r>
            <w:r>
              <w:rPr>
                <w:rFonts w:hint="eastAsia" w:ascii="Times New Roman" w:hAnsi="Times New Roman" w:eastAsia="宋体" w:cs="Times New Roman"/>
                <w:iCs/>
                <w:sz w:val="24"/>
                <w:szCs w:val="24"/>
                <w:u w:val="single" w:color="auto"/>
                <w:lang w:eastAsia="zh-CN"/>
              </w:rPr>
              <w:t>本</w:t>
            </w:r>
            <w:r>
              <w:rPr>
                <w:rFonts w:hint="eastAsia" w:ascii="Times New Roman" w:hAnsi="Times New Roman" w:eastAsia="宋体" w:cs="Times New Roman"/>
                <w:iCs/>
                <w:sz w:val="24"/>
                <w:szCs w:val="24"/>
                <w:u w:val="single" w:color="auto"/>
              </w:rPr>
              <w:t>项目</w:t>
            </w:r>
            <w:r>
              <w:rPr>
                <w:rFonts w:hint="eastAsia" w:cs="Times New Roman"/>
                <w:iCs/>
                <w:sz w:val="24"/>
                <w:szCs w:val="24"/>
                <w:u w:val="single" w:color="auto"/>
                <w:lang w:val="en-US" w:eastAsia="zh-CN"/>
              </w:rPr>
              <w:t>为</w:t>
            </w:r>
            <w:r>
              <w:rPr>
                <w:rFonts w:hint="eastAsia" w:ascii="Times New Roman" w:hAnsi="Times New Roman" w:eastAsia="宋体" w:cs="Times New Roman"/>
                <w:iCs/>
                <w:sz w:val="24"/>
                <w:szCs w:val="24"/>
                <w:u w:val="single" w:color="auto"/>
              </w:rPr>
              <w:t>新建项目，</w:t>
            </w:r>
            <w:r>
              <w:rPr>
                <w:rFonts w:hint="eastAsia"/>
                <w:sz w:val="24"/>
                <w:szCs w:val="24"/>
                <w:u w:val="single" w:color="auto"/>
              </w:rPr>
              <w:t>不存在与本项目相关的原有污染情况及环境问题</w:t>
            </w:r>
            <w:r>
              <w:rPr>
                <w:rFonts w:hint="default" w:ascii="Times New Roman" w:hAnsi="Times New Roman" w:eastAsia="宋体" w:cs="Times New Roman"/>
                <w:iCs/>
                <w:sz w:val="24"/>
                <w:szCs w:val="24"/>
                <w:u w:val="single" w:color="auto"/>
                <w:lang w:val="en-US" w:eastAsia="zh-CN"/>
              </w:rPr>
              <w:t>。</w:t>
            </w:r>
          </w:p>
          <w:p w14:paraId="615626AE">
            <w:pPr>
              <w:adjustRightInd w:val="0"/>
              <w:snapToGrid w:val="0"/>
              <w:spacing w:line="360" w:lineRule="auto"/>
              <w:ind w:firstLine="480" w:firstLineChars="200"/>
              <w:jc w:val="both"/>
              <w:rPr>
                <w:rFonts w:ascii="宋体" w:hAnsi="宋体"/>
                <w:bCs/>
                <w:sz w:val="24"/>
                <w:szCs w:val="24"/>
              </w:rPr>
            </w:pPr>
          </w:p>
        </w:tc>
      </w:tr>
    </w:tbl>
    <w:p w14:paraId="501B9194">
      <w:pPr>
        <w:pStyle w:val="18"/>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9B66168">
      <w:pPr>
        <w:pStyle w:val="18"/>
        <w:adjustRightInd w:val="0"/>
        <w:snapToGrid w:val="0"/>
        <w:spacing w:before="0" w:beforeAutospacing="0" w:after="0" w:afterAutospacing="0" w:line="14" w:lineRule="auto"/>
        <w:jc w:val="center"/>
        <w:outlineLvl w:val="9"/>
        <w:rPr>
          <w:rFonts w:hint="eastAsia" w:ascii="黑体" w:hAnsi="黑体" w:eastAsia="黑体"/>
          <w:snapToGrid w:val="0"/>
          <w:sz w:val="30"/>
          <w:szCs w:val="30"/>
        </w:rPr>
      </w:pPr>
    </w:p>
    <w:p w14:paraId="489D6738">
      <w:pPr>
        <w:pStyle w:val="18"/>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311"/>
      </w:tblGrid>
      <w:tr w14:paraId="23472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14:paraId="17A32370">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14:paraId="20FF0CC3">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14:paraId="3C4A0427">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14:paraId="63F22262">
            <w:pPr>
              <w:adjustRightInd w:val="0"/>
              <w:snapToGrid w:val="0"/>
              <w:jc w:val="center"/>
              <w:rPr>
                <w:rFonts w:ascii="宋体" w:hAnsi="宋体" w:cs="宋体"/>
                <w:kern w:val="0"/>
                <w:sz w:val="24"/>
                <w:szCs w:val="24"/>
              </w:rPr>
            </w:pPr>
            <w:r>
              <w:rPr>
                <w:rFonts w:hint="eastAsia" w:ascii="宋体" w:hAnsi="宋体" w:cs="宋体"/>
                <w:kern w:val="0"/>
                <w:sz w:val="24"/>
                <w:szCs w:val="24"/>
              </w:rPr>
              <w:t>现状</w:t>
            </w:r>
          </w:p>
        </w:tc>
        <w:tc>
          <w:tcPr>
            <w:tcW w:w="8311" w:type="dxa"/>
            <w:noWrap w:val="0"/>
            <w:vAlign w:val="top"/>
          </w:tcPr>
          <w:p w14:paraId="6F04AB9A">
            <w:pPr>
              <w:pStyle w:val="56"/>
              <w:adjustRightInd w:val="0"/>
              <w:snapToGrid w:val="0"/>
              <w:spacing w:line="360" w:lineRule="auto"/>
              <w:ind w:firstLine="482"/>
              <w:rPr>
                <w:rFonts w:hint="eastAsia"/>
                <w:b/>
                <w:bCs/>
                <w:color w:val="000000"/>
                <w:sz w:val="24"/>
                <w:szCs w:val="24"/>
                <w:lang w:val="zh-CN"/>
              </w:rPr>
            </w:pPr>
            <w:r>
              <w:rPr>
                <w:rFonts w:ascii="Times New Roman" w:hAnsi="Times New Roman" w:cs="Times New Roman"/>
                <w:b/>
                <w:bCs/>
                <w:color w:val="000000"/>
                <w:kern w:val="0"/>
                <w:sz w:val="24"/>
                <w:szCs w:val="24"/>
                <w:lang w:bidi="ar"/>
              </w:rPr>
              <w:t>一、区域环境质量</w:t>
            </w:r>
          </w:p>
          <w:p w14:paraId="60BF8C21">
            <w:pPr>
              <w:spacing w:line="360" w:lineRule="auto"/>
              <w:ind w:firstLine="482" w:firstLineChars="200"/>
              <w:rPr>
                <w:rFonts w:hint="eastAsia"/>
                <w:b/>
                <w:bCs/>
                <w:color w:val="000000"/>
                <w:sz w:val="24"/>
                <w:szCs w:val="24"/>
                <w:lang w:val="zh-CN"/>
              </w:rPr>
            </w:pPr>
            <w:r>
              <w:rPr>
                <w:rFonts w:hint="eastAsia"/>
                <w:b/>
                <w:bCs/>
                <w:color w:val="000000"/>
                <w:sz w:val="24"/>
                <w:szCs w:val="24"/>
                <w:lang w:val="zh-CN"/>
              </w:rPr>
              <w:t>1、环境空气质量现状</w:t>
            </w:r>
          </w:p>
          <w:p w14:paraId="2FE7BB3A">
            <w:pPr>
              <w:pStyle w:val="56"/>
              <w:adjustRightInd w:val="0"/>
              <w:snapToGrid w:val="0"/>
              <w:spacing w:line="360" w:lineRule="auto"/>
              <w:ind w:firstLine="480"/>
              <w:rPr>
                <w:rFonts w:hint="default" w:ascii="Times New Roman" w:hAnsi="Times New Roman" w:eastAsia="宋体" w:cs="Times New Roman"/>
                <w:i w:val="0"/>
                <w:iCs w:val="0"/>
                <w:color w:val="000000"/>
                <w:sz w:val="24"/>
                <w:szCs w:val="24"/>
                <w:u w:val="none" w:color="auto"/>
              </w:rPr>
            </w:pPr>
            <w:r>
              <w:rPr>
                <w:rFonts w:ascii="Times New Roman" w:hAnsi="Times New Roman" w:cs="Times New Roman"/>
                <w:color w:val="000000"/>
                <w:kern w:val="0"/>
                <w:sz w:val="24"/>
                <w:szCs w:val="24"/>
                <w:lang w:bidi="ar"/>
              </w:rPr>
              <w:t>（1）区域环境空气质量达标情况</w:t>
            </w:r>
          </w:p>
          <w:p w14:paraId="7BA144DD">
            <w:pPr>
              <w:spacing w:line="360" w:lineRule="auto"/>
              <w:ind w:firstLine="480" w:firstLineChars="200"/>
              <w:rPr>
                <w:rFonts w:hint="default" w:ascii="Times New Roman" w:hAnsi="Times New Roman" w:eastAsia="宋体" w:cs="Times New Roman"/>
                <w:bCs/>
                <w:color w:val="000000"/>
                <w:sz w:val="24"/>
                <w:highlight w:val="none"/>
                <w:u w:val="none"/>
              </w:rPr>
            </w:pPr>
            <w:r>
              <w:rPr>
                <w:rFonts w:hint="default" w:ascii="Times New Roman" w:hAnsi="Times New Roman" w:eastAsia="宋体" w:cs="Times New Roman"/>
                <w:color w:val="auto"/>
                <w:kern w:val="0"/>
                <w:sz w:val="24"/>
                <w:szCs w:val="24"/>
                <w:highlight w:val="none"/>
                <w:u w:val="none"/>
                <w:lang w:val="zh-CN" w:eastAsia="zh-CN" w:bidi="ar"/>
              </w:rPr>
              <w:t>根据《建设项目环境影响报告表编制技术指南（污染影响类）》，常规污染物引用与建设项目距离近的有效数据，包括近3年的规划环境影响评价的监测数据，国家、地方环境空气质量监测网数据或生态环境主管部门公开发布的质量数据等。本项目</w:t>
            </w:r>
            <w:r>
              <w:rPr>
                <w:rFonts w:hint="default" w:ascii="Times New Roman" w:hAnsi="Times New Roman" w:eastAsia="宋体" w:cs="Times New Roman"/>
                <w:color w:val="auto"/>
                <w:kern w:val="0"/>
                <w:sz w:val="24"/>
                <w:szCs w:val="24"/>
                <w:highlight w:val="none"/>
                <w:u w:val="none"/>
                <w:lang w:val="en-US" w:eastAsia="zh-CN" w:bidi="ar"/>
              </w:rPr>
              <w:t>属于</w:t>
            </w:r>
            <w:r>
              <w:rPr>
                <w:rFonts w:hint="default" w:ascii="Times New Roman" w:hAnsi="Times New Roman" w:eastAsia="宋体" w:cs="Times New Roman"/>
                <w:color w:val="auto"/>
                <w:kern w:val="0"/>
                <w:sz w:val="24"/>
                <w:szCs w:val="24"/>
                <w:highlight w:val="none"/>
                <w:u w:val="none"/>
                <w:lang w:val="zh-CN" w:eastAsia="zh-CN" w:bidi="ar"/>
              </w:rPr>
              <w:t>白山市</w:t>
            </w:r>
            <w:r>
              <w:rPr>
                <w:rFonts w:hint="eastAsia" w:ascii="Times New Roman" w:hAnsi="Times New Roman" w:eastAsia="宋体" w:cs="Times New Roman"/>
                <w:color w:val="auto"/>
                <w:kern w:val="0"/>
                <w:sz w:val="24"/>
                <w:szCs w:val="24"/>
                <w:highlight w:val="none"/>
                <w:u w:val="none"/>
                <w:lang w:val="en-US" w:eastAsia="zh-CN" w:bidi="ar"/>
              </w:rPr>
              <w:t>临江市</w:t>
            </w:r>
            <w:r>
              <w:rPr>
                <w:rFonts w:hint="default" w:ascii="Times New Roman" w:hAnsi="Times New Roman" w:eastAsia="宋体" w:cs="Times New Roman"/>
                <w:color w:val="auto"/>
                <w:kern w:val="0"/>
                <w:sz w:val="24"/>
                <w:szCs w:val="24"/>
                <w:highlight w:val="none"/>
                <w:u w:val="none"/>
                <w:lang w:val="en-US" w:eastAsia="zh-CN" w:bidi="ar"/>
              </w:rPr>
              <w:t>境内</w:t>
            </w:r>
            <w:r>
              <w:rPr>
                <w:rFonts w:hint="default" w:ascii="Times New Roman" w:hAnsi="Times New Roman" w:eastAsia="宋体" w:cs="Times New Roman"/>
                <w:color w:val="auto"/>
                <w:kern w:val="0"/>
                <w:sz w:val="24"/>
                <w:szCs w:val="24"/>
                <w:highlight w:val="none"/>
                <w:u w:val="none"/>
                <w:lang w:val="zh-CN" w:eastAsia="zh-CN" w:bidi="ar"/>
              </w:rPr>
              <w:t>，根据《吉林省202</w:t>
            </w:r>
            <w:r>
              <w:rPr>
                <w:rFonts w:hint="eastAsia" w:ascii="Times New Roman" w:hAnsi="Times New Roman" w:eastAsia="宋体" w:cs="Times New Roman"/>
                <w:color w:val="auto"/>
                <w:kern w:val="0"/>
                <w:sz w:val="24"/>
                <w:szCs w:val="24"/>
                <w:highlight w:val="none"/>
                <w:u w:val="none"/>
                <w:lang w:val="en-US" w:eastAsia="zh-CN" w:bidi="ar"/>
              </w:rPr>
              <w:t>4</w:t>
            </w:r>
            <w:r>
              <w:rPr>
                <w:rFonts w:hint="default" w:ascii="Times New Roman" w:hAnsi="Times New Roman" w:eastAsia="宋体" w:cs="Times New Roman"/>
                <w:color w:val="auto"/>
                <w:kern w:val="0"/>
                <w:sz w:val="24"/>
                <w:szCs w:val="24"/>
                <w:highlight w:val="none"/>
                <w:u w:val="none"/>
                <w:lang w:val="zh-CN" w:eastAsia="zh-CN" w:bidi="ar"/>
              </w:rPr>
              <w:t>年生态环境状况公报》中相关数据，202</w:t>
            </w:r>
            <w:r>
              <w:rPr>
                <w:rFonts w:hint="eastAsia" w:ascii="Times New Roman" w:hAnsi="Times New Roman" w:eastAsia="宋体" w:cs="Times New Roman"/>
                <w:color w:val="auto"/>
                <w:kern w:val="0"/>
                <w:sz w:val="24"/>
                <w:szCs w:val="24"/>
                <w:highlight w:val="none"/>
                <w:u w:val="none"/>
                <w:lang w:val="en-US" w:eastAsia="zh-CN" w:bidi="ar"/>
              </w:rPr>
              <w:t>4</w:t>
            </w:r>
            <w:r>
              <w:rPr>
                <w:rFonts w:hint="default" w:ascii="Times New Roman" w:hAnsi="Times New Roman" w:eastAsia="宋体" w:cs="Times New Roman"/>
                <w:color w:val="auto"/>
                <w:kern w:val="0"/>
                <w:sz w:val="24"/>
                <w:szCs w:val="24"/>
                <w:highlight w:val="none"/>
                <w:u w:val="none"/>
                <w:lang w:val="zh-CN" w:eastAsia="zh-CN" w:bidi="ar"/>
              </w:rPr>
              <w:t>年白山市环境空气质量主要污染物年均浓度，区域环境质量现状评价</w:t>
            </w:r>
            <w:r>
              <w:rPr>
                <w:rFonts w:hint="default" w:ascii="Times New Roman" w:hAnsi="Times New Roman" w:eastAsia="宋体" w:cs="Times New Roman"/>
                <w:color w:val="auto"/>
                <w:kern w:val="0"/>
                <w:sz w:val="24"/>
                <w:szCs w:val="24"/>
                <w:highlight w:val="none"/>
                <w:u w:val="none"/>
                <w:lang w:val="en-US" w:eastAsia="zh-CN" w:bidi="ar"/>
              </w:rPr>
              <w:t>见下表</w:t>
            </w:r>
            <w:r>
              <w:rPr>
                <w:rFonts w:hint="default" w:ascii="Times New Roman" w:hAnsi="Times New Roman" w:eastAsia="宋体" w:cs="Times New Roman"/>
                <w:bCs/>
                <w:color w:val="000000"/>
                <w:sz w:val="24"/>
                <w:highlight w:val="none"/>
                <w:u w:val="none"/>
              </w:rPr>
              <w:t>。</w:t>
            </w:r>
          </w:p>
          <w:p w14:paraId="3CCE2C09">
            <w:pPr>
              <w:pStyle w:val="48"/>
              <w:keepNext w:val="0"/>
              <w:keepLines w:val="0"/>
              <w:pageBreakBefore w:val="0"/>
              <w:widowControl/>
              <w:kinsoku/>
              <w:wordWrap/>
              <w:overflowPunct/>
              <w:topLinePunct w:val="0"/>
              <w:autoSpaceDE/>
              <w:autoSpaceDN/>
              <w:bidi w:val="0"/>
              <w:adjustRightInd/>
              <w:snapToGrid/>
              <w:spacing w:beforeLines="0" w:afterLines="0"/>
              <w:textAlignment w:val="auto"/>
              <w:rPr>
                <w:rFonts w:hint="default" w:ascii="Times New Roman" w:hAnsi="Times New Roman" w:eastAsia="宋体" w:cs="Times New Roman"/>
                <w:b/>
                <w:bCs w:val="0"/>
                <w:color w:val="000000"/>
                <w:highlight w:val="none"/>
                <w:u w:val="none" w:color="auto"/>
              </w:rPr>
            </w:pPr>
            <w:r>
              <w:rPr>
                <w:rFonts w:hint="default" w:ascii="Times New Roman" w:hAnsi="Times New Roman" w:eastAsia="宋体" w:cs="Times New Roman"/>
                <w:b/>
                <w:bCs w:val="0"/>
                <w:color w:val="000000"/>
                <w:highlight w:val="none"/>
                <w:u w:val="none" w:color="auto"/>
              </w:rPr>
              <w:t>表</w:t>
            </w:r>
            <w:r>
              <w:rPr>
                <w:rFonts w:hint="eastAsia" w:cs="Times New Roman"/>
                <w:b/>
                <w:bCs w:val="0"/>
                <w:color w:val="000000"/>
                <w:highlight w:val="none"/>
                <w:u w:val="none" w:color="auto"/>
                <w:lang w:val="en-US" w:eastAsia="zh-CN"/>
              </w:rPr>
              <w:t>3-1</w:t>
            </w:r>
            <w:r>
              <w:rPr>
                <w:rFonts w:hint="default" w:ascii="Times New Roman" w:hAnsi="Times New Roman" w:eastAsia="宋体" w:cs="Times New Roman"/>
                <w:b/>
                <w:bCs w:val="0"/>
                <w:color w:val="000000"/>
                <w:highlight w:val="none"/>
                <w:u w:val="none" w:color="auto"/>
              </w:rPr>
              <w:t xml:space="preserve">   基本污染物环境质量现状</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133"/>
              <w:gridCol w:w="1189"/>
              <w:gridCol w:w="1202"/>
              <w:gridCol w:w="1438"/>
              <w:gridCol w:w="1011"/>
            </w:tblGrid>
            <w:tr w14:paraId="1480BF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90" w:type="pct"/>
                  <w:tcBorders>
                    <w:top w:val="single" w:color="auto" w:sz="12" w:space="0"/>
                    <w:left w:val="nil"/>
                    <w:bottom w:val="single" w:color="auto" w:sz="4" w:space="0"/>
                    <w:right w:val="single" w:color="auto" w:sz="4" w:space="0"/>
                  </w:tcBorders>
                  <w:noWrap w:val="0"/>
                  <w:vAlign w:val="center"/>
                </w:tcPr>
                <w:p w14:paraId="1F2BE9BA">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监测项目</w:t>
                  </w:r>
                </w:p>
              </w:tc>
              <w:tc>
                <w:tcPr>
                  <w:tcW w:w="1318" w:type="pct"/>
                  <w:tcBorders>
                    <w:top w:val="single" w:color="auto" w:sz="12" w:space="0"/>
                    <w:left w:val="single" w:color="auto" w:sz="4" w:space="0"/>
                    <w:bottom w:val="single" w:color="auto" w:sz="4" w:space="0"/>
                    <w:right w:val="single" w:color="auto" w:sz="4" w:space="0"/>
                  </w:tcBorders>
                  <w:noWrap w:val="0"/>
                  <w:vAlign w:val="center"/>
                </w:tcPr>
                <w:p w14:paraId="4E6E2282">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年平均指标</w:t>
                  </w:r>
                </w:p>
              </w:tc>
              <w:tc>
                <w:tcPr>
                  <w:tcW w:w="734" w:type="pct"/>
                  <w:tcBorders>
                    <w:top w:val="single" w:color="auto" w:sz="12" w:space="0"/>
                    <w:left w:val="single" w:color="auto" w:sz="4" w:space="0"/>
                    <w:bottom w:val="single" w:color="auto" w:sz="4" w:space="0"/>
                    <w:right w:val="single" w:color="auto" w:sz="4" w:space="0"/>
                  </w:tcBorders>
                  <w:noWrap w:val="0"/>
                  <w:vAlign w:val="center"/>
                </w:tcPr>
                <w:p w14:paraId="2A2DC300">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现状浓度</w:t>
                  </w:r>
                </w:p>
                <w:p w14:paraId="34826488">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（ug/m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p>
              </w:tc>
              <w:tc>
                <w:tcPr>
                  <w:tcW w:w="742" w:type="pct"/>
                  <w:tcBorders>
                    <w:top w:val="single" w:color="auto" w:sz="12" w:space="0"/>
                    <w:left w:val="single" w:color="auto" w:sz="4" w:space="0"/>
                    <w:bottom w:val="single" w:color="auto" w:sz="4" w:space="0"/>
                    <w:right w:val="single" w:color="auto" w:sz="4" w:space="0"/>
                  </w:tcBorders>
                  <w:noWrap w:val="0"/>
                  <w:vAlign w:val="center"/>
                </w:tcPr>
                <w:p w14:paraId="78A0080B">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标准值</w:t>
                  </w:r>
                </w:p>
                <w:p w14:paraId="30C6EA3A">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（ug/m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p>
              </w:tc>
              <w:tc>
                <w:tcPr>
                  <w:tcW w:w="889" w:type="pct"/>
                  <w:tcBorders>
                    <w:top w:val="single" w:color="auto" w:sz="12" w:space="0"/>
                    <w:left w:val="single" w:color="auto" w:sz="4" w:space="0"/>
                    <w:bottom w:val="single" w:color="auto" w:sz="4" w:space="0"/>
                    <w:right w:val="nil"/>
                  </w:tcBorders>
                  <w:noWrap w:val="0"/>
                  <w:vAlign w:val="center"/>
                </w:tcPr>
                <w:p w14:paraId="7143786A">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占标率</w:t>
                  </w:r>
                </w:p>
                <w:p w14:paraId="04BDB56D">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625" w:type="pct"/>
                  <w:tcBorders>
                    <w:top w:val="single" w:color="auto" w:sz="12" w:space="0"/>
                    <w:left w:val="single" w:color="auto" w:sz="4" w:space="0"/>
                    <w:bottom w:val="single" w:color="auto" w:sz="4" w:space="0"/>
                    <w:right w:val="nil"/>
                  </w:tcBorders>
                  <w:noWrap w:val="0"/>
                  <w:vAlign w:val="center"/>
                </w:tcPr>
                <w:p w14:paraId="75D8354E">
                  <w:pPr>
                    <w:adjustRightInd/>
                    <w:spacing w:line="240"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达标</w:t>
                  </w:r>
                </w:p>
                <w:p w14:paraId="013F5810">
                  <w:pPr>
                    <w:adjustRightInd/>
                    <w:spacing w:line="240"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情况</w:t>
                  </w:r>
                </w:p>
              </w:tc>
            </w:tr>
            <w:tr w14:paraId="66836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690" w:type="pct"/>
                  <w:tcBorders>
                    <w:top w:val="single" w:color="auto" w:sz="4" w:space="0"/>
                    <w:left w:val="nil"/>
                    <w:bottom w:val="single" w:color="auto" w:sz="4" w:space="0"/>
                    <w:right w:val="single" w:color="auto" w:sz="4" w:space="0"/>
                  </w:tcBorders>
                  <w:noWrap w:val="0"/>
                  <w:vAlign w:val="center"/>
                </w:tcPr>
                <w:p w14:paraId="6F66148E">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513ED56E">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年平均质量浓度</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6960FC2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12</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4101AC0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60</w:t>
                  </w:r>
                </w:p>
              </w:tc>
              <w:tc>
                <w:tcPr>
                  <w:tcW w:w="889" w:type="pct"/>
                  <w:tcBorders>
                    <w:top w:val="single" w:color="auto" w:sz="4" w:space="0"/>
                    <w:left w:val="single" w:color="auto" w:sz="4" w:space="0"/>
                    <w:bottom w:val="single" w:color="auto" w:sz="4" w:space="0"/>
                    <w:right w:val="nil"/>
                  </w:tcBorders>
                  <w:noWrap w:val="0"/>
                  <w:vAlign w:val="center"/>
                </w:tcPr>
                <w:p w14:paraId="4AB3EA33">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20.00</w:t>
                  </w:r>
                </w:p>
              </w:tc>
              <w:tc>
                <w:tcPr>
                  <w:tcW w:w="625" w:type="pct"/>
                  <w:vMerge w:val="restart"/>
                  <w:tcBorders>
                    <w:top w:val="single" w:color="auto" w:sz="4" w:space="0"/>
                    <w:left w:val="single" w:color="auto" w:sz="4" w:space="0"/>
                    <w:right w:val="nil"/>
                  </w:tcBorders>
                  <w:noWrap w:val="0"/>
                  <w:vAlign w:val="center"/>
                </w:tcPr>
                <w:p w14:paraId="2637258E">
                  <w:pPr>
                    <w:adjustRightInd/>
                    <w:spacing w:line="240"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达标</w:t>
                  </w:r>
                </w:p>
              </w:tc>
            </w:tr>
            <w:tr w14:paraId="668AC7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690" w:type="pct"/>
                  <w:tcBorders>
                    <w:top w:val="single" w:color="auto" w:sz="4" w:space="0"/>
                    <w:left w:val="nil"/>
                    <w:bottom w:val="single" w:color="auto" w:sz="4" w:space="0"/>
                    <w:right w:val="single" w:color="auto" w:sz="4" w:space="0"/>
                  </w:tcBorders>
                  <w:noWrap w:val="0"/>
                  <w:vAlign w:val="center"/>
                </w:tcPr>
                <w:p w14:paraId="19AA9F0A">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2</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4CE54C34">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年平均质量浓度</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26AAD80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2</w:t>
                  </w:r>
                  <w:r>
                    <w:rPr>
                      <w:rFonts w:hint="eastAsia" w:ascii="Times New Roman" w:hAnsi="Times New Roman" w:eastAsia="宋体" w:cs="Times New Roman"/>
                      <w:color w:val="auto"/>
                      <w:sz w:val="21"/>
                      <w:szCs w:val="21"/>
                      <w:u w:val="none" w:color="auto"/>
                      <w:lang w:val="en-US" w:eastAsia="zh-CN"/>
                    </w:rPr>
                    <w:t>0</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35FE03C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40</w:t>
                  </w:r>
                </w:p>
              </w:tc>
              <w:tc>
                <w:tcPr>
                  <w:tcW w:w="889" w:type="pct"/>
                  <w:tcBorders>
                    <w:top w:val="single" w:color="auto" w:sz="4" w:space="0"/>
                    <w:left w:val="single" w:color="auto" w:sz="4" w:space="0"/>
                    <w:bottom w:val="single" w:color="auto" w:sz="4" w:space="0"/>
                    <w:right w:val="nil"/>
                  </w:tcBorders>
                  <w:noWrap w:val="0"/>
                  <w:vAlign w:val="center"/>
                </w:tcPr>
                <w:p w14:paraId="1A6935F9">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50.00</w:t>
                  </w:r>
                </w:p>
              </w:tc>
              <w:tc>
                <w:tcPr>
                  <w:tcW w:w="625" w:type="pct"/>
                  <w:vMerge w:val="continue"/>
                  <w:tcBorders>
                    <w:left w:val="single" w:color="auto" w:sz="4" w:space="0"/>
                    <w:right w:val="nil"/>
                  </w:tcBorders>
                  <w:noWrap w:val="0"/>
                  <w:vAlign w:val="center"/>
                </w:tcPr>
                <w:p w14:paraId="66CA1FA9">
                  <w:pPr>
                    <w:adjustRightInd/>
                    <w:spacing w:line="240" w:lineRule="auto"/>
                    <w:jc w:val="center"/>
                    <w:textAlignment w:val="auto"/>
                    <w:rPr>
                      <w:rFonts w:hint="default" w:ascii="Times New Roman" w:hAnsi="Times New Roman" w:eastAsia="宋体" w:cs="Times New Roman"/>
                      <w:color w:val="auto"/>
                      <w:sz w:val="21"/>
                      <w:szCs w:val="21"/>
                      <w:u w:val="none" w:color="auto"/>
                    </w:rPr>
                  </w:pPr>
                </w:p>
              </w:tc>
            </w:tr>
            <w:tr w14:paraId="505C3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690" w:type="pct"/>
                  <w:tcBorders>
                    <w:top w:val="single" w:color="auto" w:sz="4" w:space="0"/>
                    <w:left w:val="nil"/>
                    <w:bottom w:val="single" w:color="auto" w:sz="4" w:space="0"/>
                    <w:right w:val="single" w:color="auto" w:sz="4" w:space="0"/>
                  </w:tcBorders>
                  <w:noWrap w:val="0"/>
                  <w:vAlign w:val="center"/>
                </w:tcPr>
                <w:p w14:paraId="12C5698E">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PM</w:t>
                  </w:r>
                  <w:r>
                    <w:rPr>
                      <w:rFonts w:hint="default" w:ascii="Times New Roman" w:hAnsi="Times New Roman" w:eastAsia="宋体" w:cs="Times New Roman"/>
                      <w:color w:val="auto"/>
                      <w:sz w:val="21"/>
                      <w:szCs w:val="21"/>
                      <w:u w:val="none" w:color="auto"/>
                      <w:vertAlign w:val="subscript"/>
                    </w:rPr>
                    <w:t>2.5</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30B3836F">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年平均质量浓度</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438FFE0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23</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1210CA8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35</w:t>
                  </w:r>
                </w:p>
              </w:tc>
              <w:tc>
                <w:tcPr>
                  <w:tcW w:w="889" w:type="pct"/>
                  <w:tcBorders>
                    <w:top w:val="single" w:color="auto" w:sz="4" w:space="0"/>
                    <w:left w:val="single" w:color="auto" w:sz="4" w:space="0"/>
                    <w:bottom w:val="single" w:color="auto" w:sz="4" w:space="0"/>
                    <w:right w:val="nil"/>
                  </w:tcBorders>
                  <w:noWrap w:val="0"/>
                  <w:vAlign w:val="center"/>
                </w:tcPr>
                <w:p w14:paraId="1469A39A">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65.71</w:t>
                  </w:r>
                </w:p>
              </w:tc>
              <w:tc>
                <w:tcPr>
                  <w:tcW w:w="625" w:type="pct"/>
                  <w:vMerge w:val="continue"/>
                  <w:tcBorders>
                    <w:left w:val="single" w:color="auto" w:sz="4" w:space="0"/>
                    <w:right w:val="nil"/>
                  </w:tcBorders>
                  <w:noWrap w:val="0"/>
                  <w:vAlign w:val="center"/>
                </w:tcPr>
                <w:p w14:paraId="4F422953">
                  <w:pPr>
                    <w:adjustRightInd/>
                    <w:spacing w:line="240" w:lineRule="auto"/>
                    <w:jc w:val="center"/>
                    <w:textAlignment w:val="auto"/>
                    <w:rPr>
                      <w:rFonts w:hint="default" w:ascii="Times New Roman" w:hAnsi="Times New Roman" w:eastAsia="宋体" w:cs="Times New Roman"/>
                      <w:color w:val="auto"/>
                      <w:sz w:val="21"/>
                      <w:szCs w:val="21"/>
                      <w:u w:val="none" w:color="auto"/>
                    </w:rPr>
                  </w:pPr>
                </w:p>
              </w:tc>
            </w:tr>
            <w:tr w14:paraId="0C9EDC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690" w:type="pct"/>
                  <w:tcBorders>
                    <w:top w:val="single" w:color="auto" w:sz="4" w:space="0"/>
                    <w:left w:val="nil"/>
                    <w:bottom w:val="single" w:color="auto" w:sz="4" w:space="0"/>
                    <w:right w:val="single" w:color="auto" w:sz="4" w:space="0"/>
                  </w:tcBorders>
                  <w:noWrap w:val="0"/>
                  <w:vAlign w:val="center"/>
                </w:tcPr>
                <w:p w14:paraId="4BEEC328">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PM</w:t>
                  </w:r>
                  <w:r>
                    <w:rPr>
                      <w:rFonts w:hint="default" w:ascii="Times New Roman" w:hAnsi="Times New Roman" w:eastAsia="宋体" w:cs="Times New Roman"/>
                      <w:color w:val="auto"/>
                      <w:sz w:val="21"/>
                      <w:szCs w:val="21"/>
                      <w:u w:val="none" w:color="auto"/>
                      <w:vertAlign w:val="subscript"/>
                    </w:rPr>
                    <w:t>10</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5214B81">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年平均质量浓度</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57F2EE7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5</w:t>
                  </w:r>
                  <w:r>
                    <w:rPr>
                      <w:rFonts w:hint="eastAsia" w:ascii="Times New Roman" w:hAnsi="Times New Roman" w:eastAsia="宋体" w:cs="Times New Roman"/>
                      <w:color w:val="auto"/>
                      <w:sz w:val="21"/>
                      <w:szCs w:val="21"/>
                      <w:u w:val="none" w:color="auto"/>
                      <w:lang w:val="en-US" w:eastAsia="zh-CN"/>
                    </w:rPr>
                    <w:t>4</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7D31335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70</w:t>
                  </w:r>
                </w:p>
              </w:tc>
              <w:tc>
                <w:tcPr>
                  <w:tcW w:w="889" w:type="pct"/>
                  <w:tcBorders>
                    <w:top w:val="single" w:color="auto" w:sz="4" w:space="0"/>
                    <w:left w:val="single" w:color="auto" w:sz="4" w:space="0"/>
                    <w:bottom w:val="single" w:color="auto" w:sz="4" w:space="0"/>
                    <w:right w:val="nil"/>
                  </w:tcBorders>
                  <w:noWrap w:val="0"/>
                  <w:vAlign w:val="center"/>
                </w:tcPr>
                <w:p w14:paraId="73448435">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77.14</w:t>
                  </w:r>
                </w:p>
              </w:tc>
              <w:tc>
                <w:tcPr>
                  <w:tcW w:w="625" w:type="pct"/>
                  <w:vMerge w:val="continue"/>
                  <w:tcBorders>
                    <w:left w:val="single" w:color="auto" w:sz="4" w:space="0"/>
                    <w:right w:val="nil"/>
                  </w:tcBorders>
                  <w:noWrap w:val="0"/>
                  <w:vAlign w:val="center"/>
                </w:tcPr>
                <w:p w14:paraId="64764B1A">
                  <w:pPr>
                    <w:adjustRightInd/>
                    <w:spacing w:line="240" w:lineRule="auto"/>
                    <w:jc w:val="center"/>
                    <w:textAlignment w:val="auto"/>
                    <w:rPr>
                      <w:rFonts w:hint="default" w:ascii="Times New Roman" w:hAnsi="Times New Roman" w:eastAsia="宋体" w:cs="Times New Roman"/>
                      <w:color w:val="auto"/>
                      <w:sz w:val="21"/>
                      <w:szCs w:val="21"/>
                      <w:u w:val="none" w:color="auto"/>
                    </w:rPr>
                  </w:pPr>
                </w:p>
              </w:tc>
            </w:tr>
            <w:tr w14:paraId="561CE5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90" w:type="pct"/>
                  <w:tcBorders>
                    <w:top w:val="single" w:color="auto" w:sz="4" w:space="0"/>
                    <w:left w:val="nil"/>
                    <w:bottom w:val="single" w:color="auto" w:sz="4" w:space="0"/>
                    <w:right w:val="single" w:color="auto" w:sz="4" w:space="0"/>
                  </w:tcBorders>
                  <w:noWrap w:val="0"/>
                  <w:vAlign w:val="center"/>
                </w:tcPr>
                <w:p w14:paraId="5EE15D9B">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CO</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643A3858">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百分位数日平均</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550463E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1</w:t>
                  </w:r>
                  <w:r>
                    <w:rPr>
                      <w:rFonts w:hint="eastAsia" w:ascii="Times New Roman" w:hAnsi="Times New Roman" w:eastAsia="宋体" w:cs="Times New Roman"/>
                      <w:color w:val="auto"/>
                      <w:sz w:val="21"/>
                      <w:szCs w:val="21"/>
                      <w:u w:val="none" w:color="auto"/>
                      <w:lang w:val="en-US" w:eastAsia="zh-CN"/>
                    </w:rPr>
                    <w:t>200</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791FDB5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4</w:t>
                  </w:r>
                  <w:r>
                    <w:rPr>
                      <w:rFonts w:hint="eastAsia" w:ascii="Times New Roman" w:hAnsi="Times New Roman" w:eastAsia="宋体" w:cs="Times New Roman"/>
                      <w:color w:val="auto"/>
                      <w:sz w:val="21"/>
                      <w:szCs w:val="21"/>
                      <w:u w:val="none" w:color="auto"/>
                      <w:lang w:val="en-US" w:eastAsia="zh-CN"/>
                    </w:rPr>
                    <w:t>000</w:t>
                  </w:r>
                </w:p>
              </w:tc>
              <w:tc>
                <w:tcPr>
                  <w:tcW w:w="889" w:type="pct"/>
                  <w:tcBorders>
                    <w:top w:val="single" w:color="auto" w:sz="4" w:space="0"/>
                    <w:left w:val="single" w:color="auto" w:sz="4" w:space="0"/>
                    <w:bottom w:val="single" w:color="auto" w:sz="4" w:space="0"/>
                    <w:right w:val="nil"/>
                  </w:tcBorders>
                  <w:noWrap w:val="0"/>
                  <w:vAlign w:val="center"/>
                </w:tcPr>
                <w:p w14:paraId="2C631396">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30.00</w:t>
                  </w:r>
                </w:p>
              </w:tc>
              <w:tc>
                <w:tcPr>
                  <w:tcW w:w="625" w:type="pct"/>
                  <w:vMerge w:val="continue"/>
                  <w:tcBorders>
                    <w:left w:val="single" w:color="auto" w:sz="4" w:space="0"/>
                    <w:right w:val="nil"/>
                  </w:tcBorders>
                  <w:noWrap w:val="0"/>
                  <w:vAlign w:val="center"/>
                </w:tcPr>
                <w:p w14:paraId="1B8BE424">
                  <w:pPr>
                    <w:adjustRightInd/>
                    <w:spacing w:line="240" w:lineRule="auto"/>
                    <w:jc w:val="center"/>
                    <w:textAlignment w:val="auto"/>
                    <w:rPr>
                      <w:rFonts w:hint="default" w:ascii="Times New Roman" w:hAnsi="Times New Roman" w:eastAsia="宋体" w:cs="Times New Roman"/>
                      <w:color w:val="auto"/>
                      <w:sz w:val="21"/>
                      <w:szCs w:val="21"/>
                      <w:u w:val="none" w:color="auto"/>
                    </w:rPr>
                  </w:pPr>
                </w:p>
              </w:tc>
            </w:tr>
            <w:tr w14:paraId="042063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90" w:type="pct"/>
                  <w:tcBorders>
                    <w:top w:val="single" w:color="auto" w:sz="4" w:space="0"/>
                    <w:left w:val="nil"/>
                    <w:bottom w:val="single" w:color="auto" w:sz="12" w:space="0"/>
                    <w:right w:val="single" w:color="auto" w:sz="4" w:space="0"/>
                  </w:tcBorders>
                  <w:noWrap w:val="0"/>
                  <w:vAlign w:val="center"/>
                </w:tcPr>
                <w:p w14:paraId="41403CAC">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O</w:t>
                  </w:r>
                  <w:r>
                    <w:rPr>
                      <w:rFonts w:hint="default" w:ascii="Times New Roman" w:hAnsi="Times New Roman" w:eastAsia="宋体" w:cs="Times New Roman"/>
                      <w:color w:val="auto"/>
                      <w:sz w:val="21"/>
                      <w:szCs w:val="21"/>
                      <w:u w:val="none" w:color="auto"/>
                      <w:vertAlign w:val="subscript"/>
                    </w:rPr>
                    <w:t>3</w:t>
                  </w:r>
                </w:p>
              </w:tc>
              <w:tc>
                <w:tcPr>
                  <w:tcW w:w="1318" w:type="pct"/>
                  <w:tcBorders>
                    <w:top w:val="single" w:color="auto" w:sz="4" w:space="0"/>
                    <w:left w:val="single" w:color="auto" w:sz="4" w:space="0"/>
                    <w:bottom w:val="single" w:color="auto" w:sz="12" w:space="0"/>
                    <w:right w:val="single" w:color="auto" w:sz="4" w:space="0"/>
                  </w:tcBorders>
                  <w:noWrap w:val="0"/>
                  <w:vAlign w:val="center"/>
                </w:tcPr>
                <w:p w14:paraId="0D1F5F7A">
                  <w:pPr>
                    <w:keepNext w:val="0"/>
                    <w:keepLines w:val="0"/>
                    <w:pageBreakBefore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百分位数8小时平均</w:t>
                  </w:r>
                </w:p>
              </w:tc>
              <w:tc>
                <w:tcPr>
                  <w:tcW w:w="734" w:type="pct"/>
                  <w:tcBorders>
                    <w:top w:val="single" w:color="auto" w:sz="4" w:space="0"/>
                    <w:left w:val="single" w:color="auto" w:sz="4" w:space="0"/>
                    <w:bottom w:val="single" w:color="auto" w:sz="12" w:space="0"/>
                    <w:right w:val="single" w:color="auto" w:sz="4" w:space="0"/>
                  </w:tcBorders>
                  <w:noWrap w:val="0"/>
                  <w:vAlign w:val="center"/>
                </w:tcPr>
                <w:p w14:paraId="747DA06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1</w:t>
                  </w:r>
                  <w:r>
                    <w:rPr>
                      <w:rFonts w:hint="eastAsia" w:ascii="Times New Roman" w:hAnsi="Times New Roman" w:eastAsia="宋体" w:cs="Times New Roman"/>
                      <w:color w:val="auto"/>
                      <w:sz w:val="21"/>
                      <w:szCs w:val="21"/>
                      <w:u w:val="none" w:color="auto"/>
                      <w:lang w:val="en-US" w:eastAsia="zh-CN"/>
                    </w:rPr>
                    <w:t>29</w:t>
                  </w:r>
                </w:p>
              </w:tc>
              <w:tc>
                <w:tcPr>
                  <w:tcW w:w="742" w:type="pct"/>
                  <w:tcBorders>
                    <w:top w:val="single" w:color="auto" w:sz="4" w:space="0"/>
                    <w:left w:val="single" w:color="auto" w:sz="4" w:space="0"/>
                    <w:bottom w:val="single" w:color="auto" w:sz="12" w:space="0"/>
                    <w:right w:val="single" w:color="auto" w:sz="4" w:space="0"/>
                  </w:tcBorders>
                  <w:noWrap w:val="0"/>
                  <w:vAlign w:val="center"/>
                </w:tcPr>
                <w:p w14:paraId="3340FF3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160</w:t>
                  </w:r>
                </w:p>
              </w:tc>
              <w:tc>
                <w:tcPr>
                  <w:tcW w:w="889" w:type="pct"/>
                  <w:tcBorders>
                    <w:top w:val="single" w:color="auto" w:sz="4" w:space="0"/>
                    <w:left w:val="single" w:color="auto" w:sz="4" w:space="0"/>
                    <w:bottom w:val="single" w:color="auto" w:sz="12" w:space="0"/>
                    <w:right w:val="nil"/>
                  </w:tcBorders>
                  <w:noWrap w:val="0"/>
                  <w:vAlign w:val="center"/>
                </w:tcPr>
                <w:p w14:paraId="143F5907">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80.63</w:t>
                  </w:r>
                </w:p>
              </w:tc>
              <w:tc>
                <w:tcPr>
                  <w:tcW w:w="625" w:type="pct"/>
                  <w:vMerge w:val="continue"/>
                  <w:tcBorders>
                    <w:left w:val="single" w:color="auto" w:sz="4" w:space="0"/>
                    <w:bottom w:val="single" w:color="auto" w:sz="12" w:space="0"/>
                    <w:right w:val="nil"/>
                  </w:tcBorders>
                  <w:noWrap w:val="0"/>
                  <w:vAlign w:val="center"/>
                </w:tcPr>
                <w:p w14:paraId="4359882E">
                  <w:pPr>
                    <w:adjustRightInd/>
                    <w:spacing w:line="240" w:lineRule="auto"/>
                    <w:jc w:val="center"/>
                    <w:textAlignment w:val="auto"/>
                    <w:rPr>
                      <w:rFonts w:hint="default" w:ascii="Times New Roman" w:hAnsi="Times New Roman" w:eastAsia="宋体" w:cs="Times New Roman"/>
                      <w:color w:val="auto"/>
                      <w:sz w:val="21"/>
                      <w:szCs w:val="21"/>
                      <w:u w:val="none" w:color="auto"/>
                    </w:rPr>
                  </w:pPr>
                </w:p>
              </w:tc>
            </w:tr>
          </w:tbl>
          <w:p w14:paraId="7AF1BFE3">
            <w:pPr>
              <w:pStyle w:val="75"/>
              <w:rPr>
                <w:rFonts w:hint="default" w:ascii="Times New Roman" w:hAnsi="Times New Roman" w:cs="Times New Roman"/>
                <w:color w:val="auto"/>
              </w:rPr>
            </w:pPr>
            <w:r>
              <w:rPr>
                <w:rFonts w:hint="default" w:ascii="Times New Roman" w:hAnsi="Times New Roman" w:cs="Times New Roman"/>
                <w:color w:val="auto"/>
              </w:rPr>
              <w:t>202</w:t>
            </w:r>
            <w:r>
              <w:rPr>
                <w:rFonts w:hint="eastAsia" w:ascii="Times New Roman" w:hAnsi="Times New Roman" w:cs="Times New Roman"/>
                <w:color w:val="auto"/>
                <w:lang w:val="en-US" w:eastAsia="zh-CN"/>
              </w:rPr>
              <w:t>4</w:t>
            </w:r>
            <w:r>
              <w:rPr>
                <w:rFonts w:hint="default" w:ascii="Times New Roman" w:hAnsi="Times New Roman" w:cs="Times New Roman"/>
                <w:color w:val="auto"/>
              </w:rPr>
              <w:t>年</w:t>
            </w:r>
            <w:r>
              <w:rPr>
                <w:rFonts w:hint="default" w:ascii="Times New Roman" w:hAnsi="Times New Roman" w:cs="Times New Roman"/>
                <w:color w:val="auto"/>
                <w:lang w:val="en-US" w:eastAsia="zh-CN"/>
              </w:rPr>
              <w:t>白山</w:t>
            </w:r>
            <w:r>
              <w:rPr>
                <w:rFonts w:hint="default" w:ascii="Times New Roman" w:hAnsi="Times New Roman" w:cs="Times New Roman"/>
                <w:color w:val="auto"/>
              </w:rPr>
              <w:t>市环境空气中 PM</w:t>
            </w:r>
            <w:r>
              <w:rPr>
                <w:rFonts w:hint="default" w:ascii="Times New Roman" w:hAnsi="Times New Roman" w:cs="Times New Roman"/>
                <w:color w:val="auto"/>
                <w:vertAlign w:val="subscript"/>
              </w:rPr>
              <w:t>2.5</w:t>
            </w:r>
            <w:r>
              <w:rPr>
                <w:rFonts w:hint="default" w:ascii="Times New Roman" w:hAnsi="Times New Roman" w:cs="Times New Roman"/>
                <w:color w:val="auto"/>
              </w:rPr>
              <w:t>、PM</w:t>
            </w:r>
            <w:r>
              <w:rPr>
                <w:rFonts w:hint="default" w:ascii="Times New Roman" w:hAnsi="Times New Roman" w:cs="Times New Roman"/>
                <w:color w:val="auto"/>
                <w:vertAlign w:val="subscript"/>
              </w:rPr>
              <w:t>10</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、CO、O</w:t>
            </w:r>
            <w:r>
              <w:rPr>
                <w:rFonts w:hint="default" w:ascii="Times New Roman" w:hAnsi="Times New Roman" w:cs="Times New Roman"/>
                <w:color w:val="auto"/>
                <w:vertAlign w:val="subscript"/>
              </w:rPr>
              <w:t>3</w:t>
            </w:r>
            <w:r>
              <w:rPr>
                <w:rFonts w:hint="default" w:ascii="Times New Roman" w:hAnsi="Times New Roman" w:cs="Times New Roman"/>
                <w:color w:val="auto"/>
              </w:rPr>
              <w:t xml:space="preserve"> 等6项指标浓度均</w:t>
            </w:r>
            <w:r>
              <w:rPr>
                <w:rFonts w:hint="default" w:ascii="Times New Roman" w:hAnsi="Times New Roman" w:cs="Times New Roman"/>
                <w:color w:val="auto"/>
                <w:lang w:val="en-US" w:eastAsia="zh-CN"/>
              </w:rPr>
              <w:t>达到</w:t>
            </w:r>
            <w:r>
              <w:rPr>
                <w:rFonts w:hint="default" w:ascii="Times New Roman" w:hAnsi="Times New Roman" w:cs="Times New Roman"/>
                <w:color w:val="auto"/>
              </w:rPr>
              <w:t>《环境空气质量标准》（GB3095-20</w:t>
            </w:r>
            <w:r>
              <w:rPr>
                <w:rFonts w:hint="eastAsia" w:ascii="Times New Roman" w:hAnsi="Times New Roman" w:cs="Times New Roman"/>
                <w:color w:val="auto"/>
                <w:lang w:val="en-US" w:eastAsia="zh-CN"/>
              </w:rPr>
              <w:t>26</w:t>
            </w:r>
            <w:r>
              <w:rPr>
                <w:rFonts w:hint="default" w:ascii="Times New Roman" w:hAnsi="Times New Roman" w:cs="Times New Roman"/>
                <w:color w:val="auto"/>
              </w:rPr>
              <w:t>）中</w:t>
            </w:r>
            <w:r>
              <w:rPr>
                <w:rFonts w:hint="default" w:ascii="Times New Roman" w:hAnsi="Times New Roman" w:cs="Times New Roman"/>
                <w:color w:val="auto"/>
                <w:lang w:val="en-US" w:eastAsia="zh-CN"/>
              </w:rPr>
              <w:t>二级</w:t>
            </w:r>
            <w:r>
              <w:rPr>
                <w:rFonts w:hint="default" w:ascii="Times New Roman" w:hAnsi="Times New Roman" w:cs="Times New Roman"/>
                <w:color w:val="auto"/>
              </w:rPr>
              <w:t>标准</w:t>
            </w:r>
            <w:r>
              <w:rPr>
                <w:rFonts w:hint="default" w:ascii="Times New Roman" w:hAnsi="Times New Roman" w:cs="Times New Roman"/>
                <w:color w:val="auto"/>
                <w:lang w:val="en-US" w:eastAsia="zh-CN"/>
              </w:rPr>
              <w:t>要求</w:t>
            </w:r>
            <w:r>
              <w:rPr>
                <w:rFonts w:hint="default" w:ascii="Times New Roman" w:hAnsi="Times New Roman" w:cs="Times New Roman"/>
                <w:color w:val="auto"/>
              </w:rPr>
              <w:t>，因此</w:t>
            </w:r>
            <w:r>
              <w:rPr>
                <w:rFonts w:hint="default" w:ascii="Times New Roman" w:hAnsi="Times New Roman" w:cs="Times New Roman"/>
                <w:color w:val="auto"/>
                <w:lang w:val="en-US" w:eastAsia="zh-CN"/>
              </w:rPr>
              <w:t>白山</w:t>
            </w:r>
            <w:r>
              <w:rPr>
                <w:rFonts w:hint="default" w:ascii="Times New Roman" w:hAnsi="Times New Roman" w:cs="Times New Roman"/>
                <w:color w:val="auto"/>
              </w:rPr>
              <w:t>市属于环境空气质量达标区。</w:t>
            </w:r>
          </w:p>
          <w:p w14:paraId="17399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i w:val="0"/>
                <w:iCs w:val="0"/>
                <w:color w:val="000000"/>
                <w:sz w:val="24"/>
                <w:highlight w:val="none"/>
                <w:u w:val="none" w:color="auto"/>
                <w:lang w:val="en-US" w:eastAsia="zh-CN"/>
              </w:rPr>
            </w:pPr>
            <w:r>
              <w:rPr>
                <w:rFonts w:hint="eastAsia" w:ascii="Times New Roman" w:hAnsi="Times New Roman" w:eastAsia="宋体" w:cs="Times New Roman"/>
                <w:color w:val="000000"/>
                <w:sz w:val="24"/>
                <w:highlight w:val="none"/>
                <w:u w:val="none" w:color="auto"/>
                <w:lang w:val="en-US" w:eastAsia="zh-CN"/>
              </w:rPr>
              <w:t>（2）</w:t>
            </w:r>
            <w:r>
              <w:rPr>
                <w:rFonts w:hint="default" w:ascii="Times New Roman" w:hAnsi="Times New Roman" w:eastAsia="宋体" w:cs="Times New Roman"/>
                <w:color w:val="000000"/>
                <w:sz w:val="24"/>
                <w:highlight w:val="none"/>
                <w:u w:val="none" w:color="auto"/>
                <w:lang w:val="en-US" w:eastAsia="zh-CN"/>
              </w:rPr>
              <w:t>特征污染物环境质</w:t>
            </w:r>
            <w:r>
              <w:rPr>
                <w:rFonts w:hint="default" w:ascii="Times New Roman" w:hAnsi="Times New Roman" w:eastAsia="宋体" w:cs="Times New Roman"/>
                <w:i w:val="0"/>
                <w:iCs w:val="0"/>
                <w:color w:val="000000"/>
                <w:sz w:val="24"/>
                <w:highlight w:val="none"/>
                <w:u w:val="none" w:color="auto"/>
                <w:lang w:val="en-US" w:eastAsia="zh-CN"/>
              </w:rPr>
              <w:t>量现状调查</w:t>
            </w:r>
          </w:p>
          <w:p w14:paraId="1B3E3774">
            <w:pPr>
              <w:spacing w:line="360" w:lineRule="auto"/>
              <w:ind w:firstLine="480" w:firstLineChars="200"/>
              <w:rPr>
                <w:rFonts w:hint="eastAsia"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i w:val="0"/>
                <w:iCs w:val="0"/>
                <w:color w:val="000000"/>
                <w:sz w:val="24"/>
                <w:highlight w:val="none"/>
                <w:u w:val="none" w:color="auto"/>
              </w:rPr>
              <w:t>需调查评价范围内有环境质量标准的评价因子的环境质量监测数据或进行补充监测，用于评价项目所在区域污染物环境质量现状，主要用于监测本项目特</w:t>
            </w:r>
            <w:r>
              <w:rPr>
                <w:rFonts w:hint="default" w:ascii="Times New Roman" w:hAnsi="Times New Roman" w:eastAsia="宋体" w:cs="Times New Roman"/>
                <w:color w:val="000000"/>
                <w:sz w:val="24"/>
                <w:highlight w:val="none"/>
                <w:u w:val="none" w:color="auto"/>
                <w:lang w:val="en-US" w:eastAsia="zh-CN"/>
              </w:rPr>
              <w:t>征污</w:t>
            </w:r>
            <w:r>
              <w:rPr>
                <w:rFonts w:hint="default" w:ascii="Times New Roman" w:hAnsi="Times New Roman" w:eastAsia="宋体" w:cs="Times New Roman"/>
                <w:b w:val="0"/>
                <w:bCs w:val="0"/>
                <w:color w:val="000000"/>
                <w:sz w:val="24"/>
                <w:szCs w:val="24"/>
                <w:lang w:val="en-US" w:eastAsia="zh-CN"/>
              </w:rPr>
              <w:t>染物，并了解区域常规污染物质量现状</w:t>
            </w:r>
            <w:r>
              <w:rPr>
                <w:rFonts w:hint="eastAsia" w:ascii="Times New Roman" w:hAnsi="Times New Roman" w:eastAsia="宋体" w:cs="Times New Roman"/>
                <w:b w:val="0"/>
                <w:bCs w:val="0"/>
                <w:color w:val="000000"/>
                <w:sz w:val="24"/>
                <w:szCs w:val="24"/>
                <w:lang w:val="en-US" w:eastAsia="zh-CN"/>
              </w:rPr>
              <w:t>。</w:t>
            </w:r>
          </w:p>
          <w:p w14:paraId="73A9D349">
            <w:pPr>
              <w:spacing w:line="360" w:lineRule="auto"/>
              <w:ind w:firstLine="480" w:firstLineChars="200"/>
              <w:rPr>
                <w:rFonts w:hint="default" w:ascii="Times New Roman" w:hAnsi="Times New Roman" w:eastAsia="宋体" w:cs="Times New Roman"/>
                <w:b w:val="0"/>
                <w:bCs w:val="0"/>
                <w:color w:val="000000"/>
                <w:sz w:val="24"/>
                <w:szCs w:val="24"/>
                <w:lang w:val="zh-CN" w:eastAsia="zh-CN"/>
              </w:rPr>
            </w:pPr>
            <w:r>
              <w:rPr>
                <w:rFonts w:hint="default" w:ascii="Times New Roman" w:hAnsi="Times New Roman" w:eastAsia="宋体" w:cs="Times New Roman"/>
                <w:b w:val="0"/>
                <w:bCs w:val="0"/>
                <w:color w:val="000000"/>
                <w:sz w:val="24"/>
                <w:szCs w:val="24"/>
                <w:lang w:val="zh-CN" w:eastAsia="zh-CN"/>
              </w:rPr>
              <w:t>根据该区域环境空气质量状况以及项目废气污染特征，确定项目特征监测因子为</w:t>
            </w:r>
            <w:r>
              <w:rPr>
                <w:rFonts w:hint="default" w:ascii="Times New Roman" w:hAnsi="Times New Roman" w:eastAsia="宋体" w:cs="Times New Roman"/>
                <w:b w:val="0"/>
                <w:bCs w:val="0"/>
                <w:color w:val="000000"/>
                <w:sz w:val="24"/>
                <w:szCs w:val="24"/>
                <w:lang w:val="en-US" w:eastAsia="zh-CN"/>
              </w:rPr>
              <w:t>TSP</w:t>
            </w:r>
            <w:r>
              <w:rPr>
                <w:rFonts w:hint="default" w:ascii="Times New Roman" w:hAnsi="Times New Roman" w:eastAsia="宋体" w:cs="Times New Roman"/>
                <w:b w:val="0"/>
                <w:bCs w:val="0"/>
                <w:color w:val="000000"/>
                <w:sz w:val="24"/>
                <w:szCs w:val="24"/>
                <w:lang w:val="zh-CN" w:eastAsia="zh-CN"/>
              </w:rPr>
              <w:t>。</w:t>
            </w:r>
          </w:p>
          <w:p w14:paraId="138DB9C1">
            <w:pPr>
              <w:spacing w:line="360" w:lineRule="auto"/>
              <w:ind w:firstLine="480" w:firstLineChars="200"/>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①监测点位及监测目的</w:t>
            </w:r>
          </w:p>
          <w:p w14:paraId="719DFA2B">
            <w:pPr>
              <w:spacing w:line="360" w:lineRule="auto"/>
              <w:ind w:firstLine="480" w:firstLineChars="200"/>
              <w:rPr>
                <w:rFonts w:hint="eastAsia"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color w:val="auto"/>
                <w:sz w:val="24"/>
                <w:szCs w:val="24"/>
                <w:highlight w:val="none"/>
                <w:u w:val="none" w:color="auto"/>
                <w:lang w:eastAsia="zh-CN"/>
              </w:rPr>
              <w:t>根据《建设项目环境影响报告表编制技术指南》（污染影响类）（试行）“排放国家、地方环境空气质量标准中有标准限值要求的特征污染物时，引用建设项目周边</w:t>
            </w:r>
            <w:r>
              <w:rPr>
                <w:rFonts w:hint="default" w:ascii="Times New Roman" w:hAnsi="Times New Roman" w:eastAsia="宋体" w:cs="Times New Roman"/>
                <w:color w:val="auto"/>
                <w:sz w:val="24"/>
                <w:szCs w:val="24"/>
                <w:highlight w:val="none"/>
                <w:u w:val="none" w:color="auto"/>
                <w:lang w:val="en-US" w:eastAsia="zh-CN"/>
              </w:rPr>
              <w:t>5千米范围内近3年的现有监测数据，无相关数据的选择当季主导风向下风向1个点位补充不少于3天的监测数据</w:t>
            </w:r>
            <w:r>
              <w:rPr>
                <w:rFonts w:hint="default" w:ascii="Times New Roman" w:hAnsi="Times New Roman" w:eastAsia="宋体" w:cs="Times New Roman"/>
                <w:color w:val="auto"/>
                <w:sz w:val="24"/>
                <w:szCs w:val="24"/>
                <w:highlight w:val="none"/>
                <w:u w:val="none" w:color="auto"/>
                <w:lang w:eastAsia="zh-CN"/>
              </w:rPr>
              <w:t>”</w:t>
            </w:r>
            <w:r>
              <w:rPr>
                <w:rFonts w:hint="eastAsia" w:cs="Times New Roman"/>
                <w:color w:val="auto"/>
                <w:sz w:val="24"/>
                <w:szCs w:val="24"/>
                <w:highlight w:val="none"/>
                <w:u w:val="none" w:color="auto"/>
                <w:lang w:eastAsia="zh-CN"/>
              </w:rPr>
              <w:t>。</w:t>
            </w:r>
          </w:p>
          <w:p w14:paraId="700B2FD5">
            <w:pPr>
              <w:spacing w:line="360" w:lineRule="auto"/>
              <w:ind w:firstLine="480" w:firstLineChars="200"/>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本项目现状监测引用《农夫山泉临江生产基地新增饮料生产线建设项目》</w:t>
            </w:r>
            <w:r>
              <w:rPr>
                <w:rFonts w:hint="eastAsia" w:cs="Times New Roman"/>
                <w:b w:val="0"/>
                <w:bCs w:val="0"/>
                <w:color w:val="000000"/>
                <w:sz w:val="24"/>
                <w:szCs w:val="24"/>
                <w:lang w:val="en-US" w:eastAsia="zh-CN"/>
              </w:rPr>
              <w:t>中</w:t>
            </w:r>
            <w:r>
              <w:rPr>
                <w:rFonts w:hint="eastAsia" w:ascii="Times New Roman" w:hAnsi="Times New Roman" w:eastAsia="宋体" w:cs="Times New Roman"/>
                <w:b w:val="0"/>
                <w:bCs w:val="0"/>
                <w:color w:val="000000"/>
                <w:sz w:val="24"/>
                <w:szCs w:val="24"/>
                <w:lang w:val="en-US" w:eastAsia="zh-CN"/>
              </w:rPr>
              <w:t>环境质量</w:t>
            </w:r>
            <w:r>
              <w:rPr>
                <w:rFonts w:hint="eastAsia" w:cs="Times New Roman"/>
                <w:b w:val="0"/>
                <w:bCs w:val="0"/>
                <w:color w:val="000000"/>
                <w:sz w:val="24"/>
                <w:szCs w:val="24"/>
                <w:lang w:val="en-US" w:eastAsia="zh-CN"/>
              </w:rPr>
              <w:t>空气</w:t>
            </w:r>
            <w:r>
              <w:rPr>
                <w:rFonts w:hint="eastAsia" w:ascii="Times New Roman" w:hAnsi="Times New Roman" w:eastAsia="宋体" w:cs="Times New Roman"/>
                <w:b w:val="0"/>
                <w:bCs w:val="0"/>
                <w:color w:val="000000"/>
                <w:sz w:val="24"/>
                <w:szCs w:val="24"/>
                <w:lang w:val="en-US" w:eastAsia="zh-CN"/>
              </w:rPr>
              <w:t>监测数据，</w:t>
            </w:r>
            <w:r>
              <w:rPr>
                <w:rFonts w:hint="eastAsia" w:cs="Times New Roman"/>
                <w:b w:val="0"/>
                <w:bCs w:val="0"/>
                <w:color w:val="000000"/>
                <w:sz w:val="24"/>
                <w:szCs w:val="24"/>
                <w:lang w:val="en-US" w:eastAsia="zh-CN"/>
              </w:rPr>
              <w:t>引用监测点位于本项目东南侧3.5km</w:t>
            </w:r>
            <w:r>
              <w:rPr>
                <w:rFonts w:hint="eastAsia" w:ascii="Times New Roman" w:hAnsi="Times New Roman" w:eastAsia="宋体" w:cs="Times New Roman"/>
                <w:b w:val="0"/>
                <w:bCs w:val="0"/>
                <w:color w:val="000000"/>
                <w:sz w:val="24"/>
                <w:szCs w:val="24"/>
                <w:lang w:val="en-US" w:eastAsia="zh-CN"/>
              </w:rPr>
              <w:t>。</w:t>
            </w:r>
            <w:r>
              <w:rPr>
                <w:rFonts w:hint="eastAsia" w:cs="Times New Roman"/>
                <w:b w:val="0"/>
                <w:bCs w:val="0"/>
                <w:color w:val="000000"/>
                <w:sz w:val="24"/>
                <w:szCs w:val="24"/>
                <w:lang w:val="en-US" w:eastAsia="zh-CN"/>
              </w:rPr>
              <w:t>符合引用要求。</w:t>
            </w:r>
          </w:p>
          <w:p w14:paraId="18BF6959">
            <w:pPr>
              <w:spacing w:line="360" w:lineRule="auto"/>
              <w:ind w:firstLine="480" w:firstLineChars="200"/>
              <w:rPr>
                <w:rFonts w:hint="eastAsia"/>
                <w:color w:val="000000"/>
                <w:kern w:val="0"/>
                <w:sz w:val="24"/>
                <w:lang w:bidi="ar"/>
              </w:rPr>
            </w:pPr>
            <w:r>
              <w:rPr>
                <w:color w:val="000000"/>
                <w:kern w:val="0"/>
                <w:sz w:val="24"/>
                <w:lang w:bidi="ar"/>
              </w:rPr>
              <w:t>具体监测点位布设详见</w:t>
            </w:r>
            <w:r>
              <w:rPr>
                <w:rFonts w:hint="eastAsia"/>
                <w:color w:val="000000"/>
                <w:kern w:val="0"/>
                <w:sz w:val="24"/>
                <w:lang w:val="en-US" w:eastAsia="zh-CN" w:bidi="ar"/>
              </w:rPr>
              <w:t>下表及附图</w:t>
            </w:r>
            <w:r>
              <w:rPr>
                <w:rFonts w:hint="eastAsia"/>
                <w:color w:val="000000"/>
                <w:kern w:val="0"/>
                <w:sz w:val="24"/>
                <w:lang w:bidi="ar"/>
              </w:rPr>
              <w:t>。</w:t>
            </w:r>
          </w:p>
          <w:p w14:paraId="5AEFAB5D">
            <w:pPr>
              <w:pStyle w:val="48"/>
              <w:keepNext w:val="0"/>
              <w:keepLines w:val="0"/>
              <w:pageBreakBefore w:val="0"/>
              <w:widowControl/>
              <w:kinsoku/>
              <w:wordWrap/>
              <w:overflowPunct/>
              <w:topLinePunct w:val="0"/>
              <w:autoSpaceDE/>
              <w:autoSpaceDN/>
              <w:bidi w:val="0"/>
              <w:adjustRightInd/>
              <w:snapToGrid/>
              <w:spacing w:beforeLines="0" w:afterLines="0"/>
              <w:textAlignment w:val="auto"/>
              <w:rPr>
                <w:rFonts w:hint="default" w:ascii="Times New Roman" w:hAnsi="Times New Roman" w:cs="Times New Roman" w:eastAsiaTheme="minorEastAsia"/>
                <w:u w:val="none" w:color="auto"/>
              </w:rPr>
            </w:pPr>
            <w:r>
              <w:rPr>
                <w:rFonts w:hint="default" w:ascii="Times New Roman" w:hAnsi="Times New Roman" w:cs="Times New Roman" w:eastAsiaTheme="minorEastAsia"/>
                <w:u w:val="none" w:color="auto"/>
              </w:rPr>
              <w:t>表</w:t>
            </w:r>
            <w:r>
              <w:rPr>
                <w:rFonts w:hint="eastAsia" w:cs="Times New Roman" w:eastAsiaTheme="minorEastAsia"/>
                <w:u w:val="none" w:color="auto"/>
                <w:lang w:val="en-US" w:eastAsia="zh-CN"/>
              </w:rPr>
              <w:t>3-2</w:t>
            </w:r>
            <w:r>
              <w:rPr>
                <w:rFonts w:hint="default" w:ascii="Times New Roman" w:hAnsi="Times New Roman" w:cs="Times New Roman" w:eastAsiaTheme="minorEastAsia"/>
                <w:u w:val="none" w:color="auto"/>
              </w:rPr>
              <w:t xml:space="preserve">  特征污染物监测点位情况表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26"/>
              <w:gridCol w:w="2622"/>
              <w:gridCol w:w="4544"/>
            </w:tblGrid>
            <w:tr w14:paraId="5ED561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8" w:hRule="atLeast"/>
                <w:jc w:val="center"/>
              </w:trPr>
              <w:tc>
                <w:tcPr>
                  <w:tcW w:w="572" w:type="pct"/>
                  <w:noWrap w:val="0"/>
                  <w:vAlign w:val="center"/>
                </w:tcPr>
                <w:p w14:paraId="4A94D34B">
                  <w:pPr>
                    <w:jc w:val="center"/>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序号</w:t>
                  </w:r>
                </w:p>
              </w:tc>
              <w:tc>
                <w:tcPr>
                  <w:tcW w:w="1620" w:type="pct"/>
                  <w:noWrap w:val="0"/>
                  <w:vAlign w:val="center"/>
                </w:tcPr>
                <w:p w14:paraId="3820977C">
                  <w:pPr>
                    <w:jc w:val="center"/>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监测点位名称</w:t>
                  </w:r>
                </w:p>
              </w:tc>
              <w:tc>
                <w:tcPr>
                  <w:tcW w:w="2807" w:type="pct"/>
                  <w:noWrap w:val="0"/>
                  <w:vAlign w:val="center"/>
                </w:tcPr>
                <w:p w14:paraId="3EB4C620">
                  <w:pPr>
                    <w:jc w:val="center"/>
                    <w:rPr>
                      <w:rFonts w:hint="eastAsia" w:ascii="Times New Roman" w:hAnsi="Times New Roman" w:cs="Times New Roman" w:eastAsiaTheme="minorEastAsia"/>
                      <w:b/>
                      <w:bCs/>
                      <w:szCs w:val="21"/>
                      <w:lang w:eastAsia="zh-CN"/>
                    </w:rPr>
                  </w:pPr>
                  <w:r>
                    <w:rPr>
                      <w:rFonts w:hint="eastAsia" w:cs="Times New Roman" w:eastAsiaTheme="minorEastAsia"/>
                      <w:b/>
                      <w:bCs/>
                      <w:szCs w:val="21"/>
                      <w:lang w:eastAsia="zh-CN"/>
                    </w:rPr>
                    <w:t>监测目的</w:t>
                  </w:r>
                </w:p>
              </w:tc>
            </w:tr>
            <w:tr w14:paraId="0F84B1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72" w:type="pct"/>
                  <w:noWrap w:val="0"/>
                  <w:vAlign w:val="center"/>
                </w:tcPr>
                <w:p w14:paraId="12766E48">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lang w:val="en-US" w:eastAsia="zh-CN"/>
                    </w:rPr>
                    <w:t>1</w:t>
                  </w:r>
                  <w:r>
                    <w:rPr>
                      <w:rFonts w:hint="default" w:ascii="Times New Roman" w:hAnsi="Times New Roman" w:cs="Times New Roman" w:eastAsiaTheme="minorEastAsia"/>
                      <w:szCs w:val="21"/>
                    </w:rPr>
                    <w:t>#</w:t>
                  </w:r>
                </w:p>
              </w:tc>
              <w:tc>
                <w:tcPr>
                  <w:tcW w:w="1620" w:type="pct"/>
                  <w:noWrap w:val="0"/>
                  <w:vAlign w:val="center"/>
                </w:tcPr>
                <w:p w14:paraId="120AF3AD">
                  <w:pPr>
                    <w:autoSpaceDE w:val="0"/>
                    <w:autoSpaceDN w:val="0"/>
                    <w:adjustRightInd w:val="0"/>
                    <w:jc w:val="center"/>
                    <w:rPr>
                      <w:rFonts w:hint="default" w:ascii="Times New Roman" w:hAnsi="Times New Roman" w:cs="Times New Roman" w:eastAsiaTheme="minorEastAsia"/>
                      <w:color w:val="FF0000"/>
                      <w:szCs w:val="21"/>
                      <w:lang w:val="en-US" w:eastAsia="zh-CN"/>
                    </w:rPr>
                  </w:pPr>
                  <w:r>
                    <w:rPr>
                      <w:rFonts w:hint="eastAsia" w:cs="Times New Roman" w:eastAsiaTheme="minorEastAsia"/>
                      <w:szCs w:val="21"/>
                      <w:lang w:val="en-US" w:eastAsia="zh-CN"/>
                    </w:rPr>
                    <w:t>项目所在地东南侧3.5km</w:t>
                  </w:r>
                </w:p>
              </w:tc>
              <w:tc>
                <w:tcPr>
                  <w:tcW w:w="2807" w:type="pct"/>
                  <w:noWrap w:val="0"/>
                  <w:vAlign w:val="center"/>
                </w:tcPr>
                <w:p w14:paraId="099BE8A5">
                  <w:pPr>
                    <w:autoSpaceDE w:val="0"/>
                    <w:autoSpaceDN w:val="0"/>
                    <w:adjustRightInd w:val="0"/>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了解区域空气环境质量</w:t>
                  </w:r>
                </w:p>
              </w:tc>
            </w:tr>
          </w:tbl>
          <w:p w14:paraId="07C11AC2">
            <w:pPr>
              <w:autoSpaceDE w:val="0"/>
              <w:autoSpaceDN w:val="0"/>
              <w:adjustRightInd w:val="0"/>
              <w:spacing w:line="360" w:lineRule="auto"/>
              <w:ind w:firstLine="480"/>
              <w:rPr>
                <w:rFonts w:hint="default" w:ascii="Times New Roman" w:hAnsi="Times New Roman" w:cs="Times New Roman" w:eastAsiaTheme="minorEastAsia"/>
                <w:kern w:val="0"/>
                <w:sz w:val="24"/>
                <w:u w:val="none"/>
              </w:rPr>
            </w:pPr>
            <w:r>
              <w:rPr>
                <w:rFonts w:hint="default" w:ascii="Times New Roman" w:hAnsi="Times New Roman" w:cs="Times New Roman" w:eastAsiaTheme="minorEastAsia"/>
                <w:kern w:val="0"/>
                <w:sz w:val="24"/>
                <w:u w:val="none"/>
                <w:lang w:eastAsia="zh-CN"/>
              </w:rPr>
              <w:t>②</w:t>
            </w:r>
            <w:r>
              <w:rPr>
                <w:rFonts w:hint="default" w:ascii="Times New Roman" w:hAnsi="Times New Roman" w:cs="Times New Roman" w:eastAsiaTheme="minorEastAsia"/>
                <w:kern w:val="0"/>
                <w:sz w:val="24"/>
                <w:u w:val="none"/>
              </w:rPr>
              <w:t>采样及分析方法</w:t>
            </w:r>
          </w:p>
          <w:p w14:paraId="0FDBA5F6">
            <w:pPr>
              <w:autoSpaceDE w:val="0"/>
              <w:autoSpaceDN w:val="0"/>
              <w:adjustRightInd w:val="0"/>
              <w:spacing w:line="360" w:lineRule="auto"/>
              <w:ind w:firstLine="480"/>
              <w:rPr>
                <w:rFonts w:hint="default" w:ascii="Times New Roman" w:hAnsi="Times New Roman" w:cs="Times New Roman" w:eastAsiaTheme="minorEastAsia"/>
                <w:kern w:val="0"/>
                <w:sz w:val="24"/>
                <w:u w:val="none"/>
              </w:rPr>
            </w:pPr>
            <w:r>
              <w:rPr>
                <w:rFonts w:hint="default" w:ascii="Times New Roman" w:hAnsi="Times New Roman" w:cs="Times New Roman" w:eastAsiaTheme="minorEastAsia"/>
                <w:kern w:val="0"/>
                <w:sz w:val="24"/>
                <w:u w:val="none"/>
              </w:rPr>
              <w:t>按国家有关标准及国家环保部有关规范执行，详见下表：</w:t>
            </w:r>
          </w:p>
          <w:p w14:paraId="64862E72">
            <w:pPr>
              <w:pStyle w:val="48"/>
              <w:keepNext w:val="0"/>
              <w:keepLines w:val="0"/>
              <w:pageBreakBefore w:val="0"/>
              <w:widowControl/>
              <w:kinsoku/>
              <w:wordWrap/>
              <w:overflowPunct/>
              <w:topLinePunct w:val="0"/>
              <w:autoSpaceDE/>
              <w:autoSpaceDN/>
              <w:bidi w:val="0"/>
              <w:adjustRightInd/>
              <w:snapToGrid/>
              <w:spacing w:beforeLines="0" w:afterLines="0"/>
              <w:textAlignment w:val="auto"/>
              <w:rPr>
                <w:rFonts w:hint="default" w:ascii="Times New Roman" w:hAnsi="Times New Roman" w:cs="Times New Roman" w:eastAsiaTheme="minorEastAsia"/>
                <w:u w:val="none" w:color="auto"/>
              </w:rPr>
            </w:pPr>
            <w:r>
              <w:rPr>
                <w:rFonts w:hint="default" w:ascii="Times New Roman" w:hAnsi="Times New Roman" w:cs="Times New Roman" w:eastAsiaTheme="minorEastAsia"/>
                <w:u w:val="none" w:color="auto"/>
              </w:rPr>
              <w:t>表</w:t>
            </w:r>
            <w:r>
              <w:rPr>
                <w:rFonts w:hint="eastAsia" w:cs="Times New Roman" w:eastAsiaTheme="minorEastAsia"/>
                <w:u w:val="none" w:color="auto"/>
                <w:lang w:val="en-US" w:eastAsia="zh-CN"/>
              </w:rPr>
              <w:t>3-3</w:t>
            </w:r>
            <w:r>
              <w:rPr>
                <w:rFonts w:hint="default" w:ascii="Times New Roman" w:hAnsi="Times New Roman" w:cs="Times New Roman" w:eastAsiaTheme="minorEastAsia"/>
                <w:u w:val="none" w:color="auto"/>
              </w:rPr>
              <w:t xml:space="preserve">  评价区环境空气现状监测分析方法</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3450"/>
              <w:gridCol w:w="2486"/>
            </w:tblGrid>
            <w:tr w14:paraId="38DF1F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32" w:type="pct"/>
                  <w:tcBorders>
                    <w:tl2br w:val="nil"/>
                    <w:tr2bl w:val="nil"/>
                  </w:tcBorders>
                  <w:noWrap w:val="0"/>
                  <w:vAlign w:val="center"/>
                </w:tcPr>
                <w:p w14:paraId="642C007B">
                  <w:pPr>
                    <w:adjustRightInd w:val="0"/>
                    <w:snapToGrid w:val="0"/>
                    <w:jc w:val="center"/>
                    <w:rPr>
                      <w:rFonts w:hint="default" w:ascii="Times New Roman" w:hAnsi="Times New Roman" w:cs="Times New Roman" w:eastAsiaTheme="minorEastAsia"/>
                      <w:b/>
                      <w:bCs/>
                      <w:szCs w:val="21"/>
                      <w:u w:val="none"/>
                    </w:rPr>
                  </w:pPr>
                  <w:r>
                    <w:rPr>
                      <w:rFonts w:hint="default" w:ascii="Times New Roman" w:hAnsi="Times New Roman" w:cs="Times New Roman" w:eastAsiaTheme="minorEastAsia"/>
                      <w:b/>
                      <w:bCs/>
                      <w:u w:val="none"/>
                    </w:rPr>
                    <w:t>现状监测因子</w:t>
                  </w:r>
                </w:p>
              </w:tc>
              <w:tc>
                <w:tcPr>
                  <w:tcW w:w="2131" w:type="pct"/>
                  <w:tcBorders>
                    <w:tl2br w:val="nil"/>
                    <w:tr2bl w:val="nil"/>
                  </w:tcBorders>
                  <w:noWrap w:val="0"/>
                  <w:vAlign w:val="center"/>
                </w:tcPr>
                <w:p w14:paraId="68543242">
                  <w:pPr>
                    <w:adjustRightInd w:val="0"/>
                    <w:snapToGrid w:val="0"/>
                    <w:jc w:val="center"/>
                    <w:rPr>
                      <w:rFonts w:hint="default" w:ascii="Times New Roman" w:hAnsi="Times New Roman" w:cs="Times New Roman" w:eastAsiaTheme="minorEastAsia"/>
                      <w:b/>
                      <w:bCs/>
                      <w:szCs w:val="21"/>
                      <w:u w:val="none"/>
                    </w:rPr>
                  </w:pPr>
                  <w:r>
                    <w:rPr>
                      <w:rFonts w:hint="default" w:ascii="Times New Roman" w:hAnsi="Times New Roman" w:cs="Times New Roman" w:eastAsiaTheme="minorEastAsia"/>
                      <w:b/>
                      <w:bCs/>
                      <w:u w:val="none"/>
                    </w:rPr>
                    <w:t>分析方法</w:t>
                  </w:r>
                </w:p>
              </w:tc>
              <w:tc>
                <w:tcPr>
                  <w:tcW w:w="1536" w:type="pct"/>
                  <w:tcBorders>
                    <w:tl2br w:val="nil"/>
                    <w:tr2bl w:val="nil"/>
                  </w:tcBorders>
                  <w:noWrap w:val="0"/>
                  <w:vAlign w:val="center"/>
                </w:tcPr>
                <w:p w14:paraId="05A0867B">
                  <w:pPr>
                    <w:adjustRightInd w:val="0"/>
                    <w:snapToGrid w:val="0"/>
                    <w:jc w:val="center"/>
                    <w:rPr>
                      <w:rFonts w:hint="default" w:ascii="Times New Roman" w:hAnsi="Times New Roman" w:cs="Times New Roman" w:eastAsiaTheme="minorEastAsia"/>
                      <w:b/>
                      <w:bCs/>
                      <w:szCs w:val="21"/>
                      <w:u w:val="none"/>
                    </w:rPr>
                  </w:pPr>
                  <w:r>
                    <w:rPr>
                      <w:rFonts w:hint="default" w:ascii="Times New Roman" w:hAnsi="Times New Roman" w:cs="Times New Roman" w:eastAsiaTheme="minorEastAsia"/>
                      <w:b/>
                      <w:bCs/>
                      <w:u w:val="none"/>
                    </w:rPr>
                    <w:t>方法来源</w:t>
                  </w:r>
                </w:p>
              </w:tc>
            </w:tr>
            <w:tr w14:paraId="182256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32" w:type="pct"/>
                  <w:tcBorders>
                    <w:tl2br w:val="nil"/>
                    <w:tr2bl w:val="nil"/>
                  </w:tcBorders>
                  <w:noWrap w:val="0"/>
                  <w:vAlign w:val="center"/>
                </w:tcPr>
                <w:p w14:paraId="0229B170">
                  <w:pPr>
                    <w:adjustRightInd w:val="0"/>
                    <w:snapToGrid w:val="0"/>
                    <w:jc w:val="center"/>
                    <w:rPr>
                      <w:rFonts w:hint="default" w:ascii="Times New Roman" w:hAnsi="Times New Roman" w:cs="Times New Roman" w:eastAsiaTheme="minorEastAsia"/>
                      <w:u w:val="none"/>
                    </w:rPr>
                  </w:pPr>
                  <w:r>
                    <w:rPr>
                      <w:rFonts w:hint="default" w:ascii="Times New Roman" w:hAnsi="Times New Roman" w:cs="Times New Roman" w:eastAsiaTheme="minorEastAsia"/>
                      <w:u w:val="none"/>
                    </w:rPr>
                    <w:t>TSP</w:t>
                  </w:r>
                </w:p>
              </w:tc>
              <w:tc>
                <w:tcPr>
                  <w:tcW w:w="2131" w:type="pct"/>
                  <w:tcBorders>
                    <w:tl2br w:val="nil"/>
                    <w:tr2bl w:val="nil"/>
                  </w:tcBorders>
                  <w:noWrap w:val="0"/>
                  <w:vAlign w:val="center"/>
                </w:tcPr>
                <w:p w14:paraId="17750848">
                  <w:pPr>
                    <w:adjustRightInd w:val="0"/>
                    <w:snapToGrid w:val="0"/>
                    <w:jc w:val="center"/>
                    <w:rPr>
                      <w:rFonts w:hint="default" w:ascii="Times New Roman" w:hAnsi="Times New Roman" w:cs="Times New Roman" w:eastAsiaTheme="minorEastAsia"/>
                      <w:u w:val="none"/>
                    </w:rPr>
                  </w:pPr>
                  <w:r>
                    <w:rPr>
                      <w:rFonts w:hint="default" w:ascii="Times New Roman" w:hAnsi="Times New Roman" w:cs="Times New Roman" w:eastAsiaTheme="minorEastAsia"/>
                      <w:u w:val="none"/>
                    </w:rPr>
                    <w:t>重量法</w:t>
                  </w:r>
                </w:p>
              </w:tc>
              <w:tc>
                <w:tcPr>
                  <w:tcW w:w="1536" w:type="pct"/>
                  <w:tcBorders>
                    <w:tl2br w:val="nil"/>
                    <w:tr2bl w:val="nil"/>
                  </w:tcBorders>
                  <w:noWrap w:val="0"/>
                  <w:vAlign w:val="center"/>
                </w:tcPr>
                <w:p w14:paraId="10692DCC">
                  <w:pPr>
                    <w:adjustRightInd w:val="0"/>
                    <w:snapToGrid w:val="0"/>
                    <w:jc w:val="center"/>
                    <w:rPr>
                      <w:rFonts w:hint="default" w:ascii="Times New Roman" w:hAnsi="Times New Roman" w:cs="Times New Roman" w:eastAsiaTheme="minorEastAsia"/>
                      <w:u w:val="none"/>
                      <w:lang w:val="en-US" w:eastAsia="zh-CN"/>
                    </w:rPr>
                  </w:pPr>
                  <w:r>
                    <w:rPr>
                      <w:rFonts w:hint="eastAsia" w:cs="Times New Roman" w:eastAsiaTheme="minorEastAsia"/>
                      <w:u w:val="none"/>
                      <w:lang w:val="en-US" w:eastAsia="zh-CN"/>
                    </w:rPr>
                    <w:t>HJ1263-2022</w:t>
                  </w:r>
                </w:p>
              </w:tc>
            </w:tr>
          </w:tbl>
          <w:p w14:paraId="7CF723AE">
            <w:pPr>
              <w:adjustRightInd w:val="0"/>
              <w:snapToGrid w:val="0"/>
              <w:spacing w:line="360" w:lineRule="auto"/>
              <w:ind w:firstLine="480" w:firstLineChars="200"/>
              <w:rPr>
                <w:rFonts w:hint="default" w:ascii="Times New Roman" w:hAnsi="Times New Roman" w:cs="Times New Roman" w:eastAsiaTheme="minorEastAsia"/>
                <w:sz w:val="24"/>
                <w:u w:val="none"/>
              </w:rPr>
            </w:pPr>
            <w:r>
              <w:rPr>
                <w:rFonts w:hint="default" w:ascii="Times New Roman" w:hAnsi="Times New Roman" w:cs="Times New Roman" w:eastAsiaTheme="minorEastAsia"/>
                <w:kern w:val="0"/>
                <w:sz w:val="24"/>
                <w:u w:val="none"/>
                <w:lang w:eastAsia="zh-CN"/>
              </w:rPr>
              <w:t>③</w:t>
            </w:r>
            <w:r>
              <w:rPr>
                <w:rFonts w:hint="default" w:ascii="Times New Roman" w:hAnsi="Times New Roman" w:cs="Times New Roman" w:eastAsiaTheme="minorEastAsia"/>
                <w:sz w:val="24"/>
                <w:u w:val="none"/>
              </w:rPr>
              <w:t>监测单位及监测时间</w:t>
            </w:r>
          </w:p>
          <w:p w14:paraId="52FC32DE">
            <w:pPr>
              <w:adjustRightInd w:val="0"/>
              <w:snapToGrid w:val="0"/>
              <w:spacing w:line="360" w:lineRule="auto"/>
              <w:ind w:firstLine="480"/>
              <w:rPr>
                <w:rFonts w:hint="default" w:ascii="Times New Roman" w:hAnsi="Times New Roman" w:cs="Times New Roman" w:eastAsiaTheme="minorEastAsia"/>
                <w:kern w:val="0"/>
                <w:sz w:val="24"/>
                <w:u w:val="none"/>
              </w:rPr>
            </w:pPr>
            <w:r>
              <w:rPr>
                <w:rFonts w:hint="default" w:ascii="Times New Roman" w:hAnsi="Times New Roman" w:cs="Times New Roman" w:eastAsiaTheme="minorEastAsia"/>
                <w:sz w:val="24"/>
                <w:highlight w:val="none"/>
                <w:u w:val="none"/>
              </w:rPr>
              <w:t>吉林</w:t>
            </w:r>
            <w:r>
              <w:rPr>
                <w:rFonts w:hint="eastAsia" w:cs="Times New Roman" w:eastAsiaTheme="minorEastAsia"/>
                <w:sz w:val="24"/>
                <w:highlight w:val="none"/>
                <w:u w:val="none"/>
                <w:lang w:eastAsia="zh-CN"/>
              </w:rPr>
              <w:t>同盛</w:t>
            </w:r>
            <w:r>
              <w:rPr>
                <w:rFonts w:hint="default" w:ascii="Times New Roman" w:hAnsi="Times New Roman" w:cs="Times New Roman" w:eastAsiaTheme="minorEastAsia"/>
                <w:sz w:val="24"/>
                <w:highlight w:val="none"/>
                <w:u w:val="none"/>
              </w:rPr>
              <w:t>检测</w:t>
            </w:r>
            <w:r>
              <w:rPr>
                <w:rFonts w:hint="default" w:ascii="Times New Roman" w:hAnsi="Times New Roman" w:cs="Times New Roman" w:eastAsiaTheme="minorEastAsia"/>
                <w:sz w:val="24"/>
                <w:highlight w:val="none"/>
                <w:u w:val="none"/>
                <w:lang w:val="en-US" w:eastAsia="zh-CN"/>
              </w:rPr>
              <w:t>技术</w:t>
            </w:r>
            <w:r>
              <w:rPr>
                <w:rFonts w:hint="default" w:ascii="Times New Roman" w:hAnsi="Times New Roman" w:cs="Times New Roman" w:eastAsiaTheme="minorEastAsia"/>
                <w:sz w:val="24"/>
                <w:highlight w:val="none"/>
                <w:u w:val="none"/>
              </w:rPr>
              <w:t>有限公司于</w:t>
            </w:r>
            <w:r>
              <w:rPr>
                <w:rFonts w:hint="default" w:ascii="Times New Roman" w:hAnsi="Times New Roman" w:cs="Times New Roman" w:eastAsiaTheme="minorEastAsia"/>
                <w:color w:val="000000"/>
                <w:sz w:val="24"/>
                <w:highlight w:val="none"/>
                <w:u w:val="none"/>
              </w:rPr>
              <w:t>202</w:t>
            </w:r>
            <w:r>
              <w:rPr>
                <w:rFonts w:hint="eastAsia" w:cs="Times New Roman" w:eastAsiaTheme="minorEastAsia"/>
                <w:color w:val="000000"/>
                <w:sz w:val="24"/>
                <w:highlight w:val="none"/>
                <w:u w:val="none"/>
                <w:lang w:val="en-US" w:eastAsia="zh-CN"/>
              </w:rPr>
              <w:t>5</w:t>
            </w:r>
            <w:r>
              <w:rPr>
                <w:rFonts w:hint="default" w:ascii="Times New Roman" w:hAnsi="Times New Roman" w:cs="Times New Roman" w:eastAsiaTheme="minorEastAsia"/>
                <w:color w:val="000000"/>
                <w:sz w:val="24"/>
                <w:highlight w:val="none"/>
                <w:u w:val="none"/>
              </w:rPr>
              <w:t>年</w:t>
            </w:r>
            <w:r>
              <w:rPr>
                <w:rFonts w:hint="eastAsia" w:cs="Times New Roman" w:eastAsiaTheme="minorEastAsia"/>
                <w:color w:val="000000"/>
                <w:sz w:val="24"/>
                <w:highlight w:val="none"/>
                <w:u w:val="none"/>
                <w:lang w:val="en-US" w:eastAsia="zh-CN"/>
              </w:rPr>
              <w:t>12</w:t>
            </w:r>
            <w:r>
              <w:rPr>
                <w:rFonts w:hint="default" w:ascii="Times New Roman" w:hAnsi="Times New Roman" w:cs="Times New Roman" w:eastAsiaTheme="minorEastAsia"/>
                <w:color w:val="000000"/>
                <w:sz w:val="24"/>
                <w:highlight w:val="none"/>
                <w:u w:val="none"/>
              </w:rPr>
              <w:t>月</w:t>
            </w:r>
            <w:r>
              <w:rPr>
                <w:rFonts w:hint="eastAsia" w:cs="Times New Roman" w:eastAsiaTheme="minorEastAsia"/>
                <w:color w:val="000000"/>
                <w:sz w:val="24"/>
                <w:highlight w:val="none"/>
                <w:u w:val="none"/>
                <w:lang w:val="en-US" w:eastAsia="zh-CN"/>
              </w:rPr>
              <w:t>4</w:t>
            </w:r>
            <w:r>
              <w:rPr>
                <w:rFonts w:hint="default" w:ascii="Times New Roman" w:hAnsi="Times New Roman" w:cs="Times New Roman" w:eastAsiaTheme="minorEastAsia"/>
                <w:color w:val="000000"/>
                <w:sz w:val="24"/>
                <w:highlight w:val="none"/>
                <w:u w:val="none"/>
              </w:rPr>
              <w:t>日-</w:t>
            </w:r>
            <w:r>
              <w:rPr>
                <w:rFonts w:hint="eastAsia" w:cs="Times New Roman" w:eastAsiaTheme="minorEastAsia"/>
                <w:color w:val="000000"/>
                <w:sz w:val="24"/>
                <w:highlight w:val="none"/>
                <w:u w:val="none"/>
                <w:lang w:val="en-US" w:eastAsia="zh-CN"/>
              </w:rPr>
              <w:t>12</w:t>
            </w:r>
            <w:r>
              <w:rPr>
                <w:rFonts w:hint="default" w:ascii="Times New Roman" w:hAnsi="Times New Roman" w:cs="Times New Roman" w:eastAsiaTheme="minorEastAsia"/>
                <w:color w:val="000000"/>
                <w:sz w:val="24"/>
                <w:highlight w:val="none"/>
                <w:u w:val="none"/>
              </w:rPr>
              <w:t>月</w:t>
            </w:r>
            <w:r>
              <w:rPr>
                <w:rFonts w:hint="eastAsia" w:cs="Times New Roman" w:eastAsiaTheme="minorEastAsia"/>
                <w:color w:val="000000"/>
                <w:sz w:val="24"/>
                <w:highlight w:val="none"/>
                <w:u w:val="none"/>
                <w:lang w:val="en-US" w:eastAsia="zh-CN"/>
              </w:rPr>
              <w:t>6</w:t>
            </w:r>
            <w:r>
              <w:rPr>
                <w:rFonts w:hint="default" w:ascii="Times New Roman" w:hAnsi="Times New Roman" w:cs="Times New Roman" w:eastAsiaTheme="minorEastAsia"/>
                <w:color w:val="000000"/>
                <w:sz w:val="24"/>
                <w:highlight w:val="none"/>
                <w:u w:val="none"/>
              </w:rPr>
              <w:t>日监</w:t>
            </w:r>
            <w:r>
              <w:rPr>
                <w:rFonts w:hint="default" w:ascii="Times New Roman" w:hAnsi="Times New Roman" w:cs="Times New Roman" w:eastAsiaTheme="minorEastAsia"/>
                <w:color w:val="000000"/>
                <w:sz w:val="24"/>
                <w:u w:val="none"/>
              </w:rPr>
              <w:t>测</w:t>
            </w:r>
            <w:r>
              <w:rPr>
                <w:rFonts w:hint="default" w:ascii="Times New Roman" w:hAnsi="Times New Roman" w:cs="Times New Roman" w:eastAsiaTheme="minorEastAsia"/>
                <w:kern w:val="0"/>
                <w:sz w:val="24"/>
                <w:u w:val="none"/>
              </w:rPr>
              <w:t>，</w:t>
            </w:r>
            <w:r>
              <w:rPr>
                <w:rFonts w:hint="default" w:ascii="Times New Roman" w:hAnsi="Times New Roman" w:cs="Times New Roman" w:eastAsiaTheme="minorEastAsia"/>
                <w:sz w:val="24"/>
                <w:u w:val="none"/>
              </w:rPr>
              <w:t>连续</w:t>
            </w:r>
            <w:r>
              <w:rPr>
                <w:rFonts w:hint="default" w:ascii="Times New Roman" w:hAnsi="Times New Roman" w:cs="Times New Roman" w:eastAsiaTheme="minorEastAsia"/>
                <w:sz w:val="24"/>
                <w:u w:val="none"/>
                <w:lang w:val="en-US" w:eastAsia="zh-CN"/>
              </w:rPr>
              <w:t>3</w:t>
            </w:r>
            <w:r>
              <w:rPr>
                <w:rFonts w:hint="default" w:ascii="Times New Roman" w:hAnsi="Times New Roman" w:cs="Times New Roman" w:eastAsiaTheme="minorEastAsia"/>
                <w:sz w:val="24"/>
                <w:u w:val="none"/>
              </w:rPr>
              <w:t>d。</w:t>
            </w:r>
          </w:p>
          <w:p w14:paraId="017ECD0C">
            <w:pPr>
              <w:adjustRightInd w:val="0"/>
              <w:snapToGrid w:val="0"/>
              <w:spacing w:line="360" w:lineRule="auto"/>
              <w:ind w:firstLine="480"/>
              <w:rPr>
                <w:rFonts w:hint="default" w:ascii="Times New Roman" w:hAnsi="Times New Roman" w:cs="Times New Roman" w:eastAsiaTheme="minorEastAsia"/>
                <w:kern w:val="0"/>
                <w:sz w:val="24"/>
                <w:u w:val="none"/>
              </w:rPr>
            </w:pPr>
            <w:r>
              <w:rPr>
                <w:rFonts w:hint="default" w:ascii="Times New Roman" w:hAnsi="Times New Roman" w:cs="Times New Roman" w:eastAsiaTheme="minorEastAsia"/>
                <w:kern w:val="0"/>
                <w:sz w:val="24"/>
                <w:u w:val="none"/>
                <w:lang w:eastAsia="zh-CN"/>
              </w:rPr>
              <w:t>④</w:t>
            </w:r>
            <w:r>
              <w:rPr>
                <w:rFonts w:hint="default" w:ascii="Times New Roman" w:hAnsi="Times New Roman" w:cs="Times New Roman" w:eastAsiaTheme="minorEastAsia"/>
                <w:kern w:val="0"/>
                <w:sz w:val="24"/>
                <w:u w:val="none"/>
              </w:rPr>
              <w:t>评价标准</w:t>
            </w:r>
          </w:p>
          <w:p w14:paraId="735FD7CE">
            <w:pPr>
              <w:adjustRightInd w:val="0"/>
              <w:snapToGrid w:val="0"/>
              <w:spacing w:line="360" w:lineRule="auto"/>
              <w:ind w:firstLine="480"/>
              <w:rPr>
                <w:rFonts w:hint="default" w:ascii="Times New Roman" w:hAnsi="Times New Roman" w:cs="Times New Roman" w:eastAsiaTheme="minorEastAsia"/>
                <w:kern w:val="0"/>
                <w:sz w:val="24"/>
                <w:u w:val="none"/>
              </w:rPr>
            </w:pPr>
            <w:r>
              <w:rPr>
                <w:rFonts w:hint="default" w:ascii="Times New Roman" w:hAnsi="Times New Roman" w:cs="Times New Roman" w:eastAsiaTheme="minorEastAsia"/>
                <w:sz w:val="24"/>
                <w:u w:val="none"/>
              </w:rPr>
              <w:t>TSP</w:t>
            </w:r>
            <w:r>
              <w:rPr>
                <w:rFonts w:hint="default" w:ascii="Times New Roman" w:hAnsi="Times New Roman" w:cs="Times New Roman" w:eastAsiaTheme="minorEastAsia"/>
                <w:kern w:val="0"/>
                <w:sz w:val="24"/>
                <w:u w:val="none"/>
              </w:rPr>
              <w:t>采用《环境空气质量标准》（GB3095-20</w:t>
            </w:r>
            <w:r>
              <w:rPr>
                <w:rFonts w:hint="eastAsia" w:cs="Times New Roman" w:eastAsiaTheme="minorEastAsia"/>
                <w:kern w:val="0"/>
                <w:sz w:val="24"/>
                <w:u w:val="none"/>
                <w:lang w:val="en-US" w:eastAsia="zh-CN"/>
              </w:rPr>
              <w:t>26</w:t>
            </w:r>
            <w:r>
              <w:rPr>
                <w:rFonts w:hint="default" w:ascii="Times New Roman" w:hAnsi="Times New Roman" w:cs="Times New Roman" w:eastAsiaTheme="minorEastAsia"/>
                <w:kern w:val="0"/>
                <w:sz w:val="24"/>
                <w:u w:val="none"/>
              </w:rPr>
              <w:t>）中二级标准限值。</w:t>
            </w:r>
          </w:p>
          <w:p w14:paraId="3003B1D7">
            <w:pPr>
              <w:adjustRightInd w:val="0"/>
              <w:snapToGrid w:val="0"/>
              <w:spacing w:line="360" w:lineRule="auto"/>
              <w:ind w:firstLine="480"/>
              <w:rPr>
                <w:rFonts w:hint="default" w:ascii="Times New Roman" w:hAnsi="Times New Roman" w:cs="Times New Roman" w:eastAsiaTheme="minorEastAsia"/>
                <w:kern w:val="0"/>
                <w:sz w:val="24"/>
                <w:u w:val="none"/>
              </w:rPr>
            </w:pPr>
            <w:r>
              <w:rPr>
                <w:rFonts w:hint="default" w:ascii="Times New Roman" w:hAnsi="Times New Roman" w:cs="Times New Roman" w:eastAsiaTheme="minorEastAsia"/>
                <w:kern w:val="0"/>
                <w:sz w:val="24"/>
                <w:u w:val="none"/>
                <w:lang w:eastAsia="zh-CN"/>
              </w:rPr>
              <w:t>⑤</w:t>
            </w:r>
            <w:r>
              <w:rPr>
                <w:rFonts w:hint="default" w:ascii="Times New Roman" w:hAnsi="Times New Roman" w:cs="Times New Roman" w:eastAsiaTheme="minorEastAsia"/>
                <w:kern w:val="0"/>
                <w:sz w:val="24"/>
                <w:u w:val="none"/>
              </w:rPr>
              <w:t>监测数据达标性分析</w:t>
            </w:r>
          </w:p>
          <w:p w14:paraId="6520521D">
            <w:pPr>
              <w:adjustRightInd w:val="0"/>
              <w:snapToGrid w:val="0"/>
              <w:spacing w:line="360" w:lineRule="auto"/>
              <w:ind w:firstLine="480"/>
              <w:rPr>
                <w:rFonts w:hint="default" w:ascii="Times New Roman" w:hAnsi="Times New Roman" w:cs="Times New Roman" w:eastAsiaTheme="minorEastAsia"/>
                <w:kern w:val="0"/>
                <w:sz w:val="24"/>
                <w:u w:val="none"/>
              </w:rPr>
            </w:pPr>
            <w:r>
              <w:rPr>
                <w:rFonts w:hint="default" w:ascii="Times New Roman" w:hAnsi="Times New Roman" w:cs="Times New Roman" w:eastAsiaTheme="minorEastAsia"/>
                <w:kern w:val="0"/>
                <w:sz w:val="24"/>
                <w:u w:val="none"/>
              </w:rPr>
              <w:t>监测结果及评价结果见</w:t>
            </w:r>
            <w:r>
              <w:rPr>
                <w:rFonts w:hint="eastAsia" w:ascii="Times New Roman" w:hAnsi="Times New Roman" w:cs="Times New Roman" w:eastAsiaTheme="minorEastAsia"/>
                <w:kern w:val="0"/>
                <w:sz w:val="24"/>
                <w:u w:val="none"/>
                <w:lang w:val="en-US" w:eastAsia="zh-CN"/>
              </w:rPr>
              <w:t>下表</w:t>
            </w:r>
            <w:r>
              <w:rPr>
                <w:rFonts w:hint="default" w:ascii="Times New Roman" w:hAnsi="Times New Roman" w:cs="Times New Roman" w:eastAsiaTheme="minorEastAsia"/>
                <w:kern w:val="0"/>
                <w:sz w:val="24"/>
                <w:u w:val="none"/>
              </w:rPr>
              <w:t>。</w:t>
            </w:r>
          </w:p>
          <w:p w14:paraId="7B4B88BA">
            <w:pPr>
              <w:pStyle w:val="48"/>
              <w:keepNext w:val="0"/>
              <w:keepLines w:val="0"/>
              <w:pageBreakBefore w:val="0"/>
              <w:widowControl/>
              <w:kinsoku/>
              <w:wordWrap/>
              <w:overflowPunct/>
              <w:topLinePunct w:val="0"/>
              <w:autoSpaceDE/>
              <w:autoSpaceDN/>
              <w:bidi w:val="0"/>
              <w:adjustRightInd/>
              <w:snapToGrid/>
              <w:spacing w:beforeLines="0" w:afterLines="0"/>
              <w:textAlignment w:val="auto"/>
              <w:rPr>
                <w:rFonts w:hint="default" w:ascii="Times New Roman" w:hAnsi="Times New Roman" w:cs="Times New Roman" w:eastAsiaTheme="minorEastAsia"/>
                <w:u w:val="none" w:color="auto"/>
                <w:lang w:val="zh-CN"/>
              </w:rPr>
            </w:pPr>
            <w:r>
              <w:rPr>
                <w:rFonts w:hint="default" w:ascii="Times New Roman" w:hAnsi="Times New Roman" w:cs="Times New Roman" w:eastAsiaTheme="minorEastAsia"/>
                <w:u w:val="none" w:color="auto"/>
              </w:rPr>
              <w:t>表</w:t>
            </w:r>
            <w:r>
              <w:rPr>
                <w:rFonts w:hint="eastAsia" w:cs="Times New Roman" w:eastAsiaTheme="minorEastAsia"/>
                <w:u w:val="none" w:color="auto"/>
                <w:lang w:val="en-US" w:eastAsia="zh-CN"/>
              </w:rPr>
              <w:t>3-4</w:t>
            </w:r>
            <w:r>
              <w:rPr>
                <w:rFonts w:hint="default" w:ascii="Times New Roman" w:hAnsi="Times New Roman" w:cs="Times New Roman" w:eastAsiaTheme="minorEastAsia"/>
                <w:u w:val="none" w:color="auto"/>
              </w:rPr>
              <w:t xml:space="preserve">  特征污染物环境质量监测结果表  </w:t>
            </w:r>
          </w:p>
          <w:tbl>
            <w:tblPr>
              <w:tblStyle w:val="21"/>
              <w:tblW w:w="842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24"/>
              <w:gridCol w:w="3571"/>
              <w:gridCol w:w="3300"/>
            </w:tblGrid>
            <w:tr w14:paraId="0690DF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4" w:hRule="atLeast"/>
                <w:jc w:val="center"/>
              </w:trPr>
              <w:tc>
                <w:tcPr>
                  <w:tcW w:w="1272" w:type="dxa"/>
                  <w:tcBorders>
                    <w:tl2br w:val="nil"/>
                    <w:tr2bl w:val="nil"/>
                  </w:tcBorders>
                  <w:noWrap/>
                  <w:vAlign w:val="center"/>
                </w:tcPr>
                <w:p w14:paraId="6EFD97F4">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b/>
                      <w:bCs/>
                      <w:szCs w:val="21"/>
                      <w:u w:val="none"/>
                    </w:rPr>
                  </w:pPr>
                  <w:r>
                    <w:rPr>
                      <w:rFonts w:hint="default" w:ascii="Times New Roman" w:hAnsi="Times New Roman" w:cs="Times New Roman" w:eastAsiaTheme="minorEastAsia"/>
                      <w:b/>
                      <w:bCs/>
                      <w:szCs w:val="21"/>
                      <w:u w:val="none"/>
                    </w:rPr>
                    <w:t>监测点</w:t>
                  </w:r>
                </w:p>
              </w:tc>
              <w:tc>
                <w:tcPr>
                  <w:tcW w:w="3716" w:type="dxa"/>
                  <w:tcBorders>
                    <w:tl2br w:val="nil"/>
                    <w:tr2bl w:val="nil"/>
                  </w:tcBorders>
                  <w:noWrap/>
                  <w:vAlign w:val="center"/>
                </w:tcPr>
                <w:p w14:paraId="6914848B">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b/>
                      <w:bCs/>
                      <w:szCs w:val="21"/>
                      <w:u w:val="none"/>
                    </w:rPr>
                  </w:pPr>
                  <w:r>
                    <w:rPr>
                      <w:rFonts w:hint="default" w:ascii="Times New Roman" w:hAnsi="Times New Roman" w:cs="Times New Roman" w:eastAsiaTheme="minorEastAsia"/>
                      <w:b/>
                      <w:bCs/>
                      <w:szCs w:val="21"/>
                      <w:u w:val="none"/>
                    </w:rPr>
                    <w:t>项目</w:t>
                  </w:r>
                </w:p>
              </w:tc>
              <w:tc>
                <w:tcPr>
                  <w:tcW w:w="3433" w:type="dxa"/>
                  <w:tcBorders>
                    <w:tl2br w:val="nil"/>
                    <w:tr2bl w:val="nil"/>
                  </w:tcBorders>
                  <w:noWrap/>
                  <w:vAlign w:val="center"/>
                </w:tcPr>
                <w:p w14:paraId="36D506B5">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b/>
                      <w:bCs/>
                      <w:szCs w:val="21"/>
                      <w:u w:val="none"/>
                    </w:rPr>
                  </w:pPr>
                  <w:r>
                    <w:rPr>
                      <w:rFonts w:hint="default" w:ascii="Times New Roman" w:hAnsi="Times New Roman" w:cs="Times New Roman" w:eastAsiaTheme="minorEastAsia"/>
                      <w:b/>
                      <w:bCs/>
                      <w:szCs w:val="21"/>
                      <w:u w:val="none"/>
                    </w:rPr>
                    <w:t>TSP</w:t>
                  </w:r>
                </w:p>
              </w:tc>
            </w:tr>
            <w:tr w14:paraId="7E669B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0" w:hRule="atLeast"/>
                <w:jc w:val="center"/>
              </w:trPr>
              <w:tc>
                <w:tcPr>
                  <w:tcW w:w="1272" w:type="dxa"/>
                  <w:vMerge w:val="restart"/>
                  <w:tcBorders>
                    <w:tl2br w:val="nil"/>
                    <w:tr2bl w:val="nil"/>
                  </w:tcBorders>
                  <w:noWrap/>
                  <w:vAlign w:val="center"/>
                </w:tcPr>
                <w:p w14:paraId="39DD9C7C">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1#</w:t>
                  </w:r>
                </w:p>
              </w:tc>
              <w:tc>
                <w:tcPr>
                  <w:tcW w:w="3716" w:type="dxa"/>
                  <w:tcBorders>
                    <w:tl2br w:val="nil"/>
                    <w:tr2bl w:val="nil"/>
                  </w:tcBorders>
                  <w:noWrap/>
                  <w:vAlign w:val="center"/>
                </w:tcPr>
                <w:p w14:paraId="0BB43792">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highlight w:val="none"/>
                      <w:u w:val="none"/>
                    </w:rPr>
                  </w:pPr>
                  <w:r>
                    <w:rPr>
                      <w:rFonts w:hint="default" w:ascii="Times New Roman" w:hAnsi="Times New Roman" w:cs="Times New Roman" w:eastAsiaTheme="minorEastAsia"/>
                      <w:szCs w:val="21"/>
                      <w:highlight w:val="none"/>
                      <w:u w:val="none"/>
                    </w:rPr>
                    <w:t>浓度范围(mg/m³)</w:t>
                  </w:r>
                </w:p>
              </w:tc>
              <w:tc>
                <w:tcPr>
                  <w:tcW w:w="3433" w:type="dxa"/>
                  <w:tcBorders>
                    <w:tl2br w:val="nil"/>
                    <w:tr2bl w:val="nil"/>
                  </w:tcBorders>
                  <w:noWrap/>
                  <w:vAlign w:val="center"/>
                </w:tcPr>
                <w:p w14:paraId="07E0A3E9">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highlight w:val="none"/>
                      <w:u w:val="none"/>
                      <w:lang w:val="en-US" w:eastAsia="zh-CN"/>
                    </w:rPr>
                  </w:pPr>
                  <w:r>
                    <w:rPr>
                      <w:rFonts w:hint="default" w:ascii="Times New Roman" w:hAnsi="Times New Roman" w:cs="Times New Roman" w:eastAsiaTheme="minorEastAsia"/>
                      <w:szCs w:val="21"/>
                      <w:highlight w:val="none"/>
                      <w:u w:val="none"/>
                    </w:rPr>
                    <w:t>0.</w:t>
                  </w:r>
                  <w:r>
                    <w:rPr>
                      <w:rFonts w:hint="eastAsia" w:cs="Times New Roman" w:eastAsiaTheme="minorEastAsia"/>
                      <w:szCs w:val="21"/>
                      <w:highlight w:val="none"/>
                      <w:u w:val="none"/>
                      <w:lang w:val="en-US" w:eastAsia="zh-CN"/>
                    </w:rPr>
                    <w:t>108</w:t>
                  </w:r>
                  <w:r>
                    <w:rPr>
                      <w:rFonts w:hint="default" w:ascii="Times New Roman" w:hAnsi="Times New Roman" w:cs="Times New Roman" w:eastAsiaTheme="minorEastAsia"/>
                      <w:szCs w:val="21"/>
                      <w:highlight w:val="none"/>
                      <w:u w:val="none"/>
                    </w:rPr>
                    <w:t>-0.</w:t>
                  </w:r>
                  <w:r>
                    <w:rPr>
                      <w:rFonts w:hint="eastAsia" w:cs="Times New Roman" w:eastAsiaTheme="minorEastAsia"/>
                      <w:szCs w:val="21"/>
                      <w:highlight w:val="none"/>
                      <w:u w:val="none"/>
                      <w:lang w:val="en-US" w:eastAsia="zh-CN"/>
                    </w:rPr>
                    <w:t>125</w:t>
                  </w:r>
                </w:p>
              </w:tc>
            </w:tr>
            <w:tr w14:paraId="391E65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0" w:hRule="atLeast"/>
                <w:jc w:val="center"/>
              </w:trPr>
              <w:tc>
                <w:tcPr>
                  <w:tcW w:w="1272" w:type="dxa"/>
                  <w:vMerge w:val="continue"/>
                  <w:tcBorders>
                    <w:tl2br w:val="nil"/>
                    <w:tr2bl w:val="nil"/>
                  </w:tcBorders>
                  <w:noWrap/>
                  <w:vAlign w:val="center"/>
                </w:tcPr>
                <w:p w14:paraId="3F8E227D">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p>
              </w:tc>
              <w:tc>
                <w:tcPr>
                  <w:tcW w:w="3716" w:type="dxa"/>
                  <w:tcBorders>
                    <w:tl2br w:val="nil"/>
                    <w:tr2bl w:val="nil"/>
                  </w:tcBorders>
                  <w:noWrap/>
                  <w:vAlign w:val="center"/>
                </w:tcPr>
                <w:p w14:paraId="54E07A29">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highlight w:val="none"/>
                      <w:u w:val="none"/>
                    </w:rPr>
                  </w:pPr>
                  <w:r>
                    <w:rPr>
                      <w:rFonts w:hint="default" w:ascii="Times New Roman" w:hAnsi="Times New Roman" w:cs="Times New Roman" w:eastAsiaTheme="minorEastAsia"/>
                      <w:szCs w:val="21"/>
                      <w:highlight w:val="none"/>
                      <w:u w:val="none"/>
                    </w:rPr>
                    <w:t>最大浓度（mg/m³）</w:t>
                  </w:r>
                </w:p>
              </w:tc>
              <w:tc>
                <w:tcPr>
                  <w:tcW w:w="3433" w:type="dxa"/>
                  <w:tcBorders>
                    <w:tl2br w:val="nil"/>
                    <w:tr2bl w:val="nil"/>
                  </w:tcBorders>
                  <w:noWrap/>
                  <w:vAlign w:val="center"/>
                </w:tcPr>
                <w:p w14:paraId="2FA6F740">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highlight w:val="none"/>
                      <w:u w:val="none"/>
                      <w:lang w:val="en-US" w:eastAsia="zh-CN"/>
                    </w:rPr>
                  </w:pPr>
                  <w:r>
                    <w:rPr>
                      <w:rFonts w:hint="default" w:ascii="Times New Roman" w:hAnsi="Times New Roman" w:cs="Times New Roman" w:eastAsiaTheme="minorEastAsia"/>
                      <w:szCs w:val="21"/>
                      <w:highlight w:val="none"/>
                      <w:u w:val="none"/>
                    </w:rPr>
                    <w:t>0.</w:t>
                  </w:r>
                  <w:r>
                    <w:rPr>
                      <w:rFonts w:hint="eastAsia" w:cs="Times New Roman" w:eastAsiaTheme="minorEastAsia"/>
                      <w:szCs w:val="21"/>
                      <w:highlight w:val="none"/>
                      <w:u w:val="none"/>
                      <w:lang w:val="en-US" w:eastAsia="zh-CN"/>
                    </w:rPr>
                    <w:t>125</w:t>
                  </w:r>
                </w:p>
              </w:tc>
            </w:tr>
            <w:tr w14:paraId="2C166A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1272" w:type="dxa"/>
                  <w:vMerge w:val="continue"/>
                  <w:tcBorders>
                    <w:tl2br w:val="nil"/>
                    <w:tr2bl w:val="nil"/>
                  </w:tcBorders>
                  <w:noWrap/>
                  <w:vAlign w:val="center"/>
                </w:tcPr>
                <w:p w14:paraId="366246C7">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p>
              </w:tc>
              <w:tc>
                <w:tcPr>
                  <w:tcW w:w="3716" w:type="dxa"/>
                  <w:tcBorders>
                    <w:tl2br w:val="nil"/>
                    <w:tr2bl w:val="nil"/>
                  </w:tcBorders>
                  <w:noWrap/>
                  <w:vAlign w:val="center"/>
                </w:tcPr>
                <w:p w14:paraId="0CD69600">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highlight w:val="none"/>
                      <w:u w:val="none"/>
                    </w:rPr>
                  </w:pPr>
                  <w:r>
                    <w:rPr>
                      <w:rFonts w:hint="default" w:ascii="Times New Roman" w:hAnsi="Times New Roman" w:cs="Times New Roman" w:eastAsiaTheme="minorEastAsia"/>
                      <w:szCs w:val="21"/>
                      <w:highlight w:val="none"/>
                      <w:u w:val="none"/>
                    </w:rPr>
                    <w:t>最大浓度占标率（%）</w:t>
                  </w:r>
                </w:p>
              </w:tc>
              <w:tc>
                <w:tcPr>
                  <w:tcW w:w="3433" w:type="dxa"/>
                  <w:tcBorders>
                    <w:tl2br w:val="nil"/>
                    <w:tr2bl w:val="nil"/>
                  </w:tcBorders>
                  <w:noWrap/>
                  <w:vAlign w:val="center"/>
                </w:tcPr>
                <w:p w14:paraId="5B7DF926">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highlight w:val="none"/>
                      <w:u w:val="none"/>
                      <w:lang w:val="en-US" w:eastAsia="zh-CN"/>
                    </w:rPr>
                  </w:pPr>
                  <w:r>
                    <w:rPr>
                      <w:rFonts w:hint="eastAsia" w:cs="Times New Roman" w:eastAsiaTheme="minorEastAsia"/>
                      <w:szCs w:val="21"/>
                      <w:highlight w:val="none"/>
                      <w:u w:val="none"/>
                      <w:lang w:val="en-US" w:eastAsia="zh-CN"/>
                    </w:rPr>
                    <w:t>41.7</w:t>
                  </w:r>
                </w:p>
              </w:tc>
            </w:tr>
            <w:tr w14:paraId="786DAA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0" w:hRule="atLeast"/>
                <w:jc w:val="center"/>
              </w:trPr>
              <w:tc>
                <w:tcPr>
                  <w:tcW w:w="1272" w:type="dxa"/>
                  <w:vMerge w:val="continue"/>
                  <w:tcBorders>
                    <w:tl2br w:val="nil"/>
                    <w:tr2bl w:val="nil"/>
                  </w:tcBorders>
                  <w:noWrap/>
                  <w:vAlign w:val="center"/>
                </w:tcPr>
                <w:p w14:paraId="5D9516AE">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p>
              </w:tc>
              <w:tc>
                <w:tcPr>
                  <w:tcW w:w="3716" w:type="dxa"/>
                  <w:tcBorders>
                    <w:tl2br w:val="nil"/>
                    <w:tr2bl w:val="nil"/>
                  </w:tcBorders>
                  <w:noWrap/>
                  <w:vAlign w:val="center"/>
                </w:tcPr>
                <w:p w14:paraId="5159D161">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超标率（%）</w:t>
                  </w:r>
                </w:p>
              </w:tc>
              <w:tc>
                <w:tcPr>
                  <w:tcW w:w="3433" w:type="dxa"/>
                  <w:tcBorders>
                    <w:tl2br w:val="nil"/>
                    <w:tr2bl w:val="nil"/>
                  </w:tcBorders>
                  <w:noWrap/>
                  <w:vAlign w:val="center"/>
                </w:tcPr>
                <w:p w14:paraId="1ECBABDB">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0</w:t>
                  </w:r>
                </w:p>
              </w:tc>
            </w:tr>
            <w:tr w14:paraId="61DC51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0" w:hRule="atLeast"/>
                <w:jc w:val="center"/>
              </w:trPr>
              <w:tc>
                <w:tcPr>
                  <w:tcW w:w="1272" w:type="dxa"/>
                  <w:vMerge w:val="continue"/>
                  <w:tcBorders>
                    <w:tl2br w:val="nil"/>
                    <w:tr2bl w:val="nil"/>
                  </w:tcBorders>
                  <w:noWrap/>
                  <w:vAlign w:val="center"/>
                </w:tcPr>
                <w:p w14:paraId="7C3D27F8">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p>
              </w:tc>
              <w:tc>
                <w:tcPr>
                  <w:tcW w:w="3716" w:type="dxa"/>
                  <w:tcBorders>
                    <w:tl2br w:val="nil"/>
                    <w:tr2bl w:val="nil"/>
                  </w:tcBorders>
                  <w:noWrap/>
                  <w:vAlign w:val="center"/>
                </w:tcPr>
                <w:p w14:paraId="606BEA15">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最大超标倍数</w:t>
                  </w:r>
                </w:p>
              </w:tc>
              <w:tc>
                <w:tcPr>
                  <w:tcW w:w="3433" w:type="dxa"/>
                  <w:tcBorders>
                    <w:tl2br w:val="nil"/>
                    <w:tr2bl w:val="nil"/>
                  </w:tcBorders>
                  <w:noWrap/>
                  <w:vAlign w:val="center"/>
                </w:tcPr>
                <w:p w14:paraId="5BEC7D67">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0</w:t>
                  </w:r>
                </w:p>
              </w:tc>
            </w:tr>
            <w:tr w14:paraId="6EBD7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0" w:hRule="atLeast"/>
                <w:jc w:val="center"/>
              </w:trPr>
              <w:tc>
                <w:tcPr>
                  <w:tcW w:w="4988" w:type="dxa"/>
                  <w:gridSpan w:val="2"/>
                  <w:tcBorders>
                    <w:tl2br w:val="nil"/>
                    <w:tr2bl w:val="nil"/>
                  </w:tcBorders>
                  <w:noWrap/>
                  <w:vAlign w:val="center"/>
                </w:tcPr>
                <w:p w14:paraId="284D6DBE">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标准值</w:t>
                  </w:r>
                </w:p>
              </w:tc>
              <w:tc>
                <w:tcPr>
                  <w:tcW w:w="3433" w:type="dxa"/>
                  <w:tcBorders>
                    <w:tl2br w:val="nil"/>
                    <w:tr2bl w:val="nil"/>
                  </w:tcBorders>
                  <w:noWrap/>
                  <w:vAlign w:val="center"/>
                </w:tcPr>
                <w:p w14:paraId="11619A2D">
                  <w:pPr>
                    <w:autoSpaceDE w:val="0"/>
                    <w:autoSpaceDN w:val="0"/>
                    <w:adjustRightInd w:val="0"/>
                    <w:snapToGrid w:val="0"/>
                    <w:spacing w:before="100" w:beforeAutospacing="1" w:after="100" w:afterAutospacing="1"/>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0.3</w:t>
                  </w:r>
                </w:p>
              </w:tc>
            </w:tr>
          </w:tbl>
          <w:p w14:paraId="28933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u w:val="none"/>
              </w:rPr>
              <w:t>由</w:t>
            </w:r>
            <w:r>
              <w:rPr>
                <w:rFonts w:hint="default" w:ascii="Times New Roman" w:hAnsi="Times New Roman" w:cs="Times New Roman" w:eastAsiaTheme="minorEastAsia"/>
                <w:sz w:val="24"/>
                <w:u w:val="none"/>
                <w:lang w:val="en-US" w:eastAsia="zh-CN"/>
              </w:rPr>
              <w:t>上</w:t>
            </w:r>
            <w:r>
              <w:rPr>
                <w:rFonts w:hint="default" w:ascii="Times New Roman" w:hAnsi="Times New Roman" w:cs="Times New Roman" w:eastAsiaTheme="minorEastAsia"/>
                <w:sz w:val="24"/>
                <w:u w:val="none"/>
              </w:rPr>
              <w:t>表可以看出，评价范围内TSP浓度较低，污染物的占标率小于100%，不超标，TSP</w:t>
            </w:r>
            <w:r>
              <w:rPr>
                <w:rFonts w:hint="default" w:ascii="Times New Roman" w:hAnsi="Times New Roman" w:cs="Times New Roman" w:eastAsiaTheme="minorEastAsia"/>
                <w:sz w:val="24"/>
                <w:u w:val="none"/>
                <w:lang w:val="zh-CN"/>
              </w:rPr>
              <w:t>能够</w:t>
            </w:r>
            <w:r>
              <w:rPr>
                <w:rFonts w:hint="default" w:ascii="Times New Roman" w:hAnsi="Times New Roman" w:cs="Times New Roman" w:eastAsiaTheme="minorEastAsia"/>
                <w:sz w:val="24"/>
                <w:u w:val="none"/>
              </w:rPr>
              <w:t>满足《环境空气质量标准》（GB3095-20</w:t>
            </w:r>
            <w:r>
              <w:rPr>
                <w:rFonts w:hint="eastAsia" w:cs="Times New Roman" w:eastAsiaTheme="minorEastAsia"/>
                <w:sz w:val="24"/>
                <w:u w:val="none"/>
                <w:lang w:val="en-US" w:eastAsia="zh-CN"/>
              </w:rPr>
              <w:t>26</w:t>
            </w:r>
            <w:r>
              <w:rPr>
                <w:rFonts w:hint="default" w:ascii="Times New Roman" w:hAnsi="Times New Roman" w:cs="Times New Roman" w:eastAsiaTheme="minorEastAsia"/>
                <w:sz w:val="24"/>
                <w:u w:val="none"/>
              </w:rPr>
              <w:t>）中二级标准要求，TSP有一定的环境容量。</w:t>
            </w:r>
          </w:p>
          <w:p w14:paraId="4B36D827">
            <w:pPr>
              <w:spacing w:line="360" w:lineRule="auto"/>
              <w:ind w:firstLine="482" w:firstLineChars="200"/>
              <w:rPr>
                <w:rFonts w:hint="eastAsia" w:ascii="Times New Roman" w:hAnsi="Times New Roman" w:eastAsia="宋体" w:cs="Times New Roman"/>
                <w:b/>
                <w:bCs/>
                <w:kern w:val="0"/>
                <w:sz w:val="24"/>
                <w:lang w:val="en-US" w:eastAsia="zh-CN" w:bidi="ar"/>
              </w:rPr>
            </w:pPr>
            <w:r>
              <w:rPr>
                <w:rFonts w:hint="eastAsia" w:ascii="Times New Roman" w:hAnsi="Times New Roman" w:eastAsia="宋体" w:cs="Times New Roman"/>
                <w:b/>
                <w:bCs/>
                <w:kern w:val="0"/>
                <w:sz w:val="24"/>
                <w:lang w:val="en-US" w:eastAsia="zh-CN" w:bidi="ar"/>
              </w:rPr>
              <w:t>2、地表水环境质量现状</w:t>
            </w:r>
          </w:p>
          <w:p w14:paraId="6C93AFED">
            <w:pPr>
              <w:pStyle w:val="75"/>
              <w:rPr>
                <w:rFonts w:hint="default" w:ascii="Times New Roman" w:hAnsi="Times New Roman" w:cs="Times New Roman"/>
                <w:color w:val="auto"/>
              </w:rPr>
            </w:pPr>
            <w:r>
              <w:rPr>
                <w:rFonts w:hint="default" w:ascii="Times New Roman" w:hAnsi="Times New Roman" w:cs="Times New Roman"/>
                <w:color w:val="auto"/>
              </w:rPr>
              <w:t>根据《建设项目环境影响报告表编制技术指南（污染影响类）》（试行）的有关规定，地表水环境质量现状引用与建设项目距离近的有效数据，包括近3年的规划环境影响评价的监测数据，所在流域控制单元内国家、地方断面监测数据，生态环境主管部门发布的水环境质量数据或地表水达标情况的结论。</w:t>
            </w:r>
          </w:p>
          <w:p w14:paraId="00F61438">
            <w:pPr>
              <w:pStyle w:val="75"/>
              <w:rPr>
                <w:rFonts w:hint="eastAsia"/>
                <w:color w:val="auto"/>
                <w:sz w:val="24"/>
                <w:szCs w:val="24"/>
                <w:lang w:val="en-US" w:eastAsia="zh-CN"/>
              </w:rPr>
            </w:pPr>
            <w:r>
              <w:rPr>
                <w:rFonts w:hint="eastAsia" w:ascii="Times New Roman" w:hAnsi="Times New Roman" w:cs="Times New Roman"/>
                <w:color w:val="auto"/>
                <w:sz w:val="24"/>
                <w:lang w:eastAsia="zh-CN"/>
              </w:rPr>
              <w:t>项目所在地附近</w:t>
            </w:r>
            <w:r>
              <w:rPr>
                <w:rFonts w:hint="default" w:ascii="Times New Roman" w:hAnsi="Times New Roman" w:cs="Times New Roman"/>
                <w:color w:val="auto"/>
                <w:sz w:val="24"/>
              </w:rPr>
              <w:t>主要水体为</w:t>
            </w:r>
            <w:r>
              <w:rPr>
                <w:rFonts w:hint="eastAsia" w:ascii="Times New Roman" w:hAnsi="Times New Roman" w:cs="Times New Roman"/>
                <w:color w:val="auto"/>
                <w:sz w:val="24"/>
                <w:lang w:eastAsia="zh-CN"/>
              </w:rPr>
              <w:t>三道沟河</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在临城村汇入鸭绿江，</w:t>
            </w:r>
            <w:r>
              <w:rPr>
                <w:rFonts w:hint="default" w:ascii="Times New Roman" w:hAnsi="Times New Roman" w:cs="Times New Roman"/>
                <w:color w:val="auto"/>
              </w:rPr>
              <w:t>为了解所在区域的地表水环境质量状况，本项目所在区域地表水环境现状优先采用吉林省生态环境厅202</w:t>
            </w:r>
            <w:r>
              <w:rPr>
                <w:rFonts w:hint="eastAsia" w:ascii="Times New Roman" w:hAnsi="Times New Roman" w:cs="Times New Roman"/>
                <w:color w:val="auto"/>
                <w:lang w:val="en-US" w:eastAsia="zh-CN"/>
              </w:rPr>
              <w:t>5</w:t>
            </w:r>
            <w:r>
              <w:rPr>
                <w:rFonts w:hint="default" w:ascii="Times New Roman" w:hAnsi="Times New Roman" w:cs="Times New Roman"/>
                <w:color w:val="auto"/>
              </w:rPr>
              <w:t>年发布的《202</w:t>
            </w:r>
            <w:r>
              <w:rPr>
                <w:rFonts w:hint="eastAsia" w:ascii="Times New Roman" w:hAnsi="Times New Roman" w:cs="Times New Roman"/>
                <w:color w:val="auto"/>
                <w:lang w:val="en-US" w:eastAsia="zh-CN"/>
              </w:rPr>
              <w:t>5</w:t>
            </w:r>
            <w:r>
              <w:rPr>
                <w:rFonts w:hint="default" w:ascii="Times New Roman" w:hAnsi="Times New Roman" w:cs="Times New Roman"/>
                <w:color w:val="auto"/>
              </w:rPr>
              <w:t>年吉林省地表水国控断面水质月报》中相关数据</w:t>
            </w:r>
            <w:r>
              <w:rPr>
                <w:rFonts w:hint="eastAsia" w:ascii="Times New Roman" w:hAnsi="Times New Roman" w:cs="Times New Roman"/>
                <w:color w:val="auto"/>
                <w:lang w:eastAsia="zh-CN"/>
              </w:rPr>
              <w:t>，</w:t>
            </w:r>
            <w:r>
              <w:rPr>
                <w:rFonts w:hint="eastAsia" w:ascii="Times New Roman" w:hAnsi="Times New Roman" w:cs="Times New Roman"/>
                <w:color w:val="auto"/>
                <w:sz w:val="24"/>
                <w:lang w:eastAsia="zh-CN"/>
              </w:rPr>
              <w:t>鸭绿江</w:t>
            </w:r>
            <w:r>
              <w:rPr>
                <w:rFonts w:hint="default" w:ascii="Times New Roman" w:hAnsi="Times New Roman" w:cs="Times New Roman"/>
                <w:color w:val="auto"/>
                <w:sz w:val="24"/>
              </w:rPr>
              <w:t>断面水质情况如下。</w:t>
            </w:r>
          </w:p>
          <w:p w14:paraId="30423D6A">
            <w:pPr>
              <w:pStyle w:val="48"/>
              <w:keepNext w:val="0"/>
              <w:keepLines w:val="0"/>
              <w:pageBreakBefore w:val="0"/>
              <w:widowControl w:val="0"/>
              <w:numPr>
                <w:ilvl w:val="0"/>
                <w:numId w:val="0"/>
              </w:numPr>
              <w:tabs>
                <w:tab w:val="left" w:pos="3744"/>
              </w:tabs>
              <w:kinsoku/>
              <w:wordWrap/>
              <w:overflowPunct/>
              <w:topLinePunct w:val="0"/>
              <w:autoSpaceDE/>
              <w:autoSpaceDN/>
              <w:bidi w:val="0"/>
              <w:adjustRightInd w:val="0"/>
              <w:snapToGrid w:val="0"/>
              <w:spacing w:before="0" w:afterLines="0" w:line="240" w:lineRule="auto"/>
              <w:ind w:right="0" w:firstLine="0" w:firstLineChars="0"/>
              <w:textAlignment w:val="auto"/>
              <w:rPr>
                <w:rFonts w:hint="default" w:ascii="Times New Roman" w:hAnsi="Times New Roman" w:eastAsia="宋体" w:cs="Times New Roman"/>
                <w:b/>
                <w:bCs w:val="0"/>
                <w:sz w:val="21"/>
                <w:szCs w:val="21"/>
                <w:highlight w:val="none"/>
                <w:u w:val="none" w:color="auto"/>
              </w:rPr>
            </w:pPr>
            <w:r>
              <w:rPr>
                <w:rFonts w:hint="default" w:ascii="Times New Roman" w:hAnsi="Times New Roman" w:eastAsia="宋体" w:cs="Times New Roman"/>
                <w:b/>
                <w:bCs w:val="0"/>
                <w:sz w:val="24"/>
                <w:szCs w:val="24"/>
                <w:highlight w:val="none"/>
                <w:u w:val="none" w:color="auto"/>
                <w:lang w:val="en-US" w:eastAsia="zh-CN"/>
              </w:rPr>
              <w:t>表</w:t>
            </w:r>
            <w:r>
              <w:rPr>
                <w:rFonts w:hint="eastAsia" w:cs="Times New Roman"/>
                <w:b/>
                <w:bCs w:val="0"/>
                <w:sz w:val="24"/>
                <w:szCs w:val="24"/>
                <w:highlight w:val="none"/>
                <w:u w:val="none" w:color="auto"/>
                <w:lang w:val="en-US" w:eastAsia="zh-CN"/>
              </w:rPr>
              <w:t>3-5</w:t>
            </w:r>
            <w:r>
              <w:rPr>
                <w:rFonts w:hint="default" w:ascii="Times New Roman" w:hAnsi="Times New Roman" w:eastAsia="宋体" w:cs="Times New Roman"/>
                <w:b/>
                <w:bCs w:val="0"/>
                <w:sz w:val="24"/>
                <w:szCs w:val="24"/>
                <w:highlight w:val="none"/>
                <w:u w:val="none" w:color="auto"/>
                <w:lang w:val="en-US" w:eastAsia="zh-CN"/>
              </w:rPr>
              <w:t xml:space="preserve">  </w:t>
            </w:r>
            <w:r>
              <w:rPr>
                <w:rFonts w:hint="eastAsia" w:cs="Times New Roman"/>
                <w:b/>
                <w:bCs w:val="0"/>
                <w:sz w:val="24"/>
                <w:szCs w:val="24"/>
                <w:highlight w:val="none"/>
                <w:u w:val="none" w:color="auto"/>
                <w:lang w:val="en-US" w:eastAsia="zh-CN"/>
              </w:rPr>
              <w:t>白山</w:t>
            </w:r>
            <w:r>
              <w:rPr>
                <w:rFonts w:hint="default" w:ascii="Times New Roman" w:hAnsi="Times New Roman" w:eastAsia="宋体" w:cs="Times New Roman"/>
                <w:b/>
                <w:bCs w:val="0"/>
                <w:sz w:val="24"/>
                <w:szCs w:val="24"/>
                <w:highlight w:val="none"/>
                <w:u w:val="none" w:color="auto"/>
                <w:lang w:val="en-US" w:eastAsia="zh-CN"/>
              </w:rPr>
              <w:t>市国控</w:t>
            </w:r>
            <w:r>
              <w:rPr>
                <w:rFonts w:hint="default" w:ascii="Times New Roman" w:hAnsi="Times New Roman" w:eastAsia="宋体" w:cs="Times New Roman"/>
                <w:b/>
                <w:bCs w:val="0"/>
                <w:sz w:val="24"/>
                <w:szCs w:val="24"/>
                <w:highlight w:val="none"/>
                <w:u w:val="none" w:color="auto"/>
                <w:lang w:eastAsia="zh-CN"/>
              </w:rPr>
              <w:t>断面水环境质量情况</w:t>
            </w:r>
            <w:r>
              <w:rPr>
                <w:rFonts w:hint="default" w:ascii="Times New Roman" w:hAnsi="Times New Roman" w:eastAsia="宋体" w:cs="Times New Roman"/>
                <w:b/>
                <w:bCs w:val="0"/>
                <w:sz w:val="24"/>
                <w:szCs w:val="24"/>
                <w:highlight w:val="none"/>
                <w:u w:val="none" w:color="auto"/>
              </w:rPr>
              <w:t>（节选）</w:t>
            </w:r>
          </w:p>
          <w:tbl>
            <w:tblPr>
              <w:tblStyle w:val="21"/>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43"/>
              <w:gridCol w:w="982"/>
              <w:gridCol w:w="1266"/>
              <w:gridCol w:w="803"/>
              <w:gridCol w:w="508"/>
              <w:gridCol w:w="572"/>
              <w:gridCol w:w="1078"/>
              <w:gridCol w:w="569"/>
              <w:gridCol w:w="580"/>
              <w:gridCol w:w="982"/>
            </w:tblGrid>
            <w:tr w14:paraId="3812EB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tblHeader/>
                <w:jc w:val="center"/>
              </w:trPr>
              <w:tc>
                <w:tcPr>
                  <w:tcW w:w="459" w:type="pct"/>
                  <w:vMerge w:val="restart"/>
                  <w:tcBorders>
                    <w:tl2br w:val="nil"/>
                    <w:tr2bl w:val="nil"/>
                  </w:tcBorders>
                  <w:noWrap w:val="0"/>
                  <w:tcMar>
                    <w:top w:w="0" w:type="dxa"/>
                    <w:left w:w="28" w:type="dxa"/>
                    <w:bottom w:w="0" w:type="dxa"/>
                    <w:right w:w="28" w:type="dxa"/>
                  </w:tcMar>
                  <w:vAlign w:val="center"/>
                </w:tcPr>
                <w:p w14:paraId="2A7CE33A">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sz w:val="21"/>
                      <w:szCs w:val="21"/>
                      <w:highlight w:val="none"/>
                      <w:lang w:val="en-US" w:eastAsia="zh-CN"/>
                    </w:rPr>
                    <w:t>责任地</w:t>
                  </w:r>
                  <w:r>
                    <w:rPr>
                      <w:rFonts w:hint="default" w:ascii="Times New Roman" w:hAnsi="Times New Roman" w:eastAsia="宋体" w:cs="Times New Roman"/>
                      <w:b/>
                      <w:bCs/>
                      <w:color w:val="0C0C0C"/>
                      <w:sz w:val="21"/>
                      <w:szCs w:val="21"/>
                      <w:highlight w:val="none"/>
                    </w:rPr>
                    <w:t>市</w:t>
                  </w:r>
                </w:p>
              </w:tc>
              <w:tc>
                <w:tcPr>
                  <w:tcW w:w="607" w:type="pct"/>
                  <w:vMerge w:val="restart"/>
                  <w:tcBorders>
                    <w:tl2br w:val="nil"/>
                    <w:tr2bl w:val="nil"/>
                  </w:tcBorders>
                  <w:noWrap w:val="0"/>
                  <w:tcMar>
                    <w:top w:w="0" w:type="dxa"/>
                    <w:left w:w="28" w:type="dxa"/>
                    <w:bottom w:w="0" w:type="dxa"/>
                    <w:right w:w="28" w:type="dxa"/>
                  </w:tcMar>
                  <w:vAlign w:val="center"/>
                </w:tcPr>
                <w:p w14:paraId="7D1201E8">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lang w:eastAsia="zh-CN"/>
                    </w:rPr>
                  </w:pPr>
                  <w:r>
                    <w:rPr>
                      <w:rFonts w:hint="default" w:ascii="Times New Roman" w:hAnsi="Times New Roman" w:eastAsia="宋体" w:cs="Times New Roman"/>
                      <w:b/>
                      <w:bCs/>
                      <w:color w:val="0C0C0C"/>
                      <w:sz w:val="21"/>
                      <w:szCs w:val="21"/>
                      <w:highlight w:val="none"/>
                      <w:lang w:val="en-US" w:eastAsia="zh-CN"/>
                    </w:rPr>
                    <w:t>所在水体</w:t>
                  </w:r>
                </w:p>
              </w:tc>
              <w:tc>
                <w:tcPr>
                  <w:tcW w:w="1279" w:type="pct"/>
                  <w:gridSpan w:val="2"/>
                  <w:vMerge w:val="restart"/>
                  <w:tcBorders>
                    <w:tl2br w:val="nil"/>
                    <w:tr2bl w:val="nil"/>
                  </w:tcBorders>
                  <w:noWrap w:val="0"/>
                  <w:tcMar>
                    <w:top w:w="0" w:type="dxa"/>
                    <w:left w:w="28" w:type="dxa"/>
                    <w:bottom w:w="0" w:type="dxa"/>
                    <w:right w:w="28" w:type="dxa"/>
                  </w:tcMar>
                  <w:vAlign w:val="center"/>
                </w:tcPr>
                <w:p w14:paraId="62710849">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sz w:val="21"/>
                      <w:szCs w:val="21"/>
                      <w:highlight w:val="none"/>
                    </w:rPr>
                    <w:t>断面名称</w:t>
                  </w:r>
                </w:p>
              </w:tc>
              <w:tc>
                <w:tcPr>
                  <w:tcW w:w="1334" w:type="pct"/>
                  <w:gridSpan w:val="3"/>
                  <w:tcBorders>
                    <w:tl2br w:val="nil"/>
                    <w:tr2bl w:val="nil"/>
                  </w:tcBorders>
                  <w:noWrap w:val="0"/>
                  <w:tcMar>
                    <w:top w:w="0" w:type="dxa"/>
                    <w:left w:w="28" w:type="dxa"/>
                    <w:bottom w:w="0" w:type="dxa"/>
                    <w:right w:w="28" w:type="dxa"/>
                  </w:tcMar>
                  <w:vAlign w:val="center"/>
                </w:tcPr>
                <w:p w14:paraId="577AAB34">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sz w:val="21"/>
                      <w:szCs w:val="21"/>
                      <w:highlight w:val="none"/>
                    </w:rPr>
                    <w:t>水质类别</w:t>
                  </w:r>
                </w:p>
              </w:tc>
              <w:tc>
                <w:tcPr>
                  <w:tcW w:w="351" w:type="pct"/>
                  <w:vMerge w:val="restart"/>
                  <w:tcBorders>
                    <w:tl2br w:val="nil"/>
                    <w:tr2bl w:val="nil"/>
                  </w:tcBorders>
                  <w:noWrap w:val="0"/>
                  <w:tcMar>
                    <w:top w:w="0" w:type="dxa"/>
                    <w:left w:w="28" w:type="dxa"/>
                    <w:bottom w:w="0" w:type="dxa"/>
                    <w:right w:w="28" w:type="dxa"/>
                  </w:tcMar>
                  <w:vAlign w:val="center"/>
                </w:tcPr>
                <w:p w14:paraId="49E89281">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lang w:val="en-US" w:eastAsia="zh-CN"/>
                    </w:rPr>
                  </w:pPr>
                  <w:r>
                    <w:rPr>
                      <w:rFonts w:hint="default" w:ascii="Times New Roman" w:hAnsi="Times New Roman" w:eastAsia="宋体" w:cs="Times New Roman"/>
                      <w:b/>
                      <w:bCs/>
                      <w:color w:val="0C0C0C"/>
                      <w:sz w:val="21"/>
                      <w:szCs w:val="21"/>
                      <w:highlight w:val="none"/>
                      <w:lang w:val="en-US" w:eastAsia="zh-CN"/>
                    </w:rPr>
                    <w:t>环比</w:t>
                  </w:r>
                </w:p>
              </w:tc>
              <w:tc>
                <w:tcPr>
                  <w:tcW w:w="358" w:type="pct"/>
                  <w:vMerge w:val="restart"/>
                  <w:tcBorders>
                    <w:tl2br w:val="nil"/>
                    <w:tr2bl w:val="nil"/>
                  </w:tcBorders>
                  <w:noWrap w:val="0"/>
                  <w:tcMar>
                    <w:top w:w="0" w:type="dxa"/>
                    <w:left w:w="28" w:type="dxa"/>
                    <w:bottom w:w="0" w:type="dxa"/>
                    <w:right w:w="28" w:type="dxa"/>
                  </w:tcMar>
                  <w:vAlign w:val="center"/>
                </w:tcPr>
                <w:p w14:paraId="33DB2D95">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lang w:val="en-US" w:eastAsia="zh-CN"/>
                    </w:rPr>
                  </w:pPr>
                  <w:r>
                    <w:rPr>
                      <w:rFonts w:hint="default" w:ascii="Times New Roman" w:hAnsi="Times New Roman" w:eastAsia="宋体" w:cs="Times New Roman"/>
                      <w:b/>
                      <w:bCs/>
                      <w:color w:val="0C0C0C"/>
                      <w:sz w:val="21"/>
                      <w:szCs w:val="21"/>
                      <w:highlight w:val="none"/>
                      <w:lang w:val="en-US" w:eastAsia="zh-CN"/>
                    </w:rPr>
                    <w:t>同比</w:t>
                  </w:r>
                </w:p>
              </w:tc>
              <w:tc>
                <w:tcPr>
                  <w:tcW w:w="607" w:type="pct"/>
                  <w:vMerge w:val="restart"/>
                  <w:tcBorders>
                    <w:tl2br w:val="nil"/>
                    <w:tr2bl w:val="nil"/>
                  </w:tcBorders>
                  <w:noWrap w:val="0"/>
                  <w:tcMar>
                    <w:top w:w="0" w:type="dxa"/>
                    <w:left w:w="28" w:type="dxa"/>
                    <w:bottom w:w="0" w:type="dxa"/>
                    <w:right w:w="28" w:type="dxa"/>
                  </w:tcMar>
                  <w:vAlign w:val="center"/>
                </w:tcPr>
                <w:p w14:paraId="4ED88BFF">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r>
                    <w:rPr>
                      <w:rFonts w:hint="default" w:ascii="Times New Roman" w:hAnsi="Times New Roman" w:eastAsia="宋体" w:cs="Times New Roman"/>
                      <w:b/>
                      <w:bCs/>
                      <w:color w:val="0C0C0C"/>
                      <w:sz w:val="21"/>
                      <w:szCs w:val="21"/>
                      <w:highlight w:val="none"/>
                      <w:lang w:val="en-US" w:eastAsia="zh-CN"/>
                    </w:rPr>
                    <w:t>超标项目</w:t>
                  </w:r>
                </w:p>
              </w:tc>
            </w:tr>
            <w:tr w14:paraId="5A9898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tblHeader/>
                <w:jc w:val="center"/>
              </w:trPr>
              <w:tc>
                <w:tcPr>
                  <w:tcW w:w="459" w:type="pct"/>
                  <w:vMerge w:val="continue"/>
                  <w:tcBorders>
                    <w:tl2br w:val="nil"/>
                    <w:tr2bl w:val="nil"/>
                  </w:tcBorders>
                  <w:noWrap w:val="0"/>
                  <w:vAlign w:val="center"/>
                </w:tcPr>
                <w:p w14:paraId="36C3CDE4">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rPr>
                  </w:pPr>
                </w:p>
              </w:tc>
              <w:tc>
                <w:tcPr>
                  <w:tcW w:w="607" w:type="pct"/>
                  <w:vMerge w:val="continue"/>
                  <w:tcBorders>
                    <w:tl2br w:val="nil"/>
                    <w:tr2bl w:val="nil"/>
                  </w:tcBorders>
                  <w:noWrap w:val="0"/>
                  <w:vAlign w:val="center"/>
                </w:tcPr>
                <w:p w14:paraId="4755B2E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rPr>
                  </w:pPr>
                </w:p>
              </w:tc>
              <w:tc>
                <w:tcPr>
                  <w:tcW w:w="1279" w:type="pct"/>
                  <w:gridSpan w:val="2"/>
                  <w:vMerge w:val="continue"/>
                  <w:tcBorders>
                    <w:tl2br w:val="nil"/>
                    <w:tr2bl w:val="nil"/>
                  </w:tcBorders>
                  <w:noWrap w:val="0"/>
                  <w:vAlign w:val="center"/>
                </w:tcPr>
                <w:p w14:paraId="0EFF69C6">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rPr>
                  </w:pPr>
                </w:p>
              </w:tc>
              <w:tc>
                <w:tcPr>
                  <w:tcW w:w="314" w:type="pct"/>
                  <w:tcBorders>
                    <w:tl2br w:val="nil"/>
                    <w:tr2bl w:val="nil"/>
                  </w:tcBorders>
                  <w:noWrap w:val="0"/>
                  <w:tcMar>
                    <w:top w:w="0" w:type="dxa"/>
                    <w:left w:w="28" w:type="dxa"/>
                    <w:bottom w:w="0" w:type="dxa"/>
                    <w:right w:w="28" w:type="dxa"/>
                  </w:tcMar>
                  <w:vAlign w:val="center"/>
                </w:tcPr>
                <w:p w14:paraId="046C0835">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sz w:val="21"/>
                      <w:szCs w:val="21"/>
                      <w:highlight w:val="none"/>
                    </w:rPr>
                    <w:t>本月</w:t>
                  </w:r>
                </w:p>
              </w:tc>
              <w:tc>
                <w:tcPr>
                  <w:tcW w:w="353" w:type="pct"/>
                  <w:tcBorders>
                    <w:tl2br w:val="nil"/>
                    <w:tr2bl w:val="nil"/>
                  </w:tcBorders>
                  <w:noWrap w:val="0"/>
                  <w:tcMar>
                    <w:top w:w="0" w:type="dxa"/>
                    <w:left w:w="28" w:type="dxa"/>
                    <w:bottom w:w="0" w:type="dxa"/>
                    <w:right w:w="28" w:type="dxa"/>
                  </w:tcMar>
                  <w:vAlign w:val="center"/>
                </w:tcPr>
                <w:p w14:paraId="01D94719">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lang w:val="en-US" w:eastAsia="zh-CN"/>
                    </w:rPr>
                  </w:pPr>
                  <w:r>
                    <w:rPr>
                      <w:rFonts w:hint="default" w:ascii="Times New Roman" w:hAnsi="Times New Roman" w:eastAsia="宋体" w:cs="Times New Roman"/>
                      <w:b/>
                      <w:bCs/>
                      <w:color w:val="0C0C0C"/>
                      <w:sz w:val="21"/>
                      <w:szCs w:val="21"/>
                      <w:highlight w:val="none"/>
                      <w:lang w:val="en-US" w:eastAsia="zh-CN"/>
                    </w:rPr>
                    <w:t>上月</w:t>
                  </w:r>
                </w:p>
              </w:tc>
              <w:tc>
                <w:tcPr>
                  <w:tcW w:w="666" w:type="pct"/>
                  <w:tcBorders>
                    <w:tl2br w:val="nil"/>
                    <w:tr2bl w:val="nil"/>
                  </w:tcBorders>
                  <w:noWrap w:val="0"/>
                  <w:tcMar>
                    <w:top w:w="0" w:type="dxa"/>
                    <w:left w:w="28" w:type="dxa"/>
                    <w:bottom w:w="0" w:type="dxa"/>
                    <w:right w:w="28" w:type="dxa"/>
                  </w:tcMar>
                  <w:vAlign w:val="center"/>
                </w:tcPr>
                <w:p w14:paraId="5F97580F">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sz w:val="21"/>
                      <w:szCs w:val="21"/>
                      <w:highlight w:val="none"/>
                    </w:rPr>
                    <w:t>去年同期</w:t>
                  </w:r>
                </w:p>
              </w:tc>
              <w:tc>
                <w:tcPr>
                  <w:tcW w:w="351" w:type="pct"/>
                  <w:vMerge w:val="continue"/>
                  <w:tcBorders>
                    <w:tl2br w:val="nil"/>
                    <w:tr2bl w:val="nil"/>
                  </w:tcBorders>
                  <w:noWrap w:val="0"/>
                  <w:vAlign w:val="center"/>
                </w:tcPr>
                <w:p w14:paraId="3EDD81E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rPr>
                  </w:pPr>
                </w:p>
              </w:tc>
              <w:tc>
                <w:tcPr>
                  <w:tcW w:w="358" w:type="pct"/>
                  <w:vMerge w:val="continue"/>
                  <w:tcBorders>
                    <w:tl2br w:val="nil"/>
                    <w:tr2bl w:val="nil"/>
                  </w:tcBorders>
                  <w:noWrap w:val="0"/>
                  <w:vAlign w:val="center"/>
                </w:tcPr>
                <w:p w14:paraId="4B81D439">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rPr>
                  </w:pPr>
                </w:p>
              </w:tc>
              <w:tc>
                <w:tcPr>
                  <w:tcW w:w="607" w:type="pct"/>
                  <w:vMerge w:val="continue"/>
                  <w:tcBorders>
                    <w:tl2br w:val="nil"/>
                    <w:tr2bl w:val="nil"/>
                  </w:tcBorders>
                  <w:noWrap w:val="0"/>
                  <w:vAlign w:val="center"/>
                </w:tcPr>
                <w:p w14:paraId="5D4D8795">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rPr>
                  </w:pPr>
                </w:p>
              </w:tc>
            </w:tr>
            <w:tr w14:paraId="776634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9" w:type="pct"/>
                  <w:vMerge w:val="restart"/>
                  <w:tcBorders>
                    <w:tl2br w:val="nil"/>
                    <w:tr2bl w:val="nil"/>
                  </w:tcBorders>
                  <w:noWrap w:val="0"/>
                  <w:vAlign w:val="center"/>
                </w:tcPr>
                <w:p w14:paraId="455D2737">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eastAsia" w:ascii="Times New Roman" w:eastAsia="宋体" w:cs="Times New Roman"/>
                      <w:color w:val="0C0C0C"/>
                      <w:sz w:val="21"/>
                      <w:szCs w:val="21"/>
                      <w:highlight w:val="none"/>
                      <w:lang w:val="en-US" w:eastAsia="zh-CN"/>
                    </w:rPr>
                    <w:t>白山</w:t>
                  </w:r>
                  <w:r>
                    <w:rPr>
                      <w:rFonts w:hint="default" w:ascii="Times New Roman" w:hAnsi="Times New Roman" w:eastAsia="宋体" w:cs="Times New Roman"/>
                      <w:color w:val="0C0C0C"/>
                      <w:sz w:val="21"/>
                      <w:szCs w:val="21"/>
                      <w:highlight w:val="none"/>
                      <w:lang w:val="en-US" w:eastAsia="zh-CN"/>
                    </w:rPr>
                    <w:t>市</w:t>
                  </w:r>
                </w:p>
              </w:tc>
              <w:tc>
                <w:tcPr>
                  <w:tcW w:w="607" w:type="pct"/>
                  <w:vMerge w:val="restart"/>
                  <w:tcBorders>
                    <w:tl2br w:val="nil"/>
                    <w:tr2bl w:val="nil"/>
                  </w:tcBorders>
                  <w:noWrap w:val="0"/>
                  <w:vAlign w:val="center"/>
                </w:tcPr>
                <w:p w14:paraId="25E690DC">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eastAsia" w:ascii="Times New Roman" w:eastAsia="宋体" w:cs="Times New Roman"/>
                      <w:i w:val="0"/>
                      <w:iCs w:val="0"/>
                      <w:caps w:val="0"/>
                      <w:color w:val="0C0C0C"/>
                      <w:spacing w:val="0"/>
                      <w:sz w:val="21"/>
                      <w:szCs w:val="21"/>
                      <w:highlight w:val="none"/>
                      <w:shd w:val="clear" w:color="auto" w:fill="FFFFFF"/>
                      <w:lang w:val="en-US" w:eastAsia="zh-CN"/>
                    </w:rPr>
                    <w:t>鸭绿江</w:t>
                  </w:r>
                </w:p>
              </w:tc>
              <w:tc>
                <w:tcPr>
                  <w:tcW w:w="783" w:type="pct"/>
                  <w:vMerge w:val="restart"/>
                  <w:tcBorders>
                    <w:tl2br w:val="nil"/>
                    <w:tr2bl w:val="nil"/>
                  </w:tcBorders>
                  <w:noWrap w:val="0"/>
                  <w:tcMar>
                    <w:top w:w="0" w:type="dxa"/>
                    <w:left w:w="28" w:type="dxa"/>
                    <w:bottom w:w="0" w:type="dxa"/>
                    <w:right w:w="28" w:type="dxa"/>
                  </w:tcMar>
                  <w:vAlign w:val="center"/>
                </w:tcPr>
                <w:p w14:paraId="268694DC">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202</w:t>
                  </w:r>
                  <w:r>
                    <w:rPr>
                      <w:rFonts w:hint="eastAsia" w:ascii="Times New Roman" w:hAnsi="Times New Roman" w:eastAsia="宋体" w:cs="Times New Roman"/>
                      <w:color w:val="0C0C0C"/>
                      <w:sz w:val="21"/>
                      <w:szCs w:val="21"/>
                      <w:highlight w:val="none"/>
                      <w:lang w:val="en-US" w:eastAsia="zh-CN"/>
                    </w:rPr>
                    <w:t>5</w:t>
                  </w:r>
                  <w:r>
                    <w:rPr>
                      <w:rFonts w:hint="default" w:ascii="Times New Roman" w:hAnsi="Times New Roman" w:eastAsia="宋体" w:cs="Times New Roman"/>
                      <w:color w:val="0C0C0C"/>
                      <w:sz w:val="21"/>
                      <w:szCs w:val="21"/>
                      <w:highlight w:val="none"/>
                      <w:lang w:val="en-US" w:eastAsia="zh-CN"/>
                    </w:rPr>
                    <w:t>年</w:t>
                  </w:r>
                  <w:r>
                    <w:rPr>
                      <w:rFonts w:hint="eastAsia" w:ascii="Times New Roman" w:hAnsi="Times New Roman" w:eastAsia="宋体" w:cs="Times New Roman"/>
                      <w:color w:val="0C0C0C"/>
                      <w:sz w:val="21"/>
                      <w:szCs w:val="21"/>
                      <w:highlight w:val="none"/>
                      <w:lang w:val="en-US" w:eastAsia="zh-CN"/>
                    </w:rPr>
                    <w:t>12</w:t>
                  </w:r>
                  <w:r>
                    <w:rPr>
                      <w:rFonts w:hint="default" w:ascii="Times New Roman" w:hAnsi="Times New Roman" w:eastAsia="宋体" w:cs="Times New Roman"/>
                      <w:color w:val="0C0C0C"/>
                      <w:sz w:val="21"/>
                      <w:szCs w:val="21"/>
                      <w:highlight w:val="none"/>
                      <w:lang w:val="en-US" w:eastAsia="zh-CN"/>
                    </w:rPr>
                    <w:t>月</w:t>
                  </w:r>
                </w:p>
              </w:tc>
              <w:tc>
                <w:tcPr>
                  <w:tcW w:w="496" w:type="pct"/>
                  <w:tcBorders>
                    <w:tl2br w:val="nil"/>
                    <w:tr2bl w:val="nil"/>
                  </w:tcBorders>
                  <w:noWrap w:val="0"/>
                  <w:tcMar>
                    <w:top w:w="0" w:type="dxa"/>
                    <w:left w:w="28" w:type="dxa"/>
                    <w:bottom w:w="0" w:type="dxa"/>
                    <w:right w:w="28" w:type="dxa"/>
                  </w:tcMar>
                  <w:vAlign w:val="center"/>
                </w:tcPr>
                <w:p w14:paraId="2AF30AC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eastAsia" w:cs="Times New Roman"/>
                      <w:color w:val="0C0C0C"/>
                      <w:sz w:val="21"/>
                      <w:szCs w:val="21"/>
                      <w:highlight w:val="none"/>
                      <w:lang w:val="en-US" w:eastAsia="zh-CN"/>
                    </w:rPr>
                    <w:t>鸠谷</w:t>
                  </w:r>
                </w:p>
              </w:tc>
              <w:tc>
                <w:tcPr>
                  <w:tcW w:w="314" w:type="pct"/>
                  <w:tcBorders>
                    <w:tl2br w:val="nil"/>
                    <w:tr2bl w:val="nil"/>
                  </w:tcBorders>
                  <w:noWrap w:val="0"/>
                  <w:tcMar>
                    <w:top w:w="0" w:type="dxa"/>
                    <w:left w:w="28" w:type="dxa"/>
                    <w:bottom w:w="0" w:type="dxa"/>
                    <w:right w:w="28" w:type="dxa"/>
                  </w:tcMar>
                  <w:vAlign w:val="center"/>
                </w:tcPr>
                <w:p w14:paraId="1721A39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3" w:type="pct"/>
                  <w:tcBorders>
                    <w:tl2br w:val="nil"/>
                    <w:tr2bl w:val="nil"/>
                  </w:tcBorders>
                  <w:noWrap w:val="0"/>
                  <w:tcMar>
                    <w:top w:w="0" w:type="dxa"/>
                    <w:left w:w="28" w:type="dxa"/>
                    <w:bottom w:w="0" w:type="dxa"/>
                    <w:right w:w="28" w:type="dxa"/>
                  </w:tcMar>
                  <w:vAlign w:val="center"/>
                </w:tcPr>
                <w:p w14:paraId="439CBE1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r>
                    <w:rPr>
                      <w:rFonts w:hint="default" w:ascii="Times New Roman" w:hAnsi="Times New Roman" w:eastAsia="宋体" w:cs="Times New Roman"/>
                      <w:color w:val="0C0C0C"/>
                      <w:sz w:val="21"/>
                      <w:szCs w:val="21"/>
                      <w:highlight w:val="none"/>
                      <w:lang w:val="en-US" w:eastAsia="zh-CN"/>
                    </w:rPr>
                    <w:t>Ⅱ</w:t>
                  </w:r>
                </w:p>
              </w:tc>
              <w:tc>
                <w:tcPr>
                  <w:tcW w:w="666" w:type="pct"/>
                  <w:tcBorders>
                    <w:tl2br w:val="nil"/>
                    <w:tr2bl w:val="nil"/>
                  </w:tcBorders>
                  <w:noWrap w:val="0"/>
                  <w:tcMar>
                    <w:top w:w="0" w:type="dxa"/>
                    <w:left w:w="28" w:type="dxa"/>
                    <w:bottom w:w="0" w:type="dxa"/>
                    <w:right w:w="28" w:type="dxa"/>
                  </w:tcMar>
                  <w:vAlign w:val="center"/>
                </w:tcPr>
                <w:p w14:paraId="5166F87E">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1" w:type="pct"/>
                  <w:tcBorders>
                    <w:tl2br w:val="nil"/>
                    <w:tr2bl w:val="nil"/>
                  </w:tcBorders>
                  <w:noWrap w:val="0"/>
                  <w:tcMar>
                    <w:top w:w="0" w:type="dxa"/>
                    <w:left w:w="28" w:type="dxa"/>
                    <w:bottom w:w="0" w:type="dxa"/>
                    <w:right w:w="28" w:type="dxa"/>
                  </w:tcMar>
                  <w:vAlign w:val="center"/>
                </w:tcPr>
                <w:p w14:paraId="69860DEF">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358" w:type="pct"/>
                  <w:tcBorders>
                    <w:tl2br w:val="nil"/>
                    <w:tr2bl w:val="nil"/>
                  </w:tcBorders>
                  <w:noWrap w:val="0"/>
                  <w:tcMar>
                    <w:top w:w="0" w:type="dxa"/>
                    <w:left w:w="28" w:type="dxa"/>
                    <w:bottom w:w="0" w:type="dxa"/>
                    <w:right w:w="28" w:type="dxa"/>
                  </w:tcMar>
                  <w:vAlign w:val="center"/>
                </w:tcPr>
                <w:p w14:paraId="3BFD5A0E">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607" w:type="pct"/>
                  <w:tcBorders>
                    <w:tl2br w:val="nil"/>
                    <w:tr2bl w:val="nil"/>
                  </w:tcBorders>
                  <w:noWrap w:val="0"/>
                  <w:tcMar>
                    <w:top w:w="0" w:type="dxa"/>
                    <w:left w:w="28" w:type="dxa"/>
                    <w:bottom w:w="0" w:type="dxa"/>
                    <w:right w:w="28" w:type="dxa"/>
                  </w:tcMar>
                  <w:vAlign w:val="center"/>
                </w:tcPr>
                <w:p w14:paraId="354FDF15">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r>
                    <w:rPr>
                      <w:rFonts w:hint="default" w:ascii="Times New Roman" w:hAnsi="Times New Roman" w:eastAsia="宋体" w:cs="Times New Roman"/>
                      <w:color w:val="0C0C0C"/>
                      <w:sz w:val="21"/>
                      <w:szCs w:val="21"/>
                      <w:highlight w:val="none"/>
                      <w:lang w:val="en-US" w:eastAsia="zh-CN"/>
                    </w:rPr>
                    <w:t>--</w:t>
                  </w:r>
                </w:p>
              </w:tc>
            </w:tr>
            <w:tr w14:paraId="2A938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9" w:type="pct"/>
                  <w:vMerge w:val="continue"/>
                  <w:noWrap w:val="0"/>
                  <w:vAlign w:val="center"/>
                </w:tcPr>
                <w:p w14:paraId="3562F31C">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p>
              </w:tc>
              <w:tc>
                <w:tcPr>
                  <w:tcW w:w="607" w:type="pct"/>
                  <w:vMerge w:val="continue"/>
                  <w:noWrap w:val="0"/>
                  <w:vAlign w:val="center"/>
                </w:tcPr>
                <w:p w14:paraId="486853DD">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p>
              </w:tc>
              <w:tc>
                <w:tcPr>
                  <w:tcW w:w="783" w:type="pct"/>
                  <w:vMerge w:val="continue"/>
                  <w:noWrap w:val="0"/>
                  <w:vAlign w:val="center"/>
                </w:tcPr>
                <w:p w14:paraId="374966A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p>
              </w:tc>
              <w:tc>
                <w:tcPr>
                  <w:tcW w:w="496" w:type="pct"/>
                  <w:noWrap w:val="0"/>
                  <w:vAlign w:val="center"/>
                </w:tcPr>
                <w:p w14:paraId="1431AAC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C0C0C"/>
                      <w:kern w:val="0"/>
                      <w:sz w:val="21"/>
                      <w:szCs w:val="21"/>
                      <w:highlight w:val="none"/>
                      <w:lang w:val="en-US" w:eastAsia="zh-CN" w:bidi="ar-SA"/>
                    </w:rPr>
                  </w:pPr>
                  <w:r>
                    <w:rPr>
                      <w:rFonts w:hint="eastAsia" w:cs="Times New Roman"/>
                      <w:color w:val="0C0C0C"/>
                      <w:sz w:val="21"/>
                      <w:szCs w:val="21"/>
                      <w:highlight w:val="none"/>
                      <w:lang w:val="en-US" w:eastAsia="zh-CN"/>
                    </w:rPr>
                    <w:t>葫芦套</w:t>
                  </w:r>
                </w:p>
              </w:tc>
              <w:tc>
                <w:tcPr>
                  <w:tcW w:w="314" w:type="pct"/>
                  <w:shd w:val="clear" w:color="auto" w:fill="auto"/>
                  <w:noWrap w:val="0"/>
                  <w:vAlign w:val="center"/>
                </w:tcPr>
                <w:p w14:paraId="6548411C">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3" w:type="pct"/>
                  <w:shd w:val="clear" w:color="auto" w:fill="auto"/>
                  <w:noWrap w:val="0"/>
                  <w:vAlign w:val="center"/>
                </w:tcPr>
                <w:p w14:paraId="3F00369E">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666" w:type="pct"/>
                  <w:shd w:val="clear" w:color="auto" w:fill="auto"/>
                  <w:noWrap w:val="0"/>
                  <w:vAlign w:val="center"/>
                </w:tcPr>
                <w:p w14:paraId="2FB22FE2">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1" w:type="pct"/>
                  <w:shd w:val="clear" w:color="auto" w:fill="auto"/>
                  <w:noWrap w:val="0"/>
                  <w:vAlign w:val="center"/>
                </w:tcPr>
                <w:p w14:paraId="1385489B">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358" w:type="pct"/>
                  <w:shd w:val="clear" w:color="auto" w:fill="auto"/>
                  <w:noWrap w:val="0"/>
                  <w:vAlign w:val="center"/>
                </w:tcPr>
                <w:p w14:paraId="04BD57AB">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607" w:type="pct"/>
                  <w:shd w:val="clear" w:color="auto" w:fill="auto"/>
                  <w:noWrap w:val="0"/>
                  <w:vAlign w:val="center"/>
                </w:tcPr>
                <w:p w14:paraId="6159D2AA">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w:t>
                  </w:r>
                </w:p>
              </w:tc>
            </w:tr>
            <w:tr w14:paraId="24A18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9" w:type="pct"/>
                  <w:vMerge w:val="continue"/>
                  <w:noWrap w:val="0"/>
                  <w:vAlign w:val="center"/>
                </w:tcPr>
                <w:p w14:paraId="3553D940">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bookmarkStart w:id="11" w:name="OLE_LINK41" w:colFirst="4" w:colLast="8"/>
                </w:p>
              </w:tc>
              <w:tc>
                <w:tcPr>
                  <w:tcW w:w="607" w:type="pct"/>
                  <w:vMerge w:val="continue"/>
                  <w:noWrap w:val="0"/>
                  <w:vAlign w:val="center"/>
                </w:tcPr>
                <w:p w14:paraId="279EBAB6">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i w:val="0"/>
                      <w:iCs w:val="0"/>
                      <w:caps w:val="0"/>
                      <w:color w:val="0C0C0C"/>
                      <w:spacing w:val="0"/>
                      <w:sz w:val="21"/>
                      <w:szCs w:val="21"/>
                      <w:highlight w:val="none"/>
                      <w:shd w:val="clear" w:color="auto" w:fill="FFFFFF"/>
                      <w:lang w:eastAsia="zh-CN"/>
                    </w:rPr>
                  </w:pPr>
                </w:p>
              </w:tc>
              <w:tc>
                <w:tcPr>
                  <w:tcW w:w="783" w:type="pct"/>
                  <w:vMerge w:val="restart"/>
                  <w:noWrap w:val="0"/>
                  <w:vAlign w:val="center"/>
                </w:tcPr>
                <w:p w14:paraId="5C28705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202</w:t>
                  </w:r>
                  <w:r>
                    <w:rPr>
                      <w:rFonts w:hint="eastAsia" w:ascii="Times New Roman" w:eastAsia="宋体" w:cs="Times New Roman"/>
                      <w:color w:val="0C0C0C"/>
                      <w:sz w:val="21"/>
                      <w:szCs w:val="21"/>
                      <w:highlight w:val="none"/>
                      <w:lang w:val="en-US" w:eastAsia="zh-CN"/>
                    </w:rPr>
                    <w:t>5</w:t>
                  </w:r>
                  <w:r>
                    <w:rPr>
                      <w:rFonts w:hint="default" w:ascii="Times New Roman" w:hAnsi="Times New Roman" w:eastAsia="宋体" w:cs="Times New Roman"/>
                      <w:color w:val="0C0C0C"/>
                      <w:sz w:val="21"/>
                      <w:szCs w:val="21"/>
                      <w:highlight w:val="none"/>
                      <w:lang w:val="en-US" w:eastAsia="zh-CN"/>
                    </w:rPr>
                    <w:t>年</w:t>
                  </w:r>
                  <w:r>
                    <w:rPr>
                      <w:rFonts w:hint="eastAsia" w:ascii="Times New Roman" w:eastAsia="宋体" w:cs="Times New Roman"/>
                      <w:color w:val="0C0C0C"/>
                      <w:sz w:val="21"/>
                      <w:szCs w:val="21"/>
                      <w:highlight w:val="none"/>
                      <w:lang w:val="en-US" w:eastAsia="zh-CN"/>
                    </w:rPr>
                    <w:t>11</w:t>
                  </w:r>
                  <w:r>
                    <w:rPr>
                      <w:rFonts w:hint="default" w:ascii="Times New Roman" w:hAnsi="Times New Roman" w:eastAsia="宋体" w:cs="Times New Roman"/>
                      <w:color w:val="0C0C0C"/>
                      <w:sz w:val="21"/>
                      <w:szCs w:val="21"/>
                      <w:highlight w:val="none"/>
                      <w:lang w:val="en-US" w:eastAsia="zh-CN"/>
                    </w:rPr>
                    <w:t>月</w:t>
                  </w:r>
                </w:p>
              </w:tc>
              <w:tc>
                <w:tcPr>
                  <w:tcW w:w="496" w:type="pct"/>
                  <w:noWrap w:val="0"/>
                  <w:vAlign w:val="center"/>
                </w:tcPr>
                <w:p w14:paraId="17FDC68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C0C0C"/>
                      <w:sz w:val="21"/>
                      <w:szCs w:val="21"/>
                      <w:highlight w:val="none"/>
                      <w:lang w:eastAsia="zh-CN"/>
                    </w:rPr>
                  </w:pPr>
                  <w:r>
                    <w:rPr>
                      <w:rFonts w:hint="eastAsia" w:cs="Times New Roman"/>
                      <w:color w:val="0C0C0C"/>
                      <w:sz w:val="21"/>
                      <w:szCs w:val="21"/>
                      <w:highlight w:val="none"/>
                      <w:lang w:val="en-US" w:eastAsia="zh-CN"/>
                    </w:rPr>
                    <w:t>鸠谷</w:t>
                  </w:r>
                </w:p>
              </w:tc>
              <w:tc>
                <w:tcPr>
                  <w:tcW w:w="314" w:type="pct"/>
                  <w:shd w:val="clear" w:color="auto" w:fill="auto"/>
                  <w:noWrap w:val="0"/>
                  <w:vAlign w:val="center"/>
                </w:tcPr>
                <w:p w14:paraId="5BA1EF79">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3" w:type="pct"/>
                  <w:shd w:val="clear" w:color="auto" w:fill="auto"/>
                  <w:noWrap w:val="0"/>
                  <w:vAlign w:val="center"/>
                </w:tcPr>
                <w:p w14:paraId="647AD0F7">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666" w:type="pct"/>
                  <w:shd w:val="clear" w:color="auto" w:fill="auto"/>
                  <w:noWrap w:val="0"/>
                  <w:vAlign w:val="center"/>
                </w:tcPr>
                <w:p w14:paraId="536A970F">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1" w:type="pct"/>
                  <w:shd w:val="clear" w:color="auto" w:fill="auto"/>
                  <w:noWrap w:val="0"/>
                  <w:vAlign w:val="center"/>
                </w:tcPr>
                <w:p w14:paraId="4F38CC79">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358" w:type="pct"/>
                  <w:shd w:val="clear" w:color="auto" w:fill="auto"/>
                  <w:noWrap w:val="0"/>
                  <w:vAlign w:val="center"/>
                </w:tcPr>
                <w:p w14:paraId="52F0FF8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607" w:type="pct"/>
                  <w:shd w:val="clear" w:color="auto" w:fill="auto"/>
                  <w:noWrap w:val="0"/>
                  <w:vAlign w:val="center"/>
                </w:tcPr>
                <w:p w14:paraId="790F55C9">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w:t>
                  </w:r>
                </w:p>
              </w:tc>
            </w:tr>
            <w:tr w14:paraId="320DC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9" w:type="pct"/>
                  <w:vMerge w:val="continue"/>
                  <w:noWrap w:val="0"/>
                  <w:vAlign w:val="center"/>
                </w:tcPr>
                <w:p w14:paraId="2986889D">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p>
              </w:tc>
              <w:tc>
                <w:tcPr>
                  <w:tcW w:w="607" w:type="pct"/>
                  <w:vMerge w:val="continue"/>
                  <w:noWrap w:val="0"/>
                  <w:vAlign w:val="center"/>
                </w:tcPr>
                <w:p w14:paraId="3DCE8B5D">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i w:val="0"/>
                      <w:iCs w:val="0"/>
                      <w:caps w:val="0"/>
                      <w:color w:val="0C0C0C"/>
                      <w:spacing w:val="0"/>
                      <w:sz w:val="21"/>
                      <w:szCs w:val="21"/>
                      <w:highlight w:val="none"/>
                      <w:shd w:val="clear" w:color="auto" w:fill="FFFFFF"/>
                      <w:lang w:eastAsia="zh-CN"/>
                    </w:rPr>
                  </w:pPr>
                </w:p>
              </w:tc>
              <w:tc>
                <w:tcPr>
                  <w:tcW w:w="783" w:type="pct"/>
                  <w:vMerge w:val="continue"/>
                  <w:shd w:val="clear" w:color="auto" w:fill="auto"/>
                  <w:noWrap w:val="0"/>
                  <w:vAlign w:val="center"/>
                </w:tcPr>
                <w:p w14:paraId="3CC97161">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p>
              </w:tc>
              <w:tc>
                <w:tcPr>
                  <w:tcW w:w="496" w:type="pct"/>
                  <w:noWrap w:val="0"/>
                  <w:vAlign w:val="center"/>
                </w:tcPr>
                <w:p w14:paraId="392A63B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C0C0C"/>
                      <w:sz w:val="21"/>
                      <w:szCs w:val="21"/>
                      <w:highlight w:val="none"/>
                      <w:lang w:val="en-US" w:eastAsia="zh-CN"/>
                    </w:rPr>
                  </w:pPr>
                  <w:r>
                    <w:rPr>
                      <w:rFonts w:hint="eastAsia" w:cs="Times New Roman"/>
                      <w:color w:val="0C0C0C"/>
                      <w:sz w:val="21"/>
                      <w:szCs w:val="21"/>
                      <w:highlight w:val="none"/>
                      <w:lang w:val="en-US" w:eastAsia="zh-CN"/>
                    </w:rPr>
                    <w:t>葫芦套</w:t>
                  </w:r>
                </w:p>
              </w:tc>
              <w:tc>
                <w:tcPr>
                  <w:tcW w:w="314" w:type="pct"/>
                  <w:shd w:val="clear" w:color="auto" w:fill="auto"/>
                  <w:noWrap w:val="0"/>
                  <w:vAlign w:val="center"/>
                </w:tcPr>
                <w:p w14:paraId="1F9434A1">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3" w:type="pct"/>
                  <w:shd w:val="clear" w:color="auto" w:fill="auto"/>
                  <w:noWrap w:val="0"/>
                  <w:vAlign w:val="center"/>
                </w:tcPr>
                <w:p w14:paraId="788ECC9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666" w:type="pct"/>
                  <w:shd w:val="clear" w:color="auto" w:fill="auto"/>
                  <w:noWrap w:val="0"/>
                  <w:vAlign w:val="center"/>
                </w:tcPr>
                <w:p w14:paraId="05B4B3FF">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1" w:type="pct"/>
                  <w:shd w:val="clear" w:color="auto" w:fill="auto"/>
                  <w:noWrap w:val="0"/>
                  <w:vAlign w:val="center"/>
                </w:tcPr>
                <w:p w14:paraId="51F7519C">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i w:val="0"/>
                      <w:iCs w:val="0"/>
                      <w:caps w:val="0"/>
                      <w:color w:val="0C0C0C"/>
                      <w:spacing w:val="0"/>
                      <w:kern w:val="0"/>
                      <w:sz w:val="21"/>
                      <w:szCs w:val="21"/>
                      <w:highlight w:val="none"/>
                      <w:shd w:val="clear" w:color="auto" w:fill="FFFFFF"/>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358" w:type="pct"/>
                  <w:shd w:val="clear" w:color="auto" w:fill="auto"/>
                  <w:noWrap w:val="0"/>
                  <w:vAlign w:val="center"/>
                </w:tcPr>
                <w:p w14:paraId="16BB74CA">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607" w:type="pct"/>
                  <w:shd w:val="clear" w:color="auto" w:fill="auto"/>
                  <w:noWrap w:val="0"/>
                  <w:vAlign w:val="center"/>
                </w:tcPr>
                <w:p w14:paraId="6069A307">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w:t>
                  </w:r>
                </w:p>
              </w:tc>
            </w:tr>
            <w:tr w14:paraId="3C992B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9" w:type="pct"/>
                  <w:vMerge w:val="continue"/>
                  <w:noWrap w:val="0"/>
                  <w:vAlign w:val="center"/>
                </w:tcPr>
                <w:p w14:paraId="1F952F8F">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p>
              </w:tc>
              <w:tc>
                <w:tcPr>
                  <w:tcW w:w="607" w:type="pct"/>
                  <w:vMerge w:val="continue"/>
                  <w:noWrap w:val="0"/>
                  <w:vAlign w:val="center"/>
                </w:tcPr>
                <w:p w14:paraId="7ABB9F19">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i w:val="0"/>
                      <w:iCs w:val="0"/>
                      <w:caps w:val="0"/>
                      <w:color w:val="0C0C0C"/>
                      <w:spacing w:val="0"/>
                      <w:sz w:val="21"/>
                      <w:szCs w:val="21"/>
                      <w:highlight w:val="none"/>
                      <w:shd w:val="clear" w:color="auto" w:fill="FFFFFF"/>
                      <w:lang w:eastAsia="zh-CN"/>
                    </w:rPr>
                  </w:pPr>
                </w:p>
              </w:tc>
              <w:tc>
                <w:tcPr>
                  <w:tcW w:w="783" w:type="pct"/>
                  <w:vMerge w:val="restart"/>
                  <w:shd w:val="clear" w:color="auto" w:fill="auto"/>
                  <w:noWrap w:val="0"/>
                  <w:vAlign w:val="center"/>
                </w:tcPr>
                <w:p w14:paraId="59F7CF50">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202</w:t>
                  </w:r>
                  <w:r>
                    <w:rPr>
                      <w:rFonts w:hint="eastAsia" w:ascii="Times New Roman" w:eastAsia="宋体" w:cs="Times New Roman"/>
                      <w:color w:val="0C0C0C"/>
                      <w:sz w:val="21"/>
                      <w:szCs w:val="21"/>
                      <w:highlight w:val="none"/>
                      <w:lang w:val="en-US" w:eastAsia="zh-CN"/>
                    </w:rPr>
                    <w:t>5</w:t>
                  </w:r>
                  <w:r>
                    <w:rPr>
                      <w:rFonts w:hint="default" w:ascii="Times New Roman" w:hAnsi="Times New Roman" w:eastAsia="宋体" w:cs="Times New Roman"/>
                      <w:color w:val="0C0C0C"/>
                      <w:sz w:val="21"/>
                      <w:szCs w:val="21"/>
                      <w:highlight w:val="none"/>
                      <w:lang w:val="en-US" w:eastAsia="zh-CN"/>
                    </w:rPr>
                    <w:t>年</w:t>
                  </w:r>
                  <w:r>
                    <w:rPr>
                      <w:rFonts w:hint="eastAsia" w:ascii="Times New Roman" w:hAnsi="Times New Roman" w:eastAsia="宋体" w:cs="Times New Roman"/>
                      <w:color w:val="0C0C0C"/>
                      <w:sz w:val="21"/>
                      <w:szCs w:val="21"/>
                      <w:highlight w:val="none"/>
                      <w:lang w:val="en-US" w:eastAsia="zh-CN"/>
                    </w:rPr>
                    <w:t>10</w:t>
                  </w:r>
                  <w:r>
                    <w:rPr>
                      <w:rFonts w:hint="default" w:ascii="Times New Roman" w:hAnsi="Times New Roman" w:eastAsia="宋体" w:cs="Times New Roman"/>
                      <w:color w:val="0C0C0C"/>
                      <w:sz w:val="21"/>
                      <w:szCs w:val="21"/>
                      <w:highlight w:val="none"/>
                      <w:lang w:val="en-US" w:eastAsia="zh-CN"/>
                    </w:rPr>
                    <w:t>月</w:t>
                  </w:r>
                </w:p>
              </w:tc>
              <w:tc>
                <w:tcPr>
                  <w:tcW w:w="496" w:type="pct"/>
                  <w:shd w:val="clear" w:color="auto" w:fill="auto"/>
                  <w:noWrap w:val="0"/>
                  <w:vAlign w:val="center"/>
                </w:tcPr>
                <w:p w14:paraId="6E27F52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C0C0C"/>
                      <w:kern w:val="2"/>
                      <w:sz w:val="21"/>
                      <w:szCs w:val="21"/>
                      <w:highlight w:val="none"/>
                      <w:lang w:val="en-US" w:eastAsia="zh-CN" w:bidi="ar-SA"/>
                    </w:rPr>
                  </w:pPr>
                  <w:r>
                    <w:rPr>
                      <w:rFonts w:hint="eastAsia" w:cs="Times New Roman"/>
                      <w:color w:val="0C0C0C"/>
                      <w:sz w:val="21"/>
                      <w:szCs w:val="21"/>
                      <w:highlight w:val="none"/>
                      <w:lang w:val="en-US" w:eastAsia="zh-CN"/>
                    </w:rPr>
                    <w:t>鸠谷</w:t>
                  </w:r>
                </w:p>
              </w:tc>
              <w:tc>
                <w:tcPr>
                  <w:tcW w:w="314" w:type="pct"/>
                  <w:shd w:val="clear" w:color="auto" w:fill="auto"/>
                  <w:noWrap w:val="0"/>
                  <w:vAlign w:val="center"/>
                </w:tcPr>
                <w:p w14:paraId="5F79B14C">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3" w:type="pct"/>
                  <w:shd w:val="clear" w:color="auto" w:fill="auto"/>
                  <w:noWrap w:val="0"/>
                  <w:vAlign w:val="center"/>
                </w:tcPr>
                <w:p w14:paraId="774B5718">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666" w:type="pct"/>
                  <w:shd w:val="clear" w:color="auto" w:fill="auto"/>
                  <w:noWrap w:val="0"/>
                  <w:vAlign w:val="center"/>
                </w:tcPr>
                <w:p w14:paraId="346402AB">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Ⅱ</w:t>
                  </w:r>
                </w:p>
              </w:tc>
              <w:tc>
                <w:tcPr>
                  <w:tcW w:w="351" w:type="pct"/>
                  <w:shd w:val="clear" w:color="auto" w:fill="auto"/>
                  <w:noWrap w:val="0"/>
                  <w:vAlign w:val="center"/>
                </w:tcPr>
                <w:p w14:paraId="27F06418">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358" w:type="pct"/>
                  <w:shd w:val="clear" w:color="auto" w:fill="auto"/>
                  <w:noWrap w:val="0"/>
                  <w:vAlign w:val="center"/>
                </w:tcPr>
                <w:p w14:paraId="745FB1B5">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607" w:type="pct"/>
                  <w:shd w:val="clear" w:color="auto" w:fill="auto"/>
                  <w:noWrap w:val="0"/>
                  <w:vAlign w:val="center"/>
                </w:tcPr>
                <w:p w14:paraId="00E94D0A">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w:t>
                  </w:r>
                </w:p>
              </w:tc>
            </w:tr>
            <w:tr w14:paraId="270262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59" w:type="pct"/>
                  <w:vMerge w:val="continue"/>
                  <w:noWrap w:val="0"/>
                  <w:vAlign w:val="center"/>
                </w:tcPr>
                <w:p w14:paraId="5B3110AA">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p>
              </w:tc>
              <w:tc>
                <w:tcPr>
                  <w:tcW w:w="607" w:type="pct"/>
                  <w:vMerge w:val="continue"/>
                  <w:noWrap w:val="0"/>
                  <w:vAlign w:val="center"/>
                </w:tcPr>
                <w:p w14:paraId="3763D49C">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i w:val="0"/>
                      <w:iCs w:val="0"/>
                      <w:caps w:val="0"/>
                      <w:color w:val="0C0C0C"/>
                      <w:spacing w:val="0"/>
                      <w:sz w:val="21"/>
                      <w:szCs w:val="21"/>
                      <w:highlight w:val="none"/>
                      <w:shd w:val="clear" w:color="auto" w:fill="FFFFFF"/>
                      <w:lang w:eastAsia="zh-CN"/>
                    </w:rPr>
                  </w:pPr>
                </w:p>
              </w:tc>
              <w:tc>
                <w:tcPr>
                  <w:tcW w:w="783" w:type="pct"/>
                  <w:vMerge w:val="continue"/>
                  <w:shd w:val="clear" w:color="auto" w:fill="auto"/>
                  <w:noWrap w:val="0"/>
                  <w:vAlign w:val="center"/>
                </w:tcPr>
                <w:p w14:paraId="4DEEDB42">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p>
              </w:tc>
              <w:tc>
                <w:tcPr>
                  <w:tcW w:w="496" w:type="pct"/>
                  <w:shd w:val="clear" w:color="auto" w:fill="auto"/>
                  <w:noWrap w:val="0"/>
                  <w:vAlign w:val="center"/>
                </w:tcPr>
                <w:p w14:paraId="5BCFEE53">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C0C0C"/>
                      <w:kern w:val="2"/>
                      <w:sz w:val="21"/>
                      <w:szCs w:val="21"/>
                      <w:highlight w:val="none"/>
                      <w:lang w:val="en-US" w:eastAsia="zh-CN" w:bidi="ar-SA"/>
                    </w:rPr>
                  </w:pPr>
                  <w:r>
                    <w:rPr>
                      <w:rFonts w:hint="eastAsia" w:cs="Times New Roman"/>
                      <w:color w:val="0C0C0C"/>
                      <w:sz w:val="21"/>
                      <w:szCs w:val="21"/>
                      <w:highlight w:val="none"/>
                      <w:lang w:val="en-US" w:eastAsia="zh-CN"/>
                    </w:rPr>
                    <w:t>葫芦套</w:t>
                  </w:r>
                </w:p>
              </w:tc>
              <w:tc>
                <w:tcPr>
                  <w:tcW w:w="314" w:type="pct"/>
                  <w:noWrap w:val="0"/>
                  <w:vAlign w:val="center"/>
                </w:tcPr>
                <w:p w14:paraId="7A65D223">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r>
                    <w:rPr>
                      <w:rFonts w:hint="default" w:ascii="Times New Roman" w:hAnsi="Times New Roman" w:eastAsia="宋体" w:cs="Times New Roman"/>
                      <w:color w:val="0C0C0C"/>
                      <w:sz w:val="21"/>
                      <w:szCs w:val="21"/>
                      <w:highlight w:val="none"/>
                      <w:lang w:val="en-US" w:eastAsia="zh-CN"/>
                    </w:rPr>
                    <w:t>Ⅱ</w:t>
                  </w:r>
                </w:p>
              </w:tc>
              <w:tc>
                <w:tcPr>
                  <w:tcW w:w="353" w:type="pct"/>
                  <w:noWrap w:val="0"/>
                  <w:vAlign w:val="center"/>
                </w:tcPr>
                <w:p w14:paraId="49F5B6EE">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r>
                    <w:rPr>
                      <w:rFonts w:hint="default" w:ascii="Times New Roman" w:hAnsi="Times New Roman" w:eastAsia="宋体" w:cs="Times New Roman"/>
                      <w:color w:val="0C0C0C"/>
                      <w:sz w:val="21"/>
                      <w:szCs w:val="21"/>
                      <w:highlight w:val="none"/>
                      <w:lang w:val="en-US" w:eastAsia="zh-CN"/>
                    </w:rPr>
                    <w:t>Ⅱ</w:t>
                  </w:r>
                </w:p>
              </w:tc>
              <w:tc>
                <w:tcPr>
                  <w:tcW w:w="666" w:type="pct"/>
                  <w:noWrap w:val="0"/>
                  <w:vAlign w:val="center"/>
                </w:tcPr>
                <w:p w14:paraId="69671829">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color w:val="0C0C0C"/>
                      <w:sz w:val="21"/>
                      <w:szCs w:val="21"/>
                      <w:highlight w:val="none"/>
                      <w:lang w:val="en-US" w:eastAsia="zh-CN"/>
                    </w:rPr>
                  </w:pPr>
                  <w:r>
                    <w:rPr>
                      <w:rFonts w:hint="default" w:ascii="Times New Roman" w:hAnsi="Times New Roman" w:eastAsia="宋体" w:cs="Times New Roman"/>
                      <w:color w:val="0C0C0C"/>
                      <w:sz w:val="21"/>
                      <w:szCs w:val="21"/>
                      <w:highlight w:val="none"/>
                      <w:lang w:val="en-US" w:eastAsia="zh-CN"/>
                    </w:rPr>
                    <w:t>Ⅱ</w:t>
                  </w:r>
                </w:p>
              </w:tc>
              <w:tc>
                <w:tcPr>
                  <w:tcW w:w="351" w:type="pct"/>
                  <w:noWrap w:val="0"/>
                  <w:vAlign w:val="center"/>
                </w:tcPr>
                <w:p w14:paraId="5ED1855A">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i w:val="0"/>
                      <w:iCs w:val="0"/>
                      <w:caps w:val="0"/>
                      <w:color w:val="0C0C0C"/>
                      <w:spacing w:val="0"/>
                      <w:sz w:val="21"/>
                      <w:szCs w:val="21"/>
                      <w:highlight w:val="none"/>
                      <w:shd w:val="clear" w:color="auto" w:fill="FFFFFF"/>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358" w:type="pct"/>
                  <w:shd w:val="clear" w:color="auto" w:fill="auto"/>
                  <w:noWrap w:val="0"/>
                  <w:vAlign w:val="center"/>
                </w:tcPr>
                <w:p w14:paraId="61C46EA7">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i w:val="0"/>
                      <w:iCs w:val="0"/>
                      <w:caps w:val="0"/>
                      <w:color w:val="0C0C0C"/>
                      <w:spacing w:val="0"/>
                      <w:sz w:val="21"/>
                      <w:szCs w:val="21"/>
                      <w:highlight w:val="none"/>
                      <w:shd w:val="clear" w:color="auto" w:fill="FFFFFF"/>
                    </w:rPr>
                    <w:t>→</w:t>
                  </w:r>
                </w:p>
              </w:tc>
              <w:tc>
                <w:tcPr>
                  <w:tcW w:w="607" w:type="pct"/>
                  <w:shd w:val="clear" w:color="auto" w:fill="auto"/>
                  <w:noWrap w:val="0"/>
                  <w:vAlign w:val="center"/>
                </w:tcPr>
                <w:p w14:paraId="3BAE9688">
                  <w:pPr>
                    <w:pStyle w:val="42"/>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Cs/>
                      <w:color w:val="0C0C0C"/>
                      <w:kern w:val="0"/>
                      <w:sz w:val="21"/>
                      <w:szCs w:val="21"/>
                      <w:highlight w:val="none"/>
                      <w:lang w:val="en-US" w:eastAsia="zh-CN" w:bidi="ar-SA"/>
                    </w:rPr>
                  </w:pPr>
                  <w:r>
                    <w:rPr>
                      <w:rFonts w:hint="default" w:ascii="Times New Roman" w:hAnsi="Times New Roman" w:eastAsia="宋体" w:cs="Times New Roman"/>
                      <w:color w:val="0C0C0C"/>
                      <w:sz w:val="21"/>
                      <w:szCs w:val="21"/>
                      <w:highlight w:val="none"/>
                      <w:lang w:val="en-US" w:eastAsia="zh-CN"/>
                    </w:rPr>
                    <w:t>--</w:t>
                  </w:r>
                </w:p>
              </w:tc>
            </w:tr>
            <w:bookmarkEnd w:id="11"/>
          </w:tbl>
          <w:p w14:paraId="4F0CF2D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sz w:val="15"/>
                <w:szCs w:val="15"/>
                <w:highlight w:val="none"/>
                <w:lang w:val="en-US" w:eastAsia="zh-CN"/>
              </w:rPr>
              <w:t>注：“/”未监测，“</w:t>
            </w:r>
            <w:bookmarkStart w:id="12" w:name="OLE_LINK40"/>
            <w:r>
              <w:rPr>
                <w:rFonts w:hint="default" w:ascii="Times New Roman" w:hAnsi="Times New Roman" w:eastAsia="宋体" w:cs="Times New Roman"/>
                <w:b w:val="0"/>
                <w:bCs w:val="0"/>
                <w:sz w:val="15"/>
                <w:szCs w:val="15"/>
                <w:highlight w:val="none"/>
                <w:lang w:val="en-US" w:eastAsia="zh-CN"/>
              </w:rPr>
              <w:t>↑</w:t>
            </w:r>
            <w:bookmarkEnd w:id="12"/>
            <w:r>
              <w:rPr>
                <w:rFonts w:hint="default" w:ascii="Times New Roman" w:hAnsi="Times New Roman" w:eastAsia="宋体" w:cs="Times New Roman"/>
                <w:b w:val="0"/>
                <w:bCs w:val="0"/>
                <w:sz w:val="15"/>
                <w:szCs w:val="15"/>
                <w:highlight w:val="none"/>
                <w:lang w:val="en-US" w:eastAsia="zh-CN"/>
              </w:rPr>
              <w:t>”水质有所好转，“↑↑”水质明显好转，“→”水质无明显变化，“↓”水质有所下降，“↓↓”水质明显下降，“○”没有数据无法比较。</w:t>
            </w:r>
          </w:p>
          <w:p w14:paraId="5001E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color w:val="000000"/>
                <w:kern w:val="0"/>
                <w:sz w:val="24"/>
                <w:szCs w:val="24"/>
                <w:lang w:val="en-US" w:eastAsia="zh-CN" w:bidi="ar"/>
              </w:rPr>
              <w:t>从</w:t>
            </w:r>
            <w:r>
              <w:rPr>
                <w:rFonts w:hint="eastAsia" w:cs="Times New Roman"/>
                <w:color w:val="000000"/>
                <w:kern w:val="0"/>
                <w:sz w:val="24"/>
                <w:szCs w:val="24"/>
                <w:lang w:val="en-US" w:eastAsia="zh-CN" w:bidi="ar"/>
              </w:rPr>
              <w:t>上表可以看出</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鸠谷、葫芦套断面</w:t>
            </w:r>
            <w:r>
              <w:rPr>
                <w:rFonts w:hint="default" w:ascii="Times New Roman" w:hAnsi="Times New Roman" w:eastAsia="宋体" w:cs="Times New Roman"/>
                <w:color w:val="000000"/>
                <w:kern w:val="0"/>
                <w:sz w:val="24"/>
                <w:szCs w:val="24"/>
                <w:highlight w:val="none"/>
                <w:lang w:val="en-US" w:eastAsia="zh-CN" w:bidi="ar"/>
              </w:rPr>
              <w:t>的水质满足《地表水环境质量标准》（GB3838</w:t>
            </w:r>
            <w:r>
              <w:rPr>
                <w:rFonts w:hint="eastAsia"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2002）中的Ⅱ类标准要求，地表水</w:t>
            </w:r>
            <w:r>
              <w:rPr>
                <w:rFonts w:hint="default" w:ascii="Times New Roman" w:hAnsi="Times New Roman" w:eastAsia="宋体" w:cs="Times New Roman"/>
                <w:sz w:val="24"/>
                <w:szCs w:val="24"/>
                <w:highlight w:val="none"/>
                <w:lang w:val="en-US" w:eastAsia="zh-CN"/>
              </w:rPr>
              <w:t>环境</w:t>
            </w:r>
            <w:r>
              <w:rPr>
                <w:rFonts w:hint="default" w:ascii="Times New Roman" w:hAnsi="Times New Roman" w:eastAsia="宋体" w:cs="Times New Roman"/>
                <w:color w:val="000000"/>
                <w:kern w:val="0"/>
                <w:sz w:val="24"/>
                <w:szCs w:val="24"/>
                <w:lang w:val="en-US" w:eastAsia="zh-CN" w:bidi="ar"/>
              </w:rPr>
              <w:t>质量较好</w:t>
            </w:r>
            <w:r>
              <w:rPr>
                <w:rFonts w:hint="default" w:ascii="Times New Roman" w:hAnsi="Times New Roman" w:eastAsia="宋体" w:cs="Times New Roman"/>
                <w:snapToGrid w:val="0"/>
                <w:color w:val="auto"/>
                <w:kern w:val="0"/>
                <w:sz w:val="24"/>
                <w:szCs w:val="24"/>
                <w:highlight w:val="none"/>
                <w:u w:val="none" w:color="auto"/>
                <w:lang w:val="zh-CN" w:eastAsia="zh-CN"/>
              </w:rPr>
              <w:t>。</w:t>
            </w:r>
          </w:p>
          <w:p w14:paraId="09911A8A">
            <w:pPr>
              <w:spacing w:line="360" w:lineRule="auto"/>
              <w:ind w:firstLine="482" w:firstLineChars="200"/>
              <w:rPr>
                <w:b/>
                <w:color w:val="000000"/>
                <w:sz w:val="24"/>
              </w:rPr>
            </w:pPr>
            <w:r>
              <w:rPr>
                <w:b/>
                <w:color w:val="000000"/>
                <w:sz w:val="24"/>
              </w:rPr>
              <w:t>3</w:t>
            </w:r>
            <w:r>
              <w:rPr>
                <w:rFonts w:hint="eastAsia"/>
                <w:b/>
                <w:color w:val="000000"/>
                <w:sz w:val="24"/>
                <w:lang w:eastAsia="zh-CN"/>
              </w:rPr>
              <w:t>、</w:t>
            </w:r>
            <w:r>
              <w:rPr>
                <w:b/>
                <w:color w:val="000000"/>
                <w:sz w:val="24"/>
              </w:rPr>
              <w:t>声环境质量现状</w:t>
            </w:r>
          </w:p>
          <w:p w14:paraId="6E12E52D">
            <w:pPr>
              <w:spacing w:line="360" w:lineRule="auto"/>
              <w:ind w:firstLine="470" w:firstLineChars="196"/>
              <w:rPr>
                <w:rFonts w:hint="default" w:ascii="Times New Roman" w:hAnsi="Times New Roman" w:eastAsia="宋体" w:cs="Times New Roman"/>
                <w:i w:val="0"/>
                <w:iCs w:val="0"/>
                <w:color w:val="000000"/>
                <w:sz w:val="24"/>
                <w:highlight w:val="none"/>
                <w:u w:val="none" w:color="auto"/>
                <w:lang w:val="en-US" w:eastAsia="zh-CN"/>
              </w:rPr>
            </w:pPr>
            <w:r>
              <w:rPr>
                <w:rFonts w:hint="eastAsia" w:ascii="Times New Roman" w:hAnsi="Times New Roman" w:eastAsia="宋体" w:cs="Times New Roman"/>
                <w:i w:val="0"/>
                <w:iCs w:val="0"/>
                <w:color w:val="000000"/>
                <w:sz w:val="24"/>
                <w:highlight w:val="none"/>
                <w:u w:val="none" w:color="auto"/>
                <w:lang w:val="en-US" w:eastAsia="zh-CN"/>
              </w:rPr>
              <w:t>本项目厂界</w:t>
            </w:r>
            <w:r>
              <w:rPr>
                <w:rFonts w:hint="default" w:ascii="Times New Roman" w:hAnsi="Times New Roman" w:eastAsia="宋体" w:cs="Times New Roman"/>
                <w:i w:val="0"/>
                <w:iCs w:val="0"/>
                <w:color w:val="000000"/>
                <w:sz w:val="24"/>
                <w:highlight w:val="none"/>
                <w:u w:val="none" w:color="auto"/>
                <w:lang w:val="en-US" w:eastAsia="zh-CN"/>
              </w:rPr>
              <w:t>外周边50m范围内无声环境保护目标分布。根据《建设项目环境影响报告表编制技术指南（污染影响类）（试行）》，可不进行声环境质量现状调查。</w:t>
            </w:r>
          </w:p>
          <w:p w14:paraId="12D3258B">
            <w:pPr>
              <w:spacing w:line="360" w:lineRule="auto"/>
              <w:ind w:firstLine="482" w:firstLineChars="200"/>
              <w:rPr>
                <w:b/>
                <w:color w:val="000000"/>
                <w:sz w:val="24"/>
                <w:u w:val="none"/>
              </w:rPr>
            </w:pPr>
            <w:r>
              <w:rPr>
                <w:b/>
                <w:color w:val="000000"/>
                <w:sz w:val="24"/>
                <w:u w:val="none"/>
              </w:rPr>
              <w:t>4、地下水环境质量现状</w:t>
            </w:r>
          </w:p>
          <w:p w14:paraId="73F64E02">
            <w:pPr>
              <w:spacing w:line="360" w:lineRule="auto"/>
              <w:ind w:firstLine="470" w:firstLineChars="196"/>
              <w:rPr>
                <w:rFonts w:hint="eastAsia" w:ascii="Times New Roman" w:hAnsi="Times New Roman" w:cs="Times New Roman" w:eastAsiaTheme="minorEastAsia"/>
                <w:i w:val="0"/>
                <w:iCs w:val="0"/>
                <w:color w:val="auto"/>
                <w:sz w:val="24"/>
                <w:highlight w:val="none"/>
                <w:u w:val="none" w:color="auto"/>
                <w:lang w:val="en-US" w:eastAsia="zh-CN"/>
              </w:rPr>
            </w:pPr>
            <w:r>
              <w:rPr>
                <w:rFonts w:hint="default" w:ascii="Times New Roman" w:hAnsi="Times New Roman" w:cs="Times New Roman"/>
                <w:i w:val="0"/>
                <w:iCs w:val="0"/>
                <w:color w:val="auto"/>
                <w:sz w:val="24"/>
                <w:highlight w:val="none"/>
                <w:u w:val="none" w:color="auto"/>
                <w:lang w:val="en-US" w:eastAsia="zh-CN"/>
              </w:rPr>
              <w:t>根据《建设项目环境影响报告表编制技术指南（污染影响类）（试行）》</w:t>
            </w:r>
            <w:r>
              <w:rPr>
                <w:rFonts w:hint="eastAsia" w:cs="Times New Roman"/>
                <w:i w:val="0"/>
                <w:iCs w:val="0"/>
                <w:color w:val="auto"/>
                <w:sz w:val="24"/>
                <w:highlight w:val="none"/>
                <w:u w:val="none" w:color="auto"/>
                <w:lang w:val="en-US" w:eastAsia="zh-CN"/>
              </w:rPr>
              <w:t>，</w:t>
            </w:r>
            <w:r>
              <w:rPr>
                <w:rFonts w:hint="default" w:ascii="Times New Roman" w:hAnsi="Times New Roman" w:cs="Times New Roman"/>
                <w:i w:val="0"/>
                <w:iCs w:val="0"/>
                <w:color w:val="auto"/>
                <w:sz w:val="24"/>
                <w:highlight w:val="none"/>
                <w:u w:val="none" w:color="auto"/>
                <w:lang w:val="en-US" w:eastAsia="zh-CN"/>
              </w:rPr>
              <w:t>原则上不开展</w:t>
            </w:r>
            <w:r>
              <w:rPr>
                <w:rFonts w:hint="eastAsia" w:ascii="Times New Roman" w:hAnsi="Times New Roman" w:cs="Times New Roman"/>
                <w:i w:val="0"/>
                <w:iCs w:val="0"/>
                <w:color w:val="auto"/>
                <w:sz w:val="24"/>
                <w:highlight w:val="none"/>
                <w:u w:val="none" w:color="auto"/>
                <w:lang w:val="en-US" w:eastAsia="zh-CN"/>
              </w:rPr>
              <w:t>地下水</w:t>
            </w:r>
            <w:r>
              <w:rPr>
                <w:rFonts w:hint="default" w:ascii="Times New Roman" w:hAnsi="Times New Roman" w:cs="Times New Roman"/>
                <w:i w:val="0"/>
                <w:iCs w:val="0"/>
                <w:color w:val="auto"/>
                <w:sz w:val="24"/>
                <w:highlight w:val="none"/>
                <w:u w:val="none" w:color="auto"/>
                <w:lang w:val="en-US" w:eastAsia="zh-CN"/>
              </w:rPr>
              <w:t>环境质量现状调查。建设项目存在地下水环境污染途径的，应结合污染源、保护目标分布情况开展现状调查以留作背景值。</w:t>
            </w:r>
            <w:r>
              <w:rPr>
                <w:rFonts w:hint="default" w:ascii="Times New Roman" w:hAnsi="Times New Roman" w:eastAsia="宋体" w:cs="Times New Roman"/>
                <w:color w:val="000000"/>
                <w:kern w:val="0"/>
                <w:sz w:val="24"/>
                <w:szCs w:val="24"/>
                <w:highlight w:val="none"/>
                <w:u w:val="none"/>
                <w:lang w:val="en-US" w:eastAsia="zh-CN" w:bidi="ar"/>
              </w:rPr>
              <w:t>项目厂界外500 m范围内无地下水集中式饮用水水源和热水、矿泉水、温泉等特殊地下水资源，因此无地下水环境保护目标。</w:t>
            </w:r>
            <w:r>
              <w:rPr>
                <w:rFonts w:hint="default" w:ascii="Times New Roman" w:hAnsi="Times New Roman" w:cs="Times New Roman"/>
                <w:i w:val="0"/>
                <w:iCs w:val="0"/>
                <w:color w:val="auto"/>
                <w:sz w:val="24"/>
                <w:highlight w:val="none"/>
                <w:u w:val="none" w:color="auto"/>
                <w:lang w:val="en-US" w:eastAsia="zh-CN"/>
              </w:rPr>
              <w:t>本项目运行过程</w:t>
            </w:r>
            <w:r>
              <w:rPr>
                <w:rFonts w:hint="eastAsia" w:ascii="Times New Roman" w:hAnsi="Times New Roman" w:cs="Times New Roman"/>
                <w:i w:val="0"/>
                <w:iCs w:val="0"/>
                <w:color w:val="auto"/>
                <w:sz w:val="24"/>
                <w:highlight w:val="none"/>
                <w:u w:val="none" w:color="auto"/>
                <w:lang w:val="en-US" w:eastAsia="zh-CN"/>
              </w:rPr>
              <w:t>生活污水</w:t>
            </w:r>
            <w:r>
              <w:rPr>
                <w:rFonts w:hint="eastAsia" w:cs="Times New Roman"/>
                <w:i w:val="0"/>
                <w:iCs w:val="0"/>
                <w:color w:val="auto"/>
                <w:sz w:val="24"/>
                <w:highlight w:val="none"/>
                <w:u w:val="none" w:color="auto"/>
                <w:lang w:val="en-US" w:eastAsia="zh-CN"/>
              </w:rPr>
              <w:t>排入防渗旱厕，定期清掏作农肥</w:t>
            </w:r>
            <w:r>
              <w:rPr>
                <w:rFonts w:hint="default" w:ascii="Times New Roman" w:hAnsi="Times New Roman" w:cs="Times New Roman"/>
                <w:i w:val="0"/>
                <w:iCs w:val="0"/>
                <w:color w:val="auto"/>
                <w:sz w:val="24"/>
                <w:highlight w:val="none"/>
                <w:u w:val="none" w:color="auto"/>
                <w:lang w:val="en-US" w:eastAsia="zh-CN"/>
              </w:rPr>
              <w:t>，</w:t>
            </w:r>
            <w:r>
              <w:rPr>
                <w:rFonts w:hint="eastAsia" w:cs="Times New Roman"/>
                <w:i w:val="0"/>
                <w:iCs w:val="0"/>
                <w:color w:val="auto"/>
                <w:sz w:val="24"/>
                <w:highlight w:val="none"/>
                <w:u w:val="none" w:color="auto"/>
                <w:lang w:val="en-US" w:eastAsia="zh-CN"/>
              </w:rPr>
              <w:t>罐车清洗废水、设备清洗废水经三级沉淀池处理后回用于生产，</w:t>
            </w:r>
            <w:r>
              <w:rPr>
                <w:rFonts w:hint="eastAsia" w:ascii="Times New Roman" w:hAnsi="Times New Roman" w:cs="Times New Roman"/>
                <w:i w:val="0"/>
                <w:iCs w:val="0"/>
                <w:color w:val="auto"/>
                <w:sz w:val="24"/>
                <w:highlight w:val="none"/>
                <w:u w:val="none" w:color="auto"/>
                <w:lang w:val="en-US" w:eastAsia="zh-CN"/>
              </w:rPr>
              <w:t>厂区按照要求进行分区防渗，</w:t>
            </w:r>
            <w:r>
              <w:rPr>
                <w:rFonts w:hint="eastAsia" w:ascii="Times New Roman" w:hAnsi="Times New Roman" w:eastAsia="宋体" w:cs="Times New Roman"/>
                <w:color w:val="auto"/>
                <w:kern w:val="0"/>
                <w:sz w:val="24"/>
                <w:szCs w:val="20"/>
                <w:lang w:val="en-US" w:eastAsia="zh-CN"/>
              </w:rPr>
              <w:t>分区防渗</w:t>
            </w:r>
            <w:r>
              <w:rPr>
                <w:rFonts w:hint="default" w:ascii="Times New Roman" w:hAnsi="Times New Roman" w:eastAsia="宋体" w:cs="Times New Roman"/>
                <w:sz w:val="24"/>
                <w:highlight w:val="none"/>
                <w:u w:val="none"/>
              </w:rPr>
              <w:t>隔断了本项目建</w:t>
            </w:r>
            <w:r>
              <w:rPr>
                <w:rFonts w:hint="default" w:ascii="Times New Roman" w:hAnsi="Times New Roman" w:eastAsia="宋体" w:cs="Times New Roman"/>
                <w:sz w:val="24"/>
                <w:highlight w:val="none"/>
                <w:u w:val="none"/>
                <w:lang w:eastAsia="zh-CN"/>
              </w:rPr>
              <w:t>构</w:t>
            </w:r>
            <w:r>
              <w:rPr>
                <w:rFonts w:hint="default" w:ascii="Times New Roman" w:hAnsi="Times New Roman" w:eastAsia="宋体" w:cs="Times New Roman"/>
                <w:sz w:val="24"/>
                <w:highlight w:val="none"/>
                <w:u w:val="none"/>
              </w:rPr>
              <w:t>筑</w:t>
            </w:r>
            <w:r>
              <w:rPr>
                <w:rFonts w:hint="default" w:ascii="Times New Roman" w:hAnsi="Times New Roman" w:eastAsia="宋体" w:cs="Times New Roman"/>
                <w:sz w:val="24"/>
                <w:highlight w:val="none"/>
                <w:u w:val="none"/>
                <w:lang w:eastAsia="zh-CN"/>
              </w:rPr>
              <w:t>物</w:t>
            </w:r>
            <w:r>
              <w:rPr>
                <w:rFonts w:hint="default" w:ascii="Times New Roman" w:hAnsi="Times New Roman" w:eastAsia="宋体" w:cs="Times New Roman"/>
                <w:sz w:val="24"/>
                <w:highlight w:val="none"/>
                <w:u w:val="none"/>
              </w:rPr>
              <w:t>与地下水的联系途径，</w:t>
            </w:r>
            <w:r>
              <w:rPr>
                <w:rFonts w:hint="default" w:ascii="Times New Roman" w:hAnsi="Times New Roman" w:eastAsia="宋体" w:cs="Times New Roman"/>
                <w:bCs/>
                <w:sz w:val="24"/>
                <w:highlight w:val="none"/>
                <w:u w:val="none"/>
              </w:rPr>
              <w:t>在确保防渗措施得以落实，并加强维护和厂区环境管理的前提，</w:t>
            </w:r>
            <w:r>
              <w:rPr>
                <w:rFonts w:hint="default" w:ascii="Times New Roman" w:hAnsi="Times New Roman" w:eastAsia="宋体" w:cs="Times New Roman"/>
                <w:bCs/>
                <w:sz w:val="24"/>
                <w:highlight w:val="none"/>
                <w:u w:val="none"/>
                <w:lang w:val="en-US" w:eastAsia="zh-CN"/>
              </w:rPr>
              <w:t>几乎</w:t>
            </w:r>
            <w:r>
              <w:rPr>
                <w:rFonts w:hint="default" w:ascii="Times New Roman" w:hAnsi="Times New Roman" w:eastAsia="宋体" w:cs="Times New Roman"/>
                <w:bCs/>
                <w:sz w:val="24"/>
                <w:highlight w:val="none"/>
                <w:u w:val="none"/>
              </w:rPr>
              <w:t>不会对区域地下水环境产生影响</w:t>
            </w:r>
            <w:r>
              <w:rPr>
                <w:rFonts w:hint="default" w:ascii="Times New Roman" w:hAnsi="Times New Roman" w:cs="Times New Roman"/>
                <w:i w:val="0"/>
                <w:iCs w:val="0"/>
                <w:color w:val="auto"/>
                <w:sz w:val="24"/>
                <w:highlight w:val="none"/>
                <w:u w:val="none" w:color="auto"/>
                <w:lang w:val="en-US" w:eastAsia="zh-CN"/>
              </w:rPr>
              <w:t>，</w:t>
            </w:r>
            <w:r>
              <w:rPr>
                <w:rFonts w:hint="eastAsia" w:cs="Times New Roman"/>
                <w:i w:val="0"/>
                <w:iCs w:val="0"/>
                <w:color w:val="auto"/>
                <w:sz w:val="24"/>
                <w:highlight w:val="none"/>
                <w:u w:val="none" w:color="auto"/>
                <w:lang w:val="en-US" w:eastAsia="zh-CN"/>
              </w:rPr>
              <w:t>本次评价</w:t>
            </w:r>
            <w:r>
              <w:rPr>
                <w:rFonts w:hint="default" w:ascii="Times New Roman" w:hAnsi="Times New Roman" w:cs="Times New Roman"/>
                <w:i w:val="0"/>
                <w:iCs w:val="0"/>
                <w:color w:val="auto"/>
                <w:sz w:val="24"/>
                <w:highlight w:val="none"/>
                <w:u w:val="none" w:color="auto"/>
                <w:lang w:val="en-US" w:eastAsia="zh-CN"/>
              </w:rPr>
              <w:t>不开展</w:t>
            </w:r>
            <w:r>
              <w:rPr>
                <w:rFonts w:hint="eastAsia" w:ascii="Times New Roman" w:hAnsi="Times New Roman" w:cs="Times New Roman"/>
                <w:i w:val="0"/>
                <w:iCs w:val="0"/>
                <w:color w:val="auto"/>
                <w:sz w:val="24"/>
                <w:highlight w:val="none"/>
                <w:u w:val="none" w:color="auto"/>
                <w:lang w:val="en-US" w:eastAsia="zh-CN"/>
              </w:rPr>
              <w:t>地下水</w:t>
            </w:r>
            <w:r>
              <w:rPr>
                <w:rFonts w:hint="default" w:ascii="Times New Roman" w:hAnsi="Times New Roman" w:cs="Times New Roman"/>
                <w:i w:val="0"/>
                <w:iCs w:val="0"/>
                <w:color w:val="auto"/>
                <w:sz w:val="24"/>
                <w:highlight w:val="none"/>
                <w:u w:val="none" w:color="auto"/>
                <w:lang w:val="en-US" w:eastAsia="zh-CN"/>
              </w:rPr>
              <w:t>环境质量现状调查。</w:t>
            </w:r>
          </w:p>
          <w:p w14:paraId="7041B9C7">
            <w:pPr>
              <w:spacing w:line="360" w:lineRule="auto"/>
              <w:ind w:firstLine="482" w:firstLineChars="200"/>
              <w:rPr>
                <w:rFonts w:hint="eastAsia"/>
                <w:sz w:val="24"/>
                <w:szCs w:val="24"/>
                <w:highlight w:val="none"/>
                <w:u w:val="none"/>
                <w:lang w:val="en-US" w:eastAsia="zh-CN"/>
              </w:rPr>
            </w:pPr>
            <w:r>
              <w:rPr>
                <w:b/>
                <w:color w:val="000000"/>
                <w:sz w:val="24"/>
                <w:highlight w:val="none"/>
                <w:u w:val="none"/>
              </w:rPr>
              <w:t>5、土壤环境现状与评价</w:t>
            </w:r>
          </w:p>
          <w:p w14:paraId="18AB8F5C">
            <w:pPr>
              <w:spacing w:line="360" w:lineRule="auto"/>
              <w:ind w:firstLine="480" w:firstLineChars="200"/>
              <w:rPr>
                <w:rFonts w:hint="eastAsia"/>
                <w:lang w:val="en-US" w:eastAsia="zh-CN"/>
              </w:rPr>
            </w:pPr>
            <w:r>
              <w:rPr>
                <w:sz w:val="24"/>
              </w:rPr>
              <w:t>根据《建设项目环境影响报告表编制技术指南（污染影响类）（试行）》</w:t>
            </w:r>
            <w:r>
              <w:rPr>
                <w:rFonts w:hint="eastAsia"/>
                <w:sz w:val="24"/>
                <w:lang w:eastAsia="zh-CN"/>
              </w:rPr>
              <w:t>，</w:t>
            </w:r>
            <w:r>
              <w:rPr>
                <w:sz w:val="24"/>
              </w:rPr>
              <w:t>原则上不开展</w:t>
            </w:r>
            <w:r>
              <w:rPr>
                <w:rFonts w:hint="eastAsia"/>
                <w:sz w:val="24"/>
                <w:lang w:eastAsia="zh-CN"/>
              </w:rPr>
              <w:t>土壤</w:t>
            </w:r>
            <w:r>
              <w:rPr>
                <w:sz w:val="24"/>
              </w:rPr>
              <w:t>环境质量现状调查。建设项目存在土壤环境污染途径的，应结合污染源、保护目标分布情况开展现状调查以留作背景值</w:t>
            </w:r>
            <w:r>
              <w:rPr>
                <w:rFonts w:hint="default" w:ascii="Times New Roman" w:hAnsi="Times New Roman" w:cs="Times New Roman" w:eastAsiaTheme="minorEastAsia"/>
                <w:i w:val="0"/>
                <w:iCs w:val="0"/>
                <w:color w:val="auto"/>
                <w:sz w:val="24"/>
                <w:highlight w:val="none"/>
                <w:u w:val="none" w:color="auto"/>
                <w:lang w:val="en-US" w:eastAsia="zh-CN"/>
              </w:rPr>
              <w:t>。项目</w:t>
            </w:r>
            <w:r>
              <w:rPr>
                <w:rFonts w:hint="eastAsia" w:cs="Times New Roman" w:eastAsiaTheme="minorEastAsia"/>
                <w:i w:val="0"/>
                <w:iCs w:val="0"/>
                <w:color w:val="auto"/>
                <w:sz w:val="24"/>
                <w:highlight w:val="none"/>
                <w:u w:val="none" w:color="auto"/>
                <w:lang w:val="en-US" w:eastAsia="zh-CN"/>
              </w:rPr>
              <w:t>厂区地面全部硬化处理，</w:t>
            </w:r>
            <w:r>
              <w:rPr>
                <w:rFonts w:hint="default" w:ascii="Times New Roman" w:hAnsi="Times New Roman" w:cs="Times New Roman" w:eastAsiaTheme="minorEastAsia"/>
                <w:i w:val="0"/>
                <w:iCs w:val="0"/>
                <w:color w:val="auto"/>
                <w:sz w:val="24"/>
                <w:highlight w:val="none"/>
                <w:u w:val="none" w:color="auto"/>
                <w:lang w:val="en-US" w:eastAsia="zh-CN"/>
              </w:rPr>
              <w:t>生产过程中产生的粉尘量较小，均已采取治理措施，</w:t>
            </w:r>
            <w:r>
              <w:rPr>
                <w:rFonts w:hint="default" w:ascii="Times New Roman" w:hAnsi="Times New Roman" w:eastAsia="宋体" w:cs="Times New Roman"/>
                <w:color w:val="000000"/>
                <w:kern w:val="0"/>
                <w:sz w:val="24"/>
                <w:szCs w:val="24"/>
                <w:highlight w:val="none"/>
                <w:u w:val="none"/>
                <w:lang w:val="en-US" w:eastAsia="zh-CN" w:bidi="ar"/>
              </w:rPr>
              <w:t>废气中污染物浓度较低，无重金属等沉降型污染，所以基本不会通过大气沉降对区域土壤造成影响。</w:t>
            </w:r>
            <w:r>
              <w:rPr>
                <w:rFonts w:hint="eastAsia"/>
                <w:sz w:val="24"/>
                <w:lang w:eastAsia="zh-CN"/>
              </w:rPr>
              <w:t>本项目</w:t>
            </w:r>
            <w:r>
              <w:rPr>
                <w:rFonts w:hint="default" w:ascii="Times New Roman" w:hAnsi="Times New Roman" w:eastAsia="宋体" w:cs="Times New Roman"/>
                <w:sz w:val="24"/>
                <w:szCs w:val="24"/>
                <w:highlight w:val="none"/>
                <w:u w:val="none"/>
                <w:lang w:val="en-US" w:eastAsia="zh-CN"/>
              </w:rPr>
              <w:t>厂区按照要求采取分区防渗措施，做好厂内各区域的防渗工作，加强设施运行维护管理，杜绝项目污染物直接进入土壤的可能性，正常运营情况下几乎</w:t>
            </w:r>
            <w:r>
              <w:rPr>
                <w:rFonts w:hint="default" w:ascii="Times New Roman" w:hAnsi="Times New Roman" w:eastAsia="宋体" w:cs="Times New Roman"/>
                <w:bCs/>
                <w:sz w:val="24"/>
                <w:highlight w:val="none"/>
                <w:u w:val="none"/>
              </w:rPr>
              <w:t>不会对区域</w:t>
            </w:r>
            <w:r>
              <w:rPr>
                <w:rFonts w:hint="default" w:ascii="Times New Roman" w:hAnsi="Times New Roman" w:eastAsia="宋体" w:cs="Times New Roman"/>
                <w:bCs/>
                <w:sz w:val="24"/>
                <w:highlight w:val="none"/>
                <w:u w:val="none"/>
                <w:lang w:val="en-US" w:eastAsia="zh-CN"/>
              </w:rPr>
              <w:t>土壤</w:t>
            </w:r>
            <w:r>
              <w:rPr>
                <w:rFonts w:hint="default" w:ascii="Times New Roman" w:hAnsi="Times New Roman" w:eastAsia="宋体" w:cs="Times New Roman"/>
                <w:bCs/>
                <w:sz w:val="24"/>
                <w:highlight w:val="none"/>
                <w:u w:val="none"/>
              </w:rPr>
              <w:t>环境产生影响</w:t>
            </w:r>
            <w:r>
              <w:rPr>
                <w:rFonts w:hint="eastAsia" w:ascii="Times New Roman" w:hAnsi="Times New Roman" w:eastAsia="宋体" w:cs="Times New Roman"/>
                <w:bCs/>
                <w:sz w:val="24"/>
                <w:highlight w:val="none"/>
                <w:u w:val="none"/>
                <w:lang w:eastAsia="zh-CN"/>
              </w:rPr>
              <w:t>，</w:t>
            </w:r>
            <w:r>
              <w:rPr>
                <w:rFonts w:hint="eastAsia" w:cs="Times New Roman"/>
                <w:i w:val="0"/>
                <w:iCs w:val="0"/>
                <w:color w:val="auto"/>
                <w:sz w:val="24"/>
                <w:highlight w:val="none"/>
                <w:u w:val="none" w:color="auto"/>
                <w:lang w:val="en-US" w:eastAsia="zh-CN"/>
              </w:rPr>
              <w:t>本次评价</w:t>
            </w:r>
            <w:r>
              <w:rPr>
                <w:rFonts w:hint="default" w:ascii="Times New Roman" w:hAnsi="Times New Roman" w:cs="Times New Roman"/>
                <w:i w:val="0"/>
                <w:iCs w:val="0"/>
                <w:color w:val="auto"/>
                <w:sz w:val="24"/>
                <w:highlight w:val="none"/>
                <w:u w:val="none" w:color="auto"/>
                <w:lang w:val="en-US" w:eastAsia="zh-CN"/>
              </w:rPr>
              <w:t>不开展</w:t>
            </w:r>
            <w:r>
              <w:rPr>
                <w:rFonts w:hint="eastAsia" w:cs="Times New Roman"/>
                <w:i w:val="0"/>
                <w:iCs w:val="0"/>
                <w:color w:val="auto"/>
                <w:sz w:val="24"/>
                <w:highlight w:val="none"/>
                <w:u w:val="none" w:color="auto"/>
                <w:lang w:val="en-US" w:eastAsia="zh-CN"/>
              </w:rPr>
              <w:t>土壤</w:t>
            </w:r>
            <w:r>
              <w:rPr>
                <w:rFonts w:hint="default" w:ascii="Times New Roman" w:hAnsi="Times New Roman" w:cs="Times New Roman"/>
                <w:i w:val="0"/>
                <w:iCs w:val="0"/>
                <w:color w:val="auto"/>
                <w:sz w:val="24"/>
                <w:highlight w:val="none"/>
                <w:u w:val="none" w:color="auto"/>
                <w:lang w:val="en-US" w:eastAsia="zh-CN"/>
              </w:rPr>
              <w:t>环境质量现状调查</w:t>
            </w:r>
            <w:r>
              <w:rPr>
                <w:rFonts w:hint="eastAsia"/>
                <w:sz w:val="24"/>
                <w:lang w:eastAsia="zh-CN"/>
              </w:rPr>
              <w:t>。</w:t>
            </w:r>
          </w:p>
          <w:p w14:paraId="542E23AF">
            <w:pPr>
              <w:pStyle w:val="28"/>
              <w:rPr>
                <w:rFonts w:hint="default" w:eastAsia="仿宋_GB2312"/>
                <w:lang w:val="en-US" w:eastAsia="zh-CN"/>
              </w:rPr>
            </w:pPr>
          </w:p>
        </w:tc>
      </w:tr>
      <w:tr w14:paraId="06CFF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750" w:type="dxa"/>
            <w:noWrap w:val="0"/>
            <w:vAlign w:val="center"/>
          </w:tcPr>
          <w:p w14:paraId="1B5758C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14:paraId="125DFC92">
            <w:pPr>
              <w:adjustRightInd w:val="0"/>
              <w:snapToGrid w:val="0"/>
              <w:jc w:val="center"/>
              <w:rPr>
                <w:rFonts w:hint="eastAsia" w:ascii="宋体" w:hAnsi="宋体" w:cs="宋体"/>
                <w:kern w:val="0"/>
                <w:sz w:val="24"/>
                <w:szCs w:val="24"/>
              </w:rPr>
            </w:pPr>
            <w:r>
              <w:rPr>
                <w:rFonts w:hint="eastAsia" w:ascii="宋体" w:hAnsi="宋体" w:cs="宋体"/>
                <w:kern w:val="0"/>
                <w:sz w:val="24"/>
                <w:szCs w:val="24"/>
              </w:rPr>
              <w:t>保护</w:t>
            </w:r>
          </w:p>
          <w:p w14:paraId="362E586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tc>
        <w:tc>
          <w:tcPr>
            <w:tcW w:w="8311" w:type="dxa"/>
            <w:noWrap w:val="0"/>
            <w:vAlign w:val="top"/>
          </w:tcPr>
          <w:p w14:paraId="6A25765B">
            <w:pPr>
              <w:adjustRightInd w:val="0"/>
              <w:snapToGrid w:val="0"/>
              <w:spacing w:line="360" w:lineRule="auto"/>
              <w:ind w:firstLine="480" w:firstLineChars="200"/>
              <w:rPr>
                <w:rFonts w:hint="eastAsia" w:cs="Times New Roman" w:eastAsiaTheme="minorEastAsia"/>
                <w:sz w:val="24"/>
                <w:u w:val="none"/>
                <w:lang w:val="zh-CN" w:eastAsia="zh-CN"/>
              </w:rPr>
            </w:pPr>
            <w:r>
              <w:rPr>
                <w:rFonts w:hint="default" w:ascii="Times New Roman" w:hAnsi="Times New Roman" w:cs="Times New Roman" w:eastAsiaTheme="minorEastAsia"/>
                <w:sz w:val="24"/>
                <w:u w:val="none"/>
                <w:lang w:val="zh-CN"/>
              </w:rPr>
              <w:t>根据《建设项目环境影响报告表编制技术指南（污染影响类）（试行）》中对环境保护目标要求，</w:t>
            </w:r>
            <w:r>
              <w:rPr>
                <w:rFonts w:hint="default" w:ascii="Times New Roman" w:hAnsi="Times New Roman" w:cs="Times New Roman" w:eastAsiaTheme="minorEastAsia"/>
                <w:sz w:val="24"/>
                <w:u w:val="none"/>
                <w:lang w:val="zh-CN" w:eastAsia="zh-CN"/>
              </w:rPr>
              <w:t>大气环境：明确厂界外500米范围内的自然保护区、风景名胜区、居住区、文化区和农村地区中人群较集中的区域等保护目标的名称及与建设项目厂界位置关系；声环境：明确厂界外50米范围内声环境保护目标；地下水：明确厂界外500米范围内的地下水集中式饮用水水源和热水、矿泉水、温泉等特殊地下水资源</w:t>
            </w:r>
            <w:r>
              <w:rPr>
                <w:rFonts w:hint="eastAsia" w:cs="Times New Roman" w:eastAsiaTheme="minorEastAsia"/>
                <w:sz w:val="24"/>
                <w:u w:val="none"/>
                <w:lang w:val="zh-CN" w:eastAsia="zh-CN"/>
              </w:rPr>
              <w:t>。</w:t>
            </w:r>
          </w:p>
          <w:p w14:paraId="7D0EE9CB">
            <w:pPr>
              <w:adjustRightInd w:val="0"/>
              <w:snapToGrid w:val="0"/>
              <w:spacing w:line="360" w:lineRule="auto"/>
              <w:ind w:firstLine="480" w:firstLineChars="200"/>
              <w:jc w:val="both"/>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cs="Times New Roman"/>
                <w:sz w:val="24"/>
                <w:szCs w:val="24"/>
                <w:highlight w:val="none"/>
                <w:u w:val="none" w:color="auto"/>
                <w:lang w:eastAsia="zh-CN"/>
              </w:rPr>
              <w:t>本项目</w:t>
            </w:r>
            <w:r>
              <w:rPr>
                <w:rFonts w:hint="default" w:ascii="Times New Roman" w:hAnsi="Times New Roman" w:cs="Times New Roman"/>
                <w:i w:val="0"/>
                <w:iCs w:val="0"/>
                <w:color w:val="auto"/>
                <w:sz w:val="24"/>
                <w:szCs w:val="24"/>
                <w:highlight w:val="none"/>
                <w:u w:val="none" w:color="auto"/>
              </w:rPr>
              <w:t>环境保护目标详见下表</w:t>
            </w:r>
            <w:r>
              <w:rPr>
                <w:rFonts w:hint="eastAsia" w:cs="Times New Roman"/>
                <w:i w:val="0"/>
                <w:iCs w:val="0"/>
                <w:color w:val="auto"/>
                <w:sz w:val="24"/>
                <w:szCs w:val="24"/>
                <w:highlight w:val="none"/>
                <w:u w:val="none" w:color="auto"/>
                <w:lang w:eastAsia="zh-CN"/>
              </w:rPr>
              <w:t>及附图</w:t>
            </w:r>
            <w:r>
              <w:rPr>
                <w:rFonts w:hint="default" w:ascii="Times New Roman" w:hAnsi="Times New Roman" w:cs="Times New Roman"/>
                <w:i w:val="0"/>
                <w:iCs w:val="0"/>
                <w:color w:val="auto"/>
                <w:sz w:val="24"/>
                <w:szCs w:val="24"/>
                <w:highlight w:val="none"/>
                <w:u w:val="none" w:color="auto"/>
                <w:lang w:val="en-US" w:eastAsia="zh-CN"/>
              </w:rPr>
              <w:t>。</w:t>
            </w:r>
          </w:p>
          <w:p w14:paraId="65450B33">
            <w:pPr>
              <w:keepNext w:val="0"/>
              <w:keepLines w:val="0"/>
              <w:pageBreakBefore w:val="0"/>
              <w:widowControl w:val="0"/>
              <w:numPr>
                <w:ilvl w:val="0"/>
                <w:numId w:val="0"/>
              </w:numPr>
              <w:tabs>
                <w:tab w:val="left" w:pos="397"/>
              </w:tabs>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cs="Times New Roman"/>
                <w:b/>
                <w:bCs/>
                <w:i w:val="0"/>
                <w:iCs w:val="0"/>
                <w:color w:val="auto"/>
                <w:sz w:val="24"/>
                <w:szCs w:val="24"/>
                <w:highlight w:val="none"/>
                <w:u w:val="none" w:color="auto"/>
                <w:lang w:val="zh-CN" w:eastAsia="zh-CN"/>
              </w:rPr>
            </w:pPr>
            <w:r>
              <w:rPr>
                <w:rFonts w:hint="default" w:ascii="Times New Roman" w:hAnsi="Times New Roman" w:cs="Times New Roman"/>
                <w:b/>
                <w:bCs/>
                <w:i w:val="0"/>
                <w:iCs w:val="0"/>
                <w:color w:val="auto"/>
                <w:sz w:val="24"/>
                <w:szCs w:val="24"/>
                <w:highlight w:val="none"/>
                <w:u w:val="none" w:color="auto"/>
                <w:lang w:val="zh-CN" w:eastAsia="zh-CN"/>
              </w:rPr>
              <w:t>表</w:t>
            </w:r>
            <w:r>
              <w:rPr>
                <w:rFonts w:hint="eastAsia" w:cs="Times New Roman"/>
                <w:b/>
                <w:bCs/>
                <w:i w:val="0"/>
                <w:iCs w:val="0"/>
                <w:color w:val="auto"/>
                <w:sz w:val="24"/>
                <w:szCs w:val="24"/>
                <w:highlight w:val="none"/>
                <w:u w:val="none" w:color="auto"/>
                <w:lang w:val="en-US" w:eastAsia="zh-CN"/>
              </w:rPr>
              <w:t>3-6</w:t>
            </w:r>
            <w:r>
              <w:rPr>
                <w:rFonts w:hint="default" w:ascii="Times New Roman" w:hAnsi="Times New Roman" w:cs="Times New Roman"/>
                <w:b/>
                <w:bCs/>
                <w:i w:val="0"/>
                <w:iCs w:val="0"/>
                <w:color w:val="auto"/>
                <w:sz w:val="24"/>
                <w:szCs w:val="24"/>
                <w:highlight w:val="none"/>
                <w:u w:val="none" w:color="auto"/>
                <w:lang w:val="en-US" w:eastAsia="zh-CN"/>
              </w:rPr>
              <w:t xml:space="preserve">   </w:t>
            </w:r>
            <w:r>
              <w:rPr>
                <w:rFonts w:hint="default" w:ascii="Times New Roman" w:hAnsi="Times New Roman" w:cs="Times New Roman"/>
                <w:b/>
                <w:bCs/>
                <w:i w:val="0"/>
                <w:iCs w:val="0"/>
                <w:color w:val="auto"/>
                <w:sz w:val="24"/>
                <w:szCs w:val="24"/>
                <w:highlight w:val="none"/>
                <w:u w:val="none" w:color="auto"/>
                <w:lang w:val="zh-CN" w:eastAsia="zh-CN"/>
              </w:rPr>
              <w:t>项目环境保护目标一览表</w:t>
            </w:r>
          </w:p>
          <w:tbl>
            <w:tblPr>
              <w:tblStyle w:val="21"/>
              <w:tblW w:w="81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81"/>
              <w:gridCol w:w="832"/>
              <w:gridCol w:w="1282"/>
              <w:gridCol w:w="901"/>
              <w:gridCol w:w="875"/>
              <w:gridCol w:w="897"/>
              <w:gridCol w:w="805"/>
              <w:gridCol w:w="940"/>
            </w:tblGrid>
            <w:tr w14:paraId="4B6137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578" w:type="pct"/>
                  <w:vMerge w:val="restart"/>
                  <w:tcBorders>
                    <w:right w:val="single" w:color="000000" w:sz="4" w:space="0"/>
                  </w:tcBorders>
                  <w:noWrap w:val="0"/>
                  <w:vAlign w:val="center"/>
                </w:tcPr>
                <w:p w14:paraId="615A5D69">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i w:val="0"/>
                      <w:iCs w:val="0"/>
                      <w:color w:val="auto"/>
                      <w:sz w:val="21"/>
                      <w:szCs w:val="21"/>
                      <w:highlight w:val="none"/>
                      <w:u w:val="none" w:color="auto"/>
                    </w:rPr>
                    <w:t>名称</w:t>
                  </w:r>
                </w:p>
              </w:tc>
              <w:tc>
                <w:tcPr>
                  <w:tcW w:w="927" w:type="pct"/>
                  <w:gridSpan w:val="2"/>
                  <w:noWrap w:val="0"/>
                  <w:vAlign w:val="center"/>
                </w:tcPr>
                <w:p w14:paraId="36F13286">
                  <w:pPr>
                    <w:keepNext w:val="0"/>
                    <w:keepLines w:val="0"/>
                    <w:pageBreakBefore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cs="Times New Roman"/>
                      <w:i w:val="0"/>
                      <w:iCs w:val="0"/>
                      <w:color w:val="auto"/>
                      <w:sz w:val="21"/>
                      <w:szCs w:val="21"/>
                      <w:highlight w:val="none"/>
                      <w:u w:val="none" w:color="auto"/>
                    </w:rPr>
                    <w:t>坐标/</w:t>
                  </w:r>
                  <w:r>
                    <w:rPr>
                      <w:rFonts w:hint="default" w:ascii="Times New Roman" w:hAnsi="Times New Roman" w:cs="Times New Roman"/>
                      <w:i w:val="0"/>
                      <w:iCs w:val="0"/>
                      <w:color w:val="auto"/>
                      <w:sz w:val="21"/>
                      <w:szCs w:val="21"/>
                      <w:highlight w:val="none"/>
                      <w:u w:val="none" w:color="auto"/>
                      <w:lang w:val="en-US" w:eastAsia="zh-CN"/>
                    </w:rPr>
                    <w:t>m</w:t>
                  </w:r>
                </w:p>
              </w:tc>
              <w:tc>
                <w:tcPr>
                  <w:tcW w:w="785" w:type="pct"/>
                  <w:vMerge w:val="restart"/>
                  <w:noWrap w:val="0"/>
                  <w:vAlign w:val="center"/>
                </w:tcPr>
                <w:p w14:paraId="1FDBB821">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i w:val="0"/>
                      <w:iCs w:val="0"/>
                      <w:color w:val="auto"/>
                      <w:sz w:val="21"/>
                      <w:szCs w:val="21"/>
                      <w:highlight w:val="none"/>
                      <w:u w:val="none" w:color="auto"/>
                    </w:rPr>
                    <w:t>保护对象</w:t>
                  </w:r>
                </w:p>
              </w:tc>
              <w:tc>
                <w:tcPr>
                  <w:tcW w:w="552" w:type="pct"/>
                  <w:vMerge w:val="restart"/>
                  <w:noWrap w:val="0"/>
                  <w:vAlign w:val="center"/>
                </w:tcPr>
                <w:p w14:paraId="57C55AD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cs="Times New Roman"/>
                      <w:i w:val="0"/>
                      <w:iCs w:val="0"/>
                      <w:color w:val="auto"/>
                      <w:sz w:val="21"/>
                      <w:szCs w:val="21"/>
                      <w:highlight w:val="none"/>
                      <w:u w:val="none" w:color="auto"/>
                    </w:rPr>
                    <w:t>规模</w:t>
                  </w:r>
                  <w:r>
                    <w:rPr>
                      <w:rFonts w:hint="eastAsia" w:cs="Times New Roman"/>
                      <w:i w:val="0"/>
                      <w:iCs w:val="0"/>
                      <w:color w:val="auto"/>
                      <w:sz w:val="21"/>
                      <w:szCs w:val="21"/>
                      <w:highlight w:val="none"/>
                      <w:u w:val="none" w:color="auto"/>
                      <w:lang w:val="en-US" w:eastAsia="zh-CN"/>
                    </w:rPr>
                    <w:t>/人</w:t>
                  </w:r>
                </w:p>
              </w:tc>
              <w:tc>
                <w:tcPr>
                  <w:tcW w:w="536" w:type="pct"/>
                  <w:vMerge w:val="restart"/>
                  <w:noWrap w:val="0"/>
                  <w:vAlign w:val="center"/>
                </w:tcPr>
                <w:p w14:paraId="33061FF3">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i w:val="0"/>
                      <w:iCs w:val="0"/>
                      <w:color w:val="auto"/>
                      <w:sz w:val="21"/>
                      <w:szCs w:val="21"/>
                      <w:highlight w:val="none"/>
                      <w:u w:val="none" w:color="auto"/>
                    </w:rPr>
                    <w:t>保护</w:t>
                  </w:r>
                </w:p>
                <w:p w14:paraId="5926C14E">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i w:val="0"/>
                      <w:iCs w:val="0"/>
                      <w:color w:val="auto"/>
                      <w:sz w:val="21"/>
                      <w:szCs w:val="21"/>
                      <w:highlight w:val="none"/>
                      <w:u w:val="none" w:color="auto"/>
                    </w:rPr>
                    <w:t>内容</w:t>
                  </w:r>
                </w:p>
              </w:tc>
              <w:tc>
                <w:tcPr>
                  <w:tcW w:w="549" w:type="pct"/>
                  <w:vMerge w:val="restart"/>
                  <w:noWrap w:val="0"/>
                  <w:vAlign w:val="center"/>
                </w:tcPr>
                <w:p w14:paraId="15229D75">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i w:val="0"/>
                      <w:iCs w:val="0"/>
                      <w:color w:val="auto"/>
                      <w:sz w:val="21"/>
                      <w:szCs w:val="21"/>
                      <w:highlight w:val="none"/>
                      <w:u w:val="none" w:color="auto"/>
                    </w:rPr>
                    <w:t>功能</w:t>
                  </w:r>
                </w:p>
                <w:p w14:paraId="133DCF7C">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i w:val="0"/>
                      <w:iCs w:val="0"/>
                      <w:color w:val="auto"/>
                      <w:sz w:val="21"/>
                      <w:szCs w:val="21"/>
                      <w:highlight w:val="none"/>
                      <w:u w:val="none" w:color="auto"/>
                    </w:rPr>
                    <w:t>区划</w:t>
                  </w:r>
                </w:p>
              </w:tc>
              <w:tc>
                <w:tcPr>
                  <w:tcW w:w="493" w:type="pct"/>
                  <w:vMerge w:val="restart"/>
                  <w:noWrap w:val="0"/>
                  <w:vAlign w:val="center"/>
                </w:tcPr>
                <w:p w14:paraId="7EBC6B1E">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i w:val="0"/>
                      <w:iCs w:val="0"/>
                      <w:color w:val="auto"/>
                      <w:sz w:val="21"/>
                      <w:szCs w:val="21"/>
                      <w:highlight w:val="none"/>
                      <w:u w:val="none" w:color="auto"/>
                    </w:rPr>
                    <w:t>方向</w:t>
                  </w:r>
                </w:p>
              </w:tc>
              <w:tc>
                <w:tcPr>
                  <w:tcW w:w="576" w:type="pct"/>
                  <w:vMerge w:val="restart"/>
                  <w:noWrap w:val="0"/>
                  <w:vAlign w:val="center"/>
                </w:tcPr>
                <w:p w14:paraId="4FB5AD49">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i w:val="0"/>
                      <w:iCs w:val="0"/>
                      <w:color w:val="auto"/>
                      <w:sz w:val="21"/>
                      <w:szCs w:val="21"/>
                      <w:highlight w:val="none"/>
                      <w:u w:val="none" w:color="auto"/>
                    </w:rPr>
                    <w:t>最近距离</w:t>
                  </w:r>
                  <w:r>
                    <w:rPr>
                      <w:rFonts w:hint="default" w:ascii="Times New Roman" w:hAnsi="Times New Roman" w:cs="Times New Roman"/>
                      <w:i w:val="0"/>
                      <w:iCs w:val="0"/>
                      <w:color w:val="auto"/>
                      <w:kern w:val="0"/>
                      <w:sz w:val="21"/>
                      <w:szCs w:val="21"/>
                      <w:highlight w:val="none"/>
                      <w:u w:val="none" w:color="auto"/>
                      <w:lang w:val="en-US" w:eastAsia="zh-CN"/>
                    </w:rPr>
                    <w:t>m</w:t>
                  </w:r>
                </w:p>
              </w:tc>
            </w:tr>
            <w:tr w14:paraId="602B6C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78" w:type="pct"/>
                  <w:vMerge w:val="continue"/>
                  <w:tcBorders>
                    <w:right w:val="single" w:color="000000" w:sz="4" w:space="0"/>
                  </w:tcBorders>
                  <w:noWrap w:val="0"/>
                  <w:vAlign w:val="center"/>
                </w:tcPr>
                <w:p w14:paraId="137E20A7">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p>
              </w:tc>
              <w:tc>
                <w:tcPr>
                  <w:tcW w:w="417" w:type="pct"/>
                  <w:noWrap w:val="0"/>
                  <w:vAlign w:val="center"/>
                </w:tcPr>
                <w:p w14:paraId="0076C496">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sz w:val="21"/>
                      <w:szCs w:val="21"/>
                      <w:highlight w:val="none"/>
                      <w:u w:val="none" w:color="auto"/>
                    </w:rPr>
                    <w:t>X</w:t>
                  </w:r>
                </w:p>
              </w:tc>
              <w:tc>
                <w:tcPr>
                  <w:tcW w:w="509" w:type="pct"/>
                  <w:noWrap w:val="0"/>
                  <w:vAlign w:val="center"/>
                </w:tcPr>
                <w:p w14:paraId="2C0A4D15">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i w:val="0"/>
                      <w:iCs w:val="0"/>
                      <w:color w:val="auto"/>
                      <w:sz w:val="21"/>
                      <w:szCs w:val="21"/>
                      <w:highlight w:val="none"/>
                      <w:u w:val="none" w:color="auto"/>
                    </w:rPr>
                  </w:pPr>
                  <w:r>
                    <w:rPr>
                      <w:rFonts w:hint="default" w:ascii="Times New Roman" w:hAnsi="Times New Roman" w:cs="Times New Roman"/>
                      <w:sz w:val="21"/>
                      <w:szCs w:val="21"/>
                      <w:highlight w:val="none"/>
                      <w:u w:val="none" w:color="auto"/>
                    </w:rPr>
                    <w:t>Y</w:t>
                  </w:r>
                </w:p>
              </w:tc>
              <w:tc>
                <w:tcPr>
                  <w:tcW w:w="785" w:type="pct"/>
                  <w:vMerge w:val="continue"/>
                  <w:noWrap w:val="0"/>
                  <w:vAlign w:val="center"/>
                </w:tcPr>
                <w:p w14:paraId="526B3C5A">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p>
              </w:tc>
              <w:tc>
                <w:tcPr>
                  <w:tcW w:w="552" w:type="pct"/>
                  <w:vMerge w:val="continue"/>
                  <w:noWrap w:val="0"/>
                  <w:vAlign w:val="center"/>
                </w:tcPr>
                <w:p w14:paraId="05C12466">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p>
              </w:tc>
              <w:tc>
                <w:tcPr>
                  <w:tcW w:w="536" w:type="pct"/>
                  <w:vMerge w:val="continue"/>
                  <w:noWrap w:val="0"/>
                  <w:vAlign w:val="center"/>
                </w:tcPr>
                <w:p w14:paraId="11A3A9CA">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p>
              </w:tc>
              <w:tc>
                <w:tcPr>
                  <w:tcW w:w="549" w:type="pct"/>
                  <w:vMerge w:val="continue"/>
                  <w:noWrap w:val="0"/>
                  <w:vAlign w:val="center"/>
                </w:tcPr>
                <w:p w14:paraId="7E7852B7">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p>
              </w:tc>
              <w:tc>
                <w:tcPr>
                  <w:tcW w:w="493" w:type="pct"/>
                  <w:vMerge w:val="continue"/>
                  <w:noWrap w:val="0"/>
                  <w:vAlign w:val="center"/>
                </w:tcPr>
                <w:p w14:paraId="60B2107D">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p>
              </w:tc>
              <w:tc>
                <w:tcPr>
                  <w:tcW w:w="576" w:type="pct"/>
                  <w:vMerge w:val="continue"/>
                  <w:noWrap w:val="0"/>
                  <w:vAlign w:val="center"/>
                </w:tcPr>
                <w:p w14:paraId="171B5635">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i w:val="0"/>
                      <w:iCs w:val="0"/>
                      <w:color w:val="auto"/>
                      <w:sz w:val="21"/>
                      <w:szCs w:val="21"/>
                      <w:highlight w:val="none"/>
                      <w:u w:val="none" w:color="auto"/>
                    </w:rPr>
                  </w:pPr>
                </w:p>
              </w:tc>
            </w:tr>
            <w:tr w14:paraId="69D7DC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578" w:type="pct"/>
                  <w:tcBorders>
                    <w:right w:val="single" w:color="000000" w:sz="4" w:space="0"/>
                  </w:tcBorders>
                  <w:noWrap w:val="0"/>
                  <w:vAlign w:val="center"/>
                </w:tcPr>
                <w:p w14:paraId="23B350B7">
                  <w:pPr>
                    <w:pStyle w:val="5"/>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i w:val="0"/>
                      <w:iCs w:val="0"/>
                      <w:color w:val="auto"/>
                      <w:kern w:val="0"/>
                      <w:sz w:val="21"/>
                      <w:szCs w:val="21"/>
                      <w:highlight w:val="none"/>
                      <w:u w:val="none" w:color="auto"/>
                    </w:rPr>
                  </w:pPr>
                  <w:r>
                    <w:rPr>
                      <w:rFonts w:hint="default" w:ascii="Times New Roman" w:hAnsi="Times New Roman" w:cs="Times New Roman"/>
                      <w:i w:val="0"/>
                      <w:iCs w:val="0"/>
                      <w:color w:val="auto"/>
                      <w:kern w:val="0"/>
                      <w:sz w:val="21"/>
                      <w:szCs w:val="21"/>
                      <w:highlight w:val="none"/>
                      <w:u w:val="none" w:color="auto"/>
                    </w:rPr>
                    <w:t>环境空气</w:t>
                  </w:r>
                </w:p>
              </w:tc>
              <w:tc>
                <w:tcPr>
                  <w:tcW w:w="417" w:type="pct"/>
                  <w:shd w:val="clear" w:color="auto" w:fill="auto"/>
                  <w:noWrap w:val="0"/>
                  <w:vAlign w:val="center"/>
                </w:tcPr>
                <w:p w14:paraId="36E0A6C2">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eastAsia" w:cs="Times New Roman"/>
                      <w:sz w:val="21"/>
                      <w:szCs w:val="21"/>
                      <w:highlight w:val="none"/>
                      <w:u w:val="none" w:color="auto"/>
                      <w:lang w:val="en-US" w:eastAsia="zh-CN"/>
                    </w:rPr>
                    <w:t>0</w:t>
                  </w:r>
                </w:p>
              </w:tc>
              <w:tc>
                <w:tcPr>
                  <w:tcW w:w="509" w:type="pct"/>
                  <w:shd w:val="clear" w:color="auto" w:fill="auto"/>
                  <w:noWrap w:val="0"/>
                  <w:vAlign w:val="center"/>
                </w:tcPr>
                <w:p w14:paraId="500B64BD">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eastAsia" w:cs="Times New Roman"/>
                      <w:sz w:val="21"/>
                      <w:szCs w:val="21"/>
                      <w:highlight w:val="none"/>
                      <w:u w:val="none" w:color="auto"/>
                      <w:lang w:val="en-US" w:eastAsia="zh-CN"/>
                    </w:rPr>
                    <w:t>-320</w:t>
                  </w:r>
                </w:p>
              </w:tc>
              <w:tc>
                <w:tcPr>
                  <w:tcW w:w="785" w:type="pct"/>
                  <w:shd w:val="clear" w:color="auto" w:fill="auto"/>
                  <w:noWrap w:val="0"/>
                  <w:vAlign w:val="center"/>
                </w:tcPr>
                <w:p w14:paraId="08B6FCA3">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SA"/>
                    </w:rPr>
                  </w:pPr>
                  <w:r>
                    <w:rPr>
                      <w:rFonts w:hint="eastAsia" w:cs="Times New Roman"/>
                      <w:i w:val="0"/>
                      <w:iCs w:val="0"/>
                      <w:color w:val="auto"/>
                      <w:kern w:val="0"/>
                      <w:sz w:val="21"/>
                      <w:szCs w:val="21"/>
                      <w:highlight w:val="none"/>
                      <w:u w:val="none" w:color="auto"/>
                      <w:lang w:eastAsia="zh-CN"/>
                    </w:rPr>
                    <w:t>临城村</w:t>
                  </w:r>
                  <w:r>
                    <w:rPr>
                      <w:rFonts w:hint="eastAsia" w:cs="Times New Roman"/>
                      <w:i w:val="0"/>
                      <w:iCs w:val="0"/>
                      <w:color w:val="auto"/>
                      <w:kern w:val="0"/>
                      <w:sz w:val="21"/>
                      <w:szCs w:val="21"/>
                      <w:highlight w:val="none"/>
                      <w:u w:val="none" w:color="auto"/>
                      <w:lang w:val="en-US" w:eastAsia="zh-CN"/>
                    </w:rPr>
                    <w:t>8社</w:t>
                  </w:r>
                </w:p>
              </w:tc>
              <w:tc>
                <w:tcPr>
                  <w:tcW w:w="552" w:type="pct"/>
                  <w:shd w:val="clear" w:color="auto" w:fill="auto"/>
                  <w:noWrap w:val="0"/>
                  <w:vAlign w:val="center"/>
                </w:tcPr>
                <w:p w14:paraId="2E696DAC">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SA"/>
                    </w:rPr>
                  </w:pPr>
                  <w:r>
                    <w:rPr>
                      <w:rFonts w:hint="eastAsia" w:ascii="Times New Roman" w:hAnsi="Times New Roman" w:cs="Times New Roman"/>
                      <w:i w:val="0"/>
                      <w:iCs w:val="0"/>
                      <w:color w:val="auto"/>
                      <w:kern w:val="0"/>
                      <w:sz w:val="21"/>
                      <w:szCs w:val="21"/>
                      <w:highlight w:val="none"/>
                      <w:u w:val="none" w:color="auto"/>
                      <w:lang w:val="en-US" w:eastAsia="zh-CN" w:bidi="ar-SA"/>
                    </w:rPr>
                    <w:t>90</w:t>
                  </w:r>
                </w:p>
              </w:tc>
              <w:tc>
                <w:tcPr>
                  <w:tcW w:w="536" w:type="pct"/>
                  <w:shd w:val="clear" w:color="auto" w:fill="auto"/>
                  <w:noWrap w:val="0"/>
                  <w:vAlign w:val="center"/>
                </w:tcPr>
                <w:p w14:paraId="49EF4513">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SA"/>
                    </w:rPr>
                  </w:pPr>
                  <w:r>
                    <w:rPr>
                      <w:rFonts w:hint="default" w:ascii="Times New Roman" w:hAnsi="Times New Roman" w:cs="Times New Roman"/>
                      <w:i w:val="0"/>
                      <w:iCs w:val="0"/>
                      <w:color w:val="auto"/>
                      <w:kern w:val="0"/>
                      <w:sz w:val="21"/>
                      <w:szCs w:val="21"/>
                      <w:highlight w:val="none"/>
                      <w:u w:val="none" w:color="auto"/>
                      <w:lang w:eastAsia="zh-CN"/>
                    </w:rPr>
                    <w:t>居住区</w:t>
                  </w:r>
                </w:p>
              </w:tc>
              <w:tc>
                <w:tcPr>
                  <w:tcW w:w="549" w:type="pct"/>
                  <w:shd w:val="clear" w:color="auto" w:fill="auto"/>
                  <w:noWrap w:val="0"/>
                  <w:vAlign w:val="center"/>
                </w:tcPr>
                <w:p w14:paraId="2FEB58F1">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SA"/>
                    </w:rPr>
                  </w:pPr>
                  <w:r>
                    <w:rPr>
                      <w:rFonts w:hint="default" w:ascii="Times New Roman" w:hAnsi="Times New Roman" w:cs="Times New Roman"/>
                      <w:i w:val="0"/>
                      <w:iCs w:val="0"/>
                      <w:color w:val="auto"/>
                      <w:sz w:val="21"/>
                      <w:szCs w:val="21"/>
                      <w:highlight w:val="none"/>
                      <w:u w:val="none" w:color="auto"/>
                    </w:rPr>
                    <w:t>二类区</w:t>
                  </w:r>
                </w:p>
              </w:tc>
              <w:tc>
                <w:tcPr>
                  <w:tcW w:w="493" w:type="pct"/>
                  <w:shd w:val="clear" w:color="auto" w:fill="auto"/>
                  <w:noWrap w:val="0"/>
                  <w:vAlign w:val="center"/>
                </w:tcPr>
                <w:p w14:paraId="30F13343">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eastAsia" w:ascii="Times New Roman" w:hAnsi="Times New Roman" w:cs="Times New Roman"/>
                      <w:sz w:val="21"/>
                      <w:szCs w:val="21"/>
                      <w:highlight w:val="none"/>
                      <w:u w:val="none" w:color="auto"/>
                      <w:lang w:eastAsia="zh-CN"/>
                    </w:rPr>
                    <w:t>南</w:t>
                  </w:r>
                </w:p>
              </w:tc>
              <w:tc>
                <w:tcPr>
                  <w:tcW w:w="576" w:type="pct"/>
                  <w:shd w:val="clear" w:color="auto" w:fill="auto"/>
                  <w:noWrap w:val="0"/>
                  <w:vAlign w:val="center"/>
                </w:tcPr>
                <w:p w14:paraId="67C979A6">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SA"/>
                    </w:rPr>
                  </w:pPr>
                  <w:r>
                    <w:rPr>
                      <w:rFonts w:hint="eastAsia" w:cs="Times New Roman"/>
                      <w:sz w:val="21"/>
                      <w:szCs w:val="21"/>
                      <w:highlight w:val="none"/>
                      <w:u w:val="none" w:color="auto"/>
                      <w:lang w:val="en-US" w:eastAsia="zh-CN"/>
                    </w:rPr>
                    <w:t>320</w:t>
                  </w:r>
                  <w:r>
                    <w:rPr>
                      <w:rFonts w:hint="default" w:ascii="Times New Roman" w:hAnsi="Times New Roman" w:cs="Times New Roman"/>
                      <w:sz w:val="21"/>
                      <w:szCs w:val="21"/>
                      <w:highlight w:val="none"/>
                      <w:u w:val="none" w:color="auto"/>
                    </w:rPr>
                    <w:t>m</w:t>
                  </w:r>
                </w:p>
              </w:tc>
            </w:tr>
            <w:tr w14:paraId="114625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78" w:type="pct"/>
                  <w:tcBorders>
                    <w:right w:val="single" w:color="000000" w:sz="4" w:space="0"/>
                  </w:tcBorders>
                  <w:noWrap w:val="0"/>
                  <w:vAlign w:val="center"/>
                </w:tcPr>
                <w:p w14:paraId="128E7D02">
                  <w:pPr>
                    <w:pStyle w:val="5"/>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i w:val="0"/>
                      <w:iCs w:val="0"/>
                      <w:color w:val="auto"/>
                      <w:kern w:val="0"/>
                      <w:sz w:val="21"/>
                      <w:szCs w:val="21"/>
                      <w:highlight w:val="none"/>
                      <w:u w:val="none" w:color="auto"/>
                    </w:rPr>
                  </w:pPr>
                  <w:r>
                    <w:rPr>
                      <w:rFonts w:hint="default" w:ascii="Times New Roman" w:hAnsi="Times New Roman" w:cs="Times New Roman"/>
                      <w:i w:val="0"/>
                      <w:iCs w:val="0"/>
                      <w:color w:val="auto"/>
                      <w:kern w:val="0"/>
                      <w:sz w:val="21"/>
                      <w:szCs w:val="21"/>
                      <w:highlight w:val="none"/>
                      <w:u w:val="none" w:color="auto"/>
                    </w:rPr>
                    <w:t>声环境</w:t>
                  </w:r>
                </w:p>
              </w:tc>
              <w:tc>
                <w:tcPr>
                  <w:tcW w:w="4421" w:type="pct"/>
                  <w:gridSpan w:val="8"/>
                  <w:noWrap w:val="0"/>
                  <w:vAlign w:val="center"/>
                </w:tcPr>
                <w:p w14:paraId="60697995">
                  <w:pPr>
                    <w:pStyle w:val="12"/>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i w:val="0"/>
                      <w:iCs w:val="0"/>
                      <w:color w:val="auto"/>
                      <w:kern w:val="0"/>
                      <w:sz w:val="21"/>
                      <w:szCs w:val="21"/>
                      <w:highlight w:val="none"/>
                      <w:u w:val="none" w:color="auto"/>
                      <w:lang w:val="en-US" w:eastAsia="zh-CN" w:bidi="ar-SA"/>
                    </w:rPr>
                  </w:pPr>
                  <w:r>
                    <w:rPr>
                      <w:rFonts w:hint="eastAsia" w:ascii="Times New Roman" w:hAnsi="Times New Roman" w:cs="Times New Roman"/>
                      <w:sz w:val="21"/>
                      <w:szCs w:val="21"/>
                      <w:highlight w:val="none"/>
                      <w:u w:val="none" w:color="auto"/>
                      <w:lang w:eastAsia="zh-CN"/>
                    </w:rPr>
                    <w:t>经调查，厂界外</w:t>
                  </w:r>
                  <w:r>
                    <w:rPr>
                      <w:rFonts w:hint="eastAsia" w:ascii="Times New Roman" w:hAnsi="Times New Roman" w:cs="Times New Roman"/>
                      <w:sz w:val="21"/>
                      <w:szCs w:val="21"/>
                      <w:highlight w:val="none"/>
                      <w:u w:val="none" w:color="auto"/>
                      <w:lang w:val="en-US" w:eastAsia="zh-CN"/>
                    </w:rPr>
                    <w:t>50m范围内无声环境保护目标。</w:t>
                  </w:r>
                </w:p>
              </w:tc>
            </w:tr>
            <w:tr w14:paraId="6AC16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78" w:type="pct"/>
                  <w:tcBorders>
                    <w:right w:val="single" w:color="000000" w:sz="4" w:space="0"/>
                  </w:tcBorders>
                  <w:noWrap w:val="0"/>
                  <w:vAlign w:val="center"/>
                </w:tcPr>
                <w:p w14:paraId="709FDF0E">
                  <w:pPr>
                    <w:pStyle w:val="5"/>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rPr>
                  </w:pPr>
                  <w:r>
                    <w:rPr>
                      <w:rFonts w:hint="eastAsia" w:ascii="Times New Roman" w:hAnsi="Times New Roman" w:cs="Times New Roman"/>
                      <w:i w:val="0"/>
                      <w:iCs w:val="0"/>
                      <w:color w:val="auto"/>
                      <w:kern w:val="0"/>
                      <w:sz w:val="21"/>
                      <w:szCs w:val="21"/>
                      <w:highlight w:val="none"/>
                      <w:u w:val="none" w:color="auto"/>
                      <w:lang w:val="en-US" w:eastAsia="zh-CN"/>
                    </w:rPr>
                    <w:t>地下水环境</w:t>
                  </w:r>
                </w:p>
              </w:tc>
              <w:tc>
                <w:tcPr>
                  <w:tcW w:w="4421" w:type="pct"/>
                  <w:gridSpan w:val="8"/>
                  <w:noWrap w:val="0"/>
                  <w:vAlign w:val="center"/>
                </w:tcPr>
                <w:p w14:paraId="172D891D">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i w:val="0"/>
                      <w:iCs w:val="0"/>
                      <w:color w:val="auto"/>
                      <w:sz w:val="21"/>
                      <w:szCs w:val="21"/>
                      <w:highlight w:val="none"/>
                      <w:u w:val="none" w:color="auto"/>
                    </w:rPr>
                  </w:pPr>
                  <w:r>
                    <w:rPr>
                      <w:rFonts w:hint="eastAsia"/>
                      <w:b w:val="0"/>
                      <w:bCs w:val="0"/>
                      <w:color w:val="auto"/>
                      <w:sz w:val="21"/>
                      <w:szCs w:val="21"/>
                      <w:highlight w:val="none"/>
                      <w:u w:val="none" w:color="auto"/>
                      <w:lang w:val="en-US" w:eastAsia="zh-CN"/>
                    </w:rPr>
                    <w:t>经调查，厂界外500 m范围内无地下水集中式饮用水水源和热水、矿泉水、温泉等特殊地下水资源，因此无地下水环境保护目标。</w:t>
                  </w:r>
                </w:p>
              </w:tc>
            </w:tr>
          </w:tbl>
          <w:p w14:paraId="394E8625">
            <w:pPr>
              <w:adjustRightInd w:val="0"/>
              <w:snapToGrid w:val="0"/>
              <w:jc w:val="both"/>
              <w:rPr>
                <w:rFonts w:ascii="宋体" w:hAnsi="宋体" w:cs="宋体"/>
                <w:kern w:val="0"/>
                <w:sz w:val="24"/>
                <w:szCs w:val="24"/>
              </w:rPr>
            </w:pPr>
          </w:p>
        </w:tc>
      </w:tr>
      <w:tr w14:paraId="037A3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50" w:type="dxa"/>
            <w:noWrap w:val="0"/>
            <w:tcMar>
              <w:left w:w="28" w:type="dxa"/>
              <w:right w:w="28" w:type="dxa"/>
            </w:tcMar>
            <w:vAlign w:val="center"/>
          </w:tcPr>
          <w:p w14:paraId="2F825DB1">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14:paraId="7C5A392B">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14:paraId="33CEFBB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14:paraId="40D40240">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14:paraId="51AA7B8A">
            <w:pPr>
              <w:adjustRightInd w:val="0"/>
              <w:snapToGrid w:val="0"/>
              <w:jc w:val="center"/>
              <w:rPr>
                <w:rFonts w:ascii="宋体" w:hAnsi="宋体" w:cs="宋体"/>
                <w:kern w:val="0"/>
                <w:sz w:val="24"/>
                <w:szCs w:val="24"/>
              </w:rPr>
            </w:pPr>
            <w:r>
              <w:rPr>
                <w:rFonts w:hint="eastAsia" w:ascii="宋体" w:hAnsi="宋体" w:cs="宋体"/>
                <w:kern w:val="0"/>
                <w:sz w:val="24"/>
                <w:szCs w:val="24"/>
              </w:rPr>
              <w:t>准</w:t>
            </w:r>
          </w:p>
        </w:tc>
        <w:tc>
          <w:tcPr>
            <w:tcW w:w="8311" w:type="dxa"/>
            <w:noWrap w:val="0"/>
            <w:vAlign w:val="top"/>
          </w:tcPr>
          <w:p w14:paraId="0FCA0B1E">
            <w:pPr>
              <w:adjustRightInd w:val="0"/>
              <w:spacing w:line="360" w:lineRule="auto"/>
              <w:ind w:firstLine="482" w:firstLineChars="200"/>
              <w:rPr>
                <w:rFonts w:hint="default" w:ascii="Times New Roman" w:hAnsi="Times New Roman" w:cs="Times New Roman" w:eastAsiaTheme="minorEastAsia"/>
                <w:b/>
                <w:bCs/>
                <w:i w:val="0"/>
                <w:iCs w:val="0"/>
                <w:sz w:val="24"/>
                <w:szCs w:val="24"/>
                <w:u w:val="none"/>
              </w:rPr>
            </w:pPr>
            <w:r>
              <w:rPr>
                <w:rFonts w:hint="eastAsia" w:ascii="Times New Roman" w:hAnsi="Times New Roman" w:cs="Times New Roman" w:eastAsiaTheme="minorEastAsia"/>
                <w:b/>
                <w:bCs/>
                <w:i w:val="0"/>
                <w:iCs w:val="0"/>
                <w:sz w:val="24"/>
                <w:szCs w:val="24"/>
                <w:u w:val="none"/>
                <w:lang w:val="en-US" w:eastAsia="zh-CN"/>
              </w:rPr>
              <w:t>1</w:t>
            </w:r>
            <w:r>
              <w:rPr>
                <w:rFonts w:hint="default" w:ascii="Times New Roman" w:hAnsi="Times New Roman" w:cs="Times New Roman" w:eastAsiaTheme="minorEastAsia"/>
                <w:b/>
                <w:bCs/>
                <w:i w:val="0"/>
                <w:iCs w:val="0"/>
                <w:sz w:val="24"/>
                <w:szCs w:val="24"/>
                <w:u w:val="none"/>
              </w:rPr>
              <w:t>、废气</w:t>
            </w:r>
          </w:p>
          <w:p w14:paraId="21CAC131">
            <w:pPr>
              <w:keepNext w:val="0"/>
              <w:keepLines w:val="0"/>
              <w:widowControl/>
              <w:suppressLineNumbers w:val="0"/>
              <w:spacing w:line="360" w:lineRule="auto"/>
              <w:ind w:firstLine="480" w:firstLineChars="200"/>
              <w:jc w:val="both"/>
              <w:rPr>
                <w:rFonts w:hint="default" w:ascii="Times New Roman" w:hAnsi="Times New Roman" w:cs="Times New Roman" w:eastAsiaTheme="minorEastAsia"/>
                <w:b/>
                <w:bCs w:val="0"/>
                <w:i w:val="0"/>
                <w:iCs w:val="0"/>
                <w:sz w:val="24"/>
                <w:szCs w:val="24"/>
                <w:u w:val="none"/>
              </w:rPr>
            </w:pPr>
            <w:r>
              <w:rPr>
                <w:rFonts w:hint="default" w:ascii="Times New Roman" w:hAnsi="Times New Roman" w:cs="Times New Roman" w:eastAsiaTheme="minorEastAsia"/>
                <w:i w:val="0"/>
                <w:iCs w:val="0"/>
                <w:sz w:val="24"/>
                <w:szCs w:val="24"/>
                <w:u w:val="none"/>
              </w:rPr>
              <w:t>根据《水泥工业大气污染物排放标准》（GB 4915-2013）的标准适用范围的规定</w:t>
            </w:r>
            <w:r>
              <w:rPr>
                <w:rFonts w:hint="eastAsia" w:ascii="宋体" w:hAnsi="宋体" w:eastAsia="宋体" w:cs="宋体"/>
                <w:i w:val="0"/>
                <w:iCs w:val="0"/>
                <w:sz w:val="24"/>
                <w:szCs w:val="24"/>
                <w:u w:val="none"/>
              </w:rPr>
              <w:t>“</w:t>
            </w:r>
            <w:r>
              <w:rPr>
                <w:rFonts w:hint="default" w:ascii="Times New Roman" w:hAnsi="Times New Roman" w:cs="Times New Roman" w:eastAsiaTheme="minorEastAsia"/>
                <w:i w:val="0"/>
                <w:iCs w:val="0"/>
                <w:sz w:val="24"/>
                <w:szCs w:val="24"/>
                <w:u w:val="none"/>
              </w:rPr>
              <w:t>本标准规定了水泥制品企业（含独立粉磨站）、水泥原料矿山、散装水泥中转站、水泥制品企业及其生产设施的大气污染物排放限值、监测和监督管理要求。</w:t>
            </w:r>
            <w:r>
              <w:rPr>
                <w:rFonts w:hint="eastAsia" w:ascii="宋体" w:hAnsi="宋体" w:eastAsia="宋体" w:cs="宋体"/>
                <w:i w:val="0"/>
                <w:iCs w:val="0"/>
                <w:sz w:val="24"/>
                <w:szCs w:val="24"/>
                <w:u w:val="none"/>
              </w:rPr>
              <w:t>”</w:t>
            </w:r>
            <w:r>
              <w:rPr>
                <w:rFonts w:hint="default" w:ascii="Times New Roman" w:hAnsi="Times New Roman" w:cs="Times New Roman" w:eastAsiaTheme="minorEastAsia"/>
                <w:i w:val="0"/>
                <w:iCs w:val="0"/>
                <w:sz w:val="24"/>
                <w:szCs w:val="24"/>
                <w:u w:val="none"/>
              </w:rPr>
              <w:t>本项目是</w:t>
            </w:r>
            <w:r>
              <w:rPr>
                <w:rFonts w:hint="eastAsia" w:cs="Times New Roman" w:eastAsiaTheme="minorEastAsia"/>
                <w:i w:val="0"/>
                <w:iCs w:val="0"/>
                <w:sz w:val="24"/>
                <w:szCs w:val="24"/>
                <w:u w:val="none"/>
                <w:lang w:eastAsia="zh-CN"/>
              </w:rPr>
              <w:t>商品</w:t>
            </w:r>
            <w:r>
              <w:rPr>
                <w:rFonts w:hint="default" w:ascii="Times New Roman" w:hAnsi="Times New Roman" w:cs="Times New Roman" w:eastAsiaTheme="minorEastAsia"/>
                <w:i w:val="0"/>
                <w:iCs w:val="0"/>
                <w:sz w:val="24"/>
                <w:szCs w:val="24"/>
                <w:u w:val="none"/>
              </w:rPr>
              <w:t>混凝土搅拌生产行业，属于水泥制品</w:t>
            </w:r>
            <w:r>
              <w:rPr>
                <w:rFonts w:hint="eastAsia" w:cs="Times New Roman" w:eastAsiaTheme="minorEastAsia"/>
                <w:i w:val="0"/>
                <w:iCs w:val="0"/>
                <w:sz w:val="24"/>
                <w:szCs w:val="24"/>
                <w:u w:val="none"/>
                <w:lang w:eastAsia="zh-CN"/>
              </w:rPr>
              <w:t>企业</w:t>
            </w:r>
            <w:r>
              <w:rPr>
                <w:rFonts w:hint="default" w:ascii="Times New Roman" w:hAnsi="Times New Roman" w:cs="Times New Roman" w:eastAsiaTheme="minorEastAsia"/>
                <w:i w:val="0"/>
                <w:iCs w:val="0"/>
                <w:sz w:val="24"/>
                <w:szCs w:val="24"/>
                <w:u w:val="none"/>
              </w:rPr>
              <w:t>，</w:t>
            </w:r>
            <w:r>
              <w:rPr>
                <w:rFonts w:hint="eastAsia" w:cs="Times New Roman" w:eastAsiaTheme="minorEastAsia"/>
                <w:i w:val="0"/>
                <w:iCs w:val="0"/>
                <w:sz w:val="24"/>
                <w:szCs w:val="24"/>
                <w:u w:val="none"/>
                <w:lang w:val="en-US" w:eastAsia="zh-CN"/>
              </w:rPr>
              <w:t>生产过程中</w:t>
            </w:r>
            <w:r>
              <w:rPr>
                <w:rFonts w:hint="default" w:ascii="Times New Roman" w:hAnsi="Times New Roman" w:cs="Times New Roman" w:eastAsiaTheme="minorEastAsia"/>
                <w:i w:val="0"/>
                <w:iCs w:val="0"/>
                <w:sz w:val="24"/>
                <w:szCs w:val="24"/>
                <w:u w:val="none"/>
              </w:rPr>
              <w:t>排放废气执行《水泥工业大气污染物排放标准》（GB 4915-2013）表3</w:t>
            </w:r>
            <w:r>
              <w:rPr>
                <w:rFonts w:hint="eastAsia" w:ascii="宋体" w:hAnsi="宋体" w:eastAsia="宋体" w:cs="宋体"/>
                <w:color w:val="000000"/>
                <w:kern w:val="0"/>
                <w:sz w:val="24"/>
                <w:szCs w:val="24"/>
                <w:lang w:val="en-US" w:eastAsia="zh-CN" w:bidi="ar"/>
              </w:rPr>
              <w:t>中</w:t>
            </w:r>
            <w:r>
              <w:rPr>
                <w:rFonts w:hint="eastAsia" w:ascii="宋体" w:hAnsi="宋体" w:cs="宋体"/>
                <w:color w:val="000000"/>
                <w:kern w:val="0"/>
                <w:sz w:val="24"/>
                <w:szCs w:val="24"/>
                <w:lang w:val="en-US" w:eastAsia="zh-CN" w:bidi="ar"/>
              </w:rPr>
              <w:t>大气污染物排放限值要求</w:t>
            </w:r>
            <w:r>
              <w:rPr>
                <w:rFonts w:hint="default" w:ascii="Times New Roman" w:hAnsi="Times New Roman" w:cs="Times New Roman" w:eastAsiaTheme="minorEastAsia"/>
                <w:i w:val="0"/>
                <w:iCs w:val="0"/>
                <w:sz w:val="24"/>
                <w:szCs w:val="24"/>
                <w:u w:val="none"/>
              </w:rPr>
              <w:t>，详见下表。</w:t>
            </w:r>
          </w:p>
          <w:p w14:paraId="18B09A9D">
            <w:pPr>
              <w:pStyle w:val="6"/>
              <w:keepNext/>
              <w:adjustRightInd w:val="0"/>
              <w:snapToGrid w:val="0"/>
              <w:spacing w:beforeLines="0" w:afterLines="0"/>
              <w:rPr>
                <w:rFonts w:hint="default" w:ascii="Times New Roman" w:hAnsi="Times New Roman" w:cs="Times New Roman" w:eastAsiaTheme="minorEastAsia"/>
                <w:b/>
                <w:bCs w:val="0"/>
                <w:i w:val="0"/>
                <w:iCs w:val="0"/>
                <w:sz w:val="21"/>
                <w:szCs w:val="21"/>
                <w:u w:val="none"/>
                <w:vertAlign w:val="superscript"/>
              </w:rPr>
            </w:pPr>
            <w:r>
              <w:rPr>
                <w:rFonts w:hint="default" w:ascii="Times New Roman" w:hAnsi="Times New Roman" w:cs="Times New Roman" w:eastAsiaTheme="minorEastAsia"/>
                <w:b/>
                <w:bCs w:val="0"/>
                <w:i w:val="0"/>
                <w:iCs w:val="0"/>
                <w:sz w:val="24"/>
                <w:szCs w:val="24"/>
                <w:u w:val="none"/>
              </w:rPr>
              <w:t>表</w:t>
            </w:r>
            <w:r>
              <w:rPr>
                <w:rFonts w:hint="eastAsia" w:ascii="Times New Roman" w:hAnsi="Times New Roman" w:cs="Times New Roman" w:eastAsiaTheme="minorEastAsia"/>
                <w:b/>
                <w:bCs w:val="0"/>
                <w:i w:val="0"/>
                <w:iCs w:val="0"/>
                <w:sz w:val="24"/>
                <w:szCs w:val="24"/>
                <w:u w:val="none"/>
                <w:lang w:val="en-US" w:eastAsia="zh-CN"/>
              </w:rPr>
              <w:t>3-7</w:t>
            </w:r>
            <w:r>
              <w:rPr>
                <w:rFonts w:hint="default" w:ascii="Times New Roman" w:hAnsi="Times New Roman" w:cs="Times New Roman" w:eastAsiaTheme="minorEastAsia"/>
                <w:b/>
                <w:bCs w:val="0"/>
                <w:i w:val="0"/>
                <w:iCs w:val="0"/>
                <w:sz w:val="24"/>
                <w:szCs w:val="24"/>
                <w:u w:val="none"/>
              </w:rPr>
              <w:t xml:space="preserve">  </w:t>
            </w:r>
            <w:r>
              <w:rPr>
                <w:rFonts w:hint="eastAsia" w:ascii="Times New Roman" w:hAnsi="Times New Roman" w:cs="Times New Roman" w:eastAsiaTheme="minorEastAsia"/>
                <w:b/>
                <w:bCs w:val="0"/>
                <w:i w:val="0"/>
                <w:iCs w:val="0"/>
                <w:sz w:val="24"/>
                <w:szCs w:val="24"/>
                <w:u w:val="none"/>
                <w:lang w:eastAsia="zh-CN"/>
              </w:rPr>
              <w:t>《</w:t>
            </w:r>
            <w:r>
              <w:rPr>
                <w:rFonts w:hint="default" w:ascii="Times New Roman" w:hAnsi="Times New Roman" w:cs="Times New Roman" w:eastAsiaTheme="minorEastAsia"/>
                <w:b/>
                <w:bCs w:val="0"/>
                <w:i w:val="0"/>
                <w:iCs w:val="0"/>
                <w:sz w:val="24"/>
                <w:szCs w:val="24"/>
                <w:u w:val="none"/>
              </w:rPr>
              <w:t>水泥工业大气污染物排放标准</w:t>
            </w:r>
            <w:r>
              <w:rPr>
                <w:rFonts w:hint="eastAsia" w:ascii="Times New Roman" w:hAnsi="Times New Roman" w:cs="Times New Roman" w:eastAsiaTheme="minorEastAsia"/>
                <w:b/>
                <w:bCs w:val="0"/>
                <w:i w:val="0"/>
                <w:iCs w:val="0"/>
                <w:sz w:val="24"/>
                <w:szCs w:val="24"/>
                <w:u w:val="none"/>
                <w:lang w:eastAsia="zh-CN"/>
              </w:rPr>
              <w:t>》</w:t>
            </w:r>
            <w:r>
              <w:rPr>
                <w:rFonts w:hint="eastAsia" w:ascii="Times New Roman" w:hAnsi="Times New Roman" w:cs="Times New Roman" w:eastAsiaTheme="minorEastAsia"/>
                <w:b/>
                <w:bCs w:val="0"/>
                <w:i w:val="0"/>
                <w:iCs w:val="0"/>
                <w:sz w:val="24"/>
                <w:szCs w:val="24"/>
                <w:u w:val="none"/>
                <w:lang w:val="en-US" w:eastAsia="zh-CN"/>
              </w:rPr>
              <w:t>大气污染物无组织排放限值</w:t>
            </w:r>
            <w:r>
              <w:rPr>
                <w:rFonts w:hint="default" w:ascii="Times New Roman" w:hAnsi="Times New Roman" w:cs="Times New Roman" w:eastAsiaTheme="minorEastAsia"/>
                <w:b/>
                <w:bCs w:val="0"/>
                <w:i w:val="0"/>
                <w:iCs w:val="0"/>
                <w:sz w:val="21"/>
                <w:szCs w:val="21"/>
                <w:u w:val="none"/>
              </w:rPr>
              <w:t xml:space="preserve">     </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91"/>
              <w:gridCol w:w="2911"/>
              <w:gridCol w:w="2717"/>
            </w:tblGrid>
            <w:tr w14:paraId="4496D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noWrap w:val="0"/>
                  <w:vAlign w:val="center"/>
                </w:tcPr>
                <w:p w14:paraId="2D5C2883">
                  <w:pPr>
                    <w:jc w:val="center"/>
                    <w:rPr>
                      <w:rFonts w:hint="default" w:ascii="Times New Roman" w:hAnsi="Times New Roman" w:cs="Times New Roman" w:eastAsiaTheme="minorEastAsia"/>
                      <w:b/>
                      <w:bCs w:val="0"/>
                      <w:i w:val="0"/>
                      <w:iCs w:val="0"/>
                      <w:szCs w:val="21"/>
                      <w:u w:val="none"/>
                    </w:rPr>
                  </w:pPr>
                  <w:r>
                    <w:rPr>
                      <w:rFonts w:hint="default" w:ascii="Times New Roman" w:hAnsi="Times New Roman" w:cs="Times New Roman" w:eastAsiaTheme="minorEastAsia"/>
                      <w:b/>
                      <w:bCs w:val="0"/>
                      <w:i w:val="0"/>
                      <w:iCs w:val="0"/>
                      <w:szCs w:val="21"/>
                      <w:u w:val="none"/>
                    </w:rPr>
                    <w:t>污染物项目</w:t>
                  </w:r>
                </w:p>
              </w:tc>
              <w:tc>
                <w:tcPr>
                  <w:tcW w:w="982" w:type="pct"/>
                  <w:noWrap w:val="0"/>
                  <w:vAlign w:val="center"/>
                </w:tcPr>
                <w:p w14:paraId="22CC40EE">
                  <w:pPr>
                    <w:jc w:val="center"/>
                    <w:rPr>
                      <w:rFonts w:hint="default" w:ascii="Times New Roman" w:hAnsi="Times New Roman" w:cs="Times New Roman" w:eastAsiaTheme="minorEastAsia"/>
                      <w:b/>
                      <w:bCs w:val="0"/>
                      <w:i w:val="0"/>
                      <w:iCs w:val="0"/>
                      <w:szCs w:val="21"/>
                      <w:u w:val="none"/>
                    </w:rPr>
                  </w:pPr>
                  <w:r>
                    <w:rPr>
                      <w:rFonts w:hint="default" w:ascii="Times New Roman" w:hAnsi="Times New Roman" w:cs="Times New Roman" w:eastAsiaTheme="minorEastAsia"/>
                      <w:b/>
                      <w:bCs w:val="0"/>
                      <w:i w:val="0"/>
                      <w:iCs w:val="0"/>
                      <w:szCs w:val="21"/>
                      <w:u w:val="none"/>
                    </w:rPr>
                    <w:t>浓度限值（mg/m</w:t>
                  </w:r>
                  <w:r>
                    <w:rPr>
                      <w:rFonts w:hint="default" w:ascii="Times New Roman" w:hAnsi="Times New Roman" w:cs="Times New Roman" w:eastAsiaTheme="minorEastAsia"/>
                      <w:b/>
                      <w:bCs w:val="0"/>
                      <w:i w:val="0"/>
                      <w:iCs w:val="0"/>
                      <w:szCs w:val="21"/>
                      <w:u w:val="none"/>
                      <w:vertAlign w:val="superscript"/>
                    </w:rPr>
                    <w:t>3</w:t>
                  </w:r>
                  <w:r>
                    <w:rPr>
                      <w:rFonts w:hint="default" w:ascii="Times New Roman" w:hAnsi="Times New Roman" w:cs="Times New Roman" w:eastAsiaTheme="minorEastAsia"/>
                      <w:b/>
                      <w:bCs w:val="0"/>
                      <w:i w:val="0"/>
                      <w:iCs w:val="0"/>
                      <w:szCs w:val="21"/>
                      <w:u w:val="none"/>
                    </w:rPr>
                    <w:t>）</w:t>
                  </w:r>
                </w:p>
              </w:tc>
              <w:tc>
                <w:tcPr>
                  <w:tcW w:w="1798" w:type="pct"/>
                  <w:noWrap w:val="0"/>
                  <w:vAlign w:val="center"/>
                </w:tcPr>
                <w:p w14:paraId="7FC94205">
                  <w:pPr>
                    <w:jc w:val="center"/>
                    <w:rPr>
                      <w:rFonts w:hint="default" w:ascii="Times New Roman" w:hAnsi="Times New Roman" w:cs="Times New Roman" w:eastAsiaTheme="minorEastAsia"/>
                      <w:b/>
                      <w:bCs w:val="0"/>
                      <w:i w:val="0"/>
                      <w:iCs w:val="0"/>
                      <w:szCs w:val="21"/>
                      <w:u w:val="none"/>
                    </w:rPr>
                  </w:pPr>
                  <w:r>
                    <w:rPr>
                      <w:rFonts w:hint="default" w:ascii="Times New Roman" w:hAnsi="Times New Roman" w:cs="Times New Roman" w:eastAsiaTheme="minorEastAsia"/>
                      <w:b/>
                      <w:bCs w:val="0"/>
                      <w:i w:val="0"/>
                      <w:iCs w:val="0"/>
                      <w:szCs w:val="21"/>
                      <w:u w:val="none"/>
                    </w:rPr>
                    <w:t>限值含义</w:t>
                  </w:r>
                </w:p>
              </w:tc>
              <w:tc>
                <w:tcPr>
                  <w:tcW w:w="1678" w:type="pct"/>
                  <w:noWrap w:val="0"/>
                  <w:vAlign w:val="center"/>
                </w:tcPr>
                <w:p w14:paraId="6E7E88CE">
                  <w:pPr>
                    <w:jc w:val="center"/>
                    <w:rPr>
                      <w:rFonts w:hint="eastAsia" w:ascii="Times New Roman" w:hAnsi="Times New Roman" w:cs="Times New Roman" w:eastAsiaTheme="minorEastAsia"/>
                      <w:b/>
                      <w:bCs w:val="0"/>
                      <w:i w:val="0"/>
                      <w:iCs w:val="0"/>
                      <w:szCs w:val="21"/>
                      <w:u w:val="none"/>
                      <w:lang w:eastAsia="zh-CN"/>
                    </w:rPr>
                  </w:pPr>
                  <w:r>
                    <w:rPr>
                      <w:rFonts w:hint="default" w:ascii="Times New Roman" w:hAnsi="Times New Roman" w:cs="Times New Roman" w:eastAsiaTheme="minorEastAsia"/>
                      <w:b/>
                      <w:bCs w:val="0"/>
                      <w:i w:val="0"/>
                      <w:iCs w:val="0"/>
                      <w:szCs w:val="21"/>
                      <w:u w:val="none"/>
                    </w:rPr>
                    <w:t>无组织排放监控</w:t>
                  </w:r>
                  <w:r>
                    <w:rPr>
                      <w:rFonts w:hint="eastAsia" w:cs="Times New Roman" w:eastAsiaTheme="minorEastAsia"/>
                      <w:b/>
                      <w:bCs w:val="0"/>
                      <w:i w:val="0"/>
                      <w:iCs w:val="0"/>
                      <w:szCs w:val="21"/>
                      <w:u w:val="none"/>
                      <w:lang w:eastAsia="zh-CN"/>
                    </w:rPr>
                    <w:t>位置</w:t>
                  </w:r>
                </w:p>
              </w:tc>
            </w:tr>
            <w:tr w14:paraId="0EB25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noWrap w:val="0"/>
                  <w:vAlign w:val="center"/>
                </w:tcPr>
                <w:p w14:paraId="647C6F8A">
                  <w:pPr>
                    <w:jc w:val="center"/>
                    <w:rPr>
                      <w:rFonts w:hint="default" w:ascii="Times New Roman" w:hAnsi="Times New Roman" w:cs="Times New Roman" w:eastAsiaTheme="minorEastAsia"/>
                      <w:b w:val="0"/>
                      <w:bCs/>
                      <w:i w:val="0"/>
                      <w:iCs w:val="0"/>
                      <w:szCs w:val="21"/>
                      <w:u w:val="none"/>
                    </w:rPr>
                  </w:pPr>
                  <w:r>
                    <w:rPr>
                      <w:rFonts w:hint="default" w:ascii="Times New Roman" w:hAnsi="Times New Roman" w:cs="Times New Roman" w:eastAsiaTheme="minorEastAsia"/>
                      <w:b w:val="0"/>
                      <w:bCs/>
                      <w:i w:val="0"/>
                      <w:iCs w:val="0"/>
                      <w:szCs w:val="21"/>
                      <w:u w:val="none"/>
                    </w:rPr>
                    <w:t>颗粒物</w:t>
                  </w:r>
                </w:p>
              </w:tc>
              <w:tc>
                <w:tcPr>
                  <w:tcW w:w="982" w:type="pct"/>
                  <w:noWrap w:val="0"/>
                  <w:vAlign w:val="center"/>
                </w:tcPr>
                <w:p w14:paraId="154AC5D7">
                  <w:pPr>
                    <w:jc w:val="center"/>
                    <w:rPr>
                      <w:rFonts w:hint="default" w:ascii="Times New Roman" w:hAnsi="Times New Roman" w:cs="Times New Roman" w:eastAsiaTheme="minorEastAsia"/>
                      <w:b w:val="0"/>
                      <w:bCs/>
                      <w:i w:val="0"/>
                      <w:iCs w:val="0"/>
                      <w:szCs w:val="21"/>
                      <w:u w:val="none"/>
                    </w:rPr>
                  </w:pPr>
                  <w:r>
                    <w:rPr>
                      <w:rFonts w:hint="default" w:ascii="Times New Roman" w:hAnsi="Times New Roman" w:cs="Times New Roman" w:eastAsiaTheme="minorEastAsia"/>
                      <w:b w:val="0"/>
                      <w:bCs/>
                      <w:i w:val="0"/>
                      <w:iCs w:val="0"/>
                      <w:szCs w:val="21"/>
                      <w:u w:val="none"/>
                    </w:rPr>
                    <w:t>0.5</w:t>
                  </w:r>
                </w:p>
              </w:tc>
              <w:tc>
                <w:tcPr>
                  <w:tcW w:w="1798" w:type="pct"/>
                  <w:noWrap w:val="0"/>
                  <w:vAlign w:val="center"/>
                </w:tcPr>
                <w:p w14:paraId="5366DB72">
                  <w:pPr>
                    <w:jc w:val="center"/>
                    <w:rPr>
                      <w:rFonts w:hint="default" w:ascii="Times New Roman" w:hAnsi="Times New Roman" w:cs="Times New Roman" w:eastAsiaTheme="minorEastAsia"/>
                      <w:b w:val="0"/>
                      <w:bCs/>
                      <w:i w:val="0"/>
                      <w:iCs w:val="0"/>
                      <w:szCs w:val="21"/>
                      <w:u w:val="none"/>
                    </w:rPr>
                  </w:pPr>
                  <w:r>
                    <w:rPr>
                      <w:rFonts w:hint="default" w:ascii="Times New Roman" w:hAnsi="Times New Roman" w:cs="Times New Roman" w:eastAsiaTheme="minorEastAsia"/>
                      <w:b w:val="0"/>
                      <w:bCs/>
                      <w:i w:val="0"/>
                      <w:iCs w:val="0"/>
                      <w:szCs w:val="21"/>
                      <w:u w:val="none"/>
                    </w:rPr>
                    <w:t>监控点与参照点总悬浮颗粒物（TSP）1小时浓度值的差值</w:t>
                  </w:r>
                </w:p>
              </w:tc>
              <w:tc>
                <w:tcPr>
                  <w:tcW w:w="1678" w:type="pct"/>
                  <w:noWrap w:val="0"/>
                  <w:vAlign w:val="center"/>
                </w:tcPr>
                <w:p w14:paraId="6F435878">
                  <w:pPr>
                    <w:jc w:val="center"/>
                    <w:rPr>
                      <w:rFonts w:hint="default" w:ascii="Times New Roman" w:hAnsi="Times New Roman" w:cs="Times New Roman" w:eastAsiaTheme="minorEastAsia"/>
                      <w:b w:val="0"/>
                      <w:bCs/>
                      <w:i w:val="0"/>
                      <w:iCs w:val="0"/>
                      <w:szCs w:val="21"/>
                      <w:u w:val="none"/>
                    </w:rPr>
                  </w:pPr>
                  <w:r>
                    <w:rPr>
                      <w:rFonts w:hint="default" w:ascii="Times New Roman" w:hAnsi="Times New Roman" w:cs="Times New Roman" w:eastAsiaTheme="minorEastAsia"/>
                      <w:b w:val="0"/>
                      <w:bCs/>
                      <w:i w:val="0"/>
                      <w:iCs w:val="0"/>
                      <w:szCs w:val="21"/>
                      <w:u w:val="none"/>
                    </w:rPr>
                    <w:t>厂界外20m处上风向设参照点，下风向设监控点</w:t>
                  </w:r>
                </w:p>
              </w:tc>
            </w:tr>
          </w:tbl>
          <w:p w14:paraId="0B1FC86D">
            <w:pPr>
              <w:adjustRightInd w:val="0"/>
              <w:spacing w:before="120" w:beforeLines="50" w:line="360" w:lineRule="auto"/>
              <w:ind w:firstLine="482" w:firstLineChars="200"/>
              <w:rPr>
                <w:rFonts w:hint="default" w:ascii="Times New Roman" w:hAnsi="Times New Roman" w:cs="Times New Roman" w:eastAsiaTheme="minorEastAsia"/>
                <w:b/>
                <w:bCs/>
                <w:i w:val="0"/>
                <w:iCs w:val="0"/>
                <w:sz w:val="24"/>
                <w:szCs w:val="24"/>
                <w:u w:val="none"/>
              </w:rPr>
            </w:pPr>
            <w:r>
              <w:rPr>
                <w:rFonts w:hint="eastAsia" w:ascii="Times New Roman" w:hAnsi="Times New Roman" w:cs="Times New Roman" w:eastAsiaTheme="minorEastAsia"/>
                <w:b/>
                <w:bCs/>
                <w:i w:val="0"/>
                <w:iCs w:val="0"/>
                <w:sz w:val="24"/>
                <w:szCs w:val="24"/>
                <w:u w:val="none"/>
                <w:lang w:val="en-US" w:eastAsia="zh-CN"/>
              </w:rPr>
              <w:t>2</w:t>
            </w:r>
            <w:r>
              <w:rPr>
                <w:rFonts w:hint="default" w:ascii="Times New Roman" w:hAnsi="Times New Roman" w:cs="Times New Roman" w:eastAsiaTheme="minorEastAsia"/>
                <w:b/>
                <w:bCs/>
                <w:i w:val="0"/>
                <w:iCs w:val="0"/>
                <w:sz w:val="24"/>
                <w:szCs w:val="24"/>
                <w:u w:val="none"/>
              </w:rPr>
              <w:t>、噪声</w:t>
            </w:r>
          </w:p>
          <w:p w14:paraId="030A2690">
            <w:pPr>
              <w:adjustRightInd w:val="0"/>
              <w:snapToGrid w:val="0"/>
              <w:spacing w:line="360" w:lineRule="auto"/>
              <w:ind w:firstLine="480" w:firstLineChars="200"/>
              <w:jc w:val="left"/>
              <w:rPr>
                <w:rFonts w:hint="default"/>
                <w:u w:val="none" w:color="auto"/>
              </w:rPr>
            </w:pPr>
            <w:r>
              <w:rPr>
                <w:rFonts w:hint="default" w:ascii="Times New Roman" w:hAnsi="Times New Roman" w:cs="Times New Roman" w:eastAsiaTheme="minorEastAsia"/>
                <w:b w:val="0"/>
                <w:bCs w:val="0"/>
                <w:i w:val="0"/>
                <w:iCs w:val="0"/>
                <w:sz w:val="24"/>
                <w:szCs w:val="24"/>
                <w:u w:val="none" w:color="auto"/>
              </w:rPr>
              <w:t>项目施工期噪声执行</w:t>
            </w:r>
            <w:r>
              <w:rPr>
                <w:rFonts w:hint="default" w:ascii="Times New Roman" w:hAnsi="Times New Roman" w:cs="Times New Roman" w:eastAsiaTheme="minorEastAsia"/>
                <w:b w:val="0"/>
                <w:bCs w:val="0"/>
                <w:i w:val="0"/>
                <w:iCs w:val="0"/>
                <w:sz w:val="24"/>
                <w:szCs w:val="24"/>
                <w:u w:val="none" w:color="auto"/>
                <w:lang w:eastAsia="zh-CN"/>
              </w:rPr>
              <w:t>《建筑施工噪声排放标准》（GB12523-2025）</w:t>
            </w:r>
            <w:r>
              <w:rPr>
                <w:rFonts w:hint="default" w:ascii="Times New Roman" w:hAnsi="Times New Roman" w:cs="Times New Roman" w:eastAsiaTheme="minorEastAsia"/>
                <w:b w:val="0"/>
                <w:bCs w:val="0"/>
                <w:i w:val="0"/>
                <w:iCs w:val="0"/>
                <w:sz w:val="24"/>
                <w:szCs w:val="24"/>
                <w:u w:val="none" w:color="auto"/>
              </w:rPr>
              <w:t>中表1排放标准；营运期噪声排放限值采用</w:t>
            </w:r>
            <w:r>
              <w:rPr>
                <w:rFonts w:hint="eastAsia" w:cs="Times New Roman" w:eastAsiaTheme="minorEastAsia"/>
                <w:b w:val="0"/>
                <w:bCs w:val="0"/>
                <w:i w:val="0"/>
                <w:iCs w:val="0"/>
                <w:sz w:val="24"/>
                <w:szCs w:val="24"/>
                <w:u w:val="none" w:color="auto"/>
                <w:lang w:eastAsia="zh-CN"/>
              </w:rPr>
              <w:t>《工业企业厂界环境噪声排放标准》（GB12348-2008）中3类</w:t>
            </w:r>
            <w:r>
              <w:rPr>
                <w:rFonts w:hint="default" w:ascii="Times New Roman" w:hAnsi="Times New Roman" w:cs="Times New Roman" w:eastAsiaTheme="minorEastAsia"/>
                <w:b w:val="0"/>
                <w:bCs w:val="0"/>
                <w:i w:val="0"/>
                <w:iCs w:val="0"/>
                <w:sz w:val="24"/>
                <w:szCs w:val="24"/>
                <w:u w:val="none" w:color="auto"/>
              </w:rPr>
              <w:t>排放标准要求，标准值见下表。</w:t>
            </w:r>
          </w:p>
          <w:p w14:paraId="41741DF3">
            <w:pPr>
              <w:adjustRightInd w:val="0"/>
              <w:jc w:val="center"/>
              <w:rPr>
                <w:rFonts w:hint="default" w:ascii="Times New Roman" w:hAnsi="Times New Roman" w:cs="Times New Roman" w:eastAsiaTheme="minorEastAsia"/>
                <w:b/>
                <w:bCs/>
                <w:i w:val="0"/>
                <w:iCs w:val="0"/>
                <w:szCs w:val="21"/>
                <w:u w:val="none" w:color="auto"/>
              </w:rPr>
            </w:pPr>
            <w:r>
              <w:rPr>
                <w:rFonts w:hint="default" w:ascii="Times New Roman" w:hAnsi="Times New Roman" w:cs="Times New Roman" w:eastAsiaTheme="minorEastAsia"/>
                <w:b/>
                <w:bCs/>
                <w:i w:val="0"/>
                <w:iCs w:val="0"/>
                <w:sz w:val="24"/>
                <w:szCs w:val="24"/>
                <w:u w:val="none" w:color="auto"/>
              </w:rPr>
              <w:t>表</w:t>
            </w:r>
            <w:r>
              <w:rPr>
                <w:rFonts w:hint="eastAsia" w:cs="Times New Roman" w:eastAsiaTheme="minorEastAsia"/>
                <w:b/>
                <w:bCs/>
                <w:i w:val="0"/>
                <w:iCs w:val="0"/>
                <w:sz w:val="24"/>
                <w:szCs w:val="24"/>
                <w:u w:val="none" w:color="auto"/>
                <w:lang w:val="en-US" w:eastAsia="zh-CN"/>
              </w:rPr>
              <w:t>3-8</w:t>
            </w:r>
            <w:r>
              <w:rPr>
                <w:rFonts w:hint="default" w:ascii="Times New Roman" w:hAnsi="Times New Roman" w:cs="Times New Roman" w:eastAsiaTheme="minorEastAsia"/>
                <w:b/>
                <w:bCs/>
                <w:i w:val="0"/>
                <w:iCs w:val="0"/>
                <w:sz w:val="24"/>
                <w:szCs w:val="24"/>
                <w:u w:val="none" w:color="auto"/>
              </w:rPr>
              <w:t xml:space="preserve">  厂界噪声排放标准       单位：dB（A）</w:t>
            </w:r>
          </w:p>
          <w:tbl>
            <w:tblPr>
              <w:tblStyle w:val="21"/>
              <w:tblW w:w="809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87"/>
              <w:gridCol w:w="1086"/>
              <w:gridCol w:w="1087"/>
              <w:gridCol w:w="3553"/>
            </w:tblGrid>
            <w:tr w14:paraId="4C40CC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186" w:type="dxa"/>
                  <w:vMerge w:val="restart"/>
                  <w:noWrap w:val="0"/>
                  <w:vAlign w:val="center"/>
                </w:tcPr>
                <w:p w14:paraId="2572EF2B">
                  <w:pPr>
                    <w:adjustRightInd w:val="0"/>
                    <w:snapToGrid w:val="0"/>
                    <w:jc w:val="center"/>
                    <w:rPr>
                      <w:rFonts w:hint="default" w:ascii="Times New Roman" w:hAnsi="Times New Roman" w:cs="Times New Roman" w:eastAsiaTheme="minorEastAsia"/>
                      <w:b/>
                      <w:bCs/>
                      <w:i w:val="0"/>
                      <w:iCs w:val="0"/>
                      <w:szCs w:val="21"/>
                      <w:u w:val="none" w:color="auto"/>
                    </w:rPr>
                  </w:pPr>
                  <w:r>
                    <w:rPr>
                      <w:rFonts w:hint="default" w:ascii="Times New Roman" w:hAnsi="Times New Roman" w:cs="Times New Roman" w:eastAsiaTheme="minorEastAsia"/>
                      <w:b/>
                      <w:bCs/>
                      <w:i w:val="0"/>
                      <w:iCs w:val="0"/>
                      <w:szCs w:val="21"/>
                      <w:u w:val="none" w:color="auto"/>
                    </w:rPr>
                    <w:t>环境要素</w:t>
                  </w:r>
                </w:p>
              </w:tc>
              <w:tc>
                <w:tcPr>
                  <w:tcW w:w="1187" w:type="dxa"/>
                  <w:vMerge w:val="restart"/>
                  <w:noWrap w:val="0"/>
                  <w:vAlign w:val="center"/>
                </w:tcPr>
                <w:p w14:paraId="3ECCFE13">
                  <w:pPr>
                    <w:adjustRightInd w:val="0"/>
                    <w:snapToGrid w:val="0"/>
                    <w:jc w:val="center"/>
                    <w:rPr>
                      <w:rFonts w:hint="default" w:ascii="Times New Roman" w:hAnsi="Times New Roman" w:cs="Times New Roman" w:eastAsiaTheme="minorEastAsia"/>
                      <w:b/>
                      <w:bCs/>
                      <w:i w:val="0"/>
                      <w:iCs w:val="0"/>
                      <w:szCs w:val="21"/>
                      <w:u w:val="none" w:color="auto"/>
                    </w:rPr>
                  </w:pPr>
                  <w:r>
                    <w:rPr>
                      <w:rFonts w:hint="default" w:ascii="Times New Roman" w:hAnsi="Times New Roman" w:cs="Times New Roman" w:eastAsiaTheme="minorEastAsia"/>
                      <w:b/>
                      <w:bCs/>
                      <w:i w:val="0"/>
                      <w:iCs w:val="0"/>
                      <w:szCs w:val="21"/>
                      <w:u w:val="none" w:color="auto"/>
                    </w:rPr>
                    <w:t>标准级别</w:t>
                  </w:r>
                </w:p>
              </w:tc>
              <w:tc>
                <w:tcPr>
                  <w:tcW w:w="2173" w:type="dxa"/>
                  <w:gridSpan w:val="2"/>
                  <w:noWrap w:val="0"/>
                  <w:vAlign w:val="center"/>
                </w:tcPr>
                <w:p w14:paraId="0257EBBE">
                  <w:pPr>
                    <w:adjustRightInd w:val="0"/>
                    <w:snapToGrid w:val="0"/>
                    <w:jc w:val="center"/>
                    <w:rPr>
                      <w:rFonts w:hint="default" w:ascii="Times New Roman" w:hAnsi="Times New Roman" w:cs="Times New Roman" w:eastAsiaTheme="minorEastAsia"/>
                      <w:b/>
                      <w:bCs/>
                      <w:i w:val="0"/>
                      <w:iCs w:val="0"/>
                      <w:szCs w:val="21"/>
                      <w:u w:val="none" w:color="auto"/>
                    </w:rPr>
                  </w:pPr>
                  <w:r>
                    <w:rPr>
                      <w:rFonts w:hint="default" w:ascii="Times New Roman" w:hAnsi="Times New Roman" w:cs="Times New Roman" w:eastAsiaTheme="minorEastAsia"/>
                      <w:b/>
                      <w:bCs/>
                      <w:i w:val="0"/>
                      <w:iCs w:val="0"/>
                      <w:szCs w:val="21"/>
                      <w:u w:val="none" w:color="auto"/>
                    </w:rPr>
                    <w:t>标准限值</w:t>
                  </w:r>
                </w:p>
              </w:tc>
              <w:tc>
                <w:tcPr>
                  <w:tcW w:w="3553" w:type="dxa"/>
                  <w:vMerge w:val="restart"/>
                  <w:noWrap w:val="0"/>
                  <w:vAlign w:val="center"/>
                </w:tcPr>
                <w:p w14:paraId="349B8459">
                  <w:pPr>
                    <w:adjustRightInd w:val="0"/>
                    <w:snapToGrid w:val="0"/>
                    <w:jc w:val="center"/>
                    <w:rPr>
                      <w:rFonts w:hint="default" w:ascii="Times New Roman" w:hAnsi="Times New Roman" w:cs="Times New Roman" w:eastAsiaTheme="minorEastAsia"/>
                      <w:b/>
                      <w:bCs/>
                      <w:i w:val="0"/>
                      <w:iCs w:val="0"/>
                      <w:szCs w:val="21"/>
                      <w:u w:val="none" w:color="auto"/>
                    </w:rPr>
                  </w:pPr>
                  <w:r>
                    <w:rPr>
                      <w:rFonts w:hint="default" w:ascii="Times New Roman" w:hAnsi="Times New Roman" w:cs="Times New Roman" w:eastAsiaTheme="minorEastAsia"/>
                      <w:b/>
                      <w:bCs/>
                      <w:i w:val="0"/>
                      <w:iCs w:val="0"/>
                      <w:szCs w:val="21"/>
                      <w:u w:val="none" w:color="auto"/>
                    </w:rPr>
                    <w:t>标准来源</w:t>
                  </w:r>
                </w:p>
              </w:tc>
            </w:tr>
            <w:tr w14:paraId="1570FB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186" w:type="dxa"/>
                  <w:vMerge w:val="continue"/>
                  <w:noWrap w:val="0"/>
                  <w:vAlign w:val="center"/>
                </w:tcPr>
                <w:p w14:paraId="0710B9BD">
                  <w:pPr>
                    <w:adjustRightInd w:val="0"/>
                    <w:snapToGrid w:val="0"/>
                    <w:jc w:val="center"/>
                    <w:rPr>
                      <w:rFonts w:hint="default" w:ascii="Times New Roman" w:hAnsi="Times New Roman" w:cs="Times New Roman" w:eastAsiaTheme="minorEastAsia"/>
                      <w:b w:val="0"/>
                      <w:bCs w:val="0"/>
                      <w:i w:val="0"/>
                      <w:iCs w:val="0"/>
                      <w:szCs w:val="21"/>
                      <w:u w:val="none" w:color="auto"/>
                    </w:rPr>
                  </w:pPr>
                </w:p>
              </w:tc>
              <w:tc>
                <w:tcPr>
                  <w:tcW w:w="1187" w:type="dxa"/>
                  <w:vMerge w:val="continue"/>
                  <w:noWrap w:val="0"/>
                  <w:vAlign w:val="center"/>
                </w:tcPr>
                <w:p w14:paraId="2AA389FC">
                  <w:pPr>
                    <w:adjustRightInd w:val="0"/>
                    <w:snapToGrid w:val="0"/>
                    <w:jc w:val="center"/>
                    <w:rPr>
                      <w:rFonts w:hint="default" w:ascii="Times New Roman" w:hAnsi="Times New Roman" w:cs="Times New Roman" w:eastAsiaTheme="minorEastAsia"/>
                      <w:b w:val="0"/>
                      <w:bCs w:val="0"/>
                      <w:i w:val="0"/>
                      <w:iCs w:val="0"/>
                      <w:szCs w:val="21"/>
                      <w:u w:val="none" w:color="auto"/>
                    </w:rPr>
                  </w:pPr>
                </w:p>
              </w:tc>
              <w:tc>
                <w:tcPr>
                  <w:tcW w:w="1086" w:type="dxa"/>
                  <w:noWrap w:val="0"/>
                  <w:vAlign w:val="center"/>
                </w:tcPr>
                <w:p w14:paraId="60700480">
                  <w:pPr>
                    <w:adjustRightInd w:val="0"/>
                    <w:snapToGrid w:val="0"/>
                    <w:jc w:val="center"/>
                    <w:rPr>
                      <w:rFonts w:hint="default" w:ascii="Times New Roman" w:hAnsi="Times New Roman" w:cs="Times New Roman" w:eastAsiaTheme="minorEastAsia"/>
                      <w:b/>
                      <w:bCs/>
                      <w:i w:val="0"/>
                      <w:iCs w:val="0"/>
                      <w:szCs w:val="21"/>
                      <w:u w:val="none" w:color="auto"/>
                    </w:rPr>
                  </w:pPr>
                  <w:r>
                    <w:rPr>
                      <w:rFonts w:hint="default" w:ascii="Times New Roman" w:hAnsi="Times New Roman" w:cs="Times New Roman" w:eastAsiaTheme="minorEastAsia"/>
                      <w:b/>
                      <w:bCs/>
                      <w:i w:val="0"/>
                      <w:iCs w:val="0"/>
                      <w:szCs w:val="21"/>
                      <w:u w:val="none" w:color="auto"/>
                    </w:rPr>
                    <w:t>昼间</w:t>
                  </w:r>
                </w:p>
              </w:tc>
              <w:tc>
                <w:tcPr>
                  <w:tcW w:w="1087" w:type="dxa"/>
                  <w:noWrap w:val="0"/>
                  <w:vAlign w:val="center"/>
                </w:tcPr>
                <w:p w14:paraId="77D02F60">
                  <w:pPr>
                    <w:adjustRightInd w:val="0"/>
                    <w:snapToGrid w:val="0"/>
                    <w:jc w:val="center"/>
                    <w:rPr>
                      <w:rFonts w:hint="default" w:ascii="Times New Roman" w:hAnsi="Times New Roman" w:cs="Times New Roman" w:eastAsiaTheme="minorEastAsia"/>
                      <w:b/>
                      <w:bCs/>
                      <w:i w:val="0"/>
                      <w:iCs w:val="0"/>
                      <w:szCs w:val="21"/>
                      <w:u w:val="none" w:color="auto"/>
                    </w:rPr>
                  </w:pPr>
                  <w:r>
                    <w:rPr>
                      <w:rFonts w:hint="default" w:ascii="Times New Roman" w:hAnsi="Times New Roman" w:cs="Times New Roman" w:eastAsiaTheme="minorEastAsia"/>
                      <w:b/>
                      <w:bCs/>
                      <w:i w:val="0"/>
                      <w:iCs w:val="0"/>
                      <w:szCs w:val="21"/>
                      <w:u w:val="none" w:color="auto"/>
                    </w:rPr>
                    <w:t>夜间</w:t>
                  </w:r>
                </w:p>
              </w:tc>
              <w:tc>
                <w:tcPr>
                  <w:tcW w:w="3553" w:type="dxa"/>
                  <w:vMerge w:val="continue"/>
                  <w:noWrap w:val="0"/>
                  <w:vAlign w:val="center"/>
                </w:tcPr>
                <w:p w14:paraId="6B1C6B91">
                  <w:pPr>
                    <w:adjustRightInd w:val="0"/>
                    <w:snapToGrid w:val="0"/>
                    <w:jc w:val="center"/>
                    <w:rPr>
                      <w:rFonts w:hint="default" w:ascii="Times New Roman" w:hAnsi="Times New Roman" w:cs="Times New Roman" w:eastAsiaTheme="minorEastAsia"/>
                      <w:b w:val="0"/>
                      <w:bCs w:val="0"/>
                      <w:i w:val="0"/>
                      <w:iCs w:val="0"/>
                      <w:szCs w:val="21"/>
                      <w:u w:val="none" w:color="auto"/>
                    </w:rPr>
                  </w:pPr>
                </w:p>
              </w:tc>
            </w:tr>
            <w:tr w14:paraId="54F322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186" w:type="dxa"/>
                  <w:noWrap w:val="0"/>
                  <w:vAlign w:val="center"/>
                </w:tcPr>
                <w:p w14:paraId="698B7C38">
                  <w:pPr>
                    <w:adjustRightInd w:val="0"/>
                    <w:snapToGrid w:val="0"/>
                    <w:jc w:val="center"/>
                    <w:rPr>
                      <w:rFonts w:hint="default" w:ascii="Times New Roman" w:hAnsi="Times New Roman" w:cs="Times New Roman" w:eastAsiaTheme="minorEastAsia"/>
                      <w:b w:val="0"/>
                      <w:bCs w:val="0"/>
                      <w:i w:val="0"/>
                      <w:iCs w:val="0"/>
                      <w:szCs w:val="21"/>
                      <w:u w:val="none" w:color="auto"/>
                    </w:rPr>
                  </w:pPr>
                  <w:r>
                    <w:rPr>
                      <w:rFonts w:hint="default" w:ascii="Times New Roman" w:hAnsi="Times New Roman" w:cs="Times New Roman" w:eastAsiaTheme="minorEastAsia"/>
                      <w:b w:val="0"/>
                      <w:bCs w:val="0"/>
                      <w:i w:val="0"/>
                      <w:iCs w:val="0"/>
                      <w:szCs w:val="21"/>
                      <w:u w:val="none" w:color="auto"/>
                    </w:rPr>
                    <w:t>施工期</w:t>
                  </w:r>
                </w:p>
              </w:tc>
              <w:tc>
                <w:tcPr>
                  <w:tcW w:w="1187" w:type="dxa"/>
                  <w:noWrap w:val="0"/>
                  <w:vAlign w:val="center"/>
                </w:tcPr>
                <w:p w14:paraId="2733B2A0">
                  <w:pPr>
                    <w:adjustRightInd w:val="0"/>
                    <w:snapToGrid w:val="0"/>
                    <w:jc w:val="center"/>
                    <w:rPr>
                      <w:rFonts w:hint="eastAsia" w:ascii="Times New Roman" w:hAnsi="Times New Roman" w:cs="Times New Roman" w:eastAsiaTheme="minorEastAsia"/>
                      <w:b w:val="0"/>
                      <w:bCs w:val="0"/>
                      <w:i w:val="0"/>
                      <w:iCs w:val="0"/>
                      <w:szCs w:val="21"/>
                      <w:u w:val="none" w:color="auto"/>
                      <w:lang w:val="en-US" w:eastAsia="zh-CN"/>
                    </w:rPr>
                  </w:pPr>
                  <w:r>
                    <w:rPr>
                      <w:rFonts w:hint="eastAsia" w:cs="Times New Roman" w:eastAsiaTheme="minorEastAsia"/>
                      <w:b w:val="0"/>
                      <w:bCs w:val="0"/>
                      <w:i w:val="0"/>
                      <w:iCs w:val="0"/>
                      <w:szCs w:val="21"/>
                      <w:u w:val="none" w:color="auto"/>
                      <w:lang w:val="en-US" w:eastAsia="zh-CN"/>
                    </w:rPr>
                    <w:t>/</w:t>
                  </w:r>
                </w:p>
              </w:tc>
              <w:tc>
                <w:tcPr>
                  <w:tcW w:w="1086" w:type="dxa"/>
                  <w:noWrap w:val="0"/>
                  <w:vAlign w:val="center"/>
                </w:tcPr>
                <w:p w14:paraId="34508242">
                  <w:pPr>
                    <w:adjustRightInd w:val="0"/>
                    <w:snapToGrid w:val="0"/>
                    <w:jc w:val="center"/>
                    <w:rPr>
                      <w:rFonts w:hint="default" w:ascii="Times New Roman" w:hAnsi="Times New Roman" w:cs="Times New Roman" w:eastAsiaTheme="minorEastAsia"/>
                      <w:b w:val="0"/>
                      <w:bCs w:val="0"/>
                      <w:i w:val="0"/>
                      <w:iCs w:val="0"/>
                      <w:szCs w:val="21"/>
                      <w:u w:val="none" w:color="auto"/>
                    </w:rPr>
                  </w:pPr>
                  <w:r>
                    <w:rPr>
                      <w:rFonts w:hint="default" w:ascii="Times New Roman" w:hAnsi="Times New Roman" w:cs="Times New Roman" w:eastAsiaTheme="minorEastAsia"/>
                      <w:b w:val="0"/>
                      <w:bCs w:val="0"/>
                      <w:i w:val="0"/>
                      <w:iCs w:val="0"/>
                      <w:szCs w:val="21"/>
                      <w:u w:val="none" w:color="auto"/>
                    </w:rPr>
                    <w:t>70</w:t>
                  </w:r>
                </w:p>
              </w:tc>
              <w:tc>
                <w:tcPr>
                  <w:tcW w:w="1087" w:type="dxa"/>
                  <w:noWrap w:val="0"/>
                  <w:vAlign w:val="center"/>
                </w:tcPr>
                <w:p w14:paraId="5D9BF78B">
                  <w:pPr>
                    <w:adjustRightInd w:val="0"/>
                    <w:snapToGrid w:val="0"/>
                    <w:jc w:val="center"/>
                    <w:rPr>
                      <w:rFonts w:hint="default" w:ascii="Times New Roman" w:hAnsi="Times New Roman" w:cs="Times New Roman" w:eastAsiaTheme="minorEastAsia"/>
                      <w:b w:val="0"/>
                      <w:bCs w:val="0"/>
                      <w:i w:val="0"/>
                      <w:iCs w:val="0"/>
                      <w:szCs w:val="21"/>
                      <w:u w:val="none" w:color="auto"/>
                    </w:rPr>
                  </w:pPr>
                  <w:r>
                    <w:rPr>
                      <w:rFonts w:hint="default" w:ascii="Times New Roman" w:hAnsi="Times New Roman" w:cs="Times New Roman" w:eastAsiaTheme="minorEastAsia"/>
                      <w:b w:val="0"/>
                      <w:bCs w:val="0"/>
                      <w:i w:val="0"/>
                      <w:iCs w:val="0"/>
                      <w:szCs w:val="21"/>
                      <w:u w:val="none" w:color="auto"/>
                    </w:rPr>
                    <w:t>55</w:t>
                  </w:r>
                </w:p>
              </w:tc>
              <w:tc>
                <w:tcPr>
                  <w:tcW w:w="3553" w:type="dxa"/>
                  <w:noWrap w:val="0"/>
                  <w:vAlign w:val="center"/>
                </w:tcPr>
                <w:p w14:paraId="7EEF4347">
                  <w:pPr>
                    <w:adjustRightInd w:val="0"/>
                    <w:snapToGrid w:val="0"/>
                    <w:jc w:val="center"/>
                    <w:rPr>
                      <w:rFonts w:hint="eastAsia" w:ascii="Times New Roman" w:hAnsi="Times New Roman" w:cs="Times New Roman" w:eastAsiaTheme="minorEastAsia"/>
                      <w:b w:val="0"/>
                      <w:bCs w:val="0"/>
                      <w:i w:val="0"/>
                      <w:iCs w:val="0"/>
                      <w:szCs w:val="21"/>
                      <w:u w:val="none" w:color="auto"/>
                      <w:lang w:eastAsia="zh-CN"/>
                    </w:rPr>
                  </w:pPr>
                  <w:r>
                    <w:rPr>
                      <w:rFonts w:hint="eastAsia" w:cs="Times New Roman" w:eastAsiaTheme="minorEastAsia"/>
                      <w:b w:val="0"/>
                      <w:bCs w:val="0"/>
                      <w:i w:val="0"/>
                      <w:iCs w:val="0"/>
                      <w:szCs w:val="21"/>
                      <w:u w:val="none" w:color="auto"/>
                      <w:lang w:eastAsia="zh-CN"/>
                    </w:rPr>
                    <w:t>GB12523-2025</w:t>
                  </w:r>
                </w:p>
              </w:tc>
            </w:tr>
            <w:tr w14:paraId="347969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186" w:type="dxa"/>
                  <w:noWrap w:val="0"/>
                  <w:vAlign w:val="center"/>
                </w:tcPr>
                <w:p w14:paraId="2CF90A41">
                  <w:pPr>
                    <w:adjustRightInd w:val="0"/>
                    <w:snapToGrid w:val="0"/>
                    <w:jc w:val="center"/>
                    <w:rPr>
                      <w:rFonts w:hint="default" w:ascii="Times New Roman" w:hAnsi="Times New Roman" w:cs="Times New Roman" w:eastAsiaTheme="minorEastAsia"/>
                      <w:b w:val="0"/>
                      <w:bCs w:val="0"/>
                      <w:i w:val="0"/>
                      <w:iCs w:val="0"/>
                      <w:szCs w:val="21"/>
                      <w:highlight w:val="none"/>
                      <w:u w:val="none" w:color="auto"/>
                    </w:rPr>
                  </w:pPr>
                  <w:r>
                    <w:rPr>
                      <w:rFonts w:hint="default" w:ascii="Times New Roman" w:hAnsi="Times New Roman" w:cs="Times New Roman" w:eastAsiaTheme="minorEastAsia"/>
                      <w:b w:val="0"/>
                      <w:bCs w:val="0"/>
                      <w:i w:val="0"/>
                      <w:iCs w:val="0"/>
                      <w:szCs w:val="21"/>
                      <w:highlight w:val="none"/>
                      <w:u w:val="none" w:color="auto"/>
                    </w:rPr>
                    <w:t>运营期</w:t>
                  </w:r>
                </w:p>
              </w:tc>
              <w:tc>
                <w:tcPr>
                  <w:tcW w:w="1187" w:type="dxa"/>
                  <w:noWrap w:val="0"/>
                  <w:vAlign w:val="center"/>
                </w:tcPr>
                <w:p w14:paraId="2F28C31D">
                  <w:pPr>
                    <w:adjustRightInd w:val="0"/>
                    <w:snapToGrid w:val="0"/>
                    <w:jc w:val="center"/>
                    <w:rPr>
                      <w:rFonts w:hint="default" w:ascii="Times New Roman" w:hAnsi="Times New Roman" w:cs="Times New Roman" w:eastAsiaTheme="minorEastAsia"/>
                      <w:b w:val="0"/>
                      <w:bCs w:val="0"/>
                      <w:i w:val="0"/>
                      <w:iCs w:val="0"/>
                      <w:szCs w:val="21"/>
                      <w:highlight w:val="none"/>
                      <w:u w:val="none" w:color="auto"/>
                    </w:rPr>
                  </w:pPr>
                  <w:r>
                    <w:rPr>
                      <w:rFonts w:hint="eastAsia" w:cs="Times New Roman" w:eastAsiaTheme="minorEastAsia"/>
                      <w:b w:val="0"/>
                      <w:bCs w:val="0"/>
                      <w:i w:val="0"/>
                      <w:iCs w:val="0"/>
                      <w:szCs w:val="21"/>
                      <w:highlight w:val="none"/>
                      <w:u w:val="none" w:color="auto"/>
                      <w:lang w:val="en-US" w:eastAsia="zh-CN"/>
                    </w:rPr>
                    <w:t>3</w:t>
                  </w:r>
                  <w:r>
                    <w:rPr>
                      <w:rFonts w:hint="default" w:ascii="Times New Roman" w:hAnsi="Times New Roman" w:cs="Times New Roman" w:eastAsiaTheme="minorEastAsia"/>
                      <w:b w:val="0"/>
                      <w:bCs w:val="0"/>
                      <w:i w:val="0"/>
                      <w:iCs w:val="0"/>
                      <w:szCs w:val="21"/>
                      <w:highlight w:val="none"/>
                      <w:u w:val="none" w:color="auto"/>
                    </w:rPr>
                    <w:t>类</w:t>
                  </w:r>
                </w:p>
              </w:tc>
              <w:tc>
                <w:tcPr>
                  <w:tcW w:w="1086" w:type="dxa"/>
                  <w:shd w:val="clear" w:color="auto" w:fill="auto"/>
                  <w:noWrap w:val="0"/>
                  <w:vAlign w:val="center"/>
                </w:tcPr>
                <w:p w14:paraId="2B12E803">
                  <w:pPr>
                    <w:jc w:val="center"/>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szCs w:val="21"/>
                      <w:highlight w:val="none"/>
                      <w:u w:val="none" w:color="auto"/>
                      <w:lang w:val="en-US" w:eastAsia="zh-CN"/>
                    </w:rPr>
                    <w:t>65</w:t>
                  </w:r>
                </w:p>
              </w:tc>
              <w:tc>
                <w:tcPr>
                  <w:tcW w:w="1087" w:type="dxa"/>
                  <w:shd w:val="clear" w:color="auto" w:fill="auto"/>
                  <w:noWrap w:val="0"/>
                  <w:vAlign w:val="center"/>
                </w:tcPr>
                <w:p w14:paraId="299C0EBD">
                  <w:pPr>
                    <w:jc w:val="center"/>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szCs w:val="21"/>
                      <w:highlight w:val="none"/>
                      <w:u w:val="none" w:color="auto"/>
                      <w:lang w:val="en-US" w:eastAsia="zh-CN"/>
                    </w:rPr>
                    <w:t>55</w:t>
                  </w:r>
                </w:p>
              </w:tc>
              <w:tc>
                <w:tcPr>
                  <w:tcW w:w="3553" w:type="dxa"/>
                  <w:noWrap w:val="0"/>
                  <w:vAlign w:val="center"/>
                </w:tcPr>
                <w:p w14:paraId="557A55D1">
                  <w:pPr>
                    <w:adjustRightInd w:val="0"/>
                    <w:snapToGrid w:val="0"/>
                    <w:jc w:val="center"/>
                    <w:rPr>
                      <w:rFonts w:hint="default" w:ascii="Times New Roman" w:hAnsi="Times New Roman" w:cs="Times New Roman" w:eastAsiaTheme="minorEastAsia"/>
                      <w:b w:val="0"/>
                      <w:bCs w:val="0"/>
                      <w:i w:val="0"/>
                      <w:iCs w:val="0"/>
                      <w:szCs w:val="21"/>
                      <w:highlight w:val="none"/>
                      <w:u w:val="none" w:color="auto"/>
                    </w:rPr>
                  </w:pPr>
                  <w:r>
                    <w:rPr>
                      <w:rFonts w:hint="default" w:ascii="Times New Roman" w:hAnsi="Times New Roman" w:cs="Times New Roman" w:eastAsiaTheme="minorEastAsia"/>
                      <w:b w:val="0"/>
                      <w:bCs w:val="0"/>
                      <w:i w:val="0"/>
                      <w:iCs w:val="0"/>
                      <w:szCs w:val="21"/>
                      <w:highlight w:val="none"/>
                      <w:u w:val="none" w:color="auto"/>
                    </w:rPr>
                    <w:t>GB12348</w:t>
                  </w:r>
                  <w:r>
                    <w:rPr>
                      <w:rFonts w:hint="eastAsia" w:cs="Times New Roman" w:eastAsiaTheme="minorEastAsia"/>
                      <w:b w:val="0"/>
                      <w:bCs w:val="0"/>
                      <w:i w:val="0"/>
                      <w:iCs w:val="0"/>
                      <w:szCs w:val="21"/>
                      <w:highlight w:val="none"/>
                      <w:u w:val="none" w:color="auto"/>
                      <w:lang w:val="en-US" w:eastAsia="zh-CN"/>
                    </w:rPr>
                    <w:t>-</w:t>
                  </w:r>
                  <w:r>
                    <w:rPr>
                      <w:rFonts w:hint="default" w:ascii="Times New Roman" w:hAnsi="Times New Roman" w:cs="Times New Roman" w:eastAsiaTheme="minorEastAsia"/>
                      <w:b w:val="0"/>
                      <w:bCs w:val="0"/>
                      <w:i w:val="0"/>
                      <w:iCs w:val="0"/>
                      <w:szCs w:val="21"/>
                      <w:highlight w:val="none"/>
                      <w:u w:val="none" w:color="auto"/>
                    </w:rPr>
                    <w:t>2008</w:t>
                  </w:r>
                </w:p>
              </w:tc>
            </w:tr>
          </w:tbl>
          <w:p w14:paraId="08CAE462">
            <w:pPr>
              <w:adjustRightInd w:val="0"/>
              <w:spacing w:before="120" w:beforeLines="50" w:line="360" w:lineRule="auto"/>
              <w:ind w:firstLine="482" w:firstLineChars="200"/>
              <w:rPr>
                <w:rFonts w:hint="default" w:ascii="Times New Roman" w:hAnsi="Times New Roman" w:cs="Times New Roman" w:eastAsiaTheme="minorEastAsia"/>
                <w:b/>
                <w:bCs/>
                <w:i w:val="0"/>
                <w:iCs w:val="0"/>
                <w:sz w:val="24"/>
                <w:szCs w:val="24"/>
                <w:u w:val="none"/>
                <w:lang w:val="en-US" w:eastAsia="zh-CN"/>
              </w:rPr>
            </w:pPr>
            <w:r>
              <w:rPr>
                <w:rFonts w:hint="default" w:ascii="Times New Roman" w:hAnsi="Times New Roman" w:cs="Times New Roman" w:eastAsiaTheme="minorEastAsia"/>
                <w:b/>
                <w:bCs/>
                <w:i w:val="0"/>
                <w:iCs w:val="0"/>
                <w:sz w:val="24"/>
                <w:szCs w:val="24"/>
                <w:u w:val="none"/>
                <w:lang w:val="en-US" w:eastAsia="zh-CN"/>
              </w:rPr>
              <w:t>3、固体废物</w:t>
            </w:r>
          </w:p>
          <w:p w14:paraId="3E6CB3CF">
            <w:pPr>
              <w:keepNext w:val="0"/>
              <w:keepLines w:val="0"/>
              <w:widowControl/>
              <w:suppressLineNumbers w:val="0"/>
              <w:spacing w:line="360" w:lineRule="auto"/>
              <w:ind w:firstLine="480" w:firstLineChars="200"/>
              <w:jc w:val="both"/>
              <w:rPr>
                <w:rFonts w:hint="default" w:ascii="宋体" w:hAnsi="宋体" w:eastAsia="宋体" w:cs="宋体"/>
                <w:kern w:val="0"/>
                <w:sz w:val="24"/>
                <w:szCs w:val="24"/>
                <w:lang w:val="en-US" w:eastAsia="zh-CN"/>
              </w:rPr>
            </w:pPr>
            <w:r>
              <w:rPr>
                <w:rFonts w:hint="default" w:ascii="Times New Roman" w:hAnsi="Times New Roman" w:eastAsia="宋体" w:cs="Times New Roman"/>
                <w:color w:val="auto"/>
                <w:sz w:val="24"/>
                <w:szCs w:val="24"/>
                <w:highlight w:val="none"/>
                <w:u w:val="none" w:color="auto"/>
                <w:lang w:eastAsia="zh-CN"/>
              </w:rPr>
              <w:t>一般固体废物</w:t>
            </w:r>
            <w:r>
              <w:rPr>
                <w:rFonts w:hint="default" w:ascii="Times New Roman" w:hAnsi="Times New Roman" w:eastAsia="宋体" w:cs="Times New Roman"/>
                <w:color w:val="auto"/>
                <w:sz w:val="24"/>
                <w:szCs w:val="24"/>
                <w:highlight w:val="none"/>
                <w:u w:val="none" w:color="auto"/>
              </w:rPr>
              <w:t>执行《一般工业固体废物贮存</w:t>
            </w:r>
            <w:r>
              <w:rPr>
                <w:rFonts w:hint="default" w:ascii="Times New Roman" w:hAnsi="Times New Roman" w:eastAsia="宋体" w:cs="Times New Roman"/>
                <w:color w:val="auto"/>
                <w:sz w:val="24"/>
                <w:szCs w:val="24"/>
                <w:highlight w:val="none"/>
                <w:u w:val="none" w:color="auto"/>
                <w:lang w:eastAsia="zh-CN"/>
              </w:rPr>
              <w:t>和填埋</w:t>
            </w:r>
            <w:r>
              <w:rPr>
                <w:rFonts w:hint="default" w:ascii="Times New Roman" w:hAnsi="Times New Roman" w:eastAsia="宋体" w:cs="Times New Roman"/>
                <w:color w:val="auto"/>
                <w:sz w:val="24"/>
                <w:szCs w:val="24"/>
                <w:highlight w:val="none"/>
                <w:u w:val="none" w:color="auto"/>
              </w:rPr>
              <w:t>污染控制标准》</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GB18599-20</w:t>
            </w:r>
            <w:r>
              <w:rPr>
                <w:rFonts w:hint="default" w:ascii="Times New Roman" w:hAnsi="Times New Roman" w:eastAsia="宋体" w:cs="Times New Roman"/>
                <w:color w:val="auto"/>
                <w:sz w:val="24"/>
                <w:szCs w:val="24"/>
                <w:highlight w:val="none"/>
                <w:u w:val="none" w:color="auto"/>
                <w:lang w:val="en-US" w:eastAsia="zh-CN"/>
              </w:rPr>
              <w:t>20</w:t>
            </w:r>
            <w:r>
              <w:rPr>
                <w:rFonts w:hint="default" w:ascii="Times New Roman" w:hAnsi="Times New Roman" w:eastAsia="宋体" w:cs="Times New Roman"/>
                <w:color w:val="auto"/>
                <w:sz w:val="24"/>
                <w:szCs w:val="24"/>
                <w:highlight w:val="none"/>
                <w:u w:val="none" w:color="auto"/>
                <w:lang w:eastAsia="zh-CN"/>
              </w:rPr>
              <w:t>）</w:t>
            </w:r>
            <w:r>
              <w:rPr>
                <w:rFonts w:hint="eastAsia" w:ascii="Times New Roman" w:hAnsi="Times New Roman" w:eastAsia="宋体" w:cs="Times New Roman"/>
                <w:color w:val="auto"/>
                <w:sz w:val="24"/>
                <w:szCs w:val="24"/>
                <w:highlight w:val="none"/>
                <w:u w:val="none" w:color="auto"/>
                <w:lang w:val="en-US" w:eastAsia="zh-CN"/>
              </w:rPr>
              <w:t>要求</w:t>
            </w:r>
            <w:r>
              <w:rPr>
                <w:rFonts w:hint="eastAsia" w:ascii="宋体" w:hAnsi="宋体" w:eastAsia="宋体" w:cs="宋体"/>
                <w:color w:val="000000"/>
                <w:kern w:val="0"/>
                <w:sz w:val="24"/>
                <w:szCs w:val="24"/>
                <w:u w:val="none"/>
                <w:lang w:val="en-US" w:eastAsia="zh-CN" w:bidi="ar"/>
              </w:rPr>
              <w:t>。</w:t>
            </w:r>
          </w:p>
        </w:tc>
      </w:tr>
      <w:tr w14:paraId="0931B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750" w:type="dxa"/>
            <w:noWrap w:val="0"/>
            <w:vAlign w:val="center"/>
          </w:tcPr>
          <w:p w14:paraId="28B511B6">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总量</w:t>
            </w:r>
          </w:p>
          <w:p w14:paraId="2CD31E79">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控制</w:t>
            </w:r>
          </w:p>
          <w:p w14:paraId="469E58DD">
            <w:pPr>
              <w:adjustRightInd w:val="0"/>
              <w:snapToGrid w:val="0"/>
              <w:jc w:val="center"/>
              <w:rPr>
                <w:rFonts w:ascii="宋体" w:hAnsi="宋体" w:cs="宋体"/>
                <w:kern w:val="0"/>
                <w:sz w:val="24"/>
                <w:szCs w:val="24"/>
              </w:rPr>
            </w:pPr>
            <w:r>
              <w:rPr>
                <w:rFonts w:hint="eastAsia" w:ascii="宋体" w:hAnsi="宋体" w:cs="宋体"/>
                <w:kern w:val="0"/>
                <w:sz w:val="24"/>
                <w:szCs w:val="24"/>
              </w:rPr>
              <w:t>指标</w:t>
            </w:r>
          </w:p>
        </w:tc>
        <w:tc>
          <w:tcPr>
            <w:tcW w:w="8311" w:type="dxa"/>
            <w:noWrap w:val="0"/>
            <w:vAlign w:val="center"/>
          </w:tcPr>
          <w:p w14:paraId="74E342AB">
            <w:pPr>
              <w:adjustRightInd w:val="0"/>
              <w:snapToGrid w:val="0"/>
              <w:spacing w:line="360" w:lineRule="auto"/>
              <w:ind w:firstLine="480" w:firstLineChars="200"/>
              <w:rPr>
                <w:rFonts w:hint="default" w:ascii="Times New Roman" w:hAnsi="Times New Roman" w:cs="Times New Roman"/>
                <w:sz w:val="24"/>
                <w:szCs w:val="24"/>
                <w:highlight w:val="none"/>
                <w:u w:val="none" w:color="auto"/>
              </w:rPr>
            </w:pPr>
            <w:r>
              <w:rPr>
                <w:rFonts w:hint="default" w:ascii="Times New Roman" w:hAnsi="Times New Roman" w:eastAsia="宋体" w:cs="Times New Roman"/>
                <w:sz w:val="24"/>
                <w:highlight w:val="none"/>
                <w:u w:val="none" w:color="auto"/>
              </w:rPr>
              <w:t>本项目</w:t>
            </w:r>
            <w:r>
              <w:rPr>
                <w:rFonts w:hint="eastAsia" w:ascii="Times New Roman" w:hAnsi="Times New Roman" w:eastAsia="宋体" w:cs="Times New Roman"/>
                <w:sz w:val="24"/>
                <w:highlight w:val="none"/>
                <w:u w:val="none" w:color="auto"/>
                <w:lang w:val="en-US" w:eastAsia="zh-CN"/>
              </w:rPr>
              <w:t>生产废水</w:t>
            </w:r>
            <w:r>
              <w:rPr>
                <w:rFonts w:hint="eastAsia" w:cs="Times New Roman"/>
                <w:sz w:val="24"/>
                <w:highlight w:val="none"/>
                <w:u w:val="none" w:color="auto"/>
                <w:lang w:val="en-US" w:eastAsia="zh-CN"/>
              </w:rPr>
              <w:t>全部回用，</w:t>
            </w:r>
            <w:r>
              <w:rPr>
                <w:rFonts w:hint="eastAsia" w:ascii="Times New Roman" w:hAnsi="Times New Roman" w:eastAsia="宋体" w:cs="Times New Roman"/>
                <w:sz w:val="24"/>
                <w:highlight w:val="none"/>
                <w:u w:val="none" w:color="auto"/>
                <w:lang w:eastAsia="zh-CN"/>
              </w:rPr>
              <w:t>生活污水</w:t>
            </w:r>
            <w:r>
              <w:rPr>
                <w:rFonts w:hint="eastAsia" w:cs="Times New Roman"/>
                <w:sz w:val="24"/>
                <w:highlight w:val="none"/>
                <w:u w:val="none" w:color="auto"/>
                <w:lang w:eastAsia="zh-CN"/>
              </w:rPr>
              <w:t>排入防渗旱厕，定期清掏作农肥</w:t>
            </w:r>
            <w:r>
              <w:rPr>
                <w:rFonts w:hint="eastAsia" w:ascii="Times New Roman" w:hAnsi="Times New Roman" w:eastAsia="宋体" w:cs="Times New Roman"/>
                <w:sz w:val="24"/>
                <w:highlight w:val="none"/>
                <w:u w:val="none" w:color="auto"/>
                <w:lang w:eastAsia="zh-CN"/>
              </w:rPr>
              <w:t>，</w:t>
            </w:r>
            <w:r>
              <w:rPr>
                <w:rFonts w:hint="eastAsia" w:cs="Times New Roman"/>
                <w:sz w:val="24"/>
                <w:highlight w:val="none"/>
                <w:u w:val="none" w:color="auto"/>
                <w:lang w:eastAsia="zh-CN"/>
              </w:rPr>
              <w:t>无废水外排</w:t>
            </w:r>
            <w:r>
              <w:rPr>
                <w:rFonts w:hint="eastAsia" w:ascii="Times New Roman" w:hAnsi="Times New Roman" w:eastAsia="宋体" w:cs="Times New Roman"/>
                <w:sz w:val="24"/>
                <w:highlight w:val="none"/>
                <w:u w:val="none" w:color="auto"/>
                <w:lang w:eastAsia="zh-CN"/>
              </w:rPr>
              <w:t>。</w:t>
            </w:r>
            <w:r>
              <w:rPr>
                <w:rFonts w:hint="default"/>
                <w:sz w:val="24"/>
                <w:szCs w:val="24"/>
                <w:highlight w:val="none"/>
              </w:rPr>
              <w:t>本项目生产</w:t>
            </w:r>
            <w:r>
              <w:rPr>
                <w:rFonts w:hint="eastAsia"/>
                <w:sz w:val="24"/>
                <w:szCs w:val="24"/>
                <w:highlight w:val="none"/>
                <w:lang w:eastAsia="zh-CN"/>
              </w:rPr>
              <w:t>不</w:t>
            </w:r>
            <w:r>
              <w:rPr>
                <w:rFonts w:hint="default"/>
                <w:sz w:val="24"/>
                <w:szCs w:val="24"/>
                <w:highlight w:val="none"/>
              </w:rPr>
              <w:t>用热</w:t>
            </w:r>
            <w:r>
              <w:rPr>
                <w:rFonts w:hint="eastAsia"/>
                <w:sz w:val="24"/>
                <w:szCs w:val="24"/>
                <w:highlight w:val="none"/>
                <w:lang w:eastAsia="zh-CN"/>
              </w:rPr>
              <w:t>，冬季不生产，无需采暖，</w:t>
            </w:r>
            <w:r>
              <w:rPr>
                <w:rFonts w:hint="eastAsia"/>
                <w:sz w:val="24"/>
                <w:szCs w:val="24"/>
                <w:highlight w:val="none"/>
                <w:lang w:val="en-US" w:eastAsia="zh-CN"/>
              </w:rPr>
              <w:t>不产生</w:t>
            </w:r>
            <w:r>
              <w:rPr>
                <w:rFonts w:hint="eastAsia" w:ascii="Times New Roman" w:hAnsi="Times New Roman" w:cs="Times New Roman"/>
                <w:kern w:val="0"/>
                <w:sz w:val="24"/>
                <w:szCs w:val="24"/>
                <w:highlight w:val="none"/>
                <w:lang w:val="en-US" w:eastAsia="zh-CN"/>
              </w:rPr>
              <w:t>烟尘、SO</w:t>
            </w:r>
            <w:r>
              <w:rPr>
                <w:rFonts w:hint="eastAsia" w:ascii="Times New Roman" w:hAnsi="Times New Roman" w:cs="Times New Roman"/>
                <w:kern w:val="0"/>
                <w:sz w:val="24"/>
                <w:szCs w:val="24"/>
                <w:highlight w:val="none"/>
                <w:vertAlign w:val="subscript"/>
                <w:lang w:val="en-US" w:eastAsia="zh-CN"/>
              </w:rPr>
              <w:t>2</w:t>
            </w:r>
            <w:r>
              <w:rPr>
                <w:rFonts w:hint="eastAsia" w:ascii="Times New Roman" w:hAnsi="Times New Roman" w:cs="Times New Roman"/>
                <w:kern w:val="0"/>
                <w:sz w:val="24"/>
                <w:szCs w:val="24"/>
                <w:highlight w:val="none"/>
                <w:lang w:val="en-US" w:eastAsia="zh-CN"/>
              </w:rPr>
              <w:t>、NOx</w:t>
            </w:r>
            <w:r>
              <w:rPr>
                <w:rFonts w:hint="eastAsia" w:ascii="Times New Roman" w:hAnsi="Times New Roman" w:eastAsia="宋体" w:cs="Times New Roman"/>
                <w:sz w:val="24"/>
                <w:highlight w:val="none"/>
                <w:u w:val="none" w:color="auto"/>
                <w:lang w:val="en-US" w:eastAsia="zh-CN"/>
              </w:rPr>
              <w:t>等，</w:t>
            </w:r>
            <w:r>
              <w:rPr>
                <w:rFonts w:hint="eastAsia" w:cs="Times New Roman"/>
                <w:sz w:val="24"/>
                <w:highlight w:val="none"/>
                <w:u w:val="none" w:color="auto"/>
                <w:lang w:val="en-US" w:eastAsia="zh-CN"/>
              </w:rPr>
              <w:t>运营过程产生的粉尘</w:t>
            </w:r>
            <w:r>
              <w:rPr>
                <w:rFonts w:hint="eastAsia" w:ascii="Times New Roman" w:hAnsi="Times New Roman" w:eastAsia="宋体" w:cs="Times New Roman"/>
                <w:sz w:val="24"/>
                <w:highlight w:val="none"/>
                <w:u w:val="none" w:color="auto"/>
                <w:lang w:val="en-US" w:eastAsia="zh-CN"/>
              </w:rPr>
              <w:t>经</w:t>
            </w:r>
            <w:r>
              <w:rPr>
                <w:rFonts w:hint="eastAsia" w:cs="Times New Roman"/>
                <w:sz w:val="24"/>
                <w:highlight w:val="none"/>
                <w:u w:val="none" w:color="auto"/>
                <w:lang w:val="en-US" w:eastAsia="zh-CN"/>
              </w:rPr>
              <w:t>脉冲袋式除尘器、洒水降尘处理后无组织</w:t>
            </w:r>
            <w:r>
              <w:rPr>
                <w:rFonts w:hint="eastAsia" w:ascii="Times New Roman" w:hAnsi="Times New Roman" w:eastAsia="宋体" w:cs="Times New Roman"/>
                <w:sz w:val="24"/>
                <w:highlight w:val="none"/>
                <w:u w:val="none" w:color="auto"/>
                <w:lang w:val="en-US" w:eastAsia="zh-CN"/>
              </w:rPr>
              <w:t>排放。</w:t>
            </w:r>
          </w:p>
          <w:p w14:paraId="43348F69">
            <w:pPr>
              <w:pStyle w:val="76"/>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b w:val="0"/>
                <w:bCs/>
                <w:i w:val="0"/>
                <w:iCs w:val="0"/>
                <w:color w:val="auto"/>
                <w:sz w:val="24"/>
                <w:szCs w:val="24"/>
                <w:highlight w:val="none"/>
                <w:u w:val="none" w:color="auto"/>
                <w:lang w:val="en-US" w:eastAsia="zh-CN"/>
              </w:rPr>
            </w:pPr>
            <w:r>
              <w:rPr>
                <w:rFonts w:hint="eastAsia" w:ascii="Times New Roman" w:hAnsi="Times New Roman" w:cs="Times New Roman"/>
                <w:b w:val="0"/>
                <w:bCs/>
                <w:i w:val="0"/>
                <w:iCs w:val="0"/>
                <w:color w:val="auto"/>
                <w:sz w:val="24"/>
                <w:szCs w:val="24"/>
                <w:highlight w:val="none"/>
                <w:u w:val="none" w:color="auto"/>
                <w:lang w:val="en-US" w:eastAsia="zh-CN"/>
              </w:rPr>
              <w:t xml:space="preserve">根据吉林省生态环境厅《关于进一步明确建设项目主要污染物排放总量审核有关事宜的复函》，按照行业排污绩效，将建设项目污染物排放总量分为重点行业排放管理、一般行业排放管理和其他行业排放管理三类管理方式。其中执行其他行业排放管理的建设项目包括除重点行业外、仅含有按照《排污许可证申请与核发技术规范》确定的一般排放口或无排污口的建设项目。 </w:t>
            </w:r>
          </w:p>
          <w:p w14:paraId="328A04FA">
            <w:pPr>
              <w:pStyle w:val="76"/>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b w:val="0"/>
                <w:bCs/>
                <w:i w:val="0"/>
                <w:iCs w:val="0"/>
                <w:color w:val="auto"/>
                <w:sz w:val="24"/>
                <w:szCs w:val="24"/>
                <w:highlight w:val="none"/>
                <w:u w:val="none" w:color="auto"/>
                <w:lang w:val="en-US" w:eastAsia="zh-CN"/>
              </w:rPr>
            </w:pPr>
            <w:r>
              <w:rPr>
                <w:rFonts w:hint="eastAsia" w:ascii="Times New Roman" w:hAnsi="Times New Roman" w:cs="Times New Roman"/>
                <w:b w:val="0"/>
                <w:bCs/>
                <w:i w:val="0"/>
                <w:iCs w:val="0"/>
                <w:color w:val="auto"/>
                <w:sz w:val="24"/>
                <w:szCs w:val="24"/>
                <w:highlight w:val="none"/>
                <w:u w:val="none" w:color="auto"/>
                <w:lang w:val="en-US" w:eastAsia="zh-CN"/>
              </w:rPr>
              <w:t xml:space="preserve">本项目不属于重点行业，且根据《排污许可证申请与核发技术规范  总则》（HJ942-2018），本项目涉及排放口均为一般排放口，故本项目执行其他行业排放管理。 </w:t>
            </w:r>
          </w:p>
          <w:p w14:paraId="2612EF5B">
            <w:pPr>
              <w:pStyle w:val="76"/>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szCs w:val="24"/>
              </w:rPr>
            </w:pPr>
            <w:r>
              <w:rPr>
                <w:rFonts w:hint="eastAsia" w:ascii="Times New Roman" w:hAnsi="Times New Roman" w:cs="Times New Roman"/>
                <w:b w:val="0"/>
                <w:bCs/>
                <w:i w:val="0"/>
                <w:iCs w:val="0"/>
                <w:color w:val="auto"/>
                <w:sz w:val="24"/>
                <w:szCs w:val="24"/>
                <w:highlight w:val="none"/>
                <w:u w:val="none" w:color="auto"/>
                <w:lang w:val="en-US" w:eastAsia="zh-CN"/>
              </w:rPr>
              <w:t>根据吉林省生态环境厅《关于进一步明确建设项目主要污染物排放总量审核有关事宜的复函》，本项目主要污染物总量核审管理采用“在环评审批过程中予以豁免主要污染物总量审核”的方式。</w:t>
            </w:r>
            <w:r>
              <w:rPr>
                <w:rFonts w:hint="default" w:ascii="Times New Roman" w:hAnsi="Times New Roman" w:cs="Times New Roman"/>
                <w:sz w:val="24"/>
                <w:szCs w:val="24"/>
              </w:rPr>
              <w:t>故本项目无需申请总量控制指标。</w:t>
            </w:r>
          </w:p>
          <w:p w14:paraId="5A09602C">
            <w:pPr>
              <w:adjustRightInd w:val="0"/>
              <w:snapToGrid w:val="0"/>
              <w:spacing w:line="360" w:lineRule="auto"/>
              <w:ind w:firstLine="480" w:firstLineChars="200"/>
              <w:rPr>
                <w:rFonts w:hint="default" w:ascii="Times New Roman" w:hAnsi="Times New Roman" w:cs="Times New Roman"/>
                <w:sz w:val="24"/>
                <w:szCs w:val="24"/>
                <w:highlight w:val="none"/>
                <w:u w:val="none" w:color="auto"/>
              </w:rPr>
            </w:pPr>
          </w:p>
          <w:p w14:paraId="37315F5D">
            <w:pPr>
              <w:adjustRightInd w:val="0"/>
              <w:snapToGrid w:val="0"/>
              <w:ind w:firstLine="480" w:firstLineChars="200"/>
              <w:jc w:val="both"/>
              <w:rPr>
                <w:rFonts w:ascii="宋体" w:hAnsi="宋体" w:cs="宋体"/>
                <w:kern w:val="0"/>
                <w:sz w:val="24"/>
                <w:szCs w:val="24"/>
              </w:rPr>
            </w:pPr>
          </w:p>
        </w:tc>
      </w:tr>
    </w:tbl>
    <w:p w14:paraId="63F4ACA3">
      <w:pPr>
        <w:pStyle w:val="18"/>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1"/>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8228"/>
      </w:tblGrid>
      <w:tr w14:paraId="398C3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18" w:type="pct"/>
            <w:noWrap w:val="0"/>
            <w:tcMar>
              <w:left w:w="28" w:type="dxa"/>
              <w:right w:w="28" w:type="dxa"/>
            </w:tcMar>
            <w:vAlign w:val="center"/>
          </w:tcPr>
          <w:p w14:paraId="58B96DF2">
            <w:pPr>
              <w:pStyle w:val="18"/>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施工</w:t>
            </w:r>
          </w:p>
          <w:p w14:paraId="3E3343A2">
            <w:pPr>
              <w:pStyle w:val="18"/>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14:paraId="577DFB0F">
            <w:pPr>
              <w:pStyle w:val="18"/>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境保</w:t>
            </w:r>
          </w:p>
          <w:p w14:paraId="47A525E3">
            <w:pPr>
              <w:pStyle w:val="18"/>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护措</w:t>
            </w:r>
          </w:p>
          <w:p w14:paraId="6FBC087E">
            <w:pPr>
              <w:pStyle w:val="18"/>
              <w:adjustRightInd w:val="0"/>
              <w:snapToGrid w:val="0"/>
              <w:spacing w:before="0" w:beforeAutospacing="0" w:after="0" w:afterAutospacing="0"/>
              <w:jc w:val="center"/>
              <w:rPr>
                <w:rFonts w:hint="eastAsia" w:cs="宋体"/>
                <w:bCs/>
                <w:kern w:val="2"/>
                <w:sz w:val="24"/>
                <w:szCs w:val="24"/>
              </w:rPr>
            </w:pPr>
            <w:r>
              <w:rPr>
                <w:rFonts w:hint="eastAsia" w:cs="宋体"/>
                <w:kern w:val="2"/>
                <w:sz w:val="24"/>
                <w:szCs w:val="24"/>
              </w:rPr>
              <w:t>施</w:t>
            </w:r>
          </w:p>
        </w:tc>
        <w:tc>
          <w:tcPr>
            <w:tcW w:w="4581" w:type="pct"/>
            <w:noWrap w:val="0"/>
            <w:vAlign w:val="center"/>
          </w:tcPr>
          <w:p w14:paraId="3FC44BB5">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none" w:color="auto"/>
              </w:rPr>
            </w:pPr>
            <w:r>
              <w:rPr>
                <w:rFonts w:hint="default" w:ascii="Times New Roman" w:hAnsi="Times New Roman" w:cs="Times New Roman"/>
                <w:color w:val="000000"/>
                <w:u w:val="none" w:color="auto"/>
              </w:rPr>
              <w:t>一般来说，施工期环境影响是暂时的，随着工程的竣工，施工期环境影响都可以消除或缓解。但施工期某些环境影响因素表现的比较明显，还必须采取减缓措施以尽可能地减少或消除这些影响。</w:t>
            </w:r>
          </w:p>
          <w:p w14:paraId="38355C0A">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none" w:color="auto"/>
              </w:rPr>
            </w:pPr>
            <w:r>
              <w:rPr>
                <w:rFonts w:hint="default" w:ascii="Times New Roman" w:hAnsi="Times New Roman" w:cs="Times New Roman"/>
                <w:color w:val="000000"/>
                <w:u w:val="none" w:color="auto"/>
              </w:rPr>
              <w:t>（1）环境空气保护措施</w:t>
            </w:r>
          </w:p>
          <w:p w14:paraId="2BA89E4B">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none" w:color="auto"/>
              </w:rPr>
            </w:pPr>
            <w:r>
              <w:rPr>
                <w:rFonts w:hint="default" w:ascii="Times New Roman" w:hAnsi="Times New Roman" w:cs="Times New Roman"/>
                <w:color w:val="000000"/>
                <w:u w:val="none" w:color="auto"/>
              </w:rPr>
              <w:t>本项目施工期对大气的影响主要是施工过程中产生的扬尘及施工机械、车辆排放的废气。施工扬尘主要来自：</w:t>
            </w:r>
            <w:r>
              <w:rPr>
                <w:rFonts w:hint="default" w:ascii="Times New Roman" w:hAnsi="Times New Roman" w:cs="Times New Roman"/>
                <w:color w:val="000000"/>
                <w:u w:val="single" w:color="auto"/>
              </w:rPr>
              <w:t>一是施工机械工作时产生的扬尘；二是施工物料堆放产生的扬尘</w:t>
            </w:r>
            <w:r>
              <w:rPr>
                <w:rFonts w:hint="eastAsia" w:ascii="Times New Roman" w:hAnsi="Times New Roman" w:cs="Times New Roman"/>
                <w:color w:val="000000"/>
                <w:u w:val="single" w:color="auto"/>
                <w:lang w:val="en-US" w:eastAsia="zh-CN"/>
              </w:rPr>
              <w:t>（沉淀池开挖）</w:t>
            </w:r>
            <w:r>
              <w:rPr>
                <w:rFonts w:hint="default" w:ascii="Times New Roman" w:hAnsi="Times New Roman" w:cs="Times New Roman"/>
                <w:color w:val="000000"/>
                <w:u w:val="none" w:color="auto"/>
              </w:rPr>
              <w:t>；三是载货车辆运输过程产生的道路扬尘等。施工废气主要来自施工机械设备排放的废气和运输车辆尾气。</w:t>
            </w:r>
          </w:p>
          <w:p w14:paraId="0E24DDEF">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single" w:color="auto"/>
              </w:rPr>
            </w:pPr>
            <w:r>
              <w:rPr>
                <w:rFonts w:hint="default" w:ascii="Times New Roman" w:hAnsi="Times New Roman" w:cs="Times New Roman"/>
                <w:color w:val="000000"/>
                <w:u w:val="single" w:color="auto"/>
              </w:rPr>
              <w:t>针对施工期可能造成的环境空气污染，应采取如下措施：</w:t>
            </w:r>
          </w:p>
          <w:p w14:paraId="18397842">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single" w:color="auto"/>
              </w:rPr>
            </w:pPr>
            <w:r>
              <w:rPr>
                <w:rFonts w:hint="default" w:ascii="Times New Roman" w:hAnsi="Times New Roman" w:cs="Times New Roman"/>
                <w:color w:val="000000"/>
                <w:u w:val="single" w:color="auto"/>
              </w:rPr>
              <w:t>①多尘物料运输过程中应堆放整齐以减少风蚀面积，并适当加湿或加盖苫布，尽量降低运输过程中起尘量。</w:t>
            </w:r>
          </w:p>
          <w:p w14:paraId="44F5E71F">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single" w:color="auto"/>
              </w:rPr>
            </w:pPr>
            <w:r>
              <w:rPr>
                <w:rFonts w:hint="default" w:ascii="Times New Roman" w:hAnsi="Times New Roman" w:cs="Times New Roman"/>
                <w:color w:val="000000"/>
                <w:u w:val="single" w:color="auto"/>
              </w:rPr>
              <w:t>②运输车辆经过居民区时限速行驶，并在运输高峰期配备洒水车洒水除尘，以防止灰尘过大对大气的污染；施工现场应配洒水车，在干旱多风天气向施工现场洒水降尘，以保护环境空气质量。</w:t>
            </w:r>
          </w:p>
          <w:p w14:paraId="5366DB76">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single" w:color="auto"/>
              </w:rPr>
            </w:pPr>
            <w:r>
              <w:rPr>
                <w:rFonts w:hint="default" w:ascii="Times New Roman" w:hAnsi="Times New Roman" w:cs="Times New Roman"/>
                <w:color w:val="000000"/>
                <w:u w:val="single" w:color="auto"/>
              </w:rPr>
              <w:t>③加强往返于施工区车辆的管理和维修，施工机械完好率要求在90%以上，使用有害物质量少的优质燃料，以减少尾气排放污染大气；对于尾气排放不达标的机械车辆，不许进入施工区施工。</w:t>
            </w:r>
          </w:p>
          <w:p w14:paraId="36EE41BD">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single" w:color="auto"/>
              </w:rPr>
            </w:pPr>
            <w:r>
              <w:rPr>
                <w:rFonts w:hint="default" w:ascii="Times New Roman" w:hAnsi="Times New Roman" w:cs="Times New Roman"/>
                <w:color w:val="000000"/>
                <w:u w:val="single" w:color="auto"/>
              </w:rPr>
              <w:t>经上述措施处理后，施工期废气对周围环境空气影响不大，措施可行。</w:t>
            </w:r>
          </w:p>
          <w:p w14:paraId="2D31D7B4">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none" w:color="auto"/>
              </w:rPr>
            </w:pPr>
            <w:r>
              <w:rPr>
                <w:rFonts w:hint="default" w:ascii="Times New Roman" w:hAnsi="Times New Roman" w:cs="Times New Roman"/>
                <w:color w:val="000000"/>
                <w:u w:val="none" w:color="auto"/>
              </w:rPr>
              <w:t>（2）地表水保护措施</w:t>
            </w:r>
          </w:p>
          <w:p w14:paraId="370C368C">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none" w:color="auto"/>
              </w:rPr>
            </w:pPr>
            <w:r>
              <w:rPr>
                <w:rFonts w:hint="default" w:ascii="Times New Roman" w:hAnsi="Times New Roman" w:cs="Times New Roman"/>
                <w:color w:val="000000"/>
                <w:u w:val="none" w:color="auto"/>
              </w:rPr>
              <w:t>本工程施工过程中主要废水包括施工废水和施工人员生活污水。</w:t>
            </w:r>
          </w:p>
          <w:p w14:paraId="6B2517FD">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eastAsia="宋体" w:cs="Times New Roman"/>
                <w:u w:val="none" w:color="auto"/>
                <w:lang w:val="en-US" w:eastAsia="zh-CN"/>
              </w:rPr>
            </w:pPr>
            <w:r>
              <w:rPr>
                <w:rFonts w:hint="default" w:ascii="Times New Roman" w:hAnsi="Times New Roman" w:cs="Times New Roman"/>
                <w:color w:val="000000"/>
                <w:u w:val="none" w:color="auto"/>
              </w:rPr>
              <w:t>施工废水主要为洗车</w:t>
            </w:r>
            <w:r>
              <w:rPr>
                <w:rFonts w:hint="eastAsia" w:ascii="Times New Roman" w:hAnsi="Times New Roman" w:cs="Times New Roman"/>
                <w:color w:val="000000"/>
                <w:u w:val="none" w:color="auto"/>
                <w:lang w:eastAsia="zh-CN"/>
              </w:rPr>
              <w:t>轮胎</w:t>
            </w:r>
            <w:r>
              <w:rPr>
                <w:rFonts w:hint="default" w:ascii="Times New Roman" w:hAnsi="Times New Roman" w:cs="Times New Roman"/>
                <w:color w:val="000000"/>
                <w:u w:val="none" w:color="auto"/>
              </w:rPr>
              <w:t>产生的废水。根据类比，预计本工程施工废水排放量为</w:t>
            </w:r>
            <w:r>
              <w:rPr>
                <w:rFonts w:hint="eastAsia" w:ascii="Times New Roman" w:hAnsi="Times New Roman" w:cs="Times New Roman"/>
                <w:color w:val="000000"/>
                <w:u w:val="none" w:color="auto"/>
                <w:lang w:val="en-US" w:eastAsia="zh-CN"/>
              </w:rPr>
              <w:t>0.5</w:t>
            </w:r>
            <w:r>
              <w:rPr>
                <w:rFonts w:hint="default" w:ascii="Times New Roman" w:hAnsi="Times New Roman" w:cs="Times New Roman"/>
                <w:color w:val="000000"/>
                <w:u w:val="none" w:color="auto"/>
              </w:rPr>
              <w:t>m</w:t>
            </w:r>
            <w:r>
              <w:rPr>
                <w:rFonts w:hint="default" w:ascii="Times New Roman" w:hAnsi="Times New Roman" w:cs="Times New Roman"/>
                <w:color w:val="000000"/>
                <w:u w:val="none" w:color="auto"/>
                <w:vertAlign w:val="superscript"/>
              </w:rPr>
              <w:t>3</w:t>
            </w:r>
            <w:r>
              <w:rPr>
                <w:rFonts w:hint="default" w:ascii="Times New Roman" w:hAnsi="Times New Roman" w:cs="Times New Roman"/>
                <w:color w:val="000000"/>
                <w:u w:val="none" w:color="auto"/>
              </w:rPr>
              <w:t>/d。根据本工程施工特点，就近在施工地点布设沉淀池，对施工废水进行沉淀处理，沉淀后的废水全部回用于</w:t>
            </w:r>
            <w:r>
              <w:rPr>
                <w:rFonts w:hint="eastAsia" w:ascii="Times New Roman" w:hAnsi="Times New Roman" w:cs="Times New Roman"/>
                <w:color w:val="000000"/>
                <w:u w:val="none" w:color="auto"/>
                <w:lang w:eastAsia="zh-CN"/>
              </w:rPr>
              <w:t>施工</w:t>
            </w:r>
            <w:r>
              <w:rPr>
                <w:rFonts w:hint="default" w:ascii="Times New Roman" w:hAnsi="Times New Roman" w:cs="Times New Roman"/>
                <w:color w:val="000000"/>
                <w:u w:val="none" w:color="auto"/>
              </w:rPr>
              <w:t>过程，保证不外排，对地表水环境影响较小。</w:t>
            </w:r>
          </w:p>
          <w:p w14:paraId="619A64DF">
            <w:pPr>
              <w:pStyle w:val="18"/>
              <w:keepNext w:val="0"/>
              <w:keepLines w:val="0"/>
              <w:pageBreakBefore w:val="0"/>
              <w:widowControl w:val="0"/>
              <w:tabs>
                <w:tab w:val="left" w:pos="0"/>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u w:val="none" w:color="auto"/>
              </w:rPr>
            </w:pPr>
            <w:r>
              <w:rPr>
                <w:rFonts w:hint="default" w:ascii="Times New Roman" w:hAnsi="Times New Roman" w:cs="Times New Roman"/>
                <w:color w:val="000000"/>
                <w:u w:val="none" w:color="auto"/>
              </w:rPr>
              <w:t>施工期生活污水水质较为简单，排入</w:t>
            </w:r>
            <w:r>
              <w:rPr>
                <w:rFonts w:hint="eastAsia" w:ascii="Times New Roman" w:hAnsi="Times New Roman" w:cs="Times New Roman"/>
                <w:color w:val="000000"/>
                <w:u w:val="none" w:color="auto"/>
                <w:lang w:eastAsia="zh-CN"/>
              </w:rPr>
              <w:t>动</w:t>
            </w:r>
            <w:r>
              <w:rPr>
                <w:rFonts w:hint="default" w:ascii="Times New Roman" w:hAnsi="Times New Roman" w:cs="Times New Roman"/>
                <w:color w:val="000000"/>
                <w:u w:val="none" w:color="auto"/>
              </w:rPr>
              <w:t>防渗旱厕内，定期清掏作农肥；另外应加强施工期间对施工人员的管理，减少生活污水随意排放而导致污水随降雨等因素进入周围地表水体。</w:t>
            </w:r>
          </w:p>
          <w:p w14:paraId="74748D34">
            <w:pPr>
              <w:pStyle w:val="18"/>
              <w:keepNext w:val="0"/>
              <w:keepLines w:val="0"/>
              <w:pageBreakBefore w:val="0"/>
              <w:widowControl w:val="0"/>
              <w:tabs>
                <w:tab w:val="left" w:pos="0"/>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u w:val="none" w:color="auto"/>
              </w:rPr>
            </w:pPr>
            <w:r>
              <w:rPr>
                <w:rFonts w:hint="default" w:ascii="Times New Roman" w:hAnsi="Times New Roman" w:cs="Times New Roman"/>
                <w:color w:val="000000"/>
                <w:u w:val="none" w:color="auto"/>
              </w:rPr>
              <w:t>综上，本工程施工过程产生的废水在采取上述相应环境保护措施治理后，对周围水环境影响较小，措施可行。</w:t>
            </w:r>
          </w:p>
          <w:p w14:paraId="2BBA842D">
            <w:pPr>
              <w:pStyle w:val="18"/>
              <w:keepNext w:val="0"/>
              <w:keepLines w:val="0"/>
              <w:pageBreakBefore w:val="0"/>
              <w:widowControl w:val="0"/>
              <w:tabs>
                <w:tab w:val="left" w:pos="0"/>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u w:val="none" w:color="auto"/>
              </w:rPr>
            </w:pPr>
            <w:r>
              <w:rPr>
                <w:rFonts w:hint="default" w:ascii="Times New Roman" w:hAnsi="Times New Roman" w:cs="Times New Roman"/>
                <w:color w:val="000000"/>
                <w:u w:val="none" w:color="auto"/>
              </w:rPr>
              <w:t>（3）声环境保护措施</w:t>
            </w:r>
          </w:p>
          <w:p w14:paraId="6EB36B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u w:val="single"/>
                <w:lang w:val="en-US" w:eastAsia="zh-CN" w:bidi="ar"/>
              </w:rPr>
            </w:pPr>
            <w:r>
              <w:rPr>
                <w:rFonts w:hint="eastAsia"/>
                <w:sz w:val="24"/>
                <w:szCs w:val="24"/>
                <w:u w:val="single"/>
                <w:lang w:val="en-US" w:eastAsia="zh-CN"/>
              </w:rPr>
              <w:t>项目利用现有办公楼，主要土建施工为沉淀池开挖及场地平整，施工期间，运输车辆和各种施工机械如挖掘机等都是主要的噪声源，根据有关资料，这些机械设备运行时的噪声值如下表。</w:t>
            </w:r>
          </w:p>
          <w:p w14:paraId="707018F2">
            <w:pPr>
              <w:pStyle w:val="67"/>
              <w:keepNext w:val="0"/>
              <w:keepLines w:val="0"/>
              <w:pageBreakBefore w:val="0"/>
              <w:widowControl w:val="0"/>
              <w:numPr>
                <w:ilvl w:val="0"/>
                <w:numId w:val="0"/>
              </w:numPr>
              <w:kinsoku/>
              <w:wordWrap/>
              <w:overflowPunct/>
              <w:topLinePunct w:val="0"/>
              <w:autoSpaceDE/>
              <w:autoSpaceDN/>
              <w:bidi w:val="0"/>
              <w:adjustRightInd w:val="0"/>
              <w:snapToGrid/>
              <w:spacing w:before="0" w:after="0" w:line="240" w:lineRule="auto"/>
              <w:ind w:leftChars="0"/>
              <w:jc w:val="center"/>
              <w:textAlignment w:val="baseline"/>
              <w:rPr>
                <w:rFonts w:hint="default" w:ascii="Times New Roman" w:hAnsi="Times New Roman" w:eastAsia="宋体" w:cs="Times New Roman"/>
                <w:b/>
                <w:bCs/>
                <w:sz w:val="24"/>
                <w:szCs w:val="24"/>
                <w:u w:val="single"/>
                <w:lang w:val="en-US" w:eastAsia="zh-CN"/>
              </w:rPr>
            </w:pPr>
            <w:r>
              <w:rPr>
                <w:rFonts w:hint="default" w:ascii="Times New Roman" w:hAnsi="Times New Roman" w:eastAsia="宋体" w:cs="Times New Roman"/>
                <w:b/>
                <w:bCs/>
                <w:sz w:val="24"/>
                <w:szCs w:val="24"/>
                <w:u w:val="single"/>
                <w:lang w:val="en-US" w:eastAsia="zh-CN"/>
              </w:rPr>
              <w:t>表</w:t>
            </w:r>
            <w:r>
              <w:rPr>
                <w:rFonts w:hint="eastAsia" w:cs="Times New Roman"/>
                <w:b/>
                <w:bCs/>
                <w:sz w:val="24"/>
                <w:szCs w:val="24"/>
                <w:u w:val="single"/>
                <w:lang w:val="en-US" w:eastAsia="zh-CN"/>
              </w:rPr>
              <w:t>4-1</w:t>
            </w:r>
            <w:r>
              <w:rPr>
                <w:rFonts w:hint="default" w:ascii="Times New Roman" w:hAnsi="Times New Roman" w:eastAsia="宋体" w:cs="Times New Roman"/>
                <w:b/>
                <w:bCs/>
                <w:sz w:val="24"/>
                <w:szCs w:val="24"/>
                <w:u w:val="single"/>
                <w:lang w:val="en-US" w:eastAsia="zh-CN"/>
              </w:rPr>
              <w:t xml:space="preserve">   施工机械设备噪声值</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41"/>
              <w:gridCol w:w="1152"/>
              <w:gridCol w:w="2033"/>
              <w:gridCol w:w="668"/>
              <w:gridCol w:w="1500"/>
              <w:gridCol w:w="2015"/>
            </w:tblGrid>
            <w:tr w14:paraId="7BCC7D6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00" w:type="pct"/>
                  <w:tcBorders>
                    <w:tl2br w:val="nil"/>
                    <w:tr2bl w:val="nil"/>
                  </w:tcBorders>
                  <w:noWrap w:val="0"/>
                  <w:vAlign w:val="center"/>
                </w:tcPr>
                <w:p w14:paraId="549A3488">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序号</w:t>
                  </w:r>
                </w:p>
              </w:tc>
              <w:tc>
                <w:tcPr>
                  <w:tcW w:w="719" w:type="pct"/>
                  <w:tcBorders>
                    <w:tl2br w:val="nil"/>
                    <w:tr2bl w:val="nil"/>
                  </w:tcBorders>
                  <w:noWrap w:val="0"/>
                  <w:vAlign w:val="center"/>
                </w:tcPr>
                <w:p w14:paraId="75C26D84">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设备名称</w:t>
                  </w:r>
                </w:p>
              </w:tc>
              <w:tc>
                <w:tcPr>
                  <w:tcW w:w="1269" w:type="pct"/>
                  <w:tcBorders>
                    <w:tl2br w:val="nil"/>
                    <w:tr2bl w:val="nil"/>
                  </w:tcBorders>
                  <w:noWrap w:val="0"/>
                  <w:vAlign w:val="center"/>
                </w:tcPr>
                <w:p w14:paraId="006DE013">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声级dB（A）</w:t>
                  </w:r>
                </w:p>
              </w:tc>
              <w:tc>
                <w:tcPr>
                  <w:tcW w:w="417" w:type="pct"/>
                  <w:tcBorders>
                    <w:tl2br w:val="nil"/>
                    <w:tr2bl w:val="nil"/>
                  </w:tcBorders>
                  <w:noWrap w:val="0"/>
                  <w:vAlign w:val="center"/>
                </w:tcPr>
                <w:p w14:paraId="7A060C12">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序号</w:t>
                  </w:r>
                </w:p>
              </w:tc>
              <w:tc>
                <w:tcPr>
                  <w:tcW w:w="936" w:type="pct"/>
                  <w:tcBorders>
                    <w:tl2br w:val="nil"/>
                    <w:tr2bl w:val="nil"/>
                  </w:tcBorders>
                  <w:noWrap w:val="0"/>
                  <w:vAlign w:val="center"/>
                </w:tcPr>
                <w:p w14:paraId="69C0E345">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设备名称</w:t>
                  </w:r>
                </w:p>
              </w:tc>
              <w:tc>
                <w:tcPr>
                  <w:tcW w:w="1257" w:type="pct"/>
                  <w:tcBorders>
                    <w:tl2br w:val="nil"/>
                    <w:tr2bl w:val="nil"/>
                  </w:tcBorders>
                  <w:noWrap w:val="0"/>
                  <w:vAlign w:val="center"/>
                </w:tcPr>
                <w:p w14:paraId="24C106FE">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声级dB（A）</w:t>
                  </w:r>
                </w:p>
              </w:tc>
            </w:tr>
            <w:tr w14:paraId="5DC8E36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00" w:type="pct"/>
                  <w:tcBorders>
                    <w:tl2br w:val="nil"/>
                    <w:tr2bl w:val="nil"/>
                  </w:tcBorders>
                  <w:noWrap w:val="0"/>
                  <w:vAlign w:val="center"/>
                </w:tcPr>
                <w:p w14:paraId="0726689D">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1</w:t>
                  </w:r>
                </w:p>
              </w:tc>
              <w:tc>
                <w:tcPr>
                  <w:tcW w:w="719" w:type="pct"/>
                  <w:tcBorders>
                    <w:tl2br w:val="nil"/>
                    <w:tr2bl w:val="nil"/>
                  </w:tcBorders>
                  <w:noWrap w:val="0"/>
                  <w:vAlign w:val="center"/>
                </w:tcPr>
                <w:p w14:paraId="6B59C96D">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kern w:val="2"/>
                      <w:sz w:val="21"/>
                      <w:szCs w:val="24"/>
                      <w:u w:val="single"/>
                      <w:lang w:val="en-US" w:eastAsia="zh-CN" w:bidi="ar-SA"/>
                    </w:rPr>
                  </w:pPr>
                  <w:r>
                    <w:rPr>
                      <w:rFonts w:hint="eastAsia"/>
                      <w:u w:val="single"/>
                      <w:lang w:val="en-US" w:eastAsia="zh-CN"/>
                    </w:rPr>
                    <w:t>挖掘机</w:t>
                  </w:r>
                </w:p>
              </w:tc>
              <w:tc>
                <w:tcPr>
                  <w:tcW w:w="1269" w:type="pct"/>
                  <w:tcBorders>
                    <w:tl2br w:val="nil"/>
                    <w:tr2bl w:val="nil"/>
                  </w:tcBorders>
                  <w:noWrap w:val="0"/>
                  <w:vAlign w:val="center"/>
                </w:tcPr>
                <w:p w14:paraId="12CC4AB4">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kern w:val="2"/>
                      <w:sz w:val="21"/>
                      <w:szCs w:val="24"/>
                      <w:u w:val="single"/>
                      <w:lang w:val="en-US" w:eastAsia="zh-CN" w:bidi="ar-SA"/>
                    </w:rPr>
                  </w:pPr>
                  <w:r>
                    <w:rPr>
                      <w:rFonts w:hint="eastAsia"/>
                      <w:u w:val="single"/>
                      <w:lang w:val="en-US" w:eastAsia="zh-CN"/>
                    </w:rPr>
                    <w:t>110</w:t>
                  </w:r>
                </w:p>
              </w:tc>
              <w:tc>
                <w:tcPr>
                  <w:tcW w:w="417" w:type="pct"/>
                  <w:tcBorders>
                    <w:tl2br w:val="nil"/>
                    <w:tr2bl w:val="nil"/>
                  </w:tcBorders>
                  <w:shd w:val="clear" w:color="auto" w:fill="auto"/>
                  <w:noWrap w:val="0"/>
                  <w:vAlign w:val="center"/>
                </w:tcPr>
                <w:p w14:paraId="5975012A">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4</w:t>
                  </w:r>
                </w:p>
              </w:tc>
              <w:tc>
                <w:tcPr>
                  <w:tcW w:w="936" w:type="pct"/>
                  <w:tcBorders>
                    <w:tl2br w:val="nil"/>
                    <w:tr2bl w:val="nil"/>
                  </w:tcBorders>
                  <w:shd w:val="clear" w:color="auto" w:fill="auto"/>
                  <w:noWrap w:val="0"/>
                  <w:vAlign w:val="center"/>
                </w:tcPr>
                <w:p w14:paraId="6E7EA9CF">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空压机</w:t>
                  </w:r>
                </w:p>
              </w:tc>
              <w:tc>
                <w:tcPr>
                  <w:tcW w:w="1257" w:type="pct"/>
                  <w:tcBorders>
                    <w:tl2br w:val="nil"/>
                    <w:tr2bl w:val="nil"/>
                  </w:tcBorders>
                  <w:shd w:val="clear" w:color="auto" w:fill="auto"/>
                  <w:noWrap w:val="0"/>
                  <w:vAlign w:val="center"/>
                </w:tcPr>
                <w:p w14:paraId="5D515076">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105</w:t>
                  </w:r>
                </w:p>
              </w:tc>
            </w:tr>
            <w:tr w14:paraId="59158E6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00" w:type="pct"/>
                  <w:tcBorders>
                    <w:tl2br w:val="nil"/>
                    <w:tr2bl w:val="nil"/>
                  </w:tcBorders>
                  <w:noWrap w:val="0"/>
                  <w:vAlign w:val="center"/>
                </w:tcPr>
                <w:p w14:paraId="16DF468B">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2</w:t>
                  </w:r>
                </w:p>
              </w:tc>
              <w:tc>
                <w:tcPr>
                  <w:tcW w:w="719" w:type="pct"/>
                  <w:tcBorders>
                    <w:tl2br w:val="nil"/>
                    <w:tr2bl w:val="nil"/>
                  </w:tcBorders>
                  <w:shd w:val="clear" w:color="auto" w:fill="auto"/>
                  <w:noWrap w:val="0"/>
                  <w:vAlign w:val="center"/>
                </w:tcPr>
                <w:p w14:paraId="45D0E8F4">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卡车</w:t>
                  </w:r>
                </w:p>
              </w:tc>
              <w:tc>
                <w:tcPr>
                  <w:tcW w:w="1269" w:type="pct"/>
                  <w:tcBorders>
                    <w:tl2br w:val="nil"/>
                    <w:tr2bl w:val="nil"/>
                  </w:tcBorders>
                  <w:shd w:val="clear" w:color="auto" w:fill="auto"/>
                  <w:noWrap w:val="0"/>
                  <w:vAlign w:val="center"/>
                </w:tcPr>
                <w:p w14:paraId="14679EF6">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85</w:t>
                  </w:r>
                </w:p>
              </w:tc>
              <w:tc>
                <w:tcPr>
                  <w:tcW w:w="417" w:type="pct"/>
                  <w:tcBorders>
                    <w:tl2br w:val="nil"/>
                    <w:tr2bl w:val="nil"/>
                  </w:tcBorders>
                  <w:shd w:val="clear" w:color="auto" w:fill="auto"/>
                  <w:noWrap w:val="0"/>
                  <w:vAlign w:val="center"/>
                </w:tcPr>
                <w:p w14:paraId="531B0FB5">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5</w:t>
                  </w:r>
                </w:p>
              </w:tc>
              <w:tc>
                <w:tcPr>
                  <w:tcW w:w="936" w:type="pct"/>
                  <w:tcBorders>
                    <w:tl2br w:val="nil"/>
                    <w:tr2bl w:val="nil"/>
                  </w:tcBorders>
                  <w:shd w:val="clear" w:color="auto" w:fill="auto"/>
                  <w:noWrap w:val="0"/>
                  <w:vAlign w:val="center"/>
                </w:tcPr>
                <w:p w14:paraId="7B1A456C">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电钻</w:t>
                  </w:r>
                </w:p>
              </w:tc>
              <w:tc>
                <w:tcPr>
                  <w:tcW w:w="1257" w:type="pct"/>
                  <w:tcBorders>
                    <w:tl2br w:val="nil"/>
                    <w:tr2bl w:val="nil"/>
                  </w:tcBorders>
                  <w:shd w:val="clear" w:color="auto" w:fill="auto"/>
                  <w:noWrap w:val="0"/>
                  <w:vAlign w:val="center"/>
                </w:tcPr>
                <w:p w14:paraId="06FD6E2A">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85</w:t>
                  </w:r>
                </w:p>
              </w:tc>
            </w:tr>
            <w:tr w14:paraId="5E41598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00" w:type="pct"/>
                  <w:tcBorders>
                    <w:tl2br w:val="nil"/>
                    <w:tr2bl w:val="nil"/>
                  </w:tcBorders>
                  <w:noWrap w:val="0"/>
                  <w:vAlign w:val="center"/>
                </w:tcPr>
                <w:p w14:paraId="098F7991">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single"/>
                      <w:lang w:val="en-US" w:eastAsia="zh-CN"/>
                    </w:rPr>
                  </w:pPr>
                  <w:r>
                    <w:rPr>
                      <w:rFonts w:hint="eastAsia"/>
                      <w:u w:val="single"/>
                      <w:lang w:val="en-US" w:eastAsia="zh-CN"/>
                    </w:rPr>
                    <w:t>3</w:t>
                  </w:r>
                </w:p>
              </w:tc>
              <w:tc>
                <w:tcPr>
                  <w:tcW w:w="719" w:type="pct"/>
                  <w:tcBorders>
                    <w:tl2br w:val="nil"/>
                    <w:tr2bl w:val="nil"/>
                  </w:tcBorders>
                  <w:shd w:val="clear" w:color="auto" w:fill="auto"/>
                  <w:noWrap w:val="0"/>
                  <w:vAlign w:val="center"/>
                </w:tcPr>
                <w:p w14:paraId="1C2850FC">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电锯</w:t>
                  </w:r>
                </w:p>
              </w:tc>
              <w:tc>
                <w:tcPr>
                  <w:tcW w:w="1269" w:type="pct"/>
                  <w:tcBorders>
                    <w:tl2br w:val="nil"/>
                    <w:tr2bl w:val="nil"/>
                  </w:tcBorders>
                  <w:shd w:val="clear" w:color="auto" w:fill="auto"/>
                  <w:noWrap w:val="0"/>
                  <w:vAlign w:val="center"/>
                </w:tcPr>
                <w:p w14:paraId="42E92C52">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95</w:t>
                  </w:r>
                </w:p>
              </w:tc>
              <w:tc>
                <w:tcPr>
                  <w:tcW w:w="417" w:type="pct"/>
                  <w:tcBorders>
                    <w:tl2br w:val="nil"/>
                    <w:tr2bl w:val="nil"/>
                  </w:tcBorders>
                  <w:noWrap w:val="0"/>
                  <w:vAlign w:val="center"/>
                </w:tcPr>
                <w:p w14:paraId="6C6E58F6">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kern w:val="2"/>
                      <w:sz w:val="21"/>
                      <w:szCs w:val="24"/>
                      <w:u w:val="single"/>
                      <w:lang w:val="en-US" w:eastAsia="zh-CN" w:bidi="ar-SA"/>
                    </w:rPr>
                  </w:pPr>
                  <w:r>
                    <w:rPr>
                      <w:rFonts w:hint="eastAsia"/>
                      <w:u w:val="single"/>
                      <w:lang w:val="en-US" w:eastAsia="zh-CN"/>
                    </w:rPr>
                    <w:t>6</w:t>
                  </w:r>
                </w:p>
              </w:tc>
              <w:tc>
                <w:tcPr>
                  <w:tcW w:w="936" w:type="pct"/>
                  <w:tcBorders>
                    <w:tl2br w:val="nil"/>
                    <w:tr2bl w:val="nil"/>
                  </w:tcBorders>
                  <w:shd w:val="clear" w:color="auto" w:fill="auto"/>
                  <w:noWrap w:val="0"/>
                  <w:vAlign w:val="center"/>
                </w:tcPr>
                <w:p w14:paraId="38C38B9A">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手工钻</w:t>
                  </w:r>
                </w:p>
              </w:tc>
              <w:tc>
                <w:tcPr>
                  <w:tcW w:w="1257" w:type="pct"/>
                  <w:tcBorders>
                    <w:tl2br w:val="nil"/>
                    <w:tr2bl w:val="nil"/>
                  </w:tcBorders>
                  <w:shd w:val="clear" w:color="auto" w:fill="auto"/>
                  <w:noWrap w:val="0"/>
                  <w:vAlign w:val="center"/>
                </w:tcPr>
                <w:p w14:paraId="5381734D">
                  <w:pPr>
                    <w:pStyle w:val="7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szCs w:val="24"/>
                      <w:u w:val="single"/>
                      <w:lang w:val="en-US" w:eastAsia="zh-CN" w:bidi="ar-SA"/>
                    </w:rPr>
                  </w:pPr>
                  <w:r>
                    <w:rPr>
                      <w:rFonts w:hint="eastAsia"/>
                      <w:u w:val="single"/>
                      <w:lang w:val="en-US" w:eastAsia="zh-CN"/>
                    </w:rPr>
                    <w:t>90</w:t>
                  </w:r>
                </w:p>
              </w:tc>
            </w:tr>
          </w:tbl>
          <w:p w14:paraId="5FCAB3C4">
            <w:pPr>
              <w:pStyle w:val="74"/>
              <w:bidi w:val="0"/>
              <w:rPr>
                <w:rFonts w:hint="eastAsia"/>
                <w:u w:val="single"/>
                <w:lang w:val="en-US" w:eastAsia="zh-CN"/>
              </w:rPr>
            </w:pPr>
          </w:p>
          <w:p w14:paraId="4B837D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 xml:space="preserve">在施工过程中，这些施工机械又往往是同时作业，噪声源辐射量的相互叠加，声级值将更高，辐射范围也更大。 </w:t>
            </w:r>
          </w:p>
          <w:p w14:paraId="31E15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施工噪声对周边声环境的影响，采</w:t>
            </w:r>
            <w:r>
              <w:rPr>
                <w:rFonts w:hint="eastAsia"/>
                <w:sz w:val="24"/>
                <w:szCs w:val="24"/>
                <w:u w:val="none" w:color="auto"/>
                <w:lang w:val="en-US" w:eastAsia="zh-CN"/>
              </w:rPr>
              <w:t>用</w:t>
            </w:r>
            <w:r>
              <w:rPr>
                <w:rFonts w:hint="default" w:ascii="Times New Roman" w:hAnsi="Times New Roman" w:cs="Times New Roman" w:eastAsiaTheme="minorEastAsia"/>
                <w:b w:val="0"/>
                <w:bCs w:val="0"/>
                <w:i w:val="0"/>
                <w:iCs w:val="0"/>
                <w:sz w:val="24"/>
                <w:szCs w:val="24"/>
                <w:u w:val="none" w:color="auto"/>
                <w:lang w:eastAsia="zh-CN"/>
              </w:rPr>
              <w:t>《建筑施工噪声排放标准》（GB12523-2025）</w:t>
            </w:r>
            <w:r>
              <w:rPr>
                <w:rFonts w:hint="eastAsia"/>
                <w:sz w:val="24"/>
                <w:szCs w:val="24"/>
                <w:lang w:val="en-US" w:eastAsia="zh-CN"/>
              </w:rPr>
              <w:t xml:space="preserve">进行评价。 </w:t>
            </w:r>
          </w:p>
          <w:p w14:paraId="2B65E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施工机械噪声主要属中低频噪声，预测其影响时可只考虑其扩散衰减，预测模型可选用：</w:t>
            </w:r>
          </w:p>
          <w:p w14:paraId="7A18A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ascii="Times New Roman" w:hAnsi="Times New Roman" w:eastAsia="宋体" w:cs="Times New Roman"/>
                <w:color w:val="auto"/>
                <w:kern w:val="2"/>
                <w:position w:val="-30"/>
                <w:sz w:val="24"/>
                <w:szCs w:val="24"/>
                <w:highlight w:val="none"/>
                <w:u w:val="none"/>
              </w:rPr>
              <w:object>
                <v:shape id="_x0000_i1026" o:spt="75" type="#_x0000_t75" style="height:33.7pt;width:123pt;" o:ole="t" filled="f" stroked="f" coordsize="21600,21600">
                  <v:path/>
                  <v:fill on="f" focussize="0,0"/>
                  <v:stroke on="f"/>
                  <v:imagedata r:id="rId12" o:title="9987188881464835278740.wmf"/>
                  <o:lock v:ext="edit" aspectratio="t"/>
                  <w10:wrap type="none"/>
                  <w10:anchorlock/>
                </v:shape>
                <o:OLEObject Type="Embed" ProgID="Excel.Sheet.8" ShapeID="_x0000_i1026" DrawAspect="Content" ObjectID="_1468075726" r:id="rId11">
                  <o:LockedField>false</o:LockedField>
                </o:OLEObject>
              </w:object>
            </w:r>
          </w:p>
          <w:p w14:paraId="6E5F9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t>式中：Leq—不同距离处的等效声级，dB(A)；</w:t>
            </w:r>
          </w:p>
          <w:p w14:paraId="354EA46D">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sz w:val="24"/>
                <w:szCs w:val="24"/>
              </w:rPr>
            </w:pPr>
            <w:r>
              <w:rPr>
                <w:rFonts w:hint="default"/>
                <w:sz w:val="24"/>
                <w:szCs w:val="24"/>
              </w:rPr>
              <w:t>L</w:t>
            </w:r>
            <w:r>
              <w:rPr>
                <w:rFonts w:hint="default"/>
                <w:sz w:val="24"/>
                <w:szCs w:val="24"/>
                <w:vertAlign w:val="subscript"/>
              </w:rPr>
              <w:t>WA</w:t>
            </w:r>
            <w:r>
              <w:rPr>
                <w:rFonts w:hint="default"/>
                <w:sz w:val="24"/>
                <w:szCs w:val="24"/>
              </w:rPr>
              <w:t>—噪声源声功率，dB(A)；</w:t>
            </w:r>
          </w:p>
          <w:p w14:paraId="30944643">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sz w:val="24"/>
                <w:szCs w:val="24"/>
              </w:rPr>
            </w:pPr>
            <w:r>
              <w:rPr>
                <w:rFonts w:hint="default"/>
                <w:sz w:val="24"/>
                <w:szCs w:val="24"/>
              </w:rPr>
              <w:t>r—不同距离，m；</w:t>
            </w:r>
          </w:p>
          <w:p w14:paraId="7B0A26E2">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sz w:val="24"/>
                <w:szCs w:val="24"/>
              </w:rPr>
            </w:pPr>
            <w:r>
              <w:rPr>
                <w:rFonts w:hint="default"/>
                <w:sz w:val="24"/>
                <w:szCs w:val="24"/>
              </w:rPr>
              <w:t>r</w:t>
            </w:r>
            <w:r>
              <w:rPr>
                <w:rFonts w:hint="default"/>
                <w:sz w:val="24"/>
                <w:szCs w:val="24"/>
                <w:vertAlign w:val="subscript"/>
              </w:rPr>
              <w:t>0</w:t>
            </w:r>
            <w:r>
              <w:rPr>
                <w:rFonts w:hint="default"/>
                <w:sz w:val="24"/>
                <w:szCs w:val="24"/>
              </w:rPr>
              <w:t>—距声源1m处，m；</w:t>
            </w:r>
          </w:p>
          <w:p w14:paraId="654CF1C4">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sz w:val="24"/>
                <w:szCs w:val="24"/>
                <w:lang w:val="en-US" w:eastAsia="zh-CN"/>
              </w:rPr>
            </w:pPr>
            <w:r>
              <w:rPr>
                <w:rFonts w:hint="default"/>
                <w:sz w:val="24"/>
                <w:szCs w:val="24"/>
              </w:rPr>
              <w:t>Ae—环境因子（取0）。</w:t>
            </w:r>
          </w:p>
          <w:p w14:paraId="50392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t>各施工阶段主要噪声源在不同距离处的平均等效声级见表</w:t>
            </w:r>
            <w:r>
              <w:rPr>
                <w:rFonts w:hint="eastAsia"/>
                <w:sz w:val="24"/>
                <w:szCs w:val="24"/>
                <w:lang w:val="en-US" w:eastAsia="zh-CN"/>
              </w:rPr>
              <w:t>24</w:t>
            </w:r>
            <w:r>
              <w:rPr>
                <w:rFonts w:hint="default"/>
                <w:sz w:val="24"/>
                <w:szCs w:val="24"/>
              </w:rPr>
              <w:t>。</w:t>
            </w:r>
          </w:p>
          <w:p w14:paraId="5DEC17FC">
            <w:pPr>
              <w:pStyle w:val="67"/>
              <w:keepNext w:val="0"/>
              <w:keepLines w:val="0"/>
              <w:pageBreakBefore w:val="0"/>
              <w:widowControl w:val="0"/>
              <w:numPr>
                <w:ilvl w:val="0"/>
                <w:numId w:val="0"/>
              </w:numPr>
              <w:kinsoku/>
              <w:wordWrap/>
              <w:overflowPunct/>
              <w:topLinePunct w:val="0"/>
              <w:autoSpaceDE/>
              <w:autoSpaceDN/>
              <w:bidi w:val="0"/>
              <w:adjustRightInd w:val="0"/>
              <w:snapToGrid/>
              <w:spacing w:before="0" w:after="0" w:line="240" w:lineRule="auto"/>
              <w:ind w:leftChars="0"/>
              <w:jc w:val="center"/>
              <w:textAlignment w:val="baseline"/>
              <w:rPr>
                <w:rFonts w:hint="default" w:ascii="Times New Roman" w:hAnsi="Times New Roman" w:eastAsia="宋体" w:cs="Times New Roman"/>
                <w:b/>
                <w:bCs/>
                <w:u w:val="none"/>
              </w:rPr>
            </w:pPr>
            <w:r>
              <w:rPr>
                <w:rFonts w:hint="default" w:ascii="Times New Roman" w:hAnsi="Times New Roman" w:eastAsia="宋体" w:cs="Times New Roman"/>
                <w:b/>
                <w:bCs/>
                <w:u w:val="none"/>
                <w:lang w:eastAsia="zh-CN"/>
              </w:rPr>
              <w:t>表</w:t>
            </w:r>
            <w:r>
              <w:rPr>
                <w:rFonts w:hint="eastAsia" w:cs="Times New Roman"/>
                <w:b/>
                <w:bCs/>
                <w:u w:val="none"/>
                <w:lang w:val="en-US" w:eastAsia="zh-CN"/>
              </w:rPr>
              <w:t>4-2</w:t>
            </w:r>
            <w:r>
              <w:rPr>
                <w:rFonts w:hint="eastAsia" w:ascii="Times New Roman" w:hAnsi="Times New Roman" w:eastAsia="宋体" w:cs="Times New Roman"/>
                <w:b/>
                <w:bCs/>
                <w:u w:val="none"/>
                <w:lang w:val="en-US" w:eastAsia="zh-CN"/>
              </w:rPr>
              <w:t xml:space="preserve"> </w:t>
            </w:r>
            <w:r>
              <w:rPr>
                <w:rFonts w:hint="default" w:ascii="Times New Roman" w:hAnsi="Times New Roman" w:eastAsia="宋体" w:cs="Times New Roman"/>
                <w:b/>
                <w:bCs/>
                <w:u w:val="none"/>
                <w:lang w:val="en-US" w:eastAsia="zh-CN"/>
              </w:rPr>
              <w:t xml:space="preserve">  </w:t>
            </w:r>
            <w:r>
              <w:rPr>
                <w:rFonts w:hint="default" w:ascii="Times New Roman" w:hAnsi="Times New Roman" w:eastAsia="宋体" w:cs="Times New Roman"/>
                <w:b/>
                <w:bCs/>
                <w:u w:val="none"/>
              </w:rPr>
              <w:t xml:space="preserve">施工各阶段噪声在不同距离的平均等效声级 </w:t>
            </w:r>
            <w:r>
              <w:rPr>
                <w:rFonts w:hint="default" w:ascii="Times New Roman" w:hAnsi="Times New Roman" w:eastAsia="宋体" w:cs="Times New Roman"/>
                <w:b/>
                <w:bCs/>
                <w:u w:val="none"/>
                <w:lang w:val="en-US" w:eastAsia="zh-CN"/>
              </w:rPr>
              <w:t xml:space="preserve">  单位：dB（A）</w:t>
            </w:r>
          </w:p>
          <w:tbl>
            <w:tblPr>
              <w:tblStyle w:val="21"/>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1529"/>
              <w:gridCol w:w="951"/>
              <w:gridCol w:w="1083"/>
              <w:gridCol w:w="946"/>
              <w:gridCol w:w="951"/>
              <w:gridCol w:w="951"/>
              <w:gridCol w:w="1053"/>
            </w:tblGrid>
            <w:tr w14:paraId="4F5D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Merge w:val="restart"/>
                  <w:tcBorders>
                    <w:top w:val="single" w:color="auto" w:sz="12" w:space="0"/>
                    <w:left w:val="nil"/>
                    <w:right w:val="single" w:color="auto" w:sz="4" w:space="0"/>
                  </w:tcBorders>
                  <w:noWrap w:val="0"/>
                  <w:vAlign w:val="center"/>
                </w:tcPr>
                <w:p w14:paraId="07E155DE">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序号</w:t>
                  </w:r>
                </w:p>
              </w:tc>
              <w:tc>
                <w:tcPr>
                  <w:tcW w:w="961" w:type="pct"/>
                  <w:vMerge w:val="restart"/>
                  <w:tcBorders>
                    <w:top w:val="single" w:color="auto" w:sz="12" w:space="0"/>
                    <w:left w:val="single" w:color="auto" w:sz="4" w:space="0"/>
                  </w:tcBorders>
                  <w:noWrap w:val="0"/>
                  <w:vAlign w:val="center"/>
                </w:tcPr>
                <w:p w14:paraId="2B52049F">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施工阶段</w:t>
                  </w:r>
                </w:p>
              </w:tc>
              <w:tc>
                <w:tcPr>
                  <w:tcW w:w="597" w:type="pct"/>
                  <w:vMerge w:val="restart"/>
                  <w:tcBorders>
                    <w:top w:val="single" w:color="auto" w:sz="12" w:space="0"/>
                  </w:tcBorders>
                  <w:noWrap w:val="0"/>
                  <w:vAlign w:val="center"/>
                </w:tcPr>
                <w:p w14:paraId="7B8056B0">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声功</w:t>
                  </w:r>
                </w:p>
                <w:p w14:paraId="70EE5D5F">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率级</w:t>
                  </w:r>
                </w:p>
              </w:tc>
              <w:tc>
                <w:tcPr>
                  <w:tcW w:w="3129" w:type="pct"/>
                  <w:gridSpan w:val="5"/>
                  <w:tcBorders>
                    <w:top w:val="single" w:color="auto" w:sz="12" w:space="0"/>
                    <w:bottom w:val="single" w:color="080000" w:sz="4" w:space="0"/>
                    <w:right w:val="nil"/>
                  </w:tcBorders>
                  <w:noWrap w:val="0"/>
                  <w:vAlign w:val="center"/>
                </w:tcPr>
                <w:p w14:paraId="21A6798B">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距声源距离</w:t>
                  </w:r>
                </w:p>
              </w:tc>
            </w:tr>
            <w:tr w14:paraId="2110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Merge w:val="continue"/>
                  <w:tcBorders>
                    <w:left w:val="nil"/>
                    <w:right w:val="single" w:color="auto" w:sz="4" w:space="0"/>
                  </w:tcBorders>
                  <w:noWrap w:val="0"/>
                  <w:vAlign w:val="center"/>
                </w:tcPr>
                <w:p w14:paraId="75FB5329">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p>
              </w:tc>
              <w:tc>
                <w:tcPr>
                  <w:tcW w:w="961" w:type="pct"/>
                  <w:vMerge w:val="continue"/>
                  <w:tcBorders>
                    <w:left w:val="single" w:color="auto" w:sz="4" w:space="0"/>
                  </w:tcBorders>
                  <w:noWrap w:val="0"/>
                  <w:vAlign w:val="center"/>
                </w:tcPr>
                <w:p w14:paraId="59308731">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p>
              </w:tc>
              <w:tc>
                <w:tcPr>
                  <w:tcW w:w="597" w:type="pct"/>
                  <w:vMerge w:val="continue"/>
                  <w:noWrap w:val="0"/>
                  <w:vAlign w:val="center"/>
                </w:tcPr>
                <w:p w14:paraId="4AA4E3D6">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p>
              </w:tc>
              <w:tc>
                <w:tcPr>
                  <w:tcW w:w="680" w:type="pct"/>
                  <w:tcBorders>
                    <w:top w:val="single" w:color="080000" w:sz="4" w:space="0"/>
                  </w:tcBorders>
                  <w:noWrap w:val="0"/>
                  <w:vAlign w:val="center"/>
                </w:tcPr>
                <w:p w14:paraId="46AE5E81">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场地边界</w:t>
                  </w:r>
                </w:p>
              </w:tc>
              <w:tc>
                <w:tcPr>
                  <w:tcW w:w="594" w:type="pct"/>
                  <w:tcBorders>
                    <w:top w:val="single" w:color="080000" w:sz="4" w:space="0"/>
                  </w:tcBorders>
                  <w:noWrap w:val="0"/>
                  <w:vAlign w:val="center"/>
                </w:tcPr>
                <w:p w14:paraId="3D30F2C1">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100m</w:t>
                  </w:r>
                </w:p>
              </w:tc>
              <w:tc>
                <w:tcPr>
                  <w:tcW w:w="597" w:type="pct"/>
                  <w:tcBorders>
                    <w:top w:val="single" w:color="080000" w:sz="4" w:space="0"/>
                  </w:tcBorders>
                  <w:noWrap w:val="0"/>
                  <w:vAlign w:val="center"/>
                </w:tcPr>
                <w:p w14:paraId="2FDF6094">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200m</w:t>
                  </w:r>
                </w:p>
              </w:tc>
              <w:tc>
                <w:tcPr>
                  <w:tcW w:w="597" w:type="pct"/>
                  <w:tcBorders>
                    <w:top w:val="single" w:color="080000" w:sz="4" w:space="0"/>
                  </w:tcBorders>
                  <w:noWrap w:val="0"/>
                  <w:vAlign w:val="center"/>
                </w:tcPr>
                <w:p w14:paraId="63DD959A">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300m</w:t>
                  </w:r>
                </w:p>
              </w:tc>
              <w:tc>
                <w:tcPr>
                  <w:tcW w:w="659" w:type="pct"/>
                  <w:tcBorders>
                    <w:top w:val="single" w:color="080000" w:sz="4" w:space="0"/>
                    <w:right w:val="nil"/>
                  </w:tcBorders>
                  <w:noWrap w:val="0"/>
                  <w:vAlign w:val="center"/>
                </w:tcPr>
                <w:p w14:paraId="411FCAAC">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500m</w:t>
                  </w:r>
                </w:p>
              </w:tc>
            </w:tr>
            <w:tr w14:paraId="2021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left w:val="nil"/>
                    <w:right w:val="single" w:color="auto" w:sz="4" w:space="0"/>
                  </w:tcBorders>
                  <w:noWrap w:val="0"/>
                  <w:vAlign w:val="center"/>
                </w:tcPr>
                <w:p w14:paraId="0788EFEC">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1</w:t>
                  </w:r>
                </w:p>
              </w:tc>
              <w:tc>
                <w:tcPr>
                  <w:tcW w:w="961" w:type="pct"/>
                  <w:tcBorders>
                    <w:left w:val="single" w:color="auto" w:sz="4" w:space="0"/>
                  </w:tcBorders>
                  <w:noWrap w:val="0"/>
                  <w:vAlign w:val="center"/>
                </w:tcPr>
                <w:p w14:paraId="5E3EBCD0">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eastAsia"/>
                      <w:u w:val="none"/>
                      <w:lang w:val="en-US" w:eastAsia="zh-CN"/>
                    </w:rPr>
                    <w:t>土石方</w:t>
                  </w:r>
                  <w:r>
                    <w:rPr>
                      <w:rFonts w:hint="default"/>
                      <w:u w:val="none"/>
                    </w:rPr>
                    <w:t>阶段</w:t>
                  </w:r>
                </w:p>
              </w:tc>
              <w:tc>
                <w:tcPr>
                  <w:tcW w:w="597" w:type="pct"/>
                  <w:noWrap w:val="0"/>
                  <w:vAlign w:val="center"/>
                </w:tcPr>
                <w:p w14:paraId="78CCC1EF">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eastAsia="宋体"/>
                      <w:u w:val="none"/>
                      <w:lang w:val="en-US" w:eastAsia="zh-CN"/>
                    </w:rPr>
                  </w:pPr>
                  <w:r>
                    <w:rPr>
                      <w:rFonts w:hint="eastAsia"/>
                      <w:u w:val="none"/>
                      <w:lang w:val="en-US" w:eastAsia="zh-CN"/>
                    </w:rPr>
                    <w:t>10</w:t>
                  </w:r>
                  <w:r>
                    <w:rPr>
                      <w:rFonts w:hint="default"/>
                      <w:u w:val="none"/>
                    </w:rPr>
                    <w:t>0-</w:t>
                  </w:r>
                  <w:r>
                    <w:rPr>
                      <w:rFonts w:hint="eastAsia"/>
                      <w:u w:val="none"/>
                      <w:lang w:val="en-US" w:eastAsia="zh-CN"/>
                    </w:rPr>
                    <w:t>110</w:t>
                  </w:r>
                </w:p>
              </w:tc>
              <w:tc>
                <w:tcPr>
                  <w:tcW w:w="680" w:type="pct"/>
                  <w:noWrap w:val="0"/>
                  <w:vAlign w:val="center"/>
                </w:tcPr>
                <w:p w14:paraId="08937E55">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70</w:t>
                  </w:r>
                  <w:r>
                    <w:rPr>
                      <w:rFonts w:hint="default"/>
                      <w:u w:val="none"/>
                      <w:lang w:eastAsia="zh-CN"/>
                    </w:rPr>
                    <w:t>-</w:t>
                  </w:r>
                  <w:r>
                    <w:rPr>
                      <w:rFonts w:hint="default"/>
                      <w:u w:val="none"/>
                    </w:rPr>
                    <w:t>80</w:t>
                  </w:r>
                </w:p>
              </w:tc>
              <w:tc>
                <w:tcPr>
                  <w:tcW w:w="594" w:type="pct"/>
                  <w:noWrap w:val="0"/>
                  <w:vAlign w:val="center"/>
                </w:tcPr>
                <w:p w14:paraId="55357831">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60</w:t>
                  </w:r>
                  <w:r>
                    <w:rPr>
                      <w:rFonts w:hint="default"/>
                      <w:u w:val="none"/>
                      <w:lang w:eastAsia="zh-CN"/>
                    </w:rPr>
                    <w:t>-</w:t>
                  </w:r>
                  <w:r>
                    <w:rPr>
                      <w:rFonts w:hint="default"/>
                      <w:u w:val="none"/>
                    </w:rPr>
                    <w:t>70</w:t>
                  </w:r>
                </w:p>
              </w:tc>
              <w:tc>
                <w:tcPr>
                  <w:tcW w:w="597" w:type="pct"/>
                  <w:noWrap w:val="0"/>
                  <w:vAlign w:val="center"/>
                </w:tcPr>
                <w:p w14:paraId="184ACB1F">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54</w:t>
                  </w:r>
                  <w:r>
                    <w:rPr>
                      <w:rFonts w:hint="default"/>
                      <w:u w:val="none"/>
                      <w:lang w:eastAsia="zh-CN"/>
                    </w:rPr>
                    <w:t>-</w:t>
                  </w:r>
                  <w:r>
                    <w:rPr>
                      <w:rFonts w:hint="default"/>
                      <w:u w:val="none"/>
                    </w:rPr>
                    <w:t>64</w:t>
                  </w:r>
                </w:p>
              </w:tc>
              <w:tc>
                <w:tcPr>
                  <w:tcW w:w="597" w:type="pct"/>
                  <w:noWrap w:val="0"/>
                  <w:vAlign w:val="center"/>
                </w:tcPr>
                <w:p w14:paraId="4489C628">
                  <w:pPr>
                    <w:pStyle w:val="73"/>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u w:val="none"/>
                      <w:lang w:eastAsia="zh-CN"/>
                    </w:rPr>
                  </w:pPr>
                  <w:r>
                    <w:rPr>
                      <w:rFonts w:hint="eastAsia"/>
                      <w:u w:val="none"/>
                      <w:lang w:val="en-US" w:eastAsia="zh-CN"/>
                    </w:rPr>
                    <w:t>50</w:t>
                  </w:r>
                  <w:r>
                    <w:rPr>
                      <w:rFonts w:hint="default"/>
                      <w:u w:val="none"/>
                      <w:lang w:eastAsia="zh-CN"/>
                    </w:rPr>
                    <w:t>-</w:t>
                  </w:r>
                  <w:r>
                    <w:rPr>
                      <w:rFonts w:hint="default"/>
                      <w:u w:val="none"/>
                    </w:rPr>
                    <w:t>6</w:t>
                  </w:r>
                  <w:r>
                    <w:rPr>
                      <w:rFonts w:hint="eastAsia"/>
                      <w:u w:val="none"/>
                      <w:lang w:val="en-US" w:eastAsia="zh-CN"/>
                    </w:rPr>
                    <w:t>0</w:t>
                  </w:r>
                </w:p>
              </w:tc>
              <w:tc>
                <w:tcPr>
                  <w:tcW w:w="659" w:type="pct"/>
                  <w:tcBorders>
                    <w:right w:val="nil"/>
                  </w:tcBorders>
                  <w:noWrap w:val="0"/>
                  <w:vAlign w:val="center"/>
                </w:tcPr>
                <w:p w14:paraId="5AE6DEC2">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46</w:t>
                  </w:r>
                  <w:r>
                    <w:rPr>
                      <w:rFonts w:hint="default"/>
                      <w:u w:val="none"/>
                      <w:lang w:eastAsia="zh-CN"/>
                    </w:rPr>
                    <w:t>-</w:t>
                  </w:r>
                  <w:r>
                    <w:rPr>
                      <w:rFonts w:hint="default"/>
                      <w:u w:val="none"/>
                    </w:rPr>
                    <w:t>56</w:t>
                  </w:r>
                </w:p>
              </w:tc>
            </w:tr>
            <w:tr w14:paraId="3041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left w:val="nil"/>
                    <w:right w:val="single" w:color="auto" w:sz="4" w:space="0"/>
                  </w:tcBorders>
                  <w:noWrap w:val="0"/>
                  <w:vAlign w:val="center"/>
                </w:tcPr>
                <w:p w14:paraId="18EF3594">
                  <w:pPr>
                    <w:pStyle w:val="73"/>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u w:val="none"/>
                      <w:lang w:eastAsia="zh-CN"/>
                    </w:rPr>
                  </w:pPr>
                  <w:r>
                    <w:rPr>
                      <w:rFonts w:hint="eastAsia"/>
                      <w:u w:val="none"/>
                      <w:lang w:val="en-US" w:eastAsia="zh-CN"/>
                    </w:rPr>
                    <w:t>2</w:t>
                  </w:r>
                </w:p>
              </w:tc>
              <w:tc>
                <w:tcPr>
                  <w:tcW w:w="961" w:type="pct"/>
                  <w:tcBorders>
                    <w:left w:val="single" w:color="auto" w:sz="4" w:space="0"/>
                  </w:tcBorders>
                  <w:noWrap w:val="0"/>
                  <w:vAlign w:val="center"/>
                </w:tcPr>
                <w:p w14:paraId="08D1F452">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结构阶段</w:t>
                  </w:r>
                </w:p>
              </w:tc>
              <w:tc>
                <w:tcPr>
                  <w:tcW w:w="597" w:type="pct"/>
                  <w:noWrap w:val="0"/>
                  <w:vAlign w:val="center"/>
                </w:tcPr>
                <w:p w14:paraId="3D85F25B">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eastAsia="宋体"/>
                      <w:u w:val="none"/>
                      <w:lang w:val="en-US" w:eastAsia="zh-CN"/>
                    </w:rPr>
                  </w:pPr>
                  <w:r>
                    <w:rPr>
                      <w:rFonts w:hint="eastAsia"/>
                      <w:u w:val="none"/>
                      <w:lang w:val="en-US" w:eastAsia="zh-CN"/>
                    </w:rPr>
                    <w:t>95</w:t>
                  </w:r>
                  <w:r>
                    <w:rPr>
                      <w:rFonts w:hint="default"/>
                      <w:u w:val="none"/>
                    </w:rPr>
                    <w:t>-</w:t>
                  </w:r>
                  <w:r>
                    <w:rPr>
                      <w:rFonts w:hint="eastAsia"/>
                      <w:u w:val="none"/>
                      <w:lang w:val="en-US" w:eastAsia="zh-CN"/>
                    </w:rPr>
                    <w:t>105</w:t>
                  </w:r>
                </w:p>
              </w:tc>
              <w:tc>
                <w:tcPr>
                  <w:tcW w:w="680" w:type="pct"/>
                  <w:noWrap w:val="0"/>
                  <w:vAlign w:val="center"/>
                </w:tcPr>
                <w:p w14:paraId="72D8D563">
                  <w:pPr>
                    <w:pStyle w:val="73"/>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u w:val="none"/>
                      <w:lang w:eastAsia="zh-CN"/>
                    </w:rPr>
                  </w:pPr>
                  <w:r>
                    <w:rPr>
                      <w:rFonts w:hint="default"/>
                      <w:u w:val="none"/>
                    </w:rPr>
                    <w:t>65</w:t>
                  </w:r>
                  <w:r>
                    <w:rPr>
                      <w:rFonts w:hint="default"/>
                      <w:u w:val="none"/>
                      <w:lang w:eastAsia="zh-CN"/>
                    </w:rPr>
                    <w:t>-</w:t>
                  </w:r>
                  <w:r>
                    <w:rPr>
                      <w:rFonts w:hint="default"/>
                      <w:u w:val="none"/>
                    </w:rPr>
                    <w:t>7</w:t>
                  </w:r>
                  <w:r>
                    <w:rPr>
                      <w:rFonts w:hint="eastAsia"/>
                      <w:u w:val="none"/>
                      <w:lang w:val="en-US" w:eastAsia="zh-CN"/>
                    </w:rPr>
                    <w:t>5</w:t>
                  </w:r>
                </w:p>
              </w:tc>
              <w:tc>
                <w:tcPr>
                  <w:tcW w:w="594" w:type="pct"/>
                  <w:noWrap w:val="0"/>
                  <w:vAlign w:val="center"/>
                </w:tcPr>
                <w:p w14:paraId="7C5C07A2">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55</w:t>
                  </w:r>
                  <w:r>
                    <w:rPr>
                      <w:rFonts w:hint="default"/>
                      <w:u w:val="none"/>
                      <w:lang w:eastAsia="zh-CN"/>
                    </w:rPr>
                    <w:t>-</w:t>
                  </w:r>
                  <w:r>
                    <w:rPr>
                      <w:rFonts w:hint="default"/>
                      <w:u w:val="none"/>
                    </w:rPr>
                    <w:t>65</w:t>
                  </w:r>
                </w:p>
              </w:tc>
              <w:tc>
                <w:tcPr>
                  <w:tcW w:w="597" w:type="pct"/>
                  <w:noWrap w:val="0"/>
                  <w:vAlign w:val="center"/>
                </w:tcPr>
                <w:p w14:paraId="5FE7A42B">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49</w:t>
                  </w:r>
                  <w:r>
                    <w:rPr>
                      <w:rFonts w:hint="default"/>
                      <w:u w:val="none"/>
                      <w:lang w:eastAsia="zh-CN"/>
                    </w:rPr>
                    <w:t>-</w:t>
                  </w:r>
                  <w:r>
                    <w:rPr>
                      <w:rFonts w:hint="default"/>
                      <w:u w:val="none"/>
                    </w:rPr>
                    <w:t>59</w:t>
                  </w:r>
                </w:p>
              </w:tc>
              <w:tc>
                <w:tcPr>
                  <w:tcW w:w="597" w:type="pct"/>
                  <w:noWrap w:val="0"/>
                  <w:vAlign w:val="center"/>
                </w:tcPr>
                <w:p w14:paraId="156A2E4A">
                  <w:pPr>
                    <w:pStyle w:val="73"/>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u w:val="none"/>
                      <w:lang w:eastAsia="zh-CN"/>
                    </w:rPr>
                  </w:pPr>
                  <w:r>
                    <w:rPr>
                      <w:rFonts w:hint="default"/>
                      <w:u w:val="none"/>
                    </w:rPr>
                    <w:t>4</w:t>
                  </w:r>
                  <w:r>
                    <w:rPr>
                      <w:rFonts w:hint="eastAsia"/>
                      <w:u w:val="none"/>
                      <w:lang w:val="en-US" w:eastAsia="zh-CN"/>
                    </w:rPr>
                    <w:t>5</w:t>
                  </w:r>
                  <w:r>
                    <w:rPr>
                      <w:rFonts w:hint="default"/>
                      <w:u w:val="none"/>
                      <w:lang w:eastAsia="zh-CN"/>
                    </w:rPr>
                    <w:t>-</w:t>
                  </w:r>
                  <w:r>
                    <w:rPr>
                      <w:rFonts w:hint="default"/>
                      <w:u w:val="none"/>
                    </w:rPr>
                    <w:t>5</w:t>
                  </w:r>
                  <w:r>
                    <w:rPr>
                      <w:rFonts w:hint="eastAsia"/>
                      <w:u w:val="none"/>
                      <w:lang w:val="en-US" w:eastAsia="zh-CN"/>
                    </w:rPr>
                    <w:t>5</w:t>
                  </w:r>
                </w:p>
              </w:tc>
              <w:tc>
                <w:tcPr>
                  <w:tcW w:w="659" w:type="pct"/>
                  <w:tcBorders>
                    <w:right w:val="nil"/>
                  </w:tcBorders>
                  <w:noWrap w:val="0"/>
                  <w:vAlign w:val="center"/>
                </w:tcPr>
                <w:p w14:paraId="5D719EF3">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41</w:t>
                  </w:r>
                  <w:r>
                    <w:rPr>
                      <w:rFonts w:hint="default"/>
                      <w:u w:val="none"/>
                      <w:lang w:eastAsia="zh-CN"/>
                    </w:rPr>
                    <w:t>-</w:t>
                  </w:r>
                  <w:r>
                    <w:rPr>
                      <w:rFonts w:hint="default"/>
                      <w:u w:val="none"/>
                    </w:rPr>
                    <w:t>51</w:t>
                  </w:r>
                </w:p>
              </w:tc>
            </w:tr>
            <w:tr w14:paraId="1EDD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left w:val="nil"/>
                    <w:bottom w:val="single" w:color="auto" w:sz="12" w:space="0"/>
                    <w:right w:val="single" w:color="auto" w:sz="4" w:space="0"/>
                  </w:tcBorders>
                  <w:noWrap w:val="0"/>
                  <w:vAlign w:val="center"/>
                </w:tcPr>
                <w:p w14:paraId="3579B290">
                  <w:pPr>
                    <w:pStyle w:val="73"/>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u w:val="none"/>
                      <w:lang w:eastAsia="zh-CN"/>
                    </w:rPr>
                  </w:pPr>
                  <w:r>
                    <w:rPr>
                      <w:rFonts w:hint="eastAsia"/>
                      <w:u w:val="none"/>
                      <w:lang w:val="en-US" w:eastAsia="zh-CN"/>
                    </w:rPr>
                    <w:t>3</w:t>
                  </w:r>
                </w:p>
              </w:tc>
              <w:tc>
                <w:tcPr>
                  <w:tcW w:w="961" w:type="pct"/>
                  <w:tcBorders>
                    <w:left w:val="single" w:color="auto" w:sz="4" w:space="0"/>
                    <w:bottom w:val="single" w:color="auto" w:sz="12" w:space="0"/>
                  </w:tcBorders>
                  <w:noWrap w:val="0"/>
                  <w:vAlign w:val="center"/>
                </w:tcPr>
                <w:p w14:paraId="7A67FC8F">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装修阶段</w:t>
                  </w:r>
                </w:p>
              </w:tc>
              <w:tc>
                <w:tcPr>
                  <w:tcW w:w="597" w:type="pct"/>
                  <w:tcBorders>
                    <w:bottom w:val="single" w:color="auto" w:sz="12" w:space="0"/>
                  </w:tcBorders>
                  <w:noWrap w:val="0"/>
                  <w:vAlign w:val="center"/>
                </w:tcPr>
                <w:p w14:paraId="63BA65EB">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eastAsia="宋体"/>
                      <w:u w:val="none"/>
                      <w:lang w:val="en-US" w:eastAsia="zh-CN"/>
                    </w:rPr>
                  </w:pPr>
                  <w:r>
                    <w:rPr>
                      <w:rFonts w:hint="eastAsia"/>
                      <w:u w:val="none"/>
                      <w:lang w:val="en-US" w:eastAsia="zh-CN"/>
                    </w:rPr>
                    <w:t>85</w:t>
                  </w:r>
                  <w:r>
                    <w:rPr>
                      <w:rFonts w:hint="default"/>
                      <w:u w:val="none"/>
                    </w:rPr>
                    <w:t>-</w:t>
                  </w:r>
                  <w:r>
                    <w:rPr>
                      <w:rFonts w:hint="eastAsia"/>
                      <w:u w:val="none"/>
                      <w:lang w:val="en-US" w:eastAsia="zh-CN"/>
                    </w:rPr>
                    <w:t>90</w:t>
                  </w:r>
                </w:p>
              </w:tc>
              <w:tc>
                <w:tcPr>
                  <w:tcW w:w="680" w:type="pct"/>
                  <w:tcBorders>
                    <w:bottom w:val="single" w:color="auto" w:sz="12" w:space="0"/>
                  </w:tcBorders>
                  <w:noWrap w:val="0"/>
                  <w:vAlign w:val="center"/>
                </w:tcPr>
                <w:p w14:paraId="21C06147">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5</w:t>
                  </w:r>
                  <w:r>
                    <w:rPr>
                      <w:rFonts w:hint="eastAsia"/>
                      <w:u w:val="none"/>
                      <w:lang w:val="en-US" w:eastAsia="zh-CN"/>
                    </w:rPr>
                    <w:t>5</w:t>
                  </w:r>
                  <w:r>
                    <w:rPr>
                      <w:rFonts w:hint="default"/>
                      <w:u w:val="none"/>
                      <w:lang w:eastAsia="zh-CN"/>
                    </w:rPr>
                    <w:t>-</w:t>
                  </w:r>
                  <w:r>
                    <w:rPr>
                      <w:rFonts w:hint="default"/>
                      <w:u w:val="none"/>
                    </w:rPr>
                    <w:t>60</w:t>
                  </w:r>
                </w:p>
              </w:tc>
              <w:tc>
                <w:tcPr>
                  <w:tcW w:w="594" w:type="pct"/>
                  <w:tcBorders>
                    <w:bottom w:val="single" w:color="auto" w:sz="12" w:space="0"/>
                  </w:tcBorders>
                  <w:noWrap w:val="0"/>
                  <w:vAlign w:val="center"/>
                </w:tcPr>
                <w:p w14:paraId="6FF52444">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45</w:t>
                  </w:r>
                  <w:r>
                    <w:rPr>
                      <w:rFonts w:hint="default"/>
                      <w:u w:val="none"/>
                      <w:lang w:eastAsia="zh-CN"/>
                    </w:rPr>
                    <w:t>-</w:t>
                  </w:r>
                  <w:r>
                    <w:rPr>
                      <w:rFonts w:hint="default"/>
                      <w:u w:val="none"/>
                    </w:rPr>
                    <w:t>50</w:t>
                  </w:r>
                </w:p>
              </w:tc>
              <w:tc>
                <w:tcPr>
                  <w:tcW w:w="597" w:type="pct"/>
                  <w:tcBorders>
                    <w:bottom w:val="single" w:color="auto" w:sz="12" w:space="0"/>
                  </w:tcBorders>
                  <w:noWrap w:val="0"/>
                  <w:vAlign w:val="center"/>
                </w:tcPr>
                <w:p w14:paraId="4249188A">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39</w:t>
                  </w:r>
                  <w:r>
                    <w:rPr>
                      <w:rFonts w:hint="default"/>
                      <w:u w:val="none"/>
                      <w:lang w:eastAsia="zh-CN"/>
                    </w:rPr>
                    <w:t>-</w:t>
                  </w:r>
                  <w:r>
                    <w:rPr>
                      <w:rFonts w:hint="default"/>
                      <w:u w:val="none"/>
                    </w:rPr>
                    <w:t>44</w:t>
                  </w:r>
                </w:p>
              </w:tc>
              <w:tc>
                <w:tcPr>
                  <w:tcW w:w="597" w:type="pct"/>
                  <w:tcBorders>
                    <w:bottom w:val="single" w:color="auto" w:sz="12" w:space="0"/>
                  </w:tcBorders>
                  <w:noWrap w:val="0"/>
                  <w:vAlign w:val="center"/>
                </w:tcPr>
                <w:p w14:paraId="0C5B9CC4">
                  <w:pPr>
                    <w:pStyle w:val="73"/>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u w:val="none"/>
                      <w:lang w:eastAsia="zh-CN"/>
                    </w:rPr>
                  </w:pPr>
                  <w:r>
                    <w:rPr>
                      <w:rFonts w:hint="default"/>
                      <w:u w:val="none"/>
                    </w:rPr>
                    <w:t>3</w:t>
                  </w:r>
                  <w:r>
                    <w:rPr>
                      <w:rFonts w:hint="eastAsia"/>
                      <w:u w:val="none"/>
                      <w:lang w:val="en-US" w:eastAsia="zh-CN"/>
                    </w:rPr>
                    <w:t>5</w:t>
                  </w:r>
                  <w:r>
                    <w:rPr>
                      <w:rFonts w:hint="default"/>
                      <w:u w:val="none"/>
                      <w:lang w:eastAsia="zh-CN"/>
                    </w:rPr>
                    <w:t>-</w:t>
                  </w:r>
                  <w:r>
                    <w:rPr>
                      <w:rFonts w:hint="default"/>
                      <w:u w:val="none"/>
                    </w:rPr>
                    <w:t>4</w:t>
                  </w:r>
                  <w:r>
                    <w:rPr>
                      <w:rFonts w:hint="eastAsia"/>
                      <w:u w:val="none"/>
                      <w:lang w:val="en-US" w:eastAsia="zh-CN"/>
                    </w:rPr>
                    <w:t>0</w:t>
                  </w:r>
                </w:p>
              </w:tc>
              <w:tc>
                <w:tcPr>
                  <w:tcW w:w="659" w:type="pct"/>
                  <w:tcBorders>
                    <w:bottom w:val="single" w:color="auto" w:sz="12" w:space="0"/>
                    <w:right w:val="nil"/>
                  </w:tcBorders>
                  <w:noWrap w:val="0"/>
                  <w:vAlign w:val="center"/>
                </w:tcPr>
                <w:p w14:paraId="7C8ADC3C">
                  <w:pPr>
                    <w:pStyle w:val="73"/>
                    <w:keepNext w:val="0"/>
                    <w:keepLines w:val="0"/>
                    <w:pageBreakBefore w:val="0"/>
                    <w:widowControl w:val="0"/>
                    <w:kinsoku/>
                    <w:wordWrap/>
                    <w:overflowPunct/>
                    <w:topLinePunct w:val="0"/>
                    <w:autoSpaceDE/>
                    <w:autoSpaceDN/>
                    <w:bidi w:val="0"/>
                    <w:adjustRightInd/>
                    <w:snapToGrid/>
                    <w:jc w:val="center"/>
                    <w:textAlignment w:val="auto"/>
                    <w:rPr>
                      <w:rFonts w:hint="default"/>
                      <w:u w:val="none"/>
                    </w:rPr>
                  </w:pPr>
                  <w:r>
                    <w:rPr>
                      <w:rFonts w:hint="default"/>
                      <w:u w:val="none"/>
                    </w:rPr>
                    <w:t>31</w:t>
                  </w:r>
                  <w:r>
                    <w:rPr>
                      <w:rFonts w:hint="default"/>
                      <w:u w:val="none"/>
                      <w:lang w:eastAsia="zh-CN"/>
                    </w:rPr>
                    <w:t>-</w:t>
                  </w:r>
                  <w:r>
                    <w:rPr>
                      <w:rFonts w:hint="default"/>
                      <w:u w:val="none"/>
                    </w:rPr>
                    <w:t>36</w:t>
                  </w:r>
                </w:p>
              </w:tc>
            </w:tr>
          </w:tbl>
          <w:p w14:paraId="0C675E50">
            <w:pPr>
              <w:pStyle w:val="74"/>
              <w:bidi w:val="0"/>
              <w:rPr>
                <w:rFonts w:hint="default"/>
              </w:rPr>
            </w:pPr>
          </w:p>
          <w:p w14:paraId="269A9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rPr>
              <w:t>从</w:t>
            </w:r>
            <w:r>
              <w:rPr>
                <w:rFonts w:hint="eastAsia"/>
                <w:sz w:val="24"/>
                <w:szCs w:val="24"/>
                <w:lang w:eastAsia="zh-CN"/>
              </w:rPr>
              <w:t>上表</w:t>
            </w:r>
            <w:r>
              <w:rPr>
                <w:rFonts w:hint="default"/>
                <w:sz w:val="24"/>
                <w:szCs w:val="24"/>
              </w:rPr>
              <w:t>可以看出，在施工场地边界处，土石方阶段及结构阶段昼间噪声均不符合</w:t>
            </w:r>
            <w:r>
              <w:rPr>
                <w:rFonts w:hint="default"/>
                <w:sz w:val="24"/>
                <w:szCs w:val="24"/>
                <w:lang w:eastAsia="zh-CN"/>
              </w:rPr>
              <w:t>《建筑施工噪声排放标准》（GB12523-2025）</w:t>
            </w:r>
            <w:r>
              <w:rPr>
                <w:rFonts w:hint="default"/>
                <w:sz w:val="24"/>
                <w:szCs w:val="24"/>
              </w:rPr>
              <w:t>的要求，各阶段夜间噪声不满足标准要求。</w:t>
            </w:r>
            <w:r>
              <w:rPr>
                <w:rFonts w:hint="default"/>
                <w:sz w:val="24"/>
                <w:szCs w:val="24"/>
                <w:lang w:eastAsia="zh-CN"/>
              </w:rPr>
              <w:t>尤其是</w:t>
            </w:r>
            <w:r>
              <w:rPr>
                <w:rFonts w:hint="eastAsia"/>
                <w:sz w:val="24"/>
                <w:szCs w:val="24"/>
                <w:lang w:val="en-US" w:eastAsia="zh-CN"/>
              </w:rPr>
              <w:t>土石方</w:t>
            </w:r>
            <w:r>
              <w:rPr>
                <w:rFonts w:hint="default"/>
                <w:sz w:val="24"/>
                <w:szCs w:val="24"/>
                <w:lang w:eastAsia="zh-CN"/>
              </w:rPr>
              <w:t>阶段，由于</w:t>
            </w:r>
            <w:r>
              <w:rPr>
                <w:rFonts w:hint="eastAsia"/>
                <w:sz w:val="24"/>
                <w:szCs w:val="24"/>
                <w:lang w:val="en-US" w:eastAsia="zh-CN"/>
              </w:rPr>
              <w:t>挖掘</w:t>
            </w:r>
            <w:r>
              <w:rPr>
                <w:rFonts w:hint="default"/>
                <w:sz w:val="24"/>
                <w:szCs w:val="24"/>
                <w:lang w:eastAsia="zh-CN"/>
              </w:rPr>
              <w:t>机噪声很大，致使周围环境噪声严重超标。故施工单位必须对噪声源采取一定的防治措施，必要时应设立声屏障，并严禁</w:t>
            </w:r>
            <w:r>
              <w:rPr>
                <w:rFonts w:hint="eastAsia"/>
                <w:sz w:val="24"/>
                <w:szCs w:val="24"/>
                <w:lang w:val="en-US" w:eastAsia="zh-CN"/>
              </w:rPr>
              <w:t>挖掘</w:t>
            </w:r>
            <w:r>
              <w:rPr>
                <w:rFonts w:hint="default"/>
                <w:sz w:val="24"/>
                <w:szCs w:val="24"/>
                <w:lang w:eastAsia="zh-CN"/>
              </w:rPr>
              <w:t>机等高噪声设备在夜间施工，必要时需与</w:t>
            </w:r>
            <w:r>
              <w:rPr>
                <w:rFonts w:hint="eastAsia"/>
                <w:sz w:val="24"/>
                <w:szCs w:val="24"/>
                <w:lang w:eastAsia="zh-CN"/>
              </w:rPr>
              <w:t>周边居民</w:t>
            </w:r>
            <w:r>
              <w:rPr>
                <w:rFonts w:hint="default"/>
                <w:sz w:val="24"/>
                <w:szCs w:val="24"/>
                <w:lang w:eastAsia="zh-CN"/>
              </w:rPr>
              <w:t>商定作业时间。</w:t>
            </w:r>
          </w:p>
          <w:p w14:paraId="0B93C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lang w:eastAsia="zh-CN"/>
              </w:rPr>
            </w:pPr>
            <w:r>
              <w:rPr>
                <w:rFonts w:hint="eastAsia"/>
                <w:sz w:val="24"/>
                <w:szCs w:val="24"/>
                <w:u w:val="single"/>
                <w:lang w:eastAsia="zh-CN"/>
              </w:rPr>
              <w:t>建议在施工期间采取以下相应措施：</w:t>
            </w:r>
          </w:p>
          <w:p w14:paraId="0EF60B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rFonts w:hint="eastAsia"/>
                <w:sz w:val="24"/>
                <w:szCs w:val="24"/>
                <w:u w:val="single"/>
                <w:lang w:eastAsia="zh-CN"/>
              </w:rPr>
              <w:t>①</w:t>
            </w:r>
            <w:r>
              <w:rPr>
                <w:rFonts w:hint="default"/>
                <w:sz w:val="24"/>
                <w:szCs w:val="24"/>
                <w:u w:val="single"/>
              </w:rPr>
              <w:t>合理安排施工计划和施工时间。禁止夜间（22:00-6:00）施工，</w:t>
            </w:r>
            <w:r>
              <w:rPr>
                <w:rFonts w:hint="eastAsia"/>
                <w:sz w:val="24"/>
                <w:szCs w:val="24"/>
                <w:u w:val="single"/>
                <w:lang w:eastAsia="zh-CN"/>
              </w:rPr>
              <w:t>同时</w:t>
            </w:r>
            <w:r>
              <w:rPr>
                <w:rFonts w:hint="default"/>
                <w:sz w:val="24"/>
                <w:szCs w:val="24"/>
                <w:u w:val="single"/>
              </w:rPr>
              <w:t>避免在同一时间集中使用大量的动力机械设备。施工单位严格执行《建筑施工场界环境噪声排放标准》的要求，在施工过程中，尽量减少运行动力机械设备的数量，尽可能使动力机械设备比较均匀地使用；</w:t>
            </w:r>
          </w:p>
          <w:p w14:paraId="79437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rFonts w:hint="eastAsia"/>
                <w:sz w:val="24"/>
                <w:szCs w:val="24"/>
                <w:u w:val="single"/>
                <w:lang w:eastAsia="zh-CN"/>
              </w:rPr>
              <w:t>②</w:t>
            </w:r>
            <w:r>
              <w:rPr>
                <w:rFonts w:hint="default"/>
                <w:sz w:val="24"/>
                <w:szCs w:val="24"/>
                <w:u w:val="single"/>
                <w:lang w:eastAsia="zh-CN"/>
              </w:rPr>
              <w:t>施工设备尽量采用先进低噪声设备，定期保养、维护，减少对环境敏感点的影响程度；</w:t>
            </w:r>
          </w:p>
          <w:p w14:paraId="585476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rFonts w:hint="eastAsia"/>
                <w:sz w:val="24"/>
                <w:szCs w:val="24"/>
                <w:u w:val="single"/>
                <w:lang w:eastAsia="zh-CN"/>
              </w:rPr>
              <w:t>③</w:t>
            </w:r>
            <w:r>
              <w:rPr>
                <w:rFonts w:hint="default"/>
                <w:sz w:val="24"/>
                <w:szCs w:val="24"/>
                <w:u w:val="single"/>
                <w:lang w:eastAsia="zh-CN"/>
              </w:rPr>
              <w:t>建筑材料运输、装卸过程中在居民区和敏感点附近车速要降至</w:t>
            </w:r>
            <w:r>
              <w:rPr>
                <w:rFonts w:hint="default"/>
                <w:sz w:val="24"/>
                <w:szCs w:val="24"/>
                <w:u w:val="single"/>
                <w:lang w:val="en-US" w:eastAsia="zh-CN"/>
              </w:rPr>
              <w:t>20km/h，并禁止鸣笛</w:t>
            </w:r>
            <w:r>
              <w:rPr>
                <w:rFonts w:hint="default"/>
                <w:sz w:val="24"/>
                <w:szCs w:val="24"/>
                <w:u w:val="single"/>
              </w:rPr>
              <w:t>；</w:t>
            </w:r>
          </w:p>
          <w:p w14:paraId="171F2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rFonts w:hint="eastAsia"/>
                <w:sz w:val="24"/>
                <w:szCs w:val="24"/>
                <w:u w:val="single"/>
                <w:lang w:eastAsia="zh-CN"/>
              </w:rPr>
              <w:t>④</w:t>
            </w:r>
            <w:r>
              <w:rPr>
                <w:rFonts w:hint="default"/>
                <w:sz w:val="24"/>
                <w:szCs w:val="24"/>
                <w:u w:val="single"/>
                <w:lang w:eastAsia="zh-CN"/>
              </w:rPr>
              <w:t>施工场地应保持道路通畅，控制运输车辆的车速，减少车辆鸣笛产生的噪声对环境的影响</w:t>
            </w:r>
            <w:r>
              <w:rPr>
                <w:rFonts w:hint="default"/>
                <w:sz w:val="24"/>
                <w:szCs w:val="24"/>
                <w:u w:val="single"/>
              </w:rPr>
              <w:t>。</w:t>
            </w:r>
          </w:p>
          <w:p w14:paraId="2B210A05">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u w:val="single"/>
              </w:rPr>
            </w:pPr>
            <w:r>
              <w:rPr>
                <w:rFonts w:hint="default" w:ascii="Times New Roman" w:hAnsi="Times New Roman" w:cs="Times New Roman"/>
                <w:color w:val="000000"/>
                <w:u w:val="single"/>
              </w:rPr>
              <w:t>经上述处理措施后，施工期噪声对周围环境影响较小，措施可行。</w:t>
            </w:r>
          </w:p>
          <w:p w14:paraId="633C45DB">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color w:val="000000"/>
              </w:rPr>
              <w:t>（4）固体废物污染防治措施</w:t>
            </w:r>
          </w:p>
          <w:p w14:paraId="0ACF050E">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cs="Times New Roman"/>
              </w:rPr>
            </w:pPr>
            <w:r>
              <w:rPr>
                <w:rFonts w:hint="default" w:ascii="Times New Roman" w:hAnsi="Times New Roman" w:cs="Times New Roman"/>
                <w:color w:val="000000"/>
              </w:rPr>
              <w:t>施工期的固体废物为施工中的建筑垃圾</w:t>
            </w:r>
            <w:r>
              <w:rPr>
                <w:rFonts w:hint="eastAsia" w:ascii="Times New Roman" w:hAnsi="Times New Roman" w:cs="Times New Roman"/>
                <w:color w:val="000000"/>
                <w:lang w:eastAsia="zh-CN"/>
              </w:rPr>
              <w:t>、</w:t>
            </w:r>
            <w:r>
              <w:rPr>
                <w:rFonts w:hint="default" w:ascii="Times New Roman" w:hAnsi="Times New Roman" w:cs="Times New Roman"/>
                <w:color w:val="000000"/>
              </w:rPr>
              <w:t>施工人员的生活垃圾</w:t>
            </w:r>
            <w:r>
              <w:rPr>
                <w:rFonts w:hint="eastAsia" w:ascii="Times New Roman" w:hAnsi="Times New Roman" w:cs="Times New Roman"/>
                <w:color w:val="000000"/>
                <w:lang w:eastAsia="zh-CN"/>
              </w:rPr>
              <w:t>和沉淀池沉淀物</w:t>
            </w:r>
            <w:r>
              <w:rPr>
                <w:rFonts w:hint="default" w:ascii="Times New Roman" w:hAnsi="Times New Roman" w:cs="Times New Roman"/>
                <w:color w:val="000000"/>
              </w:rPr>
              <w:t>。</w:t>
            </w:r>
          </w:p>
          <w:p w14:paraId="3289817B">
            <w:pPr>
              <w:pStyle w:val="18"/>
              <w:widowControl w:val="0"/>
              <w:tabs>
                <w:tab w:val="left" w:pos="0"/>
              </w:tabs>
              <w:spacing w:before="0" w:beforeAutospacing="0" w:after="0" w:afterAutospacing="0" w:line="360" w:lineRule="auto"/>
              <w:ind w:firstLine="480" w:firstLineChars="200"/>
              <w:jc w:val="both"/>
              <w:rPr>
                <w:rFonts w:hint="default" w:ascii="Times New Roman" w:hAnsi="Times New Roman" w:eastAsia="宋体" w:cs="Times New Roman"/>
                <w:u w:val="none" w:color="auto"/>
                <w:lang w:val="en-US" w:eastAsia="zh-CN"/>
              </w:rPr>
            </w:pPr>
            <w:r>
              <w:rPr>
                <w:rFonts w:hint="default" w:ascii="Times New Roman" w:hAnsi="Times New Roman" w:cs="Times New Roman"/>
                <w:color w:val="000000"/>
              </w:rPr>
              <w:t>本工程施工期间固体废物主要来源于工程进入施工阶段产生的一定量的建筑垃圾，主要为边角余料的建材、废弃包装物等废物，建筑垃圾应及时清运，可回收利用的回收利用，剩余不能利用的建筑垃圾应送往指定的建筑垃圾填埋场；针对施工过程中施工场地人员产生的生活垃圾，施工现场应设置专门生活垃圾箱，生活垃圾分类收集、存储，定期交由环卫部门统一清运，避免随意抛弃</w:t>
            </w:r>
            <w:r>
              <w:rPr>
                <w:rFonts w:hint="eastAsia" w:ascii="Times New Roman" w:hAnsi="Times New Roman" w:cs="Times New Roman"/>
                <w:color w:val="000000"/>
                <w:lang w:eastAsia="zh-CN"/>
              </w:rPr>
              <w:t>；沉淀池泥沙</w:t>
            </w:r>
            <w:r>
              <w:rPr>
                <w:rFonts w:hint="eastAsia" w:ascii="Times New Roman" w:hAnsi="Times New Roman" w:cs="Times New Roman"/>
                <w:color w:val="000000"/>
                <w:u w:val="none" w:color="auto"/>
                <w:lang w:val="en-US" w:eastAsia="zh-CN"/>
              </w:rPr>
              <w:t>，主要成分为泥沙等，全部用于厂区内部场地平整。</w:t>
            </w:r>
          </w:p>
          <w:p w14:paraId="1465E6F1">
            <w:pPr>
              <w:adjustRightInd w:val="0"/>
              <w:spacing w:line="360" w:lineRule="auto"/>
              <w:ind w:firstLine="480" w:firstLineChars="200"/>
              <w:jc w:val="both"/>
              <w:rPr>
                <w:rFonts w:ascii="宋体" w:hAnsi="宋体" w:cs="宋体"/>
                <w:bCs/>
                <w:spacing w:val="-10"/>
                <w:sz w:val="24"/>
                <w:szCs w:val="24"/>
              </w:rPr>
            </w:pPr>
            <w:r>
              <w:rPr>
                <w:rFonts w:hint="default" w:ascii="Times New Roman" w:hAnsi="Times New Roman" w:cs="Times New Roman"/>
                <w:sz w:val="24"/>
              </w:rPr>
              <w:t>通过采取上述措施后，施工期间固体废物不会对周围环境造成二次污染。</w:t>
            </w:r>
          </w:p>
        </w:tc>
      </w:tr>
      <w:tr w14:paraId="378E8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18" w:type="pct"/>
            <w:noWrap w:val="0"/>
            <w:tcMar>
              <w:left w:w="28" w:type="dxa"/>
              <w:right w:w="28" w:type="dxa"/>
            </w:tcMar>
            <w:vAlign w:val="center"/>
          </w:tcPr>
          <w:p w14:paraId="29D2C1CF">
            <w:pPr>
              <w:adjustRightInd w:val="0"/>
              <w:snapToGrid w:val="0"/>
              <w:jc w:val="center"/>
              <w:rPr>
                <w:rFonts w:hint="eastAsia" w:ascii="宋体" w:hAnsi="宋体" w:cs="宋体"/>
                <w:bCs/>
                <w:sz w:val="24"/>
                <w:szCs w:val="24"/>
                <w:u w:val="none" w:color="auto"/>
              </w:rPr>
            </w:pPr>
            <w:r>
              <w:rPr>
                <w:rFonts w:hint="eastAsia" w:ascii="宋体" w:hAnsi="宋体" w:cs="宋体"/>
                <w:bCs/>
                <w:sz w:val="24"/>
                <w:szCs w:val="24"/>
                <w:u w:val="none" w:color="auto"/>
              </w:rPr>
              <w:t>运营</w:t>
            </w:r>
          </w:p>
          <w:p w14:paraId="68656500">
            <w:pPr>
              <w:adjustRightInd w:val="0"/>
              <w:snapToGrid w:val="0"/>
              <w:jc w:val="center"/>
              <w:rPr>
                <w:rFonts w:hint="eastAsia" w:ascii="宋体" w:hAnsi="宋体" w:cs="宋体"/>
                <w:bCs/>
                <w:sz w:val="24"/>
                <w:szCs w:val="24"/>
                <w:u w:val="none" w:color="auto"/>
              </w:rPr>
            </w:pPr>
            <w:r>
              <w:rPr>
                <w:rFonts w:hint="eastAsia" w:ascii="宋体" w:hAnsi="宋体" w:cs="宋体"/>
                <w:bCs/>
                <w:sz w:val="24"/>
                <w:szCs w:val="24"/>
                <w:u w:val="none" w:color="auto"/>
              </w:rPr>
              <w:t>期环</w:t>
            </w:r>
          </w:p>
          <w:p w14:paraId="01AB7722">
            <w:pPr>
              <w:adjustRightInd w:val="0"/>
              <w:snapToGrid w:val="0"/>
              <w:jc w:val="center"/>
              <w:rPr>
                <w:rFonts w:hint="eastAsia" w:ascii="宋体" w:hAnsi="宋体" w:cs="宋体"/>
                <w:bCs/>
                <w:sz w:val="24"/>
                <w:szCs w:val="24"/>
                <w:u w:val="none" w:color="auto"/>
              </w:rPr>
            </w:pPr>
            <w:r>
              <w:rPr>
                <w:rFonts w:hint="eastAsia" w:ascii="宋体" w:hAnsi="宋体" w:cs="宋体"/>
                <w:bCs/>
                <w:sz w:val="24"/>
                <w:szCs w:val="24"/>
                <w:u w:val="none" w:color="auto"/>
              </w:rPr>
              <w:t>境影</w:t>
            </w:r>
          </w:p>
          <w:p w14:paraId="56DBDB7F">
            <w:pPr>
              <w:adjustRightInd w:val="0"/>
              <w:snapToGrid w:val="0"/>
              <w:jc w:val="center"/>
              <w:rPr>
                <w:rFonts w:hint="eastAsia" w:ascii="宋体" w:hAnsi="宋体" w:cs="宋体"/>
                <w:bCs/>
                <w:sz w:val="24"/>
                <w:szCs w:val="24"/>
                <w:u w:val="none" w:color="auto"/>
              </w:rPr>
            </w:pPr>
            <w:r>
              <w:rPr>
                <w:rFonts w:hint="eastAsia" w:ascii="宋体" w:hAnsi="宋体" w:cs="宋体"/>
                <w:bCs/>
                <w:sz w:val="24"/>
                <w:szCs w:val="24"/>
                <w:u w:val="none" w:color="auto"/>
              </w:rPr>
              <w:t>响和</w:t>
            </w:r>
          </w:p>
          <w:p w14:paraId="6D18CAF7">
            <w:pPr>
              <w:adjustRightInd w:val="0"/>
              <w:snapToGrid w:val="0"/>
              <w:jc w:val="center"/>
              <w:rPr>
                <w:rFonts w:hint="eastAsia" w:ascii="宋体" w:hAnsi="宋体" w:cs="宋体"/>
                <w:bCs/>
                <w:sz w:val="24"/>
                <w:szCs w:val="24"/>
                <w:u w:val="none" w:color="auto"/>
              </w:rPr>
            </w:pPr>
            <w:r>
              <w:rPr>
                <w:rFonts w:hint="eastAsia" w:ascii="宋体" w:hAnsi="宋体" w:cs="宋体"/>
                <w:bCs/>
                <w:sz w:val="24"/>
                <w:szCs w:val="24"/>
                <w:u w:val="none" w:color="auto"/>
              </w:rPr>
              <w:t>保护</w:t>
            </w:r>
          </w:p>
          <w:p w14:paraId="6F30BBDE">
            <w:pPr>
              <w:pStyle w:val="18"/>
              <w:adjustRightInd w:val="0"/>
              <w:snapToGrid w:val="0"/>
              <w:spacing w:before="0" w:beforeAutospacing="0" w:after="0" w:afterAutospacing="0"/>
              <w:jc w:val="center"/>
              <w:rPr>
                <w:rFonts w:hint="eastAsia" w:cs="宋体"/>
                <w:kern w:val="2"/>
                <w:sz w:val="24"/>
                <w:szCs w:val="24"/>
                <w:u w:val="single" w:color="auto"/>
              </w:rPr>
            </w:pPr>
            <w:r>
              <w:rPr>
                <w:rFonts w:hint="eastAsia" w:ascii="宋体" w:hAnsi="宋体" w:cs="宋体"/>
                <w:bCs/>
                <w:sz w:val="24"/>
                <w:szCs w:val="24"/>
                <w:u w:val="none" w:color="auto"/>
              </w:rPr>
              <w:t>措施</w:t>
            </w:r>
          </w:p>
        </w:tc>
        <w:tc>
          <w:tcPr>
            <w:tcW w:w="4581" w:type="pct"/>
            <w:noWrap w:val="0"/>
            <w:vAlign w:val="top"/>
          </w:tcPr>
          <w:p w14:paraId="24D1A4D0">
            <w:pPr>
              <w:adjustRightInd w:val="0"/>
              <w:snapToGrid w:val="0"/>
              <w:spacing w:line="360" w:lineRule="auto"/>
              <w:ind w:firstLine="482" w:firstLineChars="200"/>
              <w:rPr>
                <w:b/>
                <w:bCs/>
                <w:sz w:val="24"/>
                <w:szCs w:val="24"/>
                <w:u w:val="none" w:color="auto"/>
              </w:rPr>
            </w:pPr>
            <w:r>
              <w:rPr>
                <w:rFonts w:hint="eastAsia"/>
                <w:b/>
                <w:bCs/>
                <w:sz w:val="24"/>
                <w:szCs w:val="24"/>
                <w:u w:val="none" w:color="auto"/>
                <w:lang w:val="en-US" w:eastAsia="zh-CN"/>
              </w:rPr>
              <w:t>1</w:t>
            </w:r>
            <w:r>
              <w:rPr>
                <w:b/>
                <w:bCs/>
                <w:sz w:val="24"/>
                <w:szCs w:val="24"/>
                <w:u w:val="none" w:color="auto"/>
              </w:rPr>
              <w:t>、大气环境</w:t>
            </w:r>
          </w:p>
          <w:p w14:paraId="012A405C">
            <w:pPr>
              <w:adjustRightInd w:val="0"/>
              <w:snapToGrid w:val="0"/>
              <w:spacing w:line="360" w:lineRule="auto"/>
              <w:ind w:firstLine="480" w:firstLineChars="200"/>
              <w:rPr>
                <w:b w:val="0"/>
                <w:bCs w:val="0"/>
                <w:i w:val="0"/>
                <w:iCs w:val="0"/>
                <w:sz w:val="24"/>
                <w:szCs w:val="24"/>
                <w:u w:val="none" w:color="auto"/>
              </w:rPr>
            </w:pPr>
            <w:r>
              <w:rPr>
                <w:rFonts w:hint="eastAsia"/>
                <w:b w:val="0"/>
                <w:bCs w:val="0"/>
                <w:i w:val="0"/>
                <w:iCs w:val="0"/>
                <w:sz w:val="24"/>
                <w:szCs w:val="24"/>
                <w:u w:val="none" w:color="auto"/>
                <w:lang w:val="en-US" w:eastAsia="zh-CN"/>
              </w:rPr>
              <w:t>1.1</w:t>
            </w:r>
            <w:r>
              <w:rPr>
                <w:rFonts w:hint="eastAsia"/>
                <w:b w:val="0"/>
                <w:bCs w:val="0"/>
                <w:i w:val="0"/>
                <w:iCs w:val="0"/>
                <w:sz w:val="24"/>
                <w:szCs w:val="24"/>
                <w:u w:val="none" w:color="auto"/>
              </w:rPr>
              <w:t>废气</w:t>
            </w:r>
            <w:r>
              <w:rPr>
                <w:b w:val="0"/>
                <w:bCs w:val="0"/>
                <w:i w:val="0"/>
                <w:iCs w:val="0"/>
                <w:sz w:val="24"/>
                <w:szCs w:val="24"/>
                <w:u w:val="none" w:color="auto"/>
              </w:rPr>
              <w:t>源强核算及环境影响</w:t>
            </w:r>
          </w:p>
          <w:p w14:paraId="3784E386">
            <w:pPr>
              <w:autoSpaceDE w:val="0"/>
              <w:autoSpaceDN w:val="0"/>
              <w:spacing w:line="360" w:lineRule="auto"/>
              <w:ind w:firstLine="480" w:firstLineChars="200"/>
              <w:rPr>
                <w:rFonts w:hint="default" w:ascii="Times New Roman" w:hAnsi="Times New Roman" w:eastAsia="宋体" w:cs="Times New Roman"/>
                <w:b w:val="0"/>
                <w:bCs w:val="0"/>
                <w:i w:val="0"/>
                <w:iCs w:val="0"/>
                <w:sz w:val="24"/>
                <w:szCs w:val="24"/>
                <w:u w:val="none" w:color="auto"/>
                <w:lang w:val="en-US"/>
              </w:rPr>
            </w:pPr>
            <w:r>
              <w:rPr>
                <w:b w:val="0"/>
                <w:bCs w:val="0"/>
                <w:i w:val="0"/>
                <w:iCs w:val="0"/>
                <w:sz w:val="24"/>
                <w:szCs w:val="24"/>
                <w:u w:val="none" w:color="auto"/>
              </w:rPr>
              <w:t>水</w:t>
            </w:r>
            <w:r>
              <w:rPr>
                <w:i w:val="0"/>
                <w:iCs w:val="0"/>
                <w:sz w:val="24"/>
                <w:szCs w:val="24"/>
                <w:u w:val="none" w:color="auto"/>
              </w:rPr>
              <w:t>泥</w:t>
            </w:r>
            <w:r>
              <w:rPr>
                <w:rFonts w:hint="eastAsia"/>
                <w:i w:val="0"/>
                <w:iCs w:val="0"/>
                <w:sz w:val="24"/>
                <w:szCs w:val="24"/>
                <w:u w:val="none" w:color="auto"/>
                <w:lang w:eastAsia="zh-CN"/>
              </w:rPr>
              <w:t>、</w:t>
            </w:r>
            <w:r>
              <w:rPr>
                <w:rFonts w:hint="eastAsia"/>
                <w:i w:val="0"/>
                <w:iCs w:val="0"/>
                <w:sz w:val="24"/>
                <w:szCs w:val="24"/>
                <w:u w:val="none" w:color="auto"/>
              </w:rPr>
              <w:t>粉煤灰</w:t>
            </w:r>
            <w:r>
              <w:rPr>
                <w:rFonts w:hint="eastAsia"/>
                <w:i w:val="0"/>
                <w:iCs w:val="0"/>
                <w:sz w:val="24"/>
                <w:szCs w:val="24"/>
                <w:u w:val="none" w:color="auto"/>
                <w:lang w:val="en-US" w:eastAsia="zh-CN"/>
              </w:rPr>
              <w:t>及</w:t>
            </w:r>
            <w:r>
              <w:rPr>
                <w:rFonts w:hint="eastAsia"/>
                <w:i w:val="0"/>
                <w:iCs w:val="0"/>
                <w:sz w:val="24"/>
                <w:szCs w:val="24"/>
                <w:highlight w:val="none"/>
                <w:u w:val="none" w:color="auto"/>
                <w:lang w:val="en-US" w:eastAsia="zh-CN"/>
              </w:rPr>
              <w:t>矿粉</w:t>
            </w:r>
            <w:r>
              <w:rPr>
                <w:i w:val="0"/>
                <w:iCs w:val="0"/>
                <w:sz w:val="24"/>
                <w:szCs w:val="24"/>
                <w:u w:val="none" w:color="auto"/>
              </w:rPr>
              <w:t>筒仓粉尘、</w:t>
            </w:r>
            <w:r>
              <w:rPr>
                <w:rFonts w:hint="eastAsia"/>
                <w:i w:val="0"/>
                <w:iCs w:val="0"/>
                <w:sz w:val="24"/>
                <w:szCs w:val="24"/>
                <w:u w:val="none" w:color="auto"/>
              </w:rPr>
              <w:t>搅拌机粉尘</w:t>
            </w:r>
            <w:r>
              <w:rPr>
                <w:rFonts w:hint="eastAsia" w:ascii="Times New Roman" w:hAnsi="Times New Roman" w:eastAsia="宋体" w:cs="Times New Roman"/>
                <w:b w:val="0"/>
                <w:bCs w:val="0"/>
                <w:i w:val="0"/>
                <w:iCs w:val="0"/>
                <w:sz w:val="24"/>
                <w:szCs w:val="24"/>
                <w:u w:val="none" w:color="auto"/>
                <w:lang w:val="en-US" w:eastAsia="zh-CN"/>
              </w:rPr>
              <w:t>废气污染物核算依据</w:t>
            </w:r>
            <w:r>
              <w:rPr>
                <w:rFonts w:eastAsia="宋体" w:cs="Times New Roman"/>
                <w:color w:val="000000"/>
                <w:sz w:val="24"/>
                <w:szCs w:val="24"/>
                <w:u w:val="none" w:color="auto"/>
              </w:rPr>
              <w:t>《排放源统计调查产排污核算方法和系数手册》</w:t>
            </w:r>
            <w:r>
              <w:rPr>
                <w:rFonts w:hint="default" w:ascii="Times New Roman" w:hAnsi="Times New Roman" w:cs="Times New Roman"/>
                <w:color w:val="000000"/>
                <w:sz w:val="24"/>
                <w:szCs w:val="24"/>
                <w:u w:val="none" w:color="auto"/>
                <w:lang w:eastAsia="zh-CN"/>
              </w:rPr>
              <w:t>（</w:t>
            </w:r>
            <w:r>
              <w:rPr>
                <w:rFonts w:hint="eastAsia" w:ascii="Times New Roman" w:hAnsi="Times New Roman" w:cs="Times New Roman"/>
                <w:spacing w:val="0"/>
                <w:kern w:val="21"/>
                <w:sz w:val="24"/>
                <w:highlight w:val="none"/>
                <w:u w:val="none" w:color="auto"/>
                <w:lang w:val="en-US" w:eastAsia="zh-CN"/>
              </w:rPr>
              <w:t>生态环境部，2021年6月</w:t>
            </w:r>
            <w:r>
              <w:rPr>
                <w:rFonts w:hint="default" w:ascii="Times New Roman" w:hAnsi="Times New Roman" w:cs="Times New Roman"/>
                <w:color w:val="000000"/>
                <w:sz w:val="24"/>
                <w:szCs w:val="24"/>
                <w:u w:val="none" w:color="auto"/>
                <w:lang w:eastAsia="zh-CN"/>
              </w:rPr>
              <w:t>）</w:t>
            </w:r>
            <w:r>
              <w:rPr>
                <w:rFonts w:hint="eastAsia" w:ascii="Times New Roman" w:hAnsi="Times New Roman" w:eastAsia="宋体" w:cs="Times New Roman"/>
                <w:b w:val="0"/>
                <w:bCs w:val="0"/>
                <w:i w:val="0"/>
                <w:iCs w:val="0"/>
                <w:sz w:val="24"/>
                <w:szCs w:val="24"/>
                <w:u w:val="none" w:color="auto"/>
                <w:lang w:val="en-US" w:eastAsia="zh-CN"/>
              </w:rPr>
              <w:t>中</w:t>
            </w:r>
            <w:r>
              <w:rPr>
                <w:rFonts w:hint="default" w:ascii="Times New Roman" w:hAnsi="Times New Roman" w:eastAsia="宋体" w:cs="Times New Roman"/>
                <w:b w:val="0"/>
                <w:bCs w:val="0"/>
                <w:i w:val="0"/>
                <w:iCs w:val="0"/>
                <w:sz w:val="24"/>
                <w:szCs w:val="24"/>
                <w:u w:val="none" w:color="auto"/>
                <w:lang w:val="en-US" w:eastAsia="zh-CN"/>
              </w:rPr>
              <w:t>3021</w:t>
            </w:r>
            <w:r>
              <w:rPr>
                <w:rFonts w:hint="eastAsia" w:ascii="Times New Roman" w:hAnsi="Times New Roman" w:eastAsia="宋体" w:cs="Times New Roman"/>
                <w:b w:val="0"/>
                <w:bCs w:val="0"/>
                <w:i w:val="0"/>
                <w:iCs w:val="0"/>
                <w:sz w:val="24"/>
                <w:szCs w:val="24"/>
                <w:u w:val="none" w:color="auto"/>
                <w:lang w:val="en-US" w:eastAsia="zh-CN"/>
              </w:rPr>
              <w:t>水泥制品制造，具体产排污系数表详见</w:t>
            </w:r>
            <w:r>
              <w:rPr>
                <w:rFonts w:hint="eastAsia" w:cs="Times New Roman"/>
                <w:b w:val="0"/>
                <w:bCs w:val="0"/>
                <w:i w:val="0"/>
                <w:iCs w:val="0"/>
                <w:sz w:val="24"/>
                <w:szCs w:val="24"/>
                <w:u w:val="none" w:color="auto"/>
                <w:lang w:val="en-US" w:eastAsia="zh-CN"/>
              </w:rPr>
              <w:t>下表</w:t>
            </w:r>
            <w:r>
              <w:rPr>
                <w:rFonts w:hint="eastAsia" w:ascii="Times New Roman" w:hAnsi="Times New Roman" w:eastAsia="宋体" w:cs="Times New Roman"/>
                <w:b w:val="0"/>
                <w:bCs w:val="0"/>
                <w:i w:val="0"/>
                <w:iCs w:val="0"/>
                <w:sz w:val="24"/>
                <w:szCs w:val="24"/>
                <w:u w:val="none" w:color="auto"/>
                <w:lang w:val="en-US" w:eastAsia="zh-CN"/>
              </w:rPr>
              <w:t>。</w:t>
            </w:r>
          </w:p>
          <w:p w14:paraId="55E76708">
            <w:pPr>
              <w:keepNext w:val="0"/>
              <w:keepLines w:val="0"/>
              <w:widowControl/>
              <w:suppressLineNumbers w:val="0"/>
              <w:jc w:val="center"/>
              <w:rPr>
                <w:sz w:val="24"/>
                <w:szCs w:val="24"/>
                <w:u w:val="none" w:color="auto"/>
              </w:rPr>
            </w:pPr>
            <w:r>
              <w:rPr>
                <w:rFonts w:hint="eastAsia" w:ascii="宋体" w:hAnsi="宋体" w:eastAsia="宋体" w:cs="宋体"/>
                <w:b/>
                <w:bCs/>
                <w:color w:val="000000"/>
                <w:kern w:val="0"/>
                <w:sz w:val="24"/>
                <w:szCs w:val="24"/>
                <w:u w:val="none" w:color="auto"/>
                <w:lang w:val="en-US" w:eastAsia="zh-CN" w:bidi="ar"/>
              </w:rPr>
              <w:t>表</w:t>
            </w:r>
            <w:r>
              <w:rPr>
                <w:rFonts w:hint="eastAsia" w:cs="Times New Roman"/>
                <w:b/>
                <w:bCs/>
                <w:color w:val="000000"/>
                <w:kern w:val="0"/>
                <w:sz w:val="24"/>
                <w:szCs w:val="24"/>
                <w:u w:val="none" w:color="auto"/>
                <w:lang w:val="en-US" w:eastAsia="zh-CN" w:bidi="ar"/>
              </w:rPr>
              <w:t xml:space="preserve">4-3 </w:t>
            </w:r>
            <w:r>
              <w:rPr>
                <w:rFonts w:hint="default" w:ascii="Times New Roman" w:hAnsi="Times New Roman" w:eastAsia="宋体" w:cs="Times New Roman"/>
                <w:b/>
                <w:bCs/>
                <w:color w:val="000000"/>
                <w:kern w:val="0"/>
                <w:sz w:val="24"/>
                <w:szCs w:val="24"/>
                <w:u w:val="none" w:color="auto"/>
                <w:lang w:val="en-US" w:eastAsia="zh-CN" w:bidi="ar"/>
              </w:rPr>
              <w:t xml:space="preserve"> </w:t>
            </w:r>
            <w:r>
              <w:rPr>
                <w:rFonts w:hint="eastAsia" w:ascii="宋体" w:hAnsi="宋体" w:eastAsia="宋体" w:cs="宋体"/>
                <w:b/>
                <w:bCs/>
                <w:color w:val="000000"/>
                <w:kern w:val="0"/>
                <w:sz w:val="24"/>
                <w:szCs w:val="24"/>
                <w:u w:val="none" w:color="auto"/>
                <w:lang w:val="en-US" w:eastAsia="zh-CN" w:bidi="ar"/>
              </w:rPr>
              <w:t>水泥制品制造产排污系数表</w:t>
            </w:r>
          </w:p>
          <w:tbl>
            <w:tblPr>
              <w:tblStyle w:val="22"/>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726"/>
              <w:gridCol w:w="728"/>
              <w:gridCol w:w="728"/>
              <w:gridCol w:w="728"/>
              <w:gridCol w:w="729"/>
              <w:gridCol w:w="729"/>
              <w:gridCol w:w="728"/>
              <w:gridCol w:w="728"/>
              <w:gridCol w:w="728"/>
              <w:gridCol w:w="728"/>
            </w:tblGrid>
            <w:tr w14:paraId="1A2645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4DC05C73">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工段</w:t>
                  </w:r>
                </w:p>
              </w:tc>
              <w:tc>
                <w:tcPr>
                  <w:tcW w:w="453" w:type="pct"/>
                  <w:tcBorders>
                    <w:tl2br w:val="nil"/>
                    <w:tr2bl w:val="nil"/>
                  </w:tcBorders>
                  <w:vAlign w:val="center"/>
                </w:tcPr>
                <w:p w14:paraId="567E29E9">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产品名称</w:t>
                  </w:r>
                </w:p>
              </w:tc>
              <w:tc>
                <w:tcPr>
                  <w:tcW w:w="454" w:type="pct"/>
                  <w:tcBorders>
                    <w:tl2br w:val="nil"/>
                    <w:tr2bl w:val="nil"/>
                  </w:tcBorders>
                  <w:vAlign w:val="center"/>
                </w:tcPr>
                <w:p w14:paraId="1473E680">
                  <w:pPr>
                    <w:widowControl/>
                    <w:adjustRightInd w:val="0"/>
                    <w:ind w:left="-105" w:leftChars="-50" w:right="-105" w:rightChars="-50"/>
                    <w:jc w:val="center"/>
                    <w:textAlignment w:val="center"/>
                    <w:rPr>
                      <w:rFonts w:hint="default"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原料名称</w:t>
                  </w:r>
                </w:p>
              </w:tc>
              <w:tc>
                <w:tcPr>
                  <w:tcW w:w="454" w:type="pct"/>
                  <w:tcBorders>
                    <w:tl2br w:val="nil"/>
                    <w:tr2bl w:val="nil"/>
                  </w:tcBorders>
                  <w:vAlign w:val="center"/>
                </w:tcPr>
                <w:p w14:paraId="05B874BC">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工艺名称</w:t>
                  </w:r>
                </w:p>
              </w:tc>
              <w:tc>
                <w:tcPr>
                  <w:tcW w:w="454" w:type="pct"/>
                  <w:tcBorders>
                    <w:tl2br w:val="nil"/>
                    <w:tr2bl w:val="nil"/>
                  </w:tcBorders>
                  <w:vAlign w:val="center"/>
                </w:tcPr>
                <w:p w14:paraId="050CF5FC">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规模等级</w:t>
                  </w:r>
                </w:p>
              </w:tc>
              <w:tc>
                <w:tcPr>
                  <w:tcW w:w="910" w:type="pct"/>
                  <w:gridSpan w:val="2"/>
                  <w:tcBorders>
                    <w:tl2br w:val="nil"/>
                    <w:tr2bl w:val="nil"/>
                  </w:tcBorders>
                  <w:vAlign w:val="center"/>
                </w:tcPr>
                <w:p w14:paraId="18DA0A61">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污染物指标</w:t>
                  </w:r>
                </w:p>
              </w:tc>
              <w:tc>
                <w:tcPr>
                  <w:tcW w:w="454" w:type="pct"/>
                  <w:tcBorders>
                    <w:tl2br w:val="nil"/>
                    <w:tr2bl w:val="nil"/>
                  </w:tcBorders>
                  <w:vAlign w:val="center"/>
                </w:tcPr>
                <w:p w14:paraId="3113546D">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系数单位</w:t>
                  </w:r>
                </w:p>
              </w:tc>
              <w:tc>
                <w:tcPr>
                  <w:tcW w:w="454" w:type="pct"/>
                  <w:tcBorders>
                    <w:tl2br w:val="nil"/>
                    <w:tr2bl w:val="nil"/>
                  </w:tcBorders>
                  <w:vAlign w:val="center"/>
                </w:tcPr>
                <w:p w14:paraId="4517D8D4">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产污系数</w:t>
                  </w:r>
                </w:p>
              </w:tc>
              <w:tc>
                <w:tcPr>
                  <w:tcW w:w="454" w:type="pct"/>
                  <w:tcBorders>
                    <w:tl2br w:val="nil"/>
                    <w:tr2bl w:val="nil"/>
                  </w:tcBorders>
                  <w:vAlign w:val="center"/>
                </w:tcPr>
                <w:p w14:paraId="62D65BDA">
                  <w:pPr>
                    <w:widowControl/>
                    <w:adjustRightInd w:val="0"/>
                    <w:ind w:left="-105" w:leftChars="-50" w:right="-105" w:rightChars="-50"/>
                    <w:jc w:val="center"/>
                    <w:textAlignment w:val="center"/>
                    <w:rPr>
                      <w:rFonts w:hint="default"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末端治理名称</w:t>
                  </w:r>
                </w:p>
              </w:tc>
              <w:tc>
                <w:tcPr>
                  <w:tcW w:w="454" w:type="pct"/>
                  <w:tcBorders>
                    <w:tl2br w:val="nil"/>
                    <w:tr2bl w:val="nil"/>
                  </w:tcBorders>
                  <w:vAlign w:val="center"/>
                </w:tcPr>
                <w:p w14:paraId="3657E05B">
                  <w:pPr>
                    <w:widowControl/>
                    <w:adjustRightInd w:val="0"/>
                    <w:ind w:left="-105" w:leftChars="-50" w:right="-105" w:rightChars="-50"/>
                    <w:jc w:val="center"/>
                    <w:textAlignment w:val="center"/>
                    <w:rPr>
                      <w:rFonts w:hint="default"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末端治理技术效率（%）</w:t>
                  </w:r>
                </w:p>
              </w:tc>
            </w:tr>
            <w:tr w14:paraId="474373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53" w:type="pct"/>
                  <w:tcBorders>
                    <w:tl2br w:val="nil"/>
                    <w:tr2bl w:val="nil"/>
                  </w:tcBorders>
                  <w:vAlign w:val="center"/>
                </w:tcPr>
                <w:p w14:paraId="057E9BEE">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物料输送</w:t>
                  </w:r>
                </w:p>
              </w:tc>
              <w:tc>
                <w:tcPr>
                  <w:tcW w:w="726" w:type="dxa"/>
                  <w:vMerge w:val="restart"/>
                  <w:tcBorders>
                    <w:tl2br w:val="nil"/>
                    <w:tr2bl w:val="nil"/>
                  </w:tcBorders>
                  <w:vAlign w:val="center"/>
                </w:tcPr>
                <w:p w14:paraId="6E76E418">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混凝土制品</w:t>
                  </w:r>
                </w:p>
              </w:tc>
              <w:tc>
                <w:tcPr>
                  <w:tcW w:w="728" w:type="dxa"/>
                  <w:vMerge w:val="restart"/>
                  <w:tcBorders>
                    <w:tl2br w:val="nil"/>
                    <w:tr2bl w:val="nil"/>
                  </w:tcBorders>
                  <w:vAlign w:val="center"/>
                </w:tcPr>
                <w:p w14:paraId="014A7617">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水泥</w:t>
                  </w:r>
                </w:p>
                <w:p w14:paraId="492186EE">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、砂子、</w:t>
                  </w:r>
                </w:p>
                <w:p w14:paraId="60D763B9">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石子等</w:t>
                  </w:r>
                </w:p>
              </w:tc>
              <w:tc>
                <w:tcPr>
                  <w:tcW w:w="728" w:type="dxa"/>
                  <w:tcBorders>
                    <w:tl2br w:val="nil"/>
                    <w:tr2bl w:val="nil"/>
                  </w:tcBorders>
                  <w:vAlign w:val="center"/>
                </w:tcPr>
                <w:p w14:paraId="60620FEC">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物料输送储存</w:t>
                  </w:r>
                </w:p>
              </w:tc>
              <w:tc>
                <w:tcPr>
                  <w:tcW w:w="728" w:type="dxa"/>
                  <w:vMerge w:val="restart"/>
                  <w:tcBorders>
                    <w:tl2br w:val="nil"/>
                    <w:tr2bl w:val="nil"/>
                  </w:tcBorders>
                  <w:vAlign w:val="center"/>
                </w:tcPr>
                <w:p w14:paraId="572AA40E">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所有规模</w:t>
                  </w:r>
                </w:p>
              </w:tc>
              <w:tc>
                <w:tcPr>
                  <w:tcW w:w="728" w:type="dxa"/>
                  <w:tcBorders>
                    <w:tl2br w:val="nil"/>
                    <w:tr2bl w:val="nil"/>
                  </w:tcBorders>
                  <w:vAlign w:val="center"/>
                </w:tcPr>
                <w:p w14:paraId="7E069ABD">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废气</w:t>
                  </w:r>
                </w:p>
              </w:tc>
              <w:tc>
                <w:tcPr>
                  <w:tcW w:w="455" w:type="pct"/>
                  <w:tcBorders>
                    <w:tl2br w:val="nil"/>
                    <w:tr2bl w:val="nil"/>
                  </w:tcBorders>
                  <w:vAlign w:val="center"/>
                </w:tcPr>
                <w:p w14:paraId="784CA66C">
                  <w:pPr>
                    <w:widowControl/>
                    <w:adjustRightInd w:val="0"/>
                    <w:ind w:left="-105" w:leftChars="-50" w:right="-105" w:rightChars="-50"/>
                    <w:jc w:val="center"/>
                    <w:textAlignment w:val="cente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颗粒物</w:t>
                  </w:r>
                </w:p>
              </w:tc>
              <w:tc>
                <w:tcPr>
                  <w:tcW w:w="454" w:type="pct"/>
                  <w:tcBorders>
                    <w:tl2br w:val="nil"/>
                    <w:tr2bl w:val="nil"/>
                  </w:tcBorders>
                  <w:vAlign w:val="center"/>
                </w:tcPr>
                <w:p w14:paraId="55CD863E">
                  <w:pPr>
                    <w:widowControl/>
                    <w:adjustRightInd w:val="0"/>
                    <w:ind w:left="-105" w:leftChars="-50" w:right="-105" w:rightChars="-50"/>
                    <w:jc w:val="center"/>
                    <w:textAlignment w:val="center"/>
                    <w:rPr>
                      <w:rFonts w:hint="default"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千克/吨产品</w:t>
                  </w:r>
                </w:p>
              </w:tc>
              <w:tc>
                <w:tcPr>
                  <w:tcW w:w="454" w:type="pct"/>
                  <w:tcBorders>
                    <w:tl2br w:val="nil"/>
                    <w:tr2bl w:val="nil"/>
                  </w:tcBorders>
                  <w:vAlign w:val="center"/>
                </w:tcPr>
                <w:p w14:paraId="59322285">
                  <w:pPr>
                    <w:widowControl/>
                    <w:adjustRightInd w:val="0"/>
                    <w:ind w:left="-105" w:leftChars="-50" w:right="-105" w:rightChars="-50"/>
                    <w:jc w:val="center"/>
                    <w:textAlignment w:val="center"/>
                    <w:rPr>
                      <w:rFonts w:hint="default"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0.12</w:t>
                  </w:r>
                </w:p>
              </w:tc>
              <w:tc>
                <w:tcPr>
                  <w:tcW w:w="454" w:type="pct"/>
                  <w:tcBorders>
                    <w:tl2br w:val="nil"/>
                    <w:tr2bl w:val="nil"/>
                  </w:tcBorders>
                  <w:vAlign w:val="center"/>
                </w:tcPr>
                <w:p w14:paraId="28CC518E">
                  <w:pPr>
                    <w:widowControl/>
                    <w:adjustRightInd w:val="0"/>
                    <w:ind w:left="-105" w:leftChars="-50" w:right="-105" w:rightChars="-50"/>
                    <w:jc w:val="center"/>
                    <w:textAlignment w:val="center"/>
                    <w:rPr>
                      <w:rFonts w:hint="default"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袋式除尘</w:t>
                  </w:r>
                </w:p>
              </w:tc>
              <w:tc>
                <w:tcPr>
                  <w:tcW w:w="454" w:type="pct"/>
                  <w:tcBorders>
                    <w:tl2br w:val="nil"/>
                    <w:tr2bl w:val="nil"/>
                  </w:tcBorders>
                  <w:vAlign w:val="center"/>
                </w:tcPr>
                <w:p w14:paraId="1B76772D">
                  <w:pPr>
                    <w:widowControl/>
                    <w:adjustRightInd w:val="0"/>
                    <w:ind w:left="-105" w:leftChars="-50" w:right="-105" w:rightChars="-50"/>
                    <w:jc w:val="center"/>
                    <w:textAlignment w:val="center"/>
                    <w:rPr>
                      <w:rFonts w:hint="default"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99.7</w:t>
                  </w:r>
                </w:p>
              </w:tc>
            </w:tr>
            <w:tr w14:paraId="389D1E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3" w:type="pct"/>
                  <w:tcBorders>
                    <w:tl2br w:val="nil"/>
                    <w:tr2bl w:val="nil"/>
                  </w:tcBorders>
                  <w:vAlign w:val="center"/>
                </w:tcPr>
                <w:p w14:paraId="70C90523">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物料搅拌</w:t>
                  </w:r>
                </w:p>
              </w:tc>
              <w:tc>
                <w:tcPr>
                  <w:tcW w:w="726" w:type="dxa"/>
                  <w:vMerge w:val="continue"/>
                  <w:tcBorders>
                    <w:tl2br w:val="nil"/>
                    <w:tr2bl w:val="nil"/>
                  </w:tcBorders>
                  <w:vAlign w:val="center"/>
                </w:tcPr>
                <w:p w14:paraId="3A4C1266">
                  <w:pPr>
                    <w:widowControl/>
                    <w:adjustRightInd w:val="0"/>
                    <w:ind w:left="-105" w:leftChars="-50" w:right="-105" w:rightChars="-50"/>
                    <w:jc w:val="center"/>
                    <w:textAlignment w:val="center"/>
                    <w:rPr>
                      <w:sz w:val="13"/>
                      <w:szCs w:val="13"/>
                      <w:u w:val="none" w:color="auto"/>
                    </w:rPr>
                  </w:pPr>
                </w:p>
              </w:tc>
              <w:tc>
                <w:tcPr>
                  <w:tcW w:w="728" w:type="dxa"/>
                  <w:vMerge w:val="continue"/>
                  <w:tcBorders>
                    <w:tl2br w:val="nil"/>
                    <w:tr2bl w:val="nil"/>
                  </w:tcBorders>
                  <w:vAlign w:val="center"/>
                </w:tcPr>
                <w:p w14:paraId="37F9FCFE">
                  <w:pPr>
                    <w:widowControl/>
                    <w:adjustRightInd w:val="0"/>
                    <w:ind w:left="-105" w:leftChars="-50" w:right="-105" w:rightChars="-50"/>
                    <w:jc w:val="center"/>
                    <w:textAlignment w:val="center"/>
                    <w:rPr>
                      <w:sz w:val="13"/>
                      <w:szCs w:val="13"/>
                      <w:u w:val="none" w:color="auto"/>
                    </w:rPr>
                  </w:pPr>
                </w:p>
              </w:tc>
              <w:tc>
                <w:tcPr>
                  <w:tcW w:w="728" w:type="dxa"/>
                  <w:tcBorders>
                    <w:tl2br w:val="nil"/>
                    <w:tr2bl w:val="nil"/>
                  </w:tcBorders>
                  <w:vAlign w:val="center"/>
                </w:tcPr>
                <w:p w14:paraId="72E93154">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物料混合搅拌</w:t>
                  </w:r>
                </w:p>
              </w:tc>
              <w:tc>
                <w:tcPr>
                  <w:tcW w:w="728" w:type="dxa"/>
                  <w:vMerge w:val="continue"/>
                  <w:tcBorders>
                    <w:tl2br w:val="nil"/>
                    <w:tr2bl w:val="nil"/>
                  </w:tcBorders>
                  <w:vAlign w:val="center"/>
                </w:tcPr>
                <w:p w14:paraId="42BC5DB2">
                  <w:pPr>
                    <w:widowControl/>
                    <w:adjustRightInd w:val="0"/>
                    <w:ind w:left="-105" w:leftChars="-50" w:right="-105" w:rightChars="-50"/>
                    <w:jc w:val="center"/>
                    <w:textAlignment w:val="center"/>
                    <w:rPr>
                      <w:sz w:val="13"/>
                      <w:szCs w:val="13"/>
                      <w:u w:val="none" w:color="auto"/>
                    </w:rPr>
                  </w:pPr>
                </w:p>
              </w:tc>
              <w:tc>
                <w:tcPr>
                  <w:tcW w:w="728" w:type="dxa"/>
                  <w:tcBorders>
                    <w:tl2br w:val="nil"/>
                    <w:tr2bl w:val="nil"/>
                  </w:tcBorders>
                  <w:vAlign w:val="center"/>
                </w:tcPr>
                <w:p w14:paraId="101387E9">
                  <w:pPr>
                    <w:widowControl/>
                    <w:adjustRightInd w:val="0"/>
                    <w:ind w:left="-105" w:leftChars="-50" w:right="-105" w:rightChars="-50"/>
                    <w:jc w:val="center"/>
                    <w:textAlignment w:val="center"/>
                    <w:rPr>
                      <w:sz w:val="13"/>
                      <w:szCs w:val="13"/>
                      <w:u w:val="none" w:color="auto"/>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废气</w:t>
                  </w:r>
                </w:p>
              </w:tc>
              <w:tc>
                <w:tcPr>
                  <w:tcW w:w="455" w:type="pct"/>
                  <w:tcBorders>
                    <w:tl2br w:val="nil"/>
                    <w:tr2bl w:val="nil"/>
                  </w:tcBorders>
                  <w:vAlign w:val="center"/>
                </w:tcPr>
                <w:p w14:paraId="70ECE617">
                  <w:pPr>
                    <w:widowControl/>
                    <w:adjustRightInd w:val="0"/>
                    <w:ind w:left="-105" w:leftChars="-50" w:right="-105" w:rightChars="-50"/>
                    <w:jc w:val="center"/>
                    <w:textAlignment w:val="center"/>
                    <w:rPr>
                      <w:rFonts w:ascii="Times New Roman" w:hAnsi="Times New Roman" w:eastAsia="宋体" w:cs="Times New Roman"/>
                      <w:b w:val="0"/>
                      <w:bCs w:val="0"/>
                      <w:i w:val="0"/>
                      <w:iCs w:val="0"/>
                      <w:color w:val="000000"/>
                      <w:kern w:val="0"/>
                      <w:sz w:val="13"/>
                      <w:szCs w:val="13"/>
                      <w:highlight w:val="none"/>
                      <w:u w:val="none" w:color="auto"/>
                      <w:lang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颗粒物</w:t>
                  </w:r>
                </w:p>
              </w:tc>
              <w:tc>
                <w:tcPr>
                  <w:tcW w:w="454" w:type="pct"/>
                  <w:tcBorders>
                    <w:tl2br w:val="nil"/>
                    <w:tr2bl w:val="nil"/>
                  </w:tcBorders>
                  <w:vAlign w:val="center"/>
                </w:tcPr>
                <w:p w14:paraId="6BBEFB0A">
                  <w:pPr>
                    <w:widowControl/>
                    <w:adjustRightInd w:val="0"/>
                    <w:ind w:left="-105" w:leftChars="-50" w:right="-105" w:rightChars="-50"/>
                    <w:jc w:val="center"/>
                    <w:textAlignment w:val="center"/>
                    <w:rPr>
                      <w:rFonts w:ascii="Times New Roman" w:hAnsi="Times New Roman" w:eastAsia="宋体" w:cs="Times New Roman"/>
                      <w:b w:val="0"/>
                      <w:bCs w:val="0"/>
                      <w:i w:val="0"/>
                      <w:iCs w:val="0"/>
                      <w:color w:val="000000"/>
                      <w:kern w:val="0"/>
                      <w:sz w:val="13"/>
                      <w:szCs w:val="13"/>
                      <w:highlight w:val="none"/>
                      <w:u w:val="none" w:color="auto"/>
                      <w:lang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千克/吨产品</w:t>
                  </w:r>
                </w:p>
              </w:tc>
              <w:tc>
                <w:tcPr>
                  <w:tcW w:w="454" w:type="pct"/>
                  <w:tcBorders>
                    <w:tl2br w:val="nil"/>
                    <w:tr2bl w:val="nil"/>
                  </w:tcBorders>
                  <w:vAlign w:val="center"/>
                </w:tcPr>
                <w:p w14:paraId="7E602976">
                  <w:pPr>
                    <w:widowControl/>
                    <w:adjustRightInd w:val="0"/>
                    <w:ind w:left="-105" w:leftChars="-50" w:right="-105" w:rightChars="-50"/>
                    <w:jc w:val="center"/>
                    <w:textAlignment w:val="center"/>
                    <w:rPr>
                      <w:rFonts w:hint="default" w:ascii="Times New Roman" w:hAnsi="Times New Roman" w:eastAsia="宋体" w:cs="Times New Roman"/>
                      <w:b w:val="0"/>
                      <w:bCs w:val="0"/>
                      <w:i w:val="0"/>
                      <w:iCs w:val="0"/>
                      <w:color w:val="000000"/>
                      <w:kern w:val="0"/>
                      <w:sz w:val="13"/>
                      <w:szCs w:val="13"/>
                      <w:highlight w:val="none"/>
                      <w:u w:val="none" w:color="auto"/>
                      <w:lang w:val="en-US" w:eastAsia="zh-CN"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0.13</w:t>
                  </w:r>
                </w:p>
              </w:tc>
              <w:tc>
                <w:tcPr>
                  <w:tcW w:w="454" w:type="pct"/>
                  <w:tcBorders>
                    <w:tl2br w:val="nil"/>
                    <w:tr2bl w:val="nil"/>
                  </w:tcBorders>
                  <w:vAlign w:val="center"/>
                </w:tcPr>
                <w:p w14:paraId="441F7666">
                  <w:pPr>
                    <w:widowControl/>
                    <w:adjustRightInd w:val="0"/>
                    <w:ind w:left="-105" w:leftChars="-50" w:right="-105" w:rightChars="-50"/>
                    <w:jc w:val="center"/>
                    <w:textAlignment w:val="center"/>
                    <w:rPr>
                      <w:rFonts w:ascii="Times New Roman" w:hAnsi="Times New Roman" w:eastAsia="宋体" w:cs="Times New Roman"/>
                      <w:b w:val="0"/>
                      <w:bCs w:val="0"/>
                      <w:i w:val="0"/>
                      <w:iCs w:val="0"/>
                      <w:color w:val="000000"/>
                      <w:kern w:val="0"/>
                      <w:sz w:val="13"/>
                      <w:szCs w:val="13"/>
                      <w:highlight w:val="none"/>
                      <w:u w:val="none" w:color="auto"/>
                      <w:lang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袋式除尘</w:t>
                  </w:r>
                </w:p>
              </w:tc>
              <w:tc>
                <w:tcPr>
                  <w:tcW w:w="454" w:type="pct"/>
                  <w:tcBorders>
                    <w:tl2br w:val="nil"/>
                    <w:tr2bl w:val="nil"/>
                  </w:tcBorders>
                  <w:vAlign w:val="center"/>
                </w:tcPr>
                <w:p w14:paraId="1EA7EE57">
                  <w:pPr>
                    <w:widowControl/>
                    <w:adjustRightInd w:val="0"/>
                    <w:ind w:left="-105" w:leftChars="-50" w:right="-105" w:rightChars="-50"/>
                    <w:jc w:val="center"/>
                    <w:textAlignment w:val="center"/>
                    <w:rPr>
                      <w:rFonts w:ascii="Times New Roman" w:hAnsi="Times New Roman" w:eastAsia="宋体" w:cs="Times New Roman"/>
                      <w:b w:val="0"/>
                      <w:bCs w:val="0"/>
                      <w:i w:val="0"/>
                      <w:iCs w:val="0"/>
                      <w:color w:val="000000"/>
                      <w:kern w:val="0"/>
                      <w:sz w:val="13"/>
                      <w:szCs w:val="13"/>
                      <w:highlight w:val="none"/>
                      <w:u w:val="none" w:color="auto"/>
                      <w:lang w:bidi="ar"/>
                    </w:rPr>
                  </w:pPr>
                  <w:r>
                    <w:rPr>
                      <w:rFonts w:hint="eastAsia" w:ascii="Times New Roman" w:hAnsi="Times New Roman" w:eastAsia="宋体" w:cs="Times New Roman"/>
                      <w:b w:val="0"/>
                      <w:bCs w:val="0"/>
                      <w:i w:val="0"/>
                      <w:iCs w:val="0"/>
                      <w:color w:val="000000"/>
                      <w:kern w:val="0"/>
                      <w:sz w:val="13"/>
                      <w:szCs w:val="13"/>
                      <w:highlight w:val="none"/>
                      <w:u w:val="none" w:color="auto"/>
                      <w:lang w:val="en-US" w:eastAsia="zh-CN" w:bidi="ar"/>
                    </w:rPr>
                    <w:t>99.7</w:t>
                  </w:r>
                </w:p>
              </w:tc>
            </w:tr>
          </w:tbl>
          <w:p w14:paraId="59147B92">
            <w:pPr>
              <w:autoSpaceDE w:val="0"/>
              <w:autoSpaceDN w:val="0"/>
              <w:spacing w:line="360" w:lineRule="auto"/>
              <w:ind w:firstLine="480" w:firstLineChars="200"/>
              <w:rPr>
                <w:i w:val="0"/>
                <w:iCs w:val="0"/>
                <w:color w:val="000000" w:themeColor="text1"/>
                <w:sz w:val="24"/>
                <w:szCs w:val="24"/>
                <w:highlight w:val="none"/>
                <w:u w:val="none" w:color="auto"/>
                <w14:textFill>
                  <w14:solidFill>
                    <w14:schemeClr w14:val="tx1"/>
                  </w14:solidFill>
                </w14:textFill>
              </w:rPr>
            </w:pPr>
            <w:r>
              <w:rPr>
                <w:rFonts w:hint="eastAsia"/>
                <w:i w:val="0"/>
                <w:iCs w:val="0"/>
                <w:color w:val="000000" w:themeColor="text1"/>
                <w:sz w:val="24"/>
                <w:szCs w:val="24"/>
                <w:highlight w:val="none"/>
                <w:u w:val="none" w:color="auto"/>
                <w:lang w:eastAsia="zh-CN"/>
                <w14:textFill>
                  <w14:solidFill>
                    <w14:schemeClr w14:val="tx1"/>
                  </w14:solidFill>
                </w14:textFill>
              </w:rPr>
              <w:t>（</w:t>
            </w:r>
            <w:r>
              <w:rPr>
                <w:rFonts w:hint="eastAsia"/>
                <w:i w:val="0"/>
                <w:iCs w:val="0"/>
                <w:color w:val="000000" w:themeColor="text1"/>
                <w:sz w:val="24"/>
                <w:szCs w:val="24"/>
                <w:highlight w:val="none"/>
                <w:u w:val="none" w:color="auto"/>
                <w:lang w:val="en-US" w:eastAsia="zh-CN"/>
                <w14:textFill>
                  <w14:solidFill>
                    <w14:schemeClr w14:val="tx1"/>
                  </w14:solidFill>
                </w14:textFill>
              </w:rPr>
              <w:t>1</w:t>
            </w:r>
            <w:r>
              <w:rPr>
                <w:rFonts w:hint="eastAsia"/>
                <w:i w:val="0"/>
                <w:iCs w:val="0"/>
                <w:color w:val="000000" w:themeColor="text1"/>
                <w:sz w:val="24"/>
                <w:szCs w:val="24"/>
                <w:highlight w:val="none"/>
                <w:u w:val="none" w:color="auto"/>
                <w:lang w:eastAsia="zh-CN"/>
                <w14:textFill>
                  <w14:solidFill>
                    <w14:schemeClr w14:val="tx1"/>
                  </w14:solidFill>
                </w14:textFill>
              </w:rPr>
              <w:t>）</w:t>
            </w:r>
            <w:r>
              <w:rPr>
                <w:rFonts w:hint="eastAsia"/>
                <w:i w:val="0"/>
                <w:iCs w:val="0"/>
                <w:color w:val="000000" w:themeColor="text1"/>
                <w:sz w:val="24"/>
                <w:szCs w:val="24"/>
                <w:highlight w:val="none"/>
                <w:u w:val="none" w:color="auto"/>
                <w14:textFill>
                  <w14:solidFill>
                    <w14:schemeClr w14:val="tx1"/>
                  </w14:solidFill>
                </w14:textFill>
              </w:rPr>
              <w:t>筒仓粉尘</w:t>
            </w:r>
          </w:p>
          <w:p w14:paraId="61B6D7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i w:val="0"/>
                <w:iCs w:val="0"/>
                <w:sz w:val="24"/>
                <w:szCs w:val="24"/>
                <w:highlight w:val="none"/>
                <w:u w:val="none" w:color="auto"/>
              </w:rPr>
            </w:pPr>
            <w:r>
              <w:rPr>
                <w:rFonts w:hint="eastAsia"/>
                <w:i w:val="0"/>
                <w:iCs w:val="0"/>
                <w:sz w:val="24"/>
                <w:szCs w:val="24"/>
                <w:highlight w:val="none"/>
                <w:u w:val="none" w:color="auto"/>
                <w:lang w:eastAsia="zh-CN"/>
              </w:rPr>
              <w:t>本</w:t>
            </w:r>
            <w:r>
              <w:rPr>
                <w:rFonts w:hint="eastAsia"/>
                <w:i w:val="0"/>
                <w:iCs w:val="0"/>
                <w:sz w:val="24"/>
                <w:szCs w:val="24"/>
                <w:highlight w:val="none"/>
                <w:u w:val="none" w:color="auto"/>
              </w:rPr>
              <w:t>项目</w:t>
            </w:r>
            <w:r>
              <w:rPr>
                <w:rFonts w:hint="eastAsia"/>
                <w:i w:val="0"/>
                <w:iCs w:val="0"/>
                <w:sz w:val="24"/>
                <w:szCs w:val="24"/>
                <w:highlight w:val="none"/>
                <w:u w:val="none" w:color="auto"/>
                <w:lang w:eastAsia="zh-CN"/>
              </w:rPr>
              <w:t>商</w:t>
            </w:r>
            <w:r>
              <w:rPr>
                <w:rFonts w:hint="eastAsia"/>
                <w:i w:val="0"/>
                <w:iCs w:val="0"/>
                <w:sz w:val="24"/>
                <w:szCs w:val="24"/>
                <w:highlight w:val="none"/>
                <w:u w:val="none" w:color="auto"/>
              </w:rPr>
              <w:t>混生产线设</w:t>
            </w:r>
            <w:r>
              <w:rPr>
                <w:rFonts w:hint="eastAsia"/>
                <w:i w:val="0"/>
                <w:iCs w:val="0"/>
                <w:sz w:val="24"/>
                <w:szCs w:val="24"/>
                <w:highlight w:val="none"/>
                <w:u w:val="none" w:color="auto"/>
                <w:lang w:val="en-US" w:eastAsia="zh-CN"/>
              </w:rPr>
              <w:t>2</w:t>
            </w:r>
            <w:r>
              <w:rPr>
                <w:rFonts w:hint="eastAsia"/>
                <w:i w:val="0"/>
                <w:iCs w:val="0"/>
                <w:sz w:val="24"/>
                <w:szCs w:val="24"/>
                <w:highlight w:val="none"/>
                <w:u w:val="none" w:color="auto"/>
              </w:rPr>
              <w:t>个水泥筒仓、</w:t>
            </w:r>
            <w:r>
              <w:rPr>
                <w:rFonts w:hint="eastAsia"/>
                <w:i w:val="0"/>
                <w:iCs w:val="0"/>
                <w:sz w:val="24"/>
                <w:szCs w:val="24"/>
                <w:highlight w:val="none"/>
                <w:u w:val="none" w:color="auto"/>
                <w:lang w:val="en-US" w:eastAsia="zh-CN"/>
              </w:rPr>
              <w:t>1</w:t>
            </w:r>
            <w:r>
              <w:rPr>
                <w:rFonts w:hint="eastAsia"/>
                <w:i w:val="0"/>
                <w:iCs w:val="0"/>
                <w:sz w:val="24"/>
                <w:szCs w:val="24"/>
                <w:highlight w:val="none"/>
                <w:u w:val="none" w:color="auto"/>
              </w:rPr>
              <w:t>个粉煤灰筒仓，</w:t>
            </w:r>
            <w:r>
              <w:rPr>
                <w:rFonts w:hint="eastAsia"/>
                <w:i w:val="0"/>
                <w:iCs w:val="0"/>
                <w:sz w:val="24"/>
                <w:szCs w:val="24"/>
                <w:highlight w:val="none"/>
                <w:u w:val="none" w:color="auto"/>
                <w:lang w:val="en-US" w:eastAsia="zh-CN"/>
              </w:rPr>
              <w:t>1个矿粉筒仓，水泥、粉煤灰、矿粉由专用的罐车运至站内，用气泵打入筒仓，由于受气流冲击，筒仓中的水泥、粉煤灰、矿粉可从仓顶气孔排至大气中，粉料供给系统将筒仓中的粉料输送到搅拌机时采用气体输送，同样会产生粉尘。</w:t>
            </w:r>
            <w:r>
              <w:rPr>
                <w:rFonts w:hint="eastAsia"/>
                <w:i w:val="0"/>
                <w:iCs w:val="0"/>
                <w:sz w:val="24"/>
                <w:szCs w:val="24"/>
                <w:highlight w:val="none"/>
                <w:u w:val="none" w:color="auto"/>
              </w:rPr>
              <w:t>根据《排放源统计调查产排污核算方法和系数手册》中</w:t>
            </w:r>
            <w:r>
              <w:rPr>
                <w:i w:val="0"/>
                <w:iCs w:val="0"/>
                <w:sz w:val="24"/>
                <w:szCs w:val="24"/>
                <w:highlight w:val="none"/>
                <w:u w:val="none" w:color="auto"/>
              </w:rPr>
              <w:t>3021</w:t>
            </w:r>
            <w:r>
              <w:rPr>
                <w:rFonts w:hint="eastAsia"/>
                <w:i w:val="0"/>
                <w:iCs w:val="0"/>
                <w:sz w:val="24"/>
                <w:szCs w:val="24"/>
                <w:highlight w:val="none"/>
                <w:u w:val="none" w:color="auto"/>
              </w:rPr>
              <w:t>水泥制品制造行业</w:t>
            </w:r>
            <w:r>
              <w:rPr>
                <w:rFonts w:hint="eastAsia"/>
                <w:i w:val="0"/>
                <w:iCs w:val="0"/>
                <w:sz w:val="24"/>
                <w:szCs w:val="24"/>
                <w:highlight w:val="none"/>
                <w:u w:val="none" w:color="auto"/>
                <w:lang w:eastAsia="zh-CN"/>
              </w:rPr>
              <w:t>产污系数，</w:t>
            </w:r>
            <w:r>
              <w:rPr>
                <w:rFonts w:hint="eastAsia"/>
                <w:i w:val="0"/>
                <w:iCs w:val="0"/>
                <w:sz w:val="24"/>
                <w:szCs w:val="24"/>
                <w:highlight w:val="none"/>
                <w:u w:val="none" w:color="auto"/>
              </w:rPr>
              <w:t>混凝土制品物料输送储存过程颗粒物产生系数为0</w:t>
            </w:r>
            <w:r>
              <w:rPr>
                <w:i w:val="0"/>
                <w:iCs w:val="0"/>
                <w:sz w:val="24"/>
                <w:szCs w:val="24"/>
                <w:highlight w:val="none"/>
                <w:u w:val="none" w:color="auto"/>
              </w:rPr>
              <w:t>.1</w:t>
            </w:r>
            <w:r>
              <w:rPr>
                <w:rFonts w:hint="eastAsia"/>
                <w:i w:val="0"/>
                <w:iCs w:val="0"/>
                <w:sz w:val="24"/>
                <w:szCs w:val="24"/>
                <w:highlight w:val="none"/>
                <w:u w:val="none" w:color="auto"/>
                <w:lang w:val="en-US" w:eastAsia="zh-CN"/>
              </w:rPr>
              <w:t>2</w:t>
            </w:r>
            <w:r>
              <w:rPr>
                <w:rFonts w:hint="eastAsia"/>
                <w:i w:val="0"/>
                <w:iCs w:val="0"/>
                <w:sz w:val="24"/>
                <w:szCs w:val="24"/>
                <w:highlight w:val="none"/>
                <w:u w:val="none" w:color="auto"/>
              </w:rPr>
              <w:t>kg</w:t>
            </w:r>
            <w:r>
              <w:rPr>
                <w:i w:val="0"/>
                <w:iCs w:val="0"/>
                <w:sz w:val="24"/>
                <w:szCs w:val="24"/>
                <w:highlight w:val="none"/>
                <w:u w:val="none" w:color="auto"/>
              </w:rPr>
              <w:t>/</w:t>
            </w:r>
            <w:r>
              <w:rPr>
                <w:rFonts w:hint="eastAsia"/>
                <w:i w:val="0"/>
                <w:iCs w:val="0"/>
                <w:sz w:val="24"/>
                <w:szCs w:val="24"/>
                <w:highlight w:val="none"/>
                <w:u w:val="none" w:color="auto"/>
              </w:rPr>
              <w:t>t</w:t>
            </w:r>
            <w:r>
              <w:rPr>
                <w:rFonts w:hint="eastAsia"/>
                <w:i w:val="0"/>
                <w:iCs w:val="0"/>
                <w:sz w:val="24"/>
                <w:szCs w:val="24"/>
                <w:highlight w:val="none"/>
                <w:u w:val="none" w:color="auto"/>
                <w:vertAlign w:val="baseline"/>
              </w:rPr>
              <w:t>-产品</w:t>
            </w:r>
            <w:r>
              <w:rPr>
                <w:rFonts w:hint="eastAsia"/>
                <w:i w:val="0"/>
                <w:iCs w:val="0"/>
                <w:sz w:val="24"/>
                <w:szCs w:val="24"/>
                <w:highlight w:val="none"/>
                <w:u w:val="none" w:color="auto"/>
              </w:rPr>
              <w:t>，</w:t>
            </w:r>
            <w:r>
              <w:rPr>
                <w:rFonts w:hint="default" w:ascii="Times New Roman" w:hAnsi="Times New Roman" w:cs="Times New Roman"/>
                <w:bCs/>
                <w:smallCaps w:val="0"/>
                <w:sz w:val="24"/>
                <w:szCs w:val="24"/>
                <w:u w:val="none" w:color="auto"/>
                <w:lang w:val="en-US" w:eastAsia="zh-CN"/>
              </w:rPr>
              <w:t>本项目水泥筒仓</w:t>
            </w:r>
            <w:r>
              <w:rPr>
                <w:rFonts w:hint="eastAsia" w:ascii="Times New Roman" w:hAnsi="Times New Roman" w:cs="Times New Roman"/>
                <w:bCs/>
                <w:smallCaps w:val="0"/>
                <w:sz w:val="24"/>
                <w:szCs w:val="24"/>
                <w:u w:val="none" w:color="auto"/>
                <w:lang w:val="en-US" w:eastAsia="zh-CN"/>
              </w:rPr>
              <w:t>2</w:t>
            </w:r>
            <w:r>
              <w:rPr>
                <w:rFonts w:hint="default" w:ascii="Times New Roman" w:hAnsi="Times New Roman" w:cs="Times New Roman"/>
                <w:bCs/>
                <w:smallCaps w:val="0"/>
                <w:sz w:val="24"/>
                <w:szCs w:val="24"/>
                <w:u w:val="none" w:color="auto"/>
                <w:lang w:val="en-US" w:eastAsia="zh-CN"/>
              </w:rPr>
              <w:t>个，</w:t>
            </w:r>
            <w:r>
              <w:rPr>
                <w:rFonts w:hint="eastAsia" w:ascii="Times New Roman" w:hAnsi="Times New Roman" w:cs="Times New Roman"/>
                <w:bCs/>
                <w:smallCaps w:val="0"/>
                <w:sz w:val="24"/>
                <w:szCs w:val="24"/>
                <w:u w:val="none" w:color="auto"/>
                <w:lang w:val="en-US" w:eastAsia="zh-CN"/>
              </w:rPr>
              <w:t>单个水泥</w:t>
            </w:r>
            <w:r>
              <w:rPr>
                <w:rFonts w:hint="default" w:ascii="Times New Roman" w:hAnsi="Times New Roman" w:cs="Times New Roman"/>
                <w:bCs/>
                <w:smallCaps w:val="0"/>
                <w:sz w:val="24"/>
                <w:szCs w:val="24"/>
                <w:u w:val="none" w:color="auto"/>
                <w:lang w:val="en-US" w:eastAsia="zh-CN"/>
              </w:rPr>
              <w:t>筒</w:t>
            </w:r>
            <w:r>
              <w:rPr>
                <w:rFonts w:hint="default" w:ascii="Times New Roman" w:hAnsi="Times New Roman" w:cs="Times New Roman"/>
                <w:bCs/>
                <w:smallCaps w:val="0"/>
                <w:color w:val="auto"/>
                <w:sz w:val="24"/>
                <w:szCs w:val="24"/>
                <w:u w:val="none" w:color="auto"/>
                <w:lang w:val="en-US" w:eastAsia="zh-CN"/>
              </w:rPr>
              <w:t>仓水泥储存量为</w:t>
            </w:r>
            <w:r>
              <w:rPr>
                <w:rFonts w:hint="eastAsia" w:ascii="Times New Roman" w:hAnsi="Times New Roman" w:cs="Times New Roman"/>
                <w:bCs/>
                <w:smallCaps w:val="0"/>
                <w:color w:val="auto"/>
                <w:sz w:val="24"/>
                <w:szCs w:val="24"/>
                <w:u w:val="none" w:color="auto"/>
                <w:lang w:val="en-US" w:eastAsia="zh-CN"/>
              </w:rPr>
              <w:t>3万</w:t>
            </w:r>
            <w:r>
              <w:rPr>
                <w:rFonts w:hint="default" w:ascii="Times New Roman" w:hAnsi="Times New Roman" w:cs="Times New Roman"/>
                <w:bCs/>
                <w:smallCaps w:val="0"/>
                <w:color w:val="auto"/>
                <w:sz w:val="24"/>
                <w:szCs w:val="24"/>
                <w:u w:val="none" w:color="auto"/>
                <w:lang w:val="en-US" w:eastAsia="zh-CN"/>
              </w:rPr>
              <w:t>t/a，1个粉煤灰筒仓，粉煤灰筒仓储存量为</w:t>
            </w:r>
            <w:r>
              <w:rPr>
                <w:rFonts w:hint="eastAsia" w:ascii="Times New Roman" w:hAnsi="Times New Roman" w:cs="Times New Roman"/>
                <w:bCs/>
                <w:smallCaps w:val="0"/>
                <w:color w:val="auto"/>
                <w:sz w:val="24"/>
                <w:szCs w:val="24"/>
                <w:u w:val="none" w:color="auto"/>
                <w:lang w:val="en-US" w:eastAsia="zh-CN"/>
              </w:rPr>
              <w:t>0.14万</w:t>
            </w:r>
            <w:r>
              <w:rPr>
                <w:rFonts w:hint="default" w:ascii="Times New Roman" w:hAnsi="Times New Roman" w:cs="Times New Roman"/>
                <w:bCs/>
                <w:smallCaps w:val="0"/>
                <w:color w:val="auto"/>
                <w:sz w:val="24"/>
                <w:szCs w:val="24"/>
                <w:u w:val="none" w:color="auto"/>
                <w:lang w:val="en-US" w:eastAsia="zh-CN"/>
              </w:rPr>
              <w:t>t/a，1个</w:t>
            </w:r>
            <w:r>
              <w:rPr>
                <w:rFonts w:hint="eastAsia" w:ascii="Times New Roman" w:hAnsi="Times New Roman" w:cs="Times New Roman"/>
                <w:bCs/>
                <w:smallCaps w:val="0"/>
                <w:color w:val="auto"/>
                <w:sz w:val="24"/>
                <w:szCs w:val="24"/>
                <w:u w:val="none" w:color="auto"/>
                <w:lang w:val="en-US" w:eastAsia="zh-CN"/>
              </w:rPr>
              <w:t>矿粉</w:t>
            </w:r>
            <w:r>
              <w:rPr>
                <w:rFonts w:hint="default" w:ascii="Times New Roman" w:hAnsi="Times New Roman" w:cs="Times New Roman"/>
                <w:bCs/>
                <w:smallCaps w:val="0"/>
                <w:color w:val="auto"/>
                <w:sz w:val="24"/>
                <w:szCs w:val="24"/>
                <w:u w:val="none" w:color="auto"/>
                <w:lang w:val="en-US" w:eastAsia="zh-CN"/>
              </w:rPr>
              <w:t>筒仓，</w:t>
            </w:r>
            <w:r>
              <w:rPr>
                <w:rFonts w:hint="eastAsia" w:ascii="Times New Roman" w:hAnsi="Times New Roman" w:cs="Times New Roman"/>
                <w:bCs/>
                <w:smallCaps w:val="0"/>
                <w:color w:val="auto"/>
                <w:sz w:val="24"/>
                <w:szCs w:val="24"/>
                <w:u w:val="none" w:color="auto"/>
                <w:lang w:val="en-US" w:eastAsia="zh-CN"/>
              </w:rPr>
              <w:t>矿粉</w:t>
            </w:r>
            <w:r>
              <w:rPr>
                <w:rFonts w:hint="default" w:ascii="Times New Roman" w:hAnsi="Times New Roman" w:cs="Times New Roman"/>
                <w:bCs/>
                <w:smallCaps w:val="0"/>
                <w:color w:val="auto"/>
                <w:sz w:val="24"/>
                <w:szCs w:val="24"/>
                <w:u w:val="none" w:color="auto"/>
                <w:lang w:val="en-US" w:eastAsia="zh-CN"/>
              </w:rPr>
              <w:t>筒仓储存量为</w:t>
            </w:r>
            <w:r>
              <w:rPr>
                <w:rFonts w:hint="eastAsia" w:ascii="Times New Roman" w:hAnsi="Times New Roman" w:cs="Times New Roman"/>
                <w:bCs/>
                <w:smallCaps w:val="0"/>
                <w:color w:val="auto"/>
                <w:sz w:val="24"/>
                <w:szCs w:val="24"/>
                <w:u w:val="none" w:color="auto"/>
                <w:lang w:val="en-US" w:eastAsia="zh-CN"/>
              </w:rPr>
              <w:t>0.14万</w:t>
            </w:r>
            <w:r>
              <w:rPr>
                <w:rFonts w:hint="default" w:ascii="Times New Roman" w:hAnsi="Times New Roman" w:cs="Times New Roman"/>
                <w:bCs/>
                <w:smallCaps w:val="0"/>
                <w:color w:val="auto"/>
                <w:sz w:val="24"/>
                <w:szCs w:val="24"/>
                <w:u w:val="none" w:color="auto"/>
                <w:lang w:val="en-US" w:eastAsia="zh-CN"/>
              </w:rPr>
              <w:t>t/a</w:t>
            </w:r>
            <w:r>
              <w:rPr>
                <w:rFonts w:hint="eastAsia" w:ascii="Times New Roman" w:hAnsi="Times New Roman" w:cs="Times New Roman"/>
                <w:bCs/>
                <w:smallCaps w:val="0"/>
                <w:color w:val="auto"/>
                <w:sz w:val="24"/>
                <w:szCs w:val="24"/>
                <w:u w:val="none" w:color="auto"/>
                <w:lang w:val="en-US" w:eastAsia="zh-CN"/>
              </w:rPr>
              <w:t>。</w:t>
            </w:r>
            <w:r>
              <w:rPr>
                <w:rFonts w:hint="eastAsia"/>
                <w:i w:val="0"/>
                <w:iCs w:val="0"/>
                <w:sz w:val="24"/>
                <w:szCs w:val="24"/>
                <w:highlight w:val="none"/>
                <w:u w:val="none" w:color="auto"/>
                <w:lang w:val="en-US" w:eastAsia="zh-CN"/>
              </w:rPr>
              <w:t>则单个水泥筒仓粉尘产生量为3.6t/a，粉煤灰筒仓粉尘产生量为0.168/a，矿粉筒仓粉尘产生量为0.168t/a。</w:t>
            </w:r>
            <w:r>
              <w:rPr>
                <w:rFonts w:hint="eastAsia"/>
                <w:i w:val="0"/>
                <w:iCs w:val="0"/>
                <w:sz w:val="24"/>
                <w:szCs w:val="24"/>
                <w:highlight w:val="none"/>
                <w:u w:val="none" w:color="auto"/>
              </w:rPr>
              <w:t>项目粉料筒仓顶仓均自带脉冲袋式除尘器，仓顶设置排气</w:t>
            </w:r>
            <w:r>
              <w:rPr>
                <w:rFonts w:hint="eastAsia"/>
                <w:i w:val="0"/>
                <w:iCs w:val="0"/>
                <w:sz w:val="24"/>
                <w:szCs w:val="24"/>
                <w:highlight w:val="none"/>
                <w:u w:val="none" w:color="auto"/>
                <w:lang w:eastAsia="zh-CN"/>
              </w:rPr>
              <w:t>口，</w:t>
            </w:r>
            <w:r>
              <w:rPr>
                <w:rFonts w:hint="eastAsia"/>
                <w:i w:val="0"/>
                <w:iCs w:val="0"/>
                <w:sz w:val="24"/>
                <w:szCs w:val="24"/>
                <w:highlight w:val="none"/>
                <w:u w:val="none" w:color="auto"/>
              </w:rPr>
              <w:t>除尘效率按9</w:t>
            </w:r>
            <w:r>
              <w:rPr>
                <w:i w:val="0"/>
                <w:iCs w:val="0"/>
                <w:sz w:val="24"/>
                <w:szCs w:val="24"/>
                <w:highlight w:val="none"/>
                <w:u w:val="none" w:color="auto"/>
              </w:rPr>
              <w:t>9</w:t>
            </w:r>
            <w:r>
              <w:rPr>
                <w:rFonts w:hint="eastAsia"/>
                <w:i w:val="0"/>
                <w:iCs w:val="0"/>
                <w:sz w:val="24"/>
                <w:szCs w:val="24"/>
                <w:highlight w:val="none"/>
                <w:u w:val="none" w:color="auto"/>
                <w:lang w:val="en-US" w:eastAsia="zh-CN"/>
              </w:rPr>
              <w:t>.7</w:t>
            </w:r>
            <w:r>
              <w:rPr>
                <w:rFonts w:hint="eastAsia"/>
                <w:i w:val="0"/>
                <w:iCs w:val="0"/>
                <w:sz w:val="24"/>
                <w:szCs w:val="24"/>
                <w:highlight w:val="none"/>
                <w:u w:val="none" w:color="auto"/>
              </w:rPr>
              <w:t>%计，则</w:t>
            </w:r>
            <w:r>
              <w:rPr>
                <w:rFonts w:hint="eastAsia"/>
                <w:i w:val="0"/>
                <w:iCs w:val="0"/>
                <w:sz w:val="24"/>
                <w:szCs w:val="24"/>
                <w:highlight w:val="none"/>
                <w:u w:val="none" w:color="auto"/>
                <w:lang w:eastAsia="zh-CN"/>
              </w:rPr>
              <w:t>单个</w:t>
            </w:r>
            <w:r>
              <w:rPr>
                <w:rFonts w:hint="eastAsia"/>
                <w:i w:val="0"/>
                <w:iCs w:val="0"/>
                <w:sz w:val="24"/>
                <w:szCs w:val="24"/>
                <w:highlight w:val="none"/>
                <w:u w:val="none" w:color="auto"/>
                <w:lang w:val="en-US" w:eastAsia="zh-CN"/>
              </w:rPr>
              <w:t>水泥筒仓粉尘排放量为0.0108t/a，排放速率为0.0045kg/h，粉煤灰筒仓粉尘排放量为0.0004t/a，排放速率为0.0002kg/h，矿粉筒仓粉尘排放量为0.0004t/a，排放速率为0.0002kg/h，筒仓粉尘经仓顶除尘器处理后经仓顶排气口排放，能够满足《水泥工业大气污染物排放标准》（GB4915-2013）中标准限值要求</w:t>
            </w:r>
            <w:r>
              <w:rPr>
                <w:rFonts w:hint="eastAsia"/>
                <w:i w:val="0"/>
                <w:iCs w:val="0"/>
                <w:sz w:val="24"/>
                <w:szCs w:val="24"/>
                <w:highlight w:val="none"/>
                <w:u w:val="none" w:color="auto"/>
              </w:rPr>
              <w:t>。</w:t>
            </w:r>
          </w:p>
          <w:p w14:paraId="64F73BF3">
            <w:pPr>
              <w:adjustRightInd w:val="0"/>
              <w:spacing w:line="360" w:lineRule="auto"/>
              <w:ind w:firstLine="480" w:firstLineChars="200"/>
              <w:jc w:val="left"/>
              <w:rPr>
                <w:i w:val="0"/>
                <w:iCs w:val="0"/>
                <w:sz w:val="24"/>
                <w:szCs w:val="24"/>
                <w:highlight w:val="none"/>
                <w:u w:val="none" w:color="auto"/>
              </w:rPr>
            </w:pPr>
            <w:r>
              <w:rPr>
                <w:rFonts w:hint="eastAsia"/>
                <w:i w:val="0"/>
                <w:iCs w:val="0"/>
                <w:sz w:val="24"/>
                <w:szCs w:val="24"/>
                <w:highlight w:val="none"/>
                <w:u w:val="none" w:color="auto"/>
                <w:lang w:eastAsia="zh-CN"/>
              </w:rPr>
              <w:t>（</w:t>
            </w:r>
            <w:r>
              <w:rPr>
                <w:rFonts w:hint="eastAsia"/>
                <w:i w:val="0"/>
                <w:iCs w:val="0"/>
                <w:sz w:val="24"/>
                <w:szCs w:val="24"/>
                <w:highlight w:val="none"/>
                <w:u w:val="none" w:color="auto"/>
                <w:lang w:val="en-US" w:eastAsia="zh-CN"/>
              </w:rPr>
              <w:t>2</w:t>
            </w:r>
            <w:r>
              <w:rPr>
                <w:rFonts w:hint="eastAsia"/>
                <w:i w:val="0"/>
                <w:iCs w:val="0"/>
                <w:sz w:val="24"/>
                <w:szCs w:val="24"/>
                <w:highlight w:val="none"/>
                <w:u w:val="none" w:color="auto"/>
                <w:lang w:eastAsia="zh-CN"/>
              </w:rPr>
              <w:t>）</w:t>
            </w:r>
            <w:r>
              <w:rPr>
                <w:rFonts w:hint="eastAsia"/>
                <w:i w:val="0"/>
                <w:iCs w:val="0"/>
                <w:sz w:val="24"/>
                <w:szCs w:val="24"/>
                <w:highlight w:val="none"/>
                <w:u w:val="none" w:color="auto"/>
              </w:rPr>
              <w:t>搅拌机粉尘</w:t>
            </w:r>
          </w:p>
          <w:p w14:paraId="5B8FC6AB">
            <w:pPr>
              <w:adjustRightInd w:val="0"/>
              <w:spacing w:line="360" w:lineRule="auto"/>
              <w:ind w:firstLine="480" w:firstLineChars="200"/>
              <w:jc w:val="both"/>
              <w:rPr>
                <w:rFonts w:hint="default" w:ascii="Times New Roman" w:hAnsi="Times New Roman" w:eastAsia="宋体" w:cs="Times New Roman"/>
                <w:color w:val="000000"/>
                <w:kern w:val="0"/>
                <w:sz w:val="24"/>
                <w:szCs w:val="24"/>
                <w:highlight w:val="none"/>
                <w:u w:val="single" w:color="auto"/>
                <w:lang w:val="en-US" w:eastAsia="zh-CN" w:bidi="ar"/>
              </w:rPr>
            </w:pPr>
            <w:r>
              <w:rPr>
                <w:rFonts w:hint="eastAsia"/>
                <w:i w:val="0"/>
                <w:iCs w:val="0"/>
                <w:sz w:val="24"/>
                <w:szCs w:val="24"/>
                <w:highlight w:val="none"/>
                <w:u w:val="single" w:color="auto"/>
                <w:lang w:eastAsia="zh-CN"/>
              </w:rPr>
              <w:t>本</w:t>
            </w:r>
            <w:r>
              <w:rPr>
                <w:rFonts w:hint="eastAsia"/>
                <w:i w:val="0"/>
                <w:iCs w:val="0"/>
                <w:sz w:val="24"/>
                <w:szCs w:val="24"/>
                <w:highlight w:val="none"/>
                <w:u w:val="single" w:color="auto"/>
              </w:rPr>
              <w:t>项目搅拌机集料采用密闭皮带输送机，搅拌机粉尘主要为物料</w:t>
            </w:r>
            <w:r>
              <w:rPr>
                <w:rFonts w:hint="eastAsia"/>
                <w:i w:val="0"/>
                <w:iCs w:val="0"/>
                <w:sz w:val="24"/>
                <w:szCs w:val="24"/>
                <w:highlight w:val="none"/>
                <w:u w:val="single" w:color="auto"/>
                <w:lang w:eastAsia="zh-CN"/>
              </w:rPr>
              <w:t>混合</w:t>
            </w:r>
            <w:r>
              <w:rPr>
                <w:rFonts w:hint="eastAsia"/>
                <w:i w:val="0"/>
                <w:iCs w:val="0"/>
                <w:sz w:val="24"/>
                <w:szCs w:val="24"/>
                <w:highlight w:val="none"/>
                <w:u w:val="single" w:color="auto"/>
              </w:rPr>
              <w:t>搅拌产生的粉尘，根据《排放源统计调查产排污核算方法和系数手册》中</w:t>
            </w:r>
            <w:r>
              <w:rPr>
                <w:i w:val="0"/>
                <w:iCs w:val="0"/>
                <w:sz w:val="24"/>
                <w:szCs w:val="24"/>
                <w:highlight w:val="none"/>
                <w:u w:val="single" w:color="auto"/>
              </w:rPr>
              <w:t>3021</w:t>
            </w:r>
            <w:r>
              <w:rPr>
                <w:rFonts w:hint="eastAsia"/>
                <w:i w:val="0"/>
                <w:iCs w:val="0"/>
                <w:sz w:val="24"/>
                <w:szCs w:val="24"/>
                <w:highlight w:val="none"/>
                <w:u w:val="single" w:color="auto"/>
              </w:rPr>
              <w:t>水泥制品制造行业</w:t>
            </w:r>
            <w:r>
              <w:rPr>
                <w:rFonts w:hint="eastAsia"/>
                <w:i w:val="0"/>
                <w:iCs w:val="0"/>
                <w:sz w:val="24"/>
                <w:szCs w:val="24"/>
                <w:highlight w:val="none"/>
                <w:u w:val="single" w:color="auto"/>
                <w:lang w:eastAsia="zh-CN"/>
              </w:rPr>
              <w:t>产污系数，</w:t>
            </w:r>
            <w:r>
              <w:rPr>
                <w:rFonts w:hint="eastAsia"/>
                <w:i w:val="0"/>
                <w:iCs w:val="0"/>
                <w:sz w:val="24"/>
                <w:szCs w:val="24"/>
                <w:highlight w:val="none"/>
                <w:u w:val="single" w:color="auto"/>
              </w:rPr>
              <w:t>混凝土制品物料混合搅拌</w:t>
            </w:r>
            <w:r>
              <w:rPr>
                <w:rFonts w:hint="eastAsia"/>
                <w:i w:val="0"/>
                <w:iCs w:val="0"/>
                <w:sz w:val="24"/>
                <w:szCs w:val="24"/>
                <w:highlight w:val="none"/>
                <w:u w:val="single" w:color="auto"/>
                <w:lang w:eastAsia="zh-CN"/>
              </w:rPr>
              <w:t>过程</w:t>
            </w:r>
            <w:r>
              <w:rPr>
                <w:rFonts w:hint="eastAsia"/>
                <w:i w:val="0"/>
                <w:iCs w:val="0"/>
                <w:sz w:val="24"/>
                <w:szCs w:val="24"/>
                <w:highlight w:val="none"/>
                <w:u w:val="single" w:color="auto"/>
              </w:rPr>
              <w:t>颗粒物产生</w:t>
            </w:r>
            <w:r>
              <w:rPr>
                <w:rFonts w:hint="eastAsia"/>
                <w:i w:val="0"/>
                <w:iCs w:val="0"/>
                <w:sz w:val="24"/>
                <w:szCs w:val="24"/>
                <w:highlight w:val="none"/>
                <w:u w:val="single" w:color="auto"/>
                <w:lang w:eastAsia="zh-CN"/>
              </w:rPr>
              <w:t>系数</w:t>
            </w:r>
            <w:r>
              <w:rPr>
                <w:rFonts w:hint="eastAsia"/>
                <w:i w:val="0"/>
                <w:iCs w:val="0"/>
                <w:sz w:val="24"/>
                <w:szCs w:val="24"/>
                <w:highlight w:val="none"/>
                <w:u w:val="single" w:color="auto"/>
              </w:rPr>
              <w:t>为0</w:t>
            </w:r>
            <w:r>
              <w:rPr>
                <w:i w:val="0"/>
                <w:iCs w:val="0"/>
                <w:sz w:val="24"/>
                <w:szCs w:val="24"/>
                <w:highlight w:val="none"/>
                <w:u w:val="single" w:color="auto"/>
              </w:rPr>
              <w:t>.1</w:t>
            </w:r>
            <w:r>
              <w:rPr>
                <w:rFonts w:hint="eastAsia"/>
                <w:i w:val="0"/>
                <w:iCs w:val="0"/>
                <w:sz w:val="24"/>
                <w:szCs w:val="24"/>
                <w:highlight w:val="none"/>
                <w:u w:val="single" w:color="auto"/>
                <w:lang w:val="en-US" w:eastAsia="zh-CN"/>
              </w:rPr>
              <w:t>3</w:t>
            </w:r>
            <w:r>
              <w:rPr>
                <w:rFonts w:hint="eastAsia"/>
                <w:i w:val="0"/>
                <w:iCs w:val="0"/>
                <w:sz w:val="24"/>
                <w:szCs w:val="24"/>
                <w:highlight w:val="none"/>
                <w:u w:val="single" w:color="auto"/>
              </w:rPr>
              <w:t>kg</w:t>
            </w:r>
            <w:r>
              <w:rPr>
                <w:i w:val="0"/>
                <w:iCs w:val="0"/>
                <w:sz w:val="24"/>
                <w:szCs w:val="24"/>
                <w:highlight w:val="none"/>
                <w:u w:val="single" w:color="auto"/>
              </w:rPr>
              <w:t>/</w:t>
            </w:r>
            <w:r>
              <w:rPr>
                <w:rFonts w:hint="eastAsia"/>
                <w:i w:val="0"/>
                <w:iCs w:val="0"/>
                <w:sz w:val="24"/>
                <w:szCs w:val="24"/>
                <w:highlight w:val="none"/>
                <w:u w:val="single" w:color="auto"/>
              </w:rPr>
              <w:t>t-产品，</w:t>
            </w:r>
            <w:r>
              <w:rPr>
                <w:rFonts w:hint="eastAsia"/>
                <w:i w:val="0"/>
                <w:iCs w:val="0"/>
                <w:sz w:val="24"/>
                <w:szCs w:val="24"/>
                <w:highlight w:val="none"/>
                <w:u w:val="single" w:color="auto"/>
                <w:lang w:eastAsia="zh-CN"/>
              </w:rPr>
              <w:t>本</w:t>
            </w:r>
            <w:r>
              <w:rPr>
                <w:rFonts w:hint="eastAsia"/>
                <w:i w:val="0"/>
                <w:iCs w:val="0"/>
                <w:sz w:val="24"/>
                <w:szCs w:val="24"/>
                <w:highlight w:val="none"/>
                <w:u w:val="single" w:color="auto"/>
              </w:rPr>
              <w:t>项目</w:t>
            </w:r>
            <w:r>
              <w:rPr>
                <w:rFonts w:hint="eastAsia"/>
                <w:i w:val="0"/>
                <w:iCs w:val="0"/>
                <w:sz w:val="24"/>
                <w:szCs w:val="24"/>
                <w:highlight w:val="none"/>
                <w:u w:val="single" w:color="auto"/>
                <w:lang w:eastAsia="zh-CN"/>
              </w:rPr>
              <w:t>商品</w:t>
            </w:r>
            <w:r>
              <w:rPr>
                <w:rFonts w:hint="eastAsia"/>
                <w:i w:val="0"/>
                <w:iCs w:val="0"/>
                <w:sz w:val="24"/>
                <w:szCs w:val="24"/>
                <w:highlight w:val="none"/>
                <w:u w:val="single" w:color="auto"/>
              </w:rPr>
              <w:t>混凝土产量为</w:t>
            </w:r>
            <w:r>
              <w:rPr>
                <w:rFonts w:hint="eastAsia"/>
                <w:i w:val="0"/>
                <w:iCs w:val="0"/>
                <w:sz w:val="24"/>
                <w:szCs w:val="24"/>
                <w:highlight w:val="none"/>
                <w:u w:val="single" w:color="auto"/>
                <w:lang w:val="en-US" w:eastAsia="zh-CN"/>
              </w:rPr>
              <w:t>144000</w:t>
            </w:r>
            <w:r>
              <w:rPr>
                <w:rFonts w:hint="eastAsia"/>
                <w:i w:val="0"/>
                <w:iCs w:val="0"/>
                <w:sz w:val="24"/>
                <w:szCs w:val="24"/>
                <w:highlight w:val="none"/>
                <w:u w:val="single" w:color="auto"/>
              </w:rPr>
              <w:t>t</w:t>
            </w:r>
            <w:r>
              <w:rPr>
                <w:i w:val="0"/>
                <w:iCs w:val="0"/>
                <w:sz w:val="24"/>
                <w:szCs w:val="24"/>
                <w:highlight w:val="none"/>
                <w:u w:val="single" w:color="auto"/>
              </w:rPr>
              <w:t>/</w:t>
            </w:r>
            <w:r>
              <w:rPr>
                <w:rFonts w:hint="eastAsia"/>
                <w:i w:val="0"/>
                <w:iCs w:val="0"/>
                <w:sz w:val="24"/>
                <w:szCs w:val="24"/>
                <w:highlight w:val="none"/>
                <w:u w:val="single" w:color="auto"/>
              </w:rPr>
              <w:t>a</w:t>
            </w:r>
            <w:r>
              <w:rPr>
                <w:rFonts w:hint="eastAsia"/>
                <w:i w:val="0"/>
                <w:iCs w:val="0"/>
                <w:sz w:val="24"/>
                <w:szCs w:val="24"/>
                <w:highlight w:val="none"/>
                <w:u w:val="single" w:color="auto"/>
                <w:lang w:eastAsia="zh-CN"/>
              </w:rPr>
              <w:t>（</w:t>
            </w:r>
            <w:r>
              <w:rPr>
                <w:rFonts w:hint="eastAsia"/>
                <w:i w:val="0"/>
                <w:iCs w:val="0"/>
                <w:sz w:val="24"/>
                <w:szCs w:val="24"/>
                <w:highlight w:val="none"/>
                <w:u w:val="single" w:color="auto"/>
                <w:lang w:val="en-US" w:eastAsia="zh-CN"/>
              </w:rPr>
              <w:t>6万m</w:t>
            </w:r>
            <w:r>
              <w:rPr>
                <w:rFonts w:hint="eastAsia"/>
                <w:i w:val="0"/>
                <w:iCs w:val="0"/>
                <w:sz w:val="24"/>
                <w:szCs w:val="24"/>
                <w:highlight w:val="none"/>
                <w:u w:val="single" w:color="auto"/>
                <w:vertAlign w:val="superscript"/>
                <w:lang w:val="en-US" w:eastAsia="zh-CN"/>
              </w:rPr>
              <w:t>3</w:t>
            </w:r>
            <w:r>
              <w:rPr>
                <w:rFonts w:hint="eastAsia"/>
                <w:i w:val="0"/>
                <w:iCs w:val="0"/>
                <w:sz w:val="24"/>
                <w:szCs w:val="24"/>
                <w:highlight w:val="none"/>
                <w:u w:val="single" w:color="auto"/>
                <w:lang w:val="en-US" w:eastAsia="zh-CN"/>
              </w:rPr>
              <w:t>/a</w:t>
            </w:r>
            <w:r>
              <w:rPr>
                <w:rFonts w:hint="eastAsia"/>
                <w:i w:val="0"/>
                <w:iCs w:val="0"/>
                <w:sz w:val="24"/>
                <w:szCs w:val="24"/>
                <w:highlight w:val="none"/>
                <w:u w:val="single" w:color="auto"/>
                <w:lang w:eastAsia="zh-CN"/>
              </w:rPr>
              <w:t>）</w:t>
            </w:r>
            <w:r>
              <w:rPr>
                <w:rFonts w:hint="eastAsia"/>
                <w:i w:val="0"/>
                <w:iCs w:val="0"/>
                <w:sz w:val="24"/>
                <w:szCs w:val="24"/>
                <w:highlight w:val="none"/>
                <w:u w:val="single" w:color="auto"/>
              </w:rPr>
              <w:t>，则物料混合搅拌粉尘产生量为</w:t>
            </w:r>
            <w:r>
              <w:rPr>
                <w:rFonts w:hint="eastAsia"/>
                <w:i w:val="0"/>
                <w:iCs w:val="0"/>
                <w:sz w:val="24"/>
                <w:szCs w:val="24"/>
                <w:highlight w:val="none"/>
                <w:u w:val="single" w:color="auto"/>
                <w:lang w:val="en-US" w:eastAsia="zh-CN"/>
              </w:rPr>
              <w:t>18.72</w:t>
            </w:r>
            <w:r>
              <w:rPr>
                <w:rFonts w:hint="eastAsia"/>
                <w:i w:val="0"/>
                <w:iCs w:val="0"/>
                <w:sz w:val="24"/>
                <w:szCs w:val="24"/>
                <w:highlight w:val="none"/>
                <w:u w:val="single" w:color="auto"/>
              </w:rPr>
              <w:t>t</w:t>
            </w:r>
            <w:r>
              <w:rPr>
                <w:i w:val="0"/>
                <w:iCs w:val="0"/>
                <w:sz w:val="24"/>
                <w:szCs w:val="24"/>
                <w:highlight w:val="none"/>
                <w:u w:val="single" w:color="auto"/>
              </w:rPr>
              <w:t>/</w:t>
            </w:r>
            <w:r>
              <w:rPr>
                <w:rFonts w:hint="eastAsia"/>
                <w:i w:val="0"/>
                <w:iCs w:val="0"/>
                <w:sz w:val="24"/>
                <w:szCs w:val="24"/>
                <w:highlight w:val="none"/>
                <w:u w:val="single" w:color="auto"/>
              </w:rPr>
              <w:t>a，项目搅拌机盖处连接搅拌机自带脉冲袋式除尘器，除尘效率按9</w:t>
            </w:r>
            <w:r>
              <w:rPr>
                <w:i w:val="0"/>
                <w:iCs w:val="0"/>
                <w:sz w:val="24"/>
                <w:szCs w:val="24"/>
                <w:highlight w:val="none"/>
                <w:u w:val="single" w:color="auto"/>
              </w:rPr>
              <w:t>9.7</w:t>
            </w:r>
            <w:r>
              <w:rPr>
                <w:rFonts w:hint="eastAsia"/>
                <w:i w:val="0"/>
                <w:iCs w:val="0"/>
                <w:sz w:val="24"/>
                <w:szCs w:val="24"/>
                <w:highlight w:val="none"/>
                <w:u w:val="single" w:color="auto"/>
              </w:rPr>
              <w:t>%计，</w:t>
            </w:r>
            <w:r>
              <w:rPr>
                <w:rFonts w:hint="eastAsia" w:cs="Times New Roman"/>
                <w:color w:val="000000"/>
                <w:kern w:val="0"/>
                <w:sz w:val="24"/>
                <w:szCs w:val="24"/>
                <w:highlight w:val="none"/>
                <w:u w:val="single" w:color="auto"/>
                <w:lang w:val="en-US" w:eastAsia="zh-CN" w:bidi="ar"/>
              </w:rPr>
              <w:t>只有少量粉尘（约0.3%）无组织逸散，</w:t>
            </w:r>
            <w:r>
              <w:rPr>
                <w:rFonts w:hint="eastAsia"/>
                <w:i w:val="0"/>
                <w:iCs w:val="0"/>
                <w:sz w:val="24"/>
                <w:szCs w:val="24"/>
                <w:highlight w:val="none"/>
                <w:u w:val="single" w:color="auto"/>
              </w:rPr>
              <w:t>则搅拌粉尘排放量为</w:t>
            </w:r>
            <w:r>
              <w:rPr>
                <w:i w:val="0"/>
                <w:iCs w:val="0"/>
                <w:sz w:val="24"/>
                <w:szCs w:val="24"/>
                <w:highlight w:val="none"/>
                <w:u w:val="single" w:color="auto"/>
              </w:rPr>
              <w:t>0.</w:t>
            </w:r>
            <w:r>
              <w:rPr>
                <w:rFonts w:hint="eastAsia"/>
                <w:i w:val="0"/>
                <w:iCs w:val="0"/>
                <w:sz w:val="24"/>
                <w:szCs w:val="24"/>
                <w:highlight w:val="none"/>
                <w:u w:val="single" w:color="auto"/>
                <w:lang w:val="en-US" w:eastAsia="zh-CN"/>
              </w:rPr>
              <w:t>056</w:t>
            </w:r>
            <w:r>
              <w:rPr>
                <w:rFonts w:hint="eastAsia"/>
                <w:i w:val="0"/>
                <w:iCs w:val="0"/>
                <w:sz w:val="24"/>
                <w:szCs w:val="24"/>
                <w:highlight w:val="none"/>
                <w:u w:val="single" w:color="auto"/>
              </w:rPr>
              <w:t>t</w:t>
            </w:r>
            <w:r>
              <w:rPr>
                <w:i w:val="0"/>
                <w:iCs w:val="0"/>
                <w:sz w:val="24"/>
                <w:szCs w:val="24"/>
                <w:highlight w:val="none"/>
                <w:u w:val="single" w:color="auto"/>
              </w:rPr>
              <w:t>/</w:t>
            </w:r>
            <w:r>
              <w:rPr>
                <w:rFonts w:hint="eastAsia"/>
                <w:i w:val="0"/>
                <w:iCs w:val="0"/>
                <w:sz w:val="24"/>
                <w:szCs w:val="24"/>
                <w:highlight w:val="none"/>
                <w:u w:val="single" w:color="auto"/>
              </w:rPr>
              <w:t>a</w:t>
            </w:r>
            <w:r>
              <w:rPr>
                <w:rFonts w:hint="eastAsia" w:ascii="宋体" w:hAnsi="宋体" w:eastAsia="宋体" w:cs="宋体"/>
                <w:color w:val="000000"/>
                <w:kern w:val="0"/>
                <w:sz w:val="24"/>
                <w:szCs w:val="24"/>
                <w:highlight w:val="none"/>
                <w:u w:val="single" w:color="auto"/>
                <w:lang w:val="en-US" w:eastAsia="zh-CN" w:bidi="ar"/>
              </w:rPr>
              <w:t>。</w:t>
            </w:r>
          </w:p>
          <w:p w14:paraId="4465CBFC">
            <w:pPr>
              <w:spacing w:line="360" w:lineRule="auto"/>
              <w:ind w:firstLine="480" w:firstLineChars="200"/>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w:t>
            </w:r>
            <w:r>
              <w:rPr>
                <w:rFonts w:hint="eastAsia" w:cs="Times New Roman"/>
                <w:b w:val="0"/>
                <w:bCs w:val="0"/>
                <w:i w:val="0"/>
                <w:iCs w:val="0"/>
                <w:sz w:val="24"/>
                <w:szCs w:val="24"/>
                <w:highlight w:val="none"/>
                <w:u w:val="none" w:color="auto"/>
                <w:lang w:val="en-US" w:eastAsia="zh-CN"/>
              </w:rPr>
              <w:t>3</w:t>
            </w:r>
            <w:r>
              <w:rPr>
                <w:rFonts w:hint="default" w:ascii="Times New Roman" w:hAnsi="Times New Roman" w:cs="Times New Roman"/>
                <w:b w:val="0"/>
                <w:bCs w:val="0"/>
                <w:i w:val="0"/>
                <w:iCs w:val="0"/>
                <w:sz w:val="24"/>
                <w:szCs w:val="24"/>
                <w:highlight w:val="none"/>
                <w:u w:val="none" w:color="auto"/>
                <w:lang w:eastAsia="zh-CN"/>
              </w:rPr>
              <w:t>）</w:t>
            </w:r>
            <w:r>
              <w:rPr>
                <w:rFonts w:hint="eastAsia" w:ascii="Times New Roman" w:hAnsi="Times New Roman" w:cs="Times New Roman"/>
                <w:b w:val="0"/>
                <w:bCs w:val="0"/>
                <w:i w:val="0"/>
                <w:iCs w:val="0"/>
                <w:sz w:val="24"/>
                <w:szCs w:val="24"/>
                <w:highlight w:val="none"/>
                <w:u w:val="none" w:color="auto"/>
                <w:lang w:eastAsia="zh-CN"/>
              </w:rPr>
              <w:t>骨料堆场装卸及堆存粉尘</w:t>
            </w:r>
          </w:p>
          <w:p w14:paraId="248ACA7B">
            <w:pPr>
              <w:spacing w:line="360" w:lineRule="auto"/>
              <w:ind w:firstLine="480" w:firstLineChars="200"/>
              <w:rPr>
                <w:rFonts w:hint="eastAsia" w:ascii="宋体" w:hAnsi="宋体" w:cs="宋体"/>
                <w:b w:val="0"/>
                <w:bCs w:val="0"/>
                <w:i w:val="0"/>
                <w:iCs w:val="0"/>
                <w:sz w:val="24"/>
                <w:szCs w:val="24"/>
                <w:highlight w:val="none"/>
                <w:u w:val="none" w:color="auto"/>
                <w:lang w:eastAsia="zh-CN"/>
              </w:rPr>
            </w:pPr>
            <w:r>
              <w:rPr>
                <w:rFonts w:hint="eastAsia" w:ascii="宋体" w:hAnsi="宋体" w:cs="宋体"/>
                <w:b w:val="0"/>
                <w:bCs w:val="0"/>
                <w:i w:val="0"/>
                <w:iCs w:val="0"/>
                <w:sz w:val="24"/>
                <w:szCs w:val="24"/>
                <w:highlight w:val="none"/>
                <w:u w:val="none" w:color="auto"/>
                <w:lang w:eastAsia="zh-CN"/>
              </w:rPr>
              <w:t>本项目商品混凝土用料砂子、碎石由自卸汽车运至厂区骨料料库内堆存，料库堆存会产生装卸及堆存扬尘，根据《排放源统计调查产排污核算方法和系数手册》中固体物料堆存颗粒物产排污核算系数手册，骨料堆存颗粒物包括装卸扬尘和风蚀扬尘，颗粒物产生量核算公式如下：</w:t>
            </w:r>
          </w:p>
          <w:p w14:paraId="45AA4D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val="0"/>
                <w:i w:val="0"/>
                <w:iCs w:val="0"/>
                <w:sz w:val="24"/>
                <w:szCs w:val="24"/>
                <w:highlight w:val="none"/>
                <w:u w:val="none" w:color="auto"/>
                <w:lang w:eastAsia="zh-CN"/>
              </w:rPr>
            </w:pPr>
            <w:r>
              <w:rPr>
                <w:u w:val="none" w:color="auto"/>
              </w:rPr>
              <w:drawing>
                <wp:inline distT="0" distB="0" distL="114300" distR="114300">
                  <wp:extent cx="3263900" cy="389890"/>
                  <wp:effectExtent l="0" t="0" r="3175" b="63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3"/>
                          <a:stretch>
                            <a:fillRect/>
                          </a:stretch>
                        </pic:blipFill>
                        <pic:spPr>
                          <a:xfrm>
                            <a:off x="0" y="0"/>
                            <a:ext cx="3263900" cy="389890"/>
                          </a:xfrm>
                          <a:prstGeom prst="rect">
                            <a:avLst/>
                          </a:prstGeom>
                          <a:noFill/>
                          <a:ln>
                            <a:noFill/>
                          </a:ln>
                        </pic:spPr>
                      </pic:pic>
                    </a:graphicData>
                  </a:graphic>
                </wp:inline>
              </w:drawing>
            </w:r>
          </w:p>
          <w:p w14:paraId="613AB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式中：P—颗粒物产生量，t/a；</w:t>
            </w:r>
          </w:p>
          <w:p w14:paraId="1C643F80">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ZCy—装卸扬尘产生量，t/a；</w:t>
            </w:r>
          </w:p>
          <w:p w14:paraId="7BACA4A8">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FCy—风蚀扬尘产生量，t/a；</w:t>
            </w:r>
          </w:p>
          <w:p w14:paraId="1776E4DA">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Nc—年物料运载车次，车；</w:t>
            </w:r>
          </w:p>
          <w:p w14:paraId="2E5F3C82">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D—单车平均运载量，t/车；</w:t>
            </w:r>
          </w:p>
          <w:p w14:paraId="247D21EA">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（a/b）—装卸扬尘概化系数，kg/t，a指各省风速概化系数，b指物料含水率概化系数；</w:t>
            </w:r>
          </w:p>
          <w:p w14:paraId="39FE6C1B">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cs="宋体"/>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E</w:t>
            </w:r>
            <w:r>
              <w:rPr>
                <w:rFonts w:hint="default" w:ascii="Times New Roman" w:hAnsi="Times New Roman" w:cs="Times New Roman"/>
                <w:b w:val="0"/>
                <w:bCs w:val="0"/>
                <w:i w:val="0"/>
                <w:iCs w:val="0"/>
                <w:sz w:val="24"/>
                <w:szCs w:val="24"/>
                <w:highlight w:val="none"/>
                <w:u w:val="none" w:color="auto"/>
                <w:vertAlign w:val="subscript"/>
                <w:lang w:eastAsia="zh-CN"/>
              </w:rPr>
              <w:t>f</w:t>
            </w:r>
            <w:r>
              <w:rPr>
                <w:rFonts w:hint="default" w:ascii="Times New Roman" w:hAnsi="Times New Roman" w:cs="Times New Roman"/>
                <w:b w:val="0"/>
                <w:bCs w:val="0"/>
                <w:i w:val="0"/>
                <w:iCs w:val="0"/>
                <w:sz w:val="24"/>
                <w:szCs w:val="24"/>
                <w:highlight w:val="none"/>
                <w:u w:val="none" w:color="auto"/>
                <w:lang w:eastAsia="zh-CN"/>
              </w:rPr>
              <w:t>—风蚀扬尘概化系数，kg/m</w:t>
            </w:r>
            <w:r>
              <w:rPr>
                <w:rFonts w:hint="default" w:ascii="Times New Roman" w:hAnsi="Times New Roman" w:cs="Times New Roman"/>
                <w:b w:val="0"/>
                <w:bCs w:val="0"/>
                <w:i w:val="0"/>
                <w:iCs w:val="0"/>
                <w:sz w:val="24"/>
                <w:szCs w:val="24"/>
                <w:highlight w:val="none"/>
                <w:u w:val="none" w:color="auto"/>
                <w:vertAlign w:val="superscript"/>
                <w:lang w:eastAsia="zh-CN"/>
              </w:rPr>
              <w:t>2</w:t>
            </w:r>
            <w:r>
              <w:rPr>
                <w:rFonts w:hint="default" w:ascii="Times New Roman" w:hAnsi="Times New Roman" w:cs="Times New Roman"/>
                <w:b w:val="0"/>
                <w:bCs w:val="0"/>
                <w:i w:val="0"/>
                <w:iCs w:val="0"/>
                <w:sz w:val="24"/>
                <w:szCs w:val="24"/>
                <w:highlight w:val="none"/>
                <w:u w:val="none" w:color="auto"/>
                <w:lang w:eastAsia="zh-CN"/>
              </w:rPr>
              <w:t>；</w:t>
            </w:r>
          </w:p>
          <w:p w14:paraId="4B65218F">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cs="宋体"/>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S—堆场占地面积，m</w:t>
            </w:r>
            <w:r>
              <w:rPr>
                <w:rFonts w:hint="default" w:ascii="Times New Roman" w:hAnsi="Times New Roman" w:cs="Times New Roman"/>
                <w:b w:val="0"/>
                <w:bCs w:val="0"/>
                <w:i w:val="0"/>
                <w:iCs w:val="0"/>
                <w:sz w:val="24"/>
                <w:szCs w:val="24"/>
                <w:highlight w:val="none"/>
                <w:u w:val="none" w:color="auto"/>
                <w:vertAlign w:val="superscript"/>
                <w:lang w:eastAsia="zh-CN"/>
              </w:rPr>
              <w:t>2</w:t>
            </w:r>
            <w:r>
              <w:rPr>
                <w:rFonts w:hint="default" w:ascii="Times New Roman" w:hAnsi="Times New Roman" w:cs="Times New Roman"/>
                <w:b w:val="0"/>
                <w:bCs w:val="0"/>
                <w:i w:val="0"/>
                <w:iCs w:val="0"/>
                <w:sz w:val="24"/>
                <w:szCs w:val="24"/>
                <w:highlight w:val="none"/>
                <w:u w:val="none" w:color="auto"/>
                <w:lang w:eastAsia="zh-CN"/>
              </w:rPr>
              <w:t>。</w:t>
            </w:r>
          </w:p>
          <w:p w14:paraId="23A318D8">
            <w:pPr>
              <w:spacing w:line="360" w:lineRule="auto"/>
              <w:ind w:firstLine="480" w:firstLineChars="200"/>
              <w:rPr>
                <w:rFonts w:hint="eastAsia" w:ascii="宋体" w:hAnsi="宋体" w:cs="宋体"/>
                <w:b w:val="0"/>
                <w:bCs w:val="0"/>
                <w:i w:val="0"/>
                <w:iCs w:val="0"/>
                <w:sz w:val="24"/>
                <w:szCs w:val="24"/>
                <w:highlight w:val="none"/>
                <w:u w:val="none" w:color="auto"/>
                <w:lang w:eastAsia="zh-CN"/>
              </w:rPr>
            </w:pPr>
            <w:r>
              <w:rPr>
                <w:rFonts w:hint="eastAsia" w:ascii="宋体" w:hAnsi="宋体" w:cs="宋体"/>
                <w:b w:val="0"/>
                <w:bCs w:val="0"/>
                <w:i w:val="0"/>
                <w:iCs w:val="0"/>
                <w:sz w:val="24"/>
                <w:szCs w:val="24"/>
                <w:highlight w:val="none"/>
                <w:u w:val="none" w:color="auto"/>
                <w:lang w:eastAsia="zh-CN"/>
              </w:rPr>
              <w:t>①物</w:t>
            </w:r>
            <w:r>
              <w:rPr>
                <w:rFonts w:hint="eastAsia"/>
                <w:i w:val="0"/>
                <w:iCs w:val="0"/>
                <w:sz w:val="24"/>
                <w:szCs w:val="24"/>
                <w:highlight w:val="none"/>
                <w:u w:val="none" w:color="auto"/>
              </w:rPr>
              <w:t>料装卸扬尘</w:t>
            </w:r>
          </w:p>
          <w:p w14:paraId="7A42C12F">
            <w:pPr>
              <w:spacing w:line="360" w:lineRule="auto"/>
              <w:ind w:firstLine="480" w:firstLineChars="200"/>
              <w:rPr>
                <w:rFonts w:hint="eastAsia" w:ascii="宋体" w:hAnsi="宋体" w:cs="宋体"/>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本项目每年</w:t>
            </w:r>
            <w:r>
              <w:rPr>
                <w:rFonts w:hint="eastAsia" w:ascii="Times New Roman" w:hAnsi="Times New Roman" w:cs="Times New Roman"/>
                <w:b w:val="0"/>
                <w:bCs w:val="0"/>
                <w:i w:val="0"/>
                <w:iCs w:val="0"/>
                <w:sz w:val="24"/>
                <w:szCs w:val="24"/>
                <w:highlight w:val="none"/>
                <w:u w:val="none" w:color="auto"/>
                <w:lang w:eastAsia="zh-CN"/>
              </w:rPr>
              <w:t>砂子</w:t>
            </w:r>
            <w:r>
              <w:rPr>
                <w:rFonts w:hint="default" w:ascii="Times New Roman" w:hAnsi="Times New Roman" w:cs="Times New Roman"/>
                <w:b w:val="0"/>
                <w:bCs w:val="0"/>
                <w:i w:val="0"/>
                <w:iCs w:val="0"/>
                <w:sz w:val="24"/>
                <w:szCs w:val="24"/>
                <w:highlight w:val="none"/>
                <w:u w:val="none" w:color="auto"/>
                <w:lang w:eastAsia="zh-CN"/>
              </w:rPr>
              <w:t>、</w:t>
            </w:r>
            <w:r>
              <w:rPr>
                <w:rFonts w:hint="eastAsia" w:ascii="Times New Roman" w:hAnsi="Times New Roman" w:cs="Times New Roman"/>
                <w:b w:val="0"/>
                <w:bCs w:val="0"/>
                <w:i w:val="0"/>
                <w:iCs w:val="0"/>
                <w:sz w:val="24"/>
                <w:szCs w:val="24"/>
                <w:highlight w:val="none"/>
                <w:u w:val="none" w:color="auto"/>
                <w:lang w:eastAsia="zh-CN"/>
              </w:rPr>
              <w:t>碎石</w:t>
            </w:r>
            <w:r>
              <w:rPr>
                <w:rFonts w:hint="default" w:ascii="Times New Roman" w:hAnsi="Times New Roman" w:cs="Times New Roman"/>
                <w:b w:val="0"/>
                <w:bCs w:val="0"/>
                <w:i w:val="0"/>
                <w:iCs w:val="0"/>
                <w:sz w:val="24"/>
                <w:szCs w:val="24"/>
                <w:highlight w:val="none"/>
                <w:u w:val="none" w:color="auto"/>
                <w:lang w:eastAsia="zh-CN"/>
              </w:rPr>
              <w:t>的使用量共计</w:t>
            </w:r>
            <w:r>
              <w:rPr>
                <w:rFonts w:hint="eastAsia" w:cs="Times New Roman"/>
                <w:b w:val="0"/>
                <w:bCs w:val="0"/>
                <w:i w:val="0"/>
                <w:iCs w:val="0"/>
                <w:sz w:val="24"/>
                <w:szCs w:val="24"/>
                <w:highlight w:val="none"/>
                <w:u w:val="none" w:color="auto"/>
                <w:lang w:eastAsia="zh-CN"/>
              </w:rPr>
              <w:t>约</w:t>
            </w:r>
            <w:r>
              <w:rPr>
                <w:rFonts w:hint="eastAsia" w:cs="Times New Roman"/>
                <w:b w:val="0"/>
                <w:bCs w:val="0"/>
                <w:i w:val="0"/>
                <w:iCs w:val="0"/>
                <w:sz w:val="24"/>
                <w:szCs w:val="24"/>
                <w:highlight w:val="none"/>
                <w:u w:val="none" w:color="auto"/>
                <w:lang w:val="en-US" w:eastAsia="zh-CN"/>
              </w:rPr>
              <w:t>72036</w:t>
            </w:r>
            <w:r>
              <w:rPr>
                <w:rFonts w:hint="default" w:ascii="Times New Roman" w:hAnsi="Times New Roman" w:cs="Times New Roman"/>
                <w:b w:val="0"/>
                <w:bCs w:val="0"/>
                <w:i w:val="0"/>
                <w:iCs w:val="0"/>
                <w:sz w:val="24"/>
                <w:szCs w:val="24"/>
                <w:highlight w:val="none"/>
                <w:u w:val="none" w:color="auto"/>
                <w:lang w:eastAsia="zh-CN"/>
              </w:rPr>
              <w:t>t，每辆卡车单次卸料量为</w:t>
            </w:r>
            <w:r>
              <w:rPr>
                <w:rFonts w:hint="eastAsia" w:ascii="Times New Roman" w:hAnsi="Times New Roman" w:cs="Times New Roman"/>
                <w:b w:val="0"/>
                <w:bCs w:val="0"/>
                <w:i w:val="0"/>
                <w:iCs w:val="0"/>
                <w:sz w:val="24"/>
                <w:szCs w:val="24"/>
                <w:highlight w:val="none"/>
                <w:u w:val="none" w:color="auto"/>
                <w:lang w:val="en-US" w:eastAsia="zh-CN"/>
              </w:rPr>
              <w:t>3</w:t>
            </w:r>
            <w:r>
              <w:rPr>
                <w:rFonts w:hint="default" w:ascii="Times New Roman" w:hAnsi="Times New Roman" w:cs="Times New Roman"/>
                <w:b w:val="0"/>
                <w:bCs w:val="0"/>
                <w:i w:val="0"/>
                <w:iCs w:val="0"/>
                <w:sz w:val="24"/>
                <w:szCs w:val="24"/>
                <w:highlight w:val="none"/>
                <w:u w:val="none" w:color="auto"/>
                <w:lang w:eastAsia="zh-CN"/>
              </w:rPr>
              <w:t>0t，年物料运载车次为</w:t>
            </w:r>
            <w:r>
              <w:rPr>
                <w:rFonts w:hint="eastAsia" w:cs="Times New Roman"/>
                <w:b w:val="0"/>
                <w:bCs w:val="0"/>
                <w:i w:val="0"/>
                <w:iCs w:val="0"/>
                <w:sz w:val="24"/>
                <w:szCs w:val="24"/>
                <w:highlight w:val="none"/>
                <w:u w:val="none" w:color="auto"/>
                <w:lang w:val="en-US" w:eastAsia="zh-CN"/>
              </w:rPr>
              <w:t>2402</w:t>
            </w:r>
            <w:r>
              <w:rPr>
                <w:rFonts w:hint="default" w:ascii="Times New Roman" w:hAnsi="Times New Roman" w:cs="Times New Roman"/>
                <w:b w:val="0"/>
                <w:bCs w:val="0"/>
                <w:i w:val="0"/>
                <w:iCs w:val="0"/>
                <w:sz w:val="24"/>
                <w:szCs w:val="24"/>
                <w:highlight w:val="none"/>
                <w:u w:val="none" w:color="auto"/>
                <w:lang w:eastAsia="zh-CN"/>
              </w:rPr>
              <w:t>次，根据系数手册查表，吉林省风速概化系数a为0.0013，物料类型参照各种石灰石产品，查得物料含水率概化系数为0.0017，计算得装卸扬尘产生量为</w:t>
            </w:r>
            <w:r>
              <w:rPr>
                <w:rFonts w:hint="eastAsia" w:cs="Times New Roman"/>
                <w:b w:val="0"/>
                <w:bCs w:val="0"/>
                <w:i w:val="0"/>
                <w:iCs w:val="0"/>
                <w:sz w:val="24"/>
                <w:szCs w:val="24"/>
                <w:highlight w:val="none"/>
                <w:u w:val="none" w:color="auto"/>
                <w:lang w:val="en-US" w:eastAsia="zh-CN"/>
              </w:rPr>
              <w:t>55.105</w:t>
            </w:r>
            <w:r>
              <w:rPr>
                <w:rFonts w:hint="default" w:ascii="Times New Roman" w:hAnsi="Times New Roman" w:cs="Times New Roman"/>
                <w:b w:val="0"/>
                <w:bCs w:val="0"/>
                <w:i w:val="0"/>
                <w:iCs w:val="0"/>
                <w:sz w:val="24"/>
                <w:szCs w:val="24"/>
                <w:highlight w:val="none"/>
                <w:u w:val="none" w:color="auto"/>
                <w:lang w:eastAsia="zh-CN"/>
              </w:rPr>
              <w:t>t/a。</w:t>
            </w:r>
          </w:p>
          <w:p w14:paraId="64E5463F">
            <w:pPr>
              <w:spacing w:line="360" w:lineRule="auto"/>
              <w:ind w:firstLine="480" w:firstLineChars="200"/>
              <w:rPr>
                <w:rFonts w:hint="eastAsia" w:ascii="宋体" w:hAnsi="宋体" w:cs="宋体"/>
                <w:b w:val="0"/>
                <w:bCs w:val="0"/>
                <w:i w:val="0"/>
                <w:iCs w:val="0"/>
                <w:sz w:val="24"/>
                <w:szCs w:val="24"/>
                <w:highlight w:val="none"/>
                <w:u w:val="none" w:color="auto"/>
                <w:lang w:eastAsia="zh-CN"/>
              </w:rPr>
            </w:pPr>
            <w:r>
              <w:rPr>
                <w:rFonts w:hint="eastAsia" w:ascii="宋体" w:hAnsi="宋体" w:cs="宋体"/>
                <w:b w:val="0"/>
                <w:bCs w:val="0"/>
                <w:i w:val="0"/>
                <w:iCs w:val="0"/>
                <w:sz w:val="24"/>
                <w:szCs w:val="24"/>
                <w:highlight w:val="none"/>
                <w:u w:val="none" w:color="auto"/>
                <w:lang w:eastAsia="zh-CN"/>
              </w:rPr>
              <w:t>②</w:t>
            </w:r>
            <w:r>
              <w:rPr>
                <w:rFonts w:ascii="Times New Roman" w:hAnsi="Times New Roman" w:eastAsia="宋体" w:cs="Times New Roman"/>
                <w:i w:val="0"/>
                <w:iCs w:val="0"/>
                <w:color w:val="auto"/>
                <w:sz w:val="24"/>
                <w:szCs w:val="24"/>
                <w:u w:val="none" w:color="auto"/>
              </w:rPr>
              <w:t>骨料堆场粉尘</w:t>
            </w:r>
          </w:p>
          <w:p w14:paraId="61CB1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i w:val="0"/>
                <w:iCs w:val="0"/>
                <w:sz w:val="24"/>
                <w:szCs w:val="24"/>
                <w:highlight w:val="none"/>
                <w:u w:val="none" w:color="auto"/>
                <w:lang w:eastAsia="zh-CN"/>
              </w:rPr>
            </w:pPr>
            <w:r>
              <w:rPr>
                <w:rFonts w:hint="eastAsia" w:ascii="Times New Roman" w:hAnsi="Times New Roman" w:cs="Times New Roman"/>
                <w:b w:val="0"/>
                <w:bCs w:val="0"/>
                <w:i w:val="0"/>
                <w:iCs w:val="0"/>
                <w:sz w:val="24"/>
                <w:szCs w:val="24"/>
                <w:highlight w:val="none"/>
                <w:u w:val="none" w:color="auto"/>
                <w:lang w:eastAsia="zh-CN"/>
              </w:rPr>
              <w:t>骨</w:t>
            </w:r>
            <w:r>
              <w:rPr>
                <w:rFonts w:hint="default" w:ascii="Times New Roman" w:hAnsi="Times New Roman" w:cs="Times New Roman"/>
                <w:b w:val="0"/>
                <w:bCs w:val="0"/>
                <w:i w:val="0"/>
                <w:iCs w:val="0"/>
                <w:sz w:val="24"/>
                <w:szCs w:val="24"/>
                <w:highlight w:val="none"/>
                <w:u w:val="none" w:color="auto"/>
                <w:lang w:eastAsia="zh-CN"/>
              </w:rPr>
              <w:t>料堆场</w:t>
            </w:r>
            <w:r>
              <w:rPr>
                <w:rFonts w:hint="default" w:ascii="Times New Roman" w:hAnsi="Times New Roman" w:cs="Times New Roman"/>
                <w:b w:val="0"/>
                <w:bCs w:val="0"/>
                <w:i w:val="0"/>
                <w:iCs w:val="0"/>
                <w:sz w:val="24"/>
                <w:szCs w:val="24"/>
                <w:highlight w:val="none"/>
                <w:u w:val="none" w:color="auto"/>
                <w:lang w:val="en-US" w:eastAsia="zh-CN"/>
              </w:rPr>
              <w:t>为</w:t>
            </w:r>
            <w:r>
              <w:rPr>
                <w:rFonts w:hint="default" w:ascii="Times New Roman" w:hAnsi="Times New Roman" w:cs="Times New Roman"/>
                <w:b w:val="0"/>
                <w:bCs w:val="0"/>
                <w:i w:val="0"/>
                <w:iCs w:val="0"/>
                <w:sz w:val="24"/>
                <w:szCs w:val="24"/>
                <w:highlight w:val="none"/>
                <w:u w:val="none" w:color="auto"/>
                <w:lang w:eastAsia="zh-CN"/>
              </w:rPr>
              <w:t>全封闭</w:t>
            </w:r>
            <w:r>
              <w:rPr>
                <w:rFonts w:hint="default" w:ascii="Times New Roman" w:hAnsi="Times New Roman" w:cs="Times New Roman"/>
                <w:b w:val="0"/>
                <w:bCs w:val="0"/>
                <w:i w:val="0"/>
                <w:iCs w:val="0"/>
                <w:sz w:val="24"/>
                <w:szCs w:val="24"/>
                <w:highlight w:val="none"/>
                <w:u w:val="none" w:color="auto"/>
                <w:lang w:val="en-US" w:eastAsia="zh-CN"/>
              </w:rPr>
              <w:t>砂石料堆</w:t>
            </w:r>
            <w:r>
              <w:rPr>
                <w:rFonts w:hint="default" w:ascii="Times New Roman" w:hAnsi="Times New Roman" w:cs="Times New Roman"/>
                <w:b w:val="0"/>
                <w:bCs w:val="0"/>
                <w:i w:val="0"/>
                <w:iCs w:val="0"/>
                <w:sz w:val="24"/>
                <w:szCs w:val="24"/>
                <w:highlight w:val="none"/>
                <w:u w:val="none" w:color="auto"/>
                <w:lang w:eastAsia="zh-CN"/>
              </w:rPr>
              <w:t>，采用塑料罩棚进行全密闭处理，</w:t>
            </w:r>
            <w:r>
              <w:rPr>
                <w:rFonts w:hint="default" w:ascii="Times New Roman" w:hAnsi="Times New Roman" w:cs="Times New Roman"/>
                <w:b w:val="0"/>
                <w:bCs w:val="0"/>
                <w:i w:val="0"/>
                <w:iCs w:val="0"/>
                <w:sz w:val="24"/>
                <w:szCs w:val="24"/>
                <w:highlight w:val="none"/>
                <w:u w:val="none" w:color="auto"/>
                <w:lang w:val="en-US" w:eastAsia="zh-CN"/>
              </w:rPr>
              <w:t>占地</w:t>
            </w:r>
            <w:r>
              <w:rPr>
                <w:rFonts w:hint="default" w:ascii="Times New Roman" w:hAnsi="Times New Roman" w:cs="Times New Roman"/>
                <w:b w:val="0"/>
                <w:bCs w:val="0"/>
                <w:i w:val="0"/>
                <w:iCs w:val="0"/>
                <w:sz w:val="24"/>
                <w:szCs w:val="24"/>
                <w:highlight w:val="none"/>
                <w:u w:val="none" w:color="auto"/>
                <w:lang w:eastAsia="zh-CN"/>
              </w:rPr>
              <w:t>面积为</w:t>
            </w:r>
            <w:r>
              <w:rPr>
                <w:rFonts w:hint="default" w:ascii="Times New Roman" w:hAnsi="Times New Roman" w:cs="Times New Roman"/>
                <w:b w:val="0"/>
                <w:bCs w:val="0"/>
                <w:i w:val="0"/>
                <w:iCs w:val="0"/>
                <w:sz w:val="24"/>
                <w:szCs w:val="24"/>
                <w:highlight w:val="none"/>
                <w:u w:val="none" w:color="auto"/>
                <w:lang w:val="en-US" w:eastAsia="zh-CN"/>
              </w:rPr>
              <w:t>800</w:t>
            </w:r>
            <w:r>
              <w:rPr>
                <w:rFonts w:hint="default" w:ascii="Times New Roman" w:hAnsi="Times New Roman" w:cs="Times New Roman"/>
                <w:b w:val="0"/>
                <w:bCs w:val="0"/>
                <w:i w:val="0"/>
                <w:iCs w:val="0"/>
                <w:sz w:val="24"/>
                <w:szCs w:val="24"/>
                <w:highlight w:val="none"/>
                <w:u w:val="none" w:color="auto"/>
                <w:lang w:eastAsia="zh-CN"/>
              </w:rPr>
              <w:t>m</w:t>
            </w:r>
            <w:r>
              <w:rPr>
                <w:rFonts w:hint="default" w:ascii="Times New Roman" w:hAnsi="Times New Roman" w:cs="Times New Roman"/>
                <w:b w:val="0"/>
                <w:bCs w:val="0"/>
                <w:i w:val="0"/>
                <w:iCs w:val="0"/>
                <w:sz w:val="24"/>
                <w:szCs w:val="24"/>
                <w:highlight w:val="none"/>
                <w:u w:val="none" w:color="auto"/>
                <w:vertAlign w:val="superscript"/>
                <w:lang w:eastAsia="zh-CN"/>
              </w:rPr>
              <w:t>2</w:t>
            </w:r>
            <w:r>
              <w:rPr>
                <w:rFonts w:hint="default" w:ascii="Times New Roman" w:hAnsi="Times New Roman" w:cs="Times New Roman"/>
                <w:b w:val="0"/>
                <w:bCs w:val="0"/>
                <w:i w:val="0"/>
                <w:iCs w:val="0"/>
                <w:sz w:val="24"/>
                <w:szCs w:val="24"/>
                <w:highlight w:val="none"/>
                <w:u w:val="none" w:color="auto"/>
                <w:lang w:eastAsia="zh-CN"/>
              </w:rPr>
              <w:t>，</w:t>
            </w:r>
            <w:r>
              <w:rPr>
                <w:rFonts w:hint="eastAsia" w:cs="Times New Roman"/>
                <w:b w:val="0"/>
                <w:bCs w:val="0"/>
                <w:i w:val="0"/>
                <w:iCs w:val="0"/>
                <w:sz w:val="24"/>
                <w:szCs w:val="24"/>
                <w:highlight w:val="none"/>
                <w:u w:val="none" w:color="auto"/>
                <w:lang w:eastAsia="zh-CN"/>
              </w:rPr>
              <w:t>不产生风蚀扬尘</w:t>
            </w:r>
            <w:r>
              <w:rPr>
                <w:rFonts w:hint="default" w:ascii="Times New Roman" w:hAnsi="Times New Roman" w:cs="Times New Roman"/>
                <w:b w:val="0"/>
                <w:bCs w:val="0"/>
                <w:i w:val="0"/>
                <w:iCs w:val="0"/>
                <w:sz w:val="24"/>
                <w:szCs w:val="24"/>
                <w:highlight w:val="none"/>
                <w:u w:val="none" w:color="auto"/>
                <w:lang w:eastAsia="zh-CN"/>
              </w:rPr>
              <w:t>。</w:t>
            </w:r>
          </w:p>
          <w:p w14:paraId="56F5C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综上，</w:t>
            </w:r>
            <w:r>
              <w:rPr>
                <w:rFonts w:hint="eastAsia" w:ascii="Times New Roman" w:hAnsi="Times New Roman" w:cs="Times New Roman"/>
                <w:b w:val="0"/>
                <w:bCs w:val="0"/>
                <w:i w:val="0"/>
                <w:iCs w:val="0"/>
                <w:sz w:val="24"/>
                <w:szCs w:val="24"/>
                <w:highlight w:val="none"/>
                <w:u w:val="none" w:color="auto"/>
                <w:lang w:eastAsia="zh-CN"/>
              </w:rPr>
              <w:t>骨</w:t>
            </w:r>
            <w:r>
              <w:rPr>
                <w:rFonts w:hint="default" w:ascii="Times New Roman" w:hAnsi="Times New Roman" w:cs="Times New Roman"/>
                <w:b w:val="0"/>
                <w:bCs w:val="0"/>
                <w:i w:val="0"/>
                <w:iCs w:val="0"/>
                <w:sz w:val="24"/>
                <w:szCs w:val="24"/>
                <w:highlight w:val="none"/>
                <w:u w:val="none" w:color="auto"/>
                <w:lang w:eastAsia="zh-CN"/>
              </w:rPr>
              <w:t>料装卸和堆存环节无组织</w:t>
            </w:r>
            <w:r>
              <w:rPr>
                <w:rFonts w:hint="eastAsia" w:ascii="Times New Roman" w:hAnsi="Times New Roman" w:cs="Times New Roman"/>
                <w:b w:val="0"/>
                <w:bCs w:val="0"/>
                <w:i w:val="0"/>
                <w:iCs w:val="0"/>
                <w:sz w:val="24"/>
                <w:szCs w:val="24"/>
                <w:highlight w:val="none"/>
                <w:u w:val="none" w:color="auto"/>
                <w:lang w:eastAsia="zh-CN"/>
              </w:rPr>
              <w:t>粉尘</w:t>
            </w:r>
            <w:r>
              <w:rPr>
                <w:rFonts w:hint="default" w:ascii="Times New Roman" w:hAnsi="Times New Roman" w:cs="Times New Roman"/>
                <w:b w:val="0"/>
                <w:bCs w:val="0"/>
                <w:i w:val="0"/>
                <w:iCs w:val="0"/>
                <w:sz w:val="24"/>
                <w:szCs w:val="24"/>
                <w:highlight w:val="none"/>
                <w:u w:val="none" w:color="auto"/>
                <w:lang w:eastAsia="zh-CN"/>
              </w:rPr>
              <w:t>产生量为</w:t>
            </w:r>
            <w:r>
              <w:rPr>
                <w:rFonts w:hint="eastAsia" w:cs="Times New Roman"/>
                <w:b w:val="0"/>
                <w:bCs w:val="0"/>
                <w:i w:val="0"/>
                <w:iCs w:val="0"/>
                <w:sz w:val="24"/>
                <w:szCs w:val="24"/>
                <w:highlight w:val="none"/>
                <w:u w:val="none" w:color="auto"/>
                <w:lang w:val="en-US" w:eastAsia="zh-CN"/>
              </w:rPr>
              <w:t>55.105</w:t>
            </w:r>
            <w:r>
              <w:rPr>
                <w:rFonts w:hint="default" w:ascii="Times New Roman" w:hAnsi="Times New Roman" w:cs="Times New Roman"/>
                <w:b w:val="0"/>
                <w:bCs w:val="0"/>
                <w:i w:val="0"/>
                <w:iCs w:val="0"/>
                <w:sz w:val="24"/>
                <w:szCs w:val="24"/>
                <w:highlight w:val="none"/>
                <w:u w:val="none" w:color="auto"/>
                <w:lang w:eastAsia="zh-CN"/>
              </w:rPr>
              <w:t>t/a。</w:t>
            </w:r>
          </w:p>
          <w:p w14:paraId="3FD482D9">
            <w:pPr>
              <w:spacing w:line="360" w:lineRule="auto"/>
              <w:ind w:firstLine="480" w:firstLineChars="200"/>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根据《排放源统计调查产排污核算方法和系数手册》中固体物料堆存颗粒物产排污核算系数手册，颗粒物排放量核算公式如下：</w:t>
            </w:r>
          </w:p>
          <w:p w14:paraId="5512BB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w:t>
            </w:r>
            <w:r>
              <w:rPr>
                <w:u w:val="none" w:color="auto"/>
              </w:rPr>
              <w:drawing>
                <wp:inline distT="0" distB="0" distL="114300" distR="114300">
                  <wp:extent cx="2625090" cy="307975"/>
                  <wp:effectExtent l="0" t="0" r="3810" b="1587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4"/>
                          <a:stretch>
                            <a:fillRect/>
                          </a:stretch>
                        </pic:blipFill>
                        <pic:spPr>
                          <a:xfrm>
                            <a:off x="0" y="0"/>
                            <a:ext cx="2625090" cy="307975"/>
                          </a:xfrm>
                          <a:prstGeom prst="rect">
                            <a:avLst/>
                          </a:prstGeom>
                          <a:noFill/>
                          <a:ln>
                            <a:noFill/>
                          </a:ln>
                        </pic:spPr>
                      </pic:pic>
                    </a:graphicData>
                  </a:graphic>
                </wp:inline>
              </w:drawing>
            </w:r>
            <w:r>
              <w:rPr>
                <w:rFonts w:hint="default" w:ascii="Times New Roman" w:hAnsi="Times New Roman" w:cs="Times New Roman"/>
                <w:b w:val="0"/>
                <w:bCs w:val="0"/>
                <w:i w:val="0"/>
                <w:iCs w:val="0"/>
                <w:sz w:val="24"/>
                <w:szCs w:val="24"/>
                <w:highlight w:val="none"/>
                <w:u w:val="none" w:color="auto"/>
                <w:lang w:eastAsia="zh-CN"/>
              </w:rPr>
              <w:t></w:t>
            </w:r>
          </w:p>
          <w:p w14:paraId="5E33EF42">
            <w:pPr>
              <w:spacing w:line="360" w:lineRule="auto"/>
              <w:ind w:firstLine="480" w:firstLineChars="200"/>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式中：P—颗粒物产生量，t/a；</w:t>
            </w:r>
          </w:p>
          <w:p w14:paraId="5EFE1D65">
            <w:pPr>
              <w:spacing w:line="360" w:lineRule="auto"/>
              <w:ind w:firstLine="1200" w:firstLineChars="500"/>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Uc—颗粒物排放量，t/a；</w:t>
            </w:r>
          </w:p>
          <w:p w14:paraId="17F258B4">
            <w:pPr>
              <w:spacing w:line="360" w:lineRule="auto"/>
              <w:ind w:firstLine="1200" w:firstLineChars="500"/>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Cm—颗粒物控制措施控制效率，%；</w:t>
            </w:r>
          </w:p>
          <w:p w14:paraId="57DAD289">
            <w:pPr>
              <w:spacing w:line="360" w:lineRule="auto"/>
              <w:ind w:firstLine="1200" w:firstLineChars="500"/>
              <w:rPr>
                <w:rFonts w:hint="default" w:ascii="Times New Roman" w:hAnsi="Times New Roman" w:cs="Times New Roman"/>
                <w:b w:val="0"/>
                <w:bCs w:val="0"/>
                <w:i w:val="0"/>
                <w:iCs w:val="0"/>
                <w:sz w:val="24"/>
                <w:szCs w:val="24"/>
                <w:highlight w:val="none"/>
                <w:u w:val="none" w:color="auto"/>
                <w:lang w:eastAsia="zh-CN"/>
              </w:rPr>
            </w:pPr>
            <w:r>
              <w:rPr>
                <w:rFonts w:hint="default" w:ascii="Times New Roman" w:hAnsi="Times New Roman" w:cs="Times New Roman"/>
                <w:b w:val="0"/>
                <w:bCs w:val="0"/>
                <w:i w:val="0"/>
                <w:iCs w:val="0"/>
                <w:sz w:val="24"/>
                <w:szCs w:val="24"/>
                <w:highlight w:val="none"/>
                <w:u w:val="none" w:color="auto"/>
                <w:lang w:eastAsia="zh-CN"/>
              </w:rPr>
              <w:t>Tm—堆场类型控制效率，%。</w:t>
            </w:r>
          </w:p>
          <w:p w14:paraId="58BFA931">
            <w:pPr>
              <w:spacing w:line="360" w:lineRule="auto"/>
              <w:ind w:firstLine="480" w:firstLineChars="200"/>
              <w:rPr>
                <w:i w:val="0"/>
                <w:iCs w:val="0"/>
                <w:sz w:val="24"/>
                <w:szCs w:val="24"/>
                <w:u w:val="none" w:color="auto"/>
              </w:rPr>
            </w:pPr>
            <w:r>
              <w:rPr>
                <w:rFonts w:hint="default" w:ascii="Times New Roman" w:hAnsi="Times New Roman" w:cs="Times New Roman"/>
                <w:b w:val="0"/>
                <w:bCs w:val="0"/>
                <w:i w:val="0"/>
                <w:iCs w:val="0"/>
                <w:sz w:val="24"/>
                <w:szCs w:val="24"/>
                <w:highlight w:val="none"/>
                <w:u w:val="none" w:color="auto"/>
                <w:lang w:eastAsia="zh-CN"/>
              </w:rPr>
              <w:t>本厂区中</w:t>
            </w:r>
            <w:r>
              <w:rPr>
                <w:rFonts w:hint="eastAsia" w:ascii="Times New Roman" w:hAnsi="Times New Roman" w:cs="Times New Roman"/>
                <w:b w:val="0"/>
                <w:bCs w:val="0"/>
                <w:i w:val="0"/>
                <w:iCs w:val="0"/>
                <w:sz w:val="24"/>
                <w:szCs w:val="24"/>
                <w:highlight w:val="none"/>
                <w:u w:val="none" w:color="auto"/>
                <w:lang w:eastAsia="zh-CN"/>
              </w:rPr>
              <w:t>骨</w:t>
            </w:r>
            <w:r>
              <w:rPr>
                <w:rFonts w:hint="default" w:ascii="Times New Roman" w:hAnsi="Times New Roman" w:cs="Times New Roman"/>
                <w:b w:val="0"/>
                <w:bCs w:val="0"/>
                <w:i w:val="0"/>
                <w:iCs w:val="0"/>
                <w:sz w:val="24"/>
                <w:szCs w:val="24"/>
                <w:highlight w:val="none"/>
                <w:u w:val="none" w:color="auto"/>
                <w:lang w:eastAsia="zh-CN"/>
              </w:rPr>
              <w:t>料堆场采取</w:t>
            </w:r>
            <w:r>
              <w:rPr>
                <w:rFonts w:hint="eastAsia" w:cs="Times New Roman"/>
                <w:b w:val="0"/>
                <w:bCs w:val="0"/>
                <w:i w:val="0"/>
                <w:iCs w:val="0"/>
                <w:sz w:val="24"/>
                <w:szCs w:val="24"/>
                <w:highlight w:val="none"/>
                <w:u w:val="none" w:color="auto"/>
                <w:lang w:val="en-US" w:eastAsia="zh-CN"/>
              </w:rPr>
              <w:t>封闭料库</w:t>
            </w:r>
            <w:r>
              <w:rPr>
                <w:rFonts w:hint="default" w:ascii="Times New Roman" w:hAnsi="Times New Roman" w:cs="Times New Roman"/>
                <w:b w:val="0"/>
                <w:bCs w:val="0"/>
                <w:i w:val="0"/>
                <w:iCs w:val="0"/>
                <w:sz w:val="24"/>
                <w:szCs w:val="24"/>
                <w:highlight w:val="none"/>
                <w:u w:val="none" w:color="auto"/>
                <w:lang w:eastAsia="zh-CN"/>
              </w:rPr>
              <w:t>和洒水降尘控制措施，</w:t>
            </w:r>
            <w:r>
              <w:rPr>
                <w:rFonts w:hint="eastAsia" w:cs="Times New Roman"/>
                <w:b w:val="0"/>
                <w:bCs w:val="0"/>
                <w:i w:val="0"/>
                <w:iCs w:val="0"/>
                <w:sz w:val="24"/>
                <w:szCs w:val="24"/>
                <w:highlight w:val="none"/>
                <w:u w:val="none" w:color="auto"/>
                <w:lang w:eastAsia="zh-CN"/>
              </w:rPr>
              <w:t>根据</w:t>
            </w:r>
            <w:r>
              <w:rPr>
                <w:rFonts w:hint="default" w:ascii="Times New Roman" w:hAnsi="Times New Roman" w:cs="Times New Roman"/>
                <w:b w:val="0"/>
                <w:bCs w:val="0"/>
                <w:i w:val="0"/>
                <w:iCs w:val="0"/>
                <w:sz w:val="24"/>
                <w:szCs w:val="24"/>
                <w:highlight w:val="none"/>
                <w:u w:val="none" w:color="auto"/>
                <w:lang w:eastAsia="zh-CN"/>
              </w:rPr>
              <w:t>固体物料堆存颗粒物产排污核算系数手册</w:t>
            </w:r>
            <w:r>
              <w:rPr>
                <w:rFonts w:hint="eastAsia" w:cs="Times New Roman"/>
                <w:b w:val="0"/>
                <w:bCs w:val="0"/>
                <w:i w:val="0"/>
                <w:iCs w:val="0"/>
                <w:sz w:val="24"/>
                <w:szCs w:val="24"/>
                <w:highlight w:val="none"/>
                <w:u w:val="none" w:color="auto"/>
                <w:lang w:eastAsia="zh-CN"/>
              </w:rPr>
              <w:t>附录</w:t>
            </w:r>
            <w:r>
              <w:rPr>
                <w:rFonts w:hint="eastAsia" w:cs="Times New Roman"/>
                <w:b w:val="0"/>
                <w:bCs w:val="0"/>
                <w:i w:val="0"/>
                <w:iCs w:val="0"/>
                <w:sz w:val="24"/>
                <w:szCs w:val="24"/>
                <w:highlight w:val="none"/>
                <w:u w:val="none" w:color="auto"/>
                <w:lang w:val="en-US" w:eastAsia="zh-CN"/>
              </w:rPr>
              <w:t>，</w:t>
            </w:r>
            <w:r>
              <w:rPr>
                <w:rFonts w:hint="default" w:ascii="Times New Roman" w:hAnsi="Times New Roman" w:cs="Times New Roman"/>
                <w:b w:val="0"/>
                <w:bCs w:val="0"/>
                <w:i w:val="0"/>
                <w:iCs w:val="0"/>
                <w:sz w:val="24"/>
                <w:szCs w:val="24"/>
                <w:highlight w:val="none"/>
                <w:u w:val="none" w:color="auto"/>
                <w:lang w:eastAsia="zh-CN"/>
              </w:rPr>
              <w:t>洒水控制效率为</w:t>
            </w:r>
            <w:r>
              <w:rPr>
                <w:rFonts w:hint="eastAsia" w:ascii="Times New Roman" w:hAnsi="Times New Roman" w:cs="Times New Roman"/>
                <w:b w:val="0"/>
                <w:bCs w:val="0"/>
                <w:i w:val="0"/>
                <w:iCs w:val="0"/>
                <w:sz w:val="24"/>
                <w:szCs w:val="24"/>
                <w:highlight w:val="none"/>
                <w:u w:val="none" w:color="auto"/>
                <w:lang w:val="en-US" w:eastAsia="zh-CN"/>
              </w:rPr>
              <w:t>74</w:t>
            </w:r>
            <w:r>
              <w:rPr>
                <w:rFonts w:hint="default" w:ascii="Times New Roman" w:hAnsi="Times New Roman" w:cs="Times New Roman"/>
                <w:b w:val="0"/>
                <w:bCs w:val="0"/>
                <w:i w:val="0"/>
                <w:iCs w:val="0"/>
                <w:sz w:val="24"/>
                <w:szCs w:val="24"/>
                <w:highlight w:val="none"/>
                <w:u w:val="none" w:color="auto"/>
                <w:lang w:eastAsia="zh-CN"/>
              </w:rPr>
              <w:t>%，</w:t>
            </w:r>
            <w:r>
              <w:rPr>
                <w:rFonts w:hint="eastAsia" w:cs="Times New Roman"/>
                <w:b w:val="0"/>
                <w:bCs w:val="0"/>
                <w:i w:val="0"/>
                <w:iCs w:val="0"/>
                <w:sz w:val="24"/>
                <w:szCs w:val="24"/>
                <w:highlight w:val="none"/>
                <w:u w:val="none" w:color="auto"/>
                <w:lang w:val="en-US" w:eastAsia="zh-CN"/>
              </w:rPr>
              <w:t>封闭骨料料库覆盖效率为99.9%，</w:t>
            </w:r>
            <w:r>
              <w:rPr>
                <w:rFonts w:hint="default" w:ascii="Times New Roman" w:hAnsi="Times New Roman" w:cs="Times New Roman"/>
                <w:b w:val="0"/>
                <w:bCs w:val="0"/>
                <w:i w:val="0"/>
                <w:iCs w:val="0"/>
                <w:sz w:val="24"/>
                <w:szCs w:val="24"/>
                <w:highlight w:val="none"/>
                <w:u w:val="none" w:color="auto"/>
                <w:lang w:eastAsia="zh-CN"/>
              </w:rPr>
              <w:t>核算得到</w:t>
            </w:r>
            <w:r>
              <w:rPr>
                <w:rFonts w:hint="eastAsia" w:cs="Times New Roman"/>
                <w:b w:val="0"/>
                <w:bCs w:val="0"/>
                <w:i w:val="0"/>
                <w:iCs w:val="0"/>
                <w:sz w:val="24"/>
                <w:szCs w:val="24"/>
                <w:highlight w:val="none"/>
                <w:u w:val="none" w:color="auto"/>
                <w:lang w:eastAsia="zh-CN"/>
              </w:rPr>
              <w:t>颗粒物</w:t>
            </w:r>
            <w:r>
              <w:rPr>
                <w:rFonts w:hint="eastAsia" w:ascii="Times New Roman" w:hAnsi="Times New Roman" w:cs="Times New Roman"/>
                <w:b w:val="0"/>
                <w:bCs w:val="0"/>
                <w:i w:val="0"/>
                <w:iCs w:val="0"/>
                <w:sz w:val="24"/>
                <w:szCs w:val="24"/>
                <w:highlight w:val="none"/>
                <w:u w:val="none" w:color="auto"/>
                <w:lang w:eastAsia="zh-CN"/>
              </w:rPr>
              <w:t>无组织排放量为</w:t>
            </w:r>
            <w:r>
              <w:rPr>
                <w:rFonts w:hint="eastAsia" w:cs="Times New Roman"/>
                <w:b w:val="0"/>
                <w:bCs w:val="0"/>
                <w:i w:val="0"/>
                <w:iCs w:val="0"/>
                <w:sz w:val="24"/>
                <w:szCs w:val="24"/>
                <w:highlight w:val="none"/>
                <w:u w:val="none" w:color="auto"/>
                <w:lang w:val="en-US" w:eastAsia="zh-CN"/>
              </w:rPr>
              <w:t>0.014t/a。</w:t>
            </w:r>
          </w:p>
          <w:p w14:paraId="708B4517">
            <w:pPr>
              <w:spacing w:line="360" w:lineRule="auto"/>
              <w:ind w:firstLine="480"/>
              <w:rPr>
                <w:i w:val="0"/>
                <w:iCs w:val="0"/>
                <w:sz w:val="24"/>
                <w:szCs w:val="24"/>
                <w:u w:val="none" w:color="auto"/>
              </w:rPr>
            </w:pPr>
            <w:r>
              <w:rPr>
                <w:rFonts w:hint="eastAsia" w:ascii="宋体" w:hAnsi="宋体"/>
                <w:i w:val="0"/>
                <w:iCs w:val="0"/>
                <w:sz w:val="24"/>
                <w:szCs w:val="24"/>
                <w:u w:val="none" w:color="auto"/>
                <w:lang w:eastAsia="zh-CN"/>
              </w:rPr>
              <w:t>（</w:t>
            </w:r>
            <w:r>
              <w:rPr>
                <w:rFonts w:hint="eastAsia" w:cs="Times New Roman"/>
                <w:i w:val="0"/>
                <w:iCs w:val="0"/>
                <w:sz w:val="24"/>
                <w:szCs w:val="24"/>
                <w:u w:val="none" w:color="auto"/>
                <w:lang w:val="en-US" w:eastAsia="zh-CN"/>
              </w:rPr>
              <w:t>4</w:t>
            </w:r>
            <w:r>
              <w:rPr>
                <w:rFonts w:hint="eastAsia" w:ascii="宋体" w:hAnsi="宋体"/>
                <w:i w:val="0"/>
                <w:iCs w:val="0"/>
                <w:sz w:val="24"/>
                <w:szCs w:val="24"/>
                <w:u w:val="none" w:color="auto"/>
                <w:lang w:eastAsia="zh-CN"/>
              </w:rPr>
              <w:t>）</w:t>
            </w:r>
            <w:r>
              <w:rPr>
                <w:rFonts w:hint="eastAsia"/>
                <w:i w:val="0"/>
                <w:iCs w:val="0"/>
                <w:sz w:val="24"/>
                <w:szCs w:val="24"/>
                <w:u w:val="none" w:color="auto"/>
                <w:lang w:val="en-US" w:eastAsia="zh-CN"/>
              </w:rPr>
              <w:t>上</w:t>
            </w:r>
            <w:r>
              <w:rPr>
                <w:i w:val="0"/>
                <w:iCs w:val="0"/>
                <w:sz w:val="24"/>
                <w:szCs w:val="24"/>
                <w:u w:val="none" w:color="auto"/>
              </w:rPr>
              <w:t>料粉尘</w:t>
            </w:r>
          </w:p>
          <w:p w14:paraId="17ACE475">
            <w:pPr>
              <w:adjustRightInd w:val="0"/>
              <w:spacing w:line="360" w:lineRule="auto"/>
              <w:ind w:firstLine="480" w:firstLineChars="200"/>
              <w:jc w:val="both"/>
              <w:rPr>
                <w:rFonts w:hint="eastAsia"/>
                <w:i w:val="0"/>
                <w:iCs w:val="0"/>
                <w:sz w:val="24"/>
                <w:szCs w:val="24"/>
                <w:u w:val="none" w:color="auto"/>
              </w:rPr>
            </w:pPr>
            <w:r>
              <w:rPr>
                <w:i w:val="0"/>
                <w:iCs w:val="0"/>
                <w:sz w:val="24"/>
                <w:szCs w:val="24"/>
                <w:u w:val="none" w:color="auto"/>
              </w:rPr>
              <w:t>本项目碎石原料</w:t>
            </w:r>
            <w:r>
              <w:rPr>
                <w:rFonts w:hint="eastAsia"/>
                <w:i w:val="0"/>
                <w:iCs w:val="0"/>
                <w:sz w:val="24"/>
                <w:szCs w:val="24"/>
                <w:u w:val="none" w:color="auto"/>
              </w:rPr>
              <w:t>采用铲车输送至皮带输送机进料口，利用输送皮带送至搅拌楼，</w:t>
            </w:r>
            <w:r>
              <w:rPr>
                <w:rFonts w:hint="eastAsia"/>
                <w:i w:val="0"/>
                <w:iCs w:val="0"/>
                <w:sz w:val="24"/>
                <w:szCs w:val="24"/>
                <w:u w:val="none" w:color="auto"/>
                <w:lang w:eastAsia="zh-CN"/>
              </w:rPr>
              <w:t>皮带输送机封闭运输，</w:t>
            </w:r>
            <w:r>
              <w:rPr>
                <w:i w:val="0"/>
                <w:iCs w:val="0"/>
                <w:sz w:val="24"/>
                <w:szCs w:val="24"/>
                <w:u w:val="none" w:color="auto"/>
              </w:rPr>
              <w:t>在碎石原料投入过程中会产生一定量的粉尘，由于粉尘颗粒自身具有重力作用，绝大多数会沉降下来，根据《逸散性工业粉尘控制技术》中粒料加工厂送料工序逸散尘排放因子，砂和</w:t>
            </w:r>
            <w:r>
              <w:rPr>
                <w:rFonts w:hint="eastAsia"/>
                <w:i w:val="0"/>
                <w:iCs w:val="0"/>
                <w:sz w:val="24"/>
                <w:szCs w:val="24"/>
                <w:u w:val="none" w:color="auto"/>
                <w:lang w:eastAsia="zh-CN"/>
              </w:rPr>
              <w:t>碎石</w:t>
            </w:r>
            <w:r>
              <w:rPr>
                <w:i w:val="0"/>
                <w:iCs w:val="0"/>
                <w:sz w:val="24"/>
                <w:szCs w:val="24"/>
                <w:u w:val="none" w:color="auto"/>
              </w:rPr>
              <w:t>送料逸散尘排放因子为0.0006kg/t（进料），</w:t>
            </w:r>
            <w:r>
              <w:rPr>
                <w:rFonts w:hint="eastAsia"/>
                <w:i w:val="0"/>
                <w:iCs w:val="0"/>
                <w:sz w:val="24"/>
                <w:szCs w:val="24"/>
                <w:u w:val="none" w:color="auto"/>
              </w:rPr>
              <w:t>骨料进料量约为</w:t>
            </w:r>
            <w:r>
              <w:rPr>
                <w:rFonts w:hint="eastAsia"/>
                <w:i w:val="0"/>
                <w:iCs w:val="0"/>
                <w:sz w:val="24"/>
                <w:szCs w:val="24"/>
                <w:highlight w:val="none"/>
                <w:u w:val="none" w:color="auto"/>
                <w:lang w:val="en-US" w:eastAsia="zh-CN"/>
              </w:rPr>
              <w:t>72036</w:t>
            </w:r>
            <w:r>
              <w:rPr>
                <w:rFonts w:hint="eastAsia"/>
                <w:i w:val="0"/>
                <w:iCs w:val="0"/>
                <w:sz w:val="24"/>
                <w:szCs w:val="24"/>
                <w:u w:val="none" w:color="auto"/>
              </w:rPr>
              <w:t>t</w:t>
            </w:r>
            <w:r>
              <w:rPr>
                <w:i w:val="0"/>
                <w:iCs w:val="0"/>
                <w:sz w:val="24"/>
                <w:szCs w:val="24"/>
                <w:u w:val="none" w:color="auto"/>
              </w:rPr>
              <w:t>/</w:t>
            </w:r>
            <w:r>
              <w:rPr>
                <w:rFonts w:hint="eastAsia"/>
                <w:i w:val="0"/>
                <w:iCs w:val="0"/>
                <w:sz w:val="24"/>
                <w:szCs w:val="24"/>
                <w:u w:val="none" w:color="auto"/>
              </w:rPr>
              <w:t>a，</w:t>
            </w:r>
            <w:r>
              <w:rPr>
                <w:i w:val="0"/>
                <w:iCs w:val="0"/>
                <w:sz w:val="24"/>
                <w:szCs w:val="24"/>
                <w:u w:val="none" w:color="auto"/>
              </w:rPr>
              <w:t>则骨料</w:t>
            </w:r>
            <w:r>
              <w:rPr>
                <w:rFonts w:hint="eastAsia"/>
                <w:i w:val="0"/>
                <w:iCs w:val="0"/>
                <w:sz w:val="24"/>
                <w:szCs w:val="24"/>
                <w:u w:val="none" w:color="auto"/>
                <w:lang w:val="en-US" w:eastAsia="zh-CN"/>
              </w:rPr>
              <w:t>上料</w:t>
            </w:r>
            <w:r>
              <w:rPr>
                <w:i w:val="0"/>
                <w:iCs w:val="0"/>
                <w:sz w:val="24"/>
                <w:szCs w:val="24"/>
                <w:u w:val="none" w:color="auto"/>
              </w:rPr>
              <w:t>粉尘产生量为</w:t>
            </w:r>
            <w:r>
              <w:rPr>
                <w:rFonts w:hint="eastAsia"/>
                <w:i w:val="0"/>
                <w:iCs w:val="0"/>
                <w:sz w:val="24"/>
                <w:szCs w:val="24"/>
                <w:u w:val="none" w:color="auto"/>
                <w:lang w:val="en-US" w:eastAsia="zh-CN"/>
              </w:rPr>
              <w:t>0.043</w:t>
            </w:r>
            <w:r>
              <w:rPr>
                <w:i w:val="0"/>
                <w:iCs w:val="0"/>
                <w:sz w:val="24"/>
                <w:szCs w:val="24"/>
                <w:u w:val="none" w:color="auto"/>
              </w:rPr>
              <w:t>t/a，</w:t>
            </w:r>
            <w:r>
              <w:rPr>
                <w:rFonts w:hint="eastAsia"/>
                <w:i w:val="0"/>
                <w:iCs w:val="0"/>
                <w:sz w:val="24"/>
                <w:szCs w:val="24"/>
                <w:u w:val="none" w:color="auto"/>
              </w:rPr>
              <w:t>项目拟在</w:t>
            </w:r>
            <w:r>
              <w:rPr>
                <w:rFonts w:hint="eastAsia"/>
                <w:i w:val="0"/>
                <w:iCs w:val="0"/>
                <w:sz w:val="24"/>
                <w:szCs w:val="24"/>
                <w:u w:val="none" w:color="auto"/>
                <w:lang w:val="en-US" w:eastAsia="zh-CN"/>
              </w:rPr>
              <w:t>上料</w:t>
            </w:r>
            <w:r>
              <w:rPr>
                <w:rFonts w:hint="eastAsia"/>
                <w:i w:val="0"/>
                <w:iCs w:val="0"/>
                <w:sz w:val="24"/>
                <w:szCs w:val="24"/>
                <w:u w:val="none" w:color="auto"/>
              </w:rPr>
              <w:t>过程中洒水降尘以降低</w:t>
            </w:r>
            <w:r>
              <w:rPr>
                <w:rFonts w:hint="eastAsia"/>
                <w:i w:val="0"/>
                <w:iCs w:val="0"/>
                <w:sz w:val="24"/>
                <w:szCs w:val="24"/>
                <w:u w:val="none" w:color="auto"/>
                <w:lang w:val="en-US" w:eastAsia="zh-CN"/>
              </w:rPr>
              <w:t>上料</w:t>
            </w:r>
            <w:r>
              <w:rPr>
                <w:rFonts w:hint="eastAsia"/>
                <w:i w:val="0"/>
                <w:iCs w:val="0"/>
                <w:sz w:val="24"/>
                <w:szCs w:val="24"/>
                <w:u w:val="none" w:color="auto"/>
              </w:rPr>
              <w:t>粉尘的产生，抑尘效率按70%计，则</w:t>
            </w:r>
            <w:r>
              <w:rPr>
                <w:rFonts w:hint="eastAsia"/>
                <w:i w:val="0"/>
                <w:iCs w:val="0"/>
                <w:sz w:val="24"/>
                <w:szCs w:val="24"/>
                <w:u w:val="none" w:color="auto"/>
                <w:lang w:val="en-US" w:eastAsia="zh-CN"/>
              </w:rPr>
              <w:t>上料</w:t>
            </w:r>
            <w:r>
              <w:rPr>
                <w:rFonts w:hint="eastAsia"/>
                <w:i w:val="0"/>
                <w:iCs w:val="0"/>
                <w:sz w:val="24"/>
                <w:szCs w:val="24"/>
                <w:u w:val="none" w:color="auto"/>
              </w:rPr>
              <w:t>粉尘排放量为</w:t>
            </w:r>
            <w:r>
              <w:rPr>
                <w:rFonts w:hint="eastAsia"/>
                <w:i w:val="0"/>
                <w:iCs w:val="0"/>
                <w:sz w:val="24"/>
                <w:szCs w:val="24"/>
                <w:u w:val="none" w:color="auto"/>
                <w:lang w:val="en-US" w:eastAsia="zh-CN"/>
              </w:rPr>
              <w:t>0.013</w:t>
            </w:r>
            <w:r>
              <w:rPr>
                <w:rFonts w:hint="eastAsia"/>
                <w:i w:val="0"/>
                <w:iCs w:val="0"/>
                <w:sz w:val="24"/>
                <w:szCs w:val="24"/>
                <w:u w:val="none" w:color="auto"/>
              </w:rPr>
              <w:t>t/a。</w:t>
            </w:r>
          </w:p>
          <w:p w14:paraId="719F2162">
            <w:pPr>
              <w:pStyle w:val="56"/>
              <w:adjustRightInd w:val="0"/>
              <w:snapToGrid w:val="0"/>
              <w:spacing w:line="360" w:lineRule="auto"/>
              <w:ind w:firstLine="420"/>
              <w:rPr>
                <w:rFonts w:hint="eastAsia" w:ascii="Times New Roman" w:hAnsi="Times New Roman" w:cs="Times New Roman"/>
                <w:i w:val="0"/>
                <w:iCs w:val="0"/>
                <w:color w:val="auto"/>
                <w:sz w:val="24"/>
                <w:szCs w:val="24"/>
                <w:u w:val="none" w:color="auto"/>
              </w:rPr>
            </w:pPr>
            <w:r>
              <w:rPr>
                <w:rFonts w:hint="eastAsia" w:ascii="Times New Roman" w:hAnsi="Times New Roman" w:cs="Times New Roman"/>
                <w:i w:val="0"/>
                <w:iCs w:val="0"/>
                <w:color w:val="auto"/>
                <w:sz w:val="24"/>
                <w:szCs w:val="24"/>
                <w:u w:val="none" w:color="auto"/>
                <w:lang w:eastAsia="zh-CN"/>
              </w:rPr>
              <w:t>（</w:t>
            </w:r>
            <w:r>
              <w:rPr>
                <w:rFonts w:hint="eastAsia" w:ascii="Times New Roman" w:hAnsi="Times New Roman" w:cs="Times New Roman"/>
                <w:i w:val="0"/>
                <w:iCs w:val="0"/>
                <w:color w:val="auto"/>
                <w:sz w:val="24"/>
                <w:szCs w:val="24"/>
                <w:u w:val="none" w:color="auto"/>
                <w:lang w:val="en-US" w:eastAsia="zh-CN"/>
              </w:rPr>
              <w:t>5</w:t>
            </w:r>
            <w:r>
              <w:rPr>
                <w:rFonts w:hint="eastAsia" w:ascii="Times New Roman" w:hAnsi="Times New Roman" w:cs="Times New Roman"/>
                <w:i w:val="0"/>
                <w:iCs w:val="0"/>
                <w:color w:val="auto"/>
                <w:sz w:val="24"/>
                <w:szCs w:val="24"/>
                <w:u w:val="none" w:color="auto"/>
                <w:lang w:eastAsia="zh-CN"/>
              </w:rPr>
              <w:t>）</w:t>
            </w:r>
            <w:r>
              <w:rPr>
                <w:rFonts w:hint="eastAsia" w:ascii="Times New Roman" w:hAnsi="Times New Roman" w:cs="Times New Roman"/>
                <w:i w:val="0"/>
                <w:iCs w:val="0"/>
                <w:color w:val="auto"/>
                <w:sz w:val="24"/>
                <w:szCs w:val="24"/>
                <w:u w:val="none" w:color="auto"/>
              </w:rPr>
              <w:t>车辆运输扬尘</w:t>
            </w:r>
          </w:p>
          <w:p w14:paraId="5EA13E77">
            <w:pPr>
              <w:spacing w:line="360" w:lineRule="auto"/>
              <w:ind w:firstLine="480" w:firstLineChars="200"/>
              <w:rPr>
                <w:bCs/>
                <w:i w:val="0"/>
                <w:iCs w:val="0"/>
                <w:kern w:val="0"/>
                <w:sz w:val="24"/>
                <w:szCs w:val="24"/>
                <w:u w:val="none" w:color="auto"/>
              </w:rPr>
            </w:pPr>
            <w:r>
              <w:rPr>
                <w:bCs/>
                <w:i w:val="0"/>
                <w:iCs w:val="0"/>
                <w:kern w:val="0"/>
                <w:sz w:val="24"/>
                <w:szCs w:val="24"/>
                <w:u w:val="none" w:color="auto"/>
              </w:rPr>
              <w:t>车辆在行驶过程中产生的扬尘，在完全干燥的情况下，可按下列经验公式计算：</w:t>
            </w:r>
          </w:p>
          <w:p w14:paraId="7568101A">
            <w:pPr>
              <w:spacing w:line="360" w:lineRule="auto"/>
              <w:ind w:firstLine="1200" w:firstLineChars="500"/>
              <w:rPr>
                <w:bCs/>
                <w:i w:val="0"/>
                <w:iCs w:val="0"/>
                <w:kern w:val="0"/>
                <w:sz w:val="24"/>
                <w:szCs w:val="24"/>
                <w:u w:val="none" w:color="auto"/>
                <w:vertAlign w:val="superscript"/>
              </w:rPr>
            </w:pPr>
            <w:r>
              <w:rPr>
                <w:bCs/>
                <w:i w:val="0"/>
                <w:iCs w:val="0"/>
                <w:kern w:val="0"/>
                <w:sz w:val="24"/>
                <w:szCs w:val="24"/>
                <w:u w:val="none" w:color="auto"/>
              </w:rPr>
              <w:t>Q=0.123·（V/5）·（W/6.8）</w:t>
            </w:r>
            <w:r>
              <w:rPr>
                <w:bCs/>
                <w:i w:val="0"/>
                <w:iCs w:val="0"/>
                <w:kern w:val="0"/>
                <w:sz w:val="24"/>
                <w:szCs w:val="24"/>
                <w:u w:val="none" w:color="auto"/>
                <w:vertAlign w:val="superscript"/>
              </w:rPr>
              <w:t>0.65</w:t>
            </w:r>
            <w:r>
              <w:rPr>
                <w:bCs/>
                <w:i w:val="0"/>
                <w:iCs w:val="0"/>
                <w:kern w:val="0"/>
                <w:sz w:val="24"/>
                <w:szCs w:val="24"/>
                <w:u w:val="none" w:color="auto"/>
              </w:rPr>
              <w:t>·（P/0.05）</w:t>
            </w:r>
            <w:r>
              <w:rPr>
                <w:bCs/>
                <w:i w:val="0"/>
                <w:iCs w:val="0"/>
                <w:kern w:val="0"/>
                <w:sz w:val="24"/>
                <w:szCs w:val="24"/>
                <w:u w:val="none" w:color="auto"/>
                <w:vertAlign w:val="superscript"/>
              </w:rPr>
              <w:t>0.72</w:t>
            </w:r>
          </w:p>
          <w:p w14:paraId="6CFA0A10">
            <w:pPr>
              <w:spacing w:line="360" w:lineRule="auto"/>
              <w:ind w:firstLine="480" w:firstLineChars="200"/>
              <w:rPr>
                <w:bCs/>
                <w:i w:val="0"/>
                <w:iCs w:val="0"/>
                <w:kern w:val="0"/>
                <w:sz w:val="24"/>
                <w:szCs w:val="24"/>
                <w:u w:val="none" w:color="auto"/>
              </w:rPr>
            </w:pPr>
            <w:r>
              <w:rPr>
                <w:bCs/>
                <w:i w:val="0"/>
                <w:iCs w:val="0"/>
                <w:kern w:val="0"/>
                <w:sz w:val="24"/>
                <w:szCs w:val="24"/>
                <w:u w:val="none" w:color="auto"/>
              </w:rPr>
              <w:t>式中：Q：汽车行驶时的扬尘，kg/km.辆；</w:t>
            </w:r>
          </w:p>
          <w:p w14:paraId="5D6005EB">
            <w:pPr>
              <w:spacing w:line="360" w:lineRule="auto"/>
              <w:ind w:firstLine="1200" w:firstLineChars="500"/>
              <w:rPr>
                <w:bCs/>
                <w:i w:val="0"/>
                <w:iCs w:val="0"/>
                <w:kern w:val="0"/>
                <w:sz w:val="24"/>
                <w:szCs w:val="24"/>
                <w:u w:val="none" w:color="auto"/>
              </w:rPr>
            </w:pPr>
            <w:r>
              <w:rPr>
                <w:bCs/>
                <w:i w:val="0"/>
                <w:iCs w:val="0"/>
                <w:kern w:val="0"/>
                <w:sz w:val="24"/>
                <w:szCs w:val="24"/>
                <w:u w:val="none" w:color="auto"/>
              </w:rPr>
              <w:t>V：汽车速度，km/h；</w:t>
            </w:r>
          </w:p>
          <w:p w14:paraId="3FDA66F6">
            <w:pPr>
              <w:spacing w:line="360" w:lineRule="auto"/>
              <w:ind w:firstLine="1200" w:firstLineChars="500"/>
              <w:rPr>
                <w:bCs/>
                <w:i w:val="0"/>
                <w:iCs w:val="0"/>
                <w:kern w:val="0"/>
                <w:sz w:val="24"/>
                <w:szCs w:val="24"/>
                <w:u w:val="none" w:color="auto"/>
              </w:rPr>
            </w:pPr>
            <w:r>
              <w:rPr>
                <w:bCs/>
                <w:i w:val="0"/>
                <w:iCs w:val="0"/>
                <w:kern w:val="0"/>
                <w:sz w:val="24"/>
                <w:szCs w:val="24"/>
                <w:u w:val="none" w:color="auto"/>
              </w:rPr>
              <w:t>W：汽车载重量，吨；</w:t>
            </w:r>
          </w:p>
          <w:p w14:paraId="7A35D573">
            <w:pPr>
              <w:spacing w:line="360" w:lineRule="auto"/>
              <w:ind w:firstLine="1200" w:firstLineChars="500"/>
              <w:rPr>
                <w:bCs/>
                <w:i w:val="0"/>
                <w:iCs w:val="0"/>
                <w:kern w:val="0"/>
                <w:sz w:val="24"/>
                <w:szCs w:val="24"/>
                <w:u w:val="none" w:color="auto"/>
              </w:rPr>
            </w:pPr>
            <w:r>
              <w:rPr>
                <w:bCs/>
                <w:i w:val="0"/>
                <w:iCs w:val="0"/>
                <w:kern w:val="0"/>
                <w:sz w:val="24"/>
                <w:szCs w:val="24"/>
                <w:u w:val="none" w:color="auto"/>
              </w:rPr>
              <w:t>P：道路表面粉尘量，kg/m</w:t>
            </w:r>
            <w:r>
              <w:rPr>
                <w:bCs/>
                <w:i w:val="0"/>
                <w:iCs w:val="0"/>
                <w:kern w:val="0"/>
                <w:sz w:val="24"/>
                <w:szCs w:val="24"/>
                <w:u w:val="none" w:color="auto"/>
                <w:vertAlign w:val="superscript"/>
              </w:rPr>
              <w:t>3</w:t>
            </w:r>
            <w:r>
              <w:rPr>
                <w:bCs/>
                <w:i w:val="0"/>
                <w:iCs w:val="0"/>
                <w:kern w:val="0"/>
                <w:sz w:val="24"/>
                <w:szCs w:val="24"/>
                <w:u w:val="none" w:color="auto"/>
              </w:rPr>
              <w:t>。</w:t>
            </w:r>
          </w:p>
          <w:p w14:paraId="5AF8EF48">
            <w:pPr>
              <w:pStyle w:val="56"/>
              <w:adjustRightInd w:val="0"/>
              <w:snapToGrid w:val="0"/>
              <w:spacing w:line="360" w:lineRule="auto"/>
              <w:ind w:firstLine="420"/>
              <w:rPr>
                <w:rFonts w:ascii="Times New Roman" w:hAnsi="Times New Roman" w:cs="Times New Roman"/>
                <w:bCs/>
                <w:i w:val="0"/>
                <w:iCs w:val="0"/>
                <w:color w:val="auto"/>
                <w:kern w:val="0"/>
                <w:sz w:val="24"/>
                <w:szCs w:val="24"/>
                <w:u w:val="none" w:color="auto"/>
              </w:rPr>
            </w:pPr>
            <w:r>
              <w:rPr>
                <w:rFonts w:ascii="Times New Roman" w:hAnsi="Times New Roman" w:cs="Times New Roman"/>
                <w:bCs/>
                <w:i w:val="0"/>
                <w:iCs w:val="0"/>
                <w:color w:val="auto"/>
                <w:kern w:val="0"/>
                <w:sz w:val="24"/>
                <w:szCs w:val="24"/>
                <w:u w:val="none" w:color="auto"/>
              </w:rPr>
              <w:t>本项目车辆在厂区内部行驶距离按</w:t>
            </w:r>
            <w:r>
              <w:rPr>
                <w:rFonts w:hint="eastAsia" w:ascii="Times New Roman" w:hAnsi="Times New Roman" w:cs="Times New Roman"/>
                <w:bCs/>
                <w:i w:val="0"/>
                <w:iCs w:val="0"/>
                <w:color w:val="auto"/>
                <w:kern w:val="0"/>
                <w:sz w:val="24"/>
                <w:szCs w:val="24"/>
                <w:u w:val="none" w:color="auto"/>
                <w:lang w:val="en-US" w:eastAsia="zh-CN"/>
              </w:rPr>
              <w:t>100</w:t>
            </w:r>
            <w:r>
              <w:rPr>
                <w:rFonts w:ascii="Times New Roman" w:hAnsi="Times New Roman" w:cs="Times New Roman"/>
                <w:bCs/>
                <w:i w:val="0"/>
                <w:iCs w:val="0"/>
                <w:color w:val="auto"/>
                <w:kern w:val="0"/>
                <w:sz w:val="24"/>
                <w:szCs w:val="24"/>
                <w:u w:val="none" w:color="auto"/>
              </w:rPr>
              <w:t>m计，平均每天发车空、重载各</w:t>
            </w:r>
            <w:r>
              <w:rPr>
                <w:rFonts w:hint="eastAsia" w:ascii="Times New Roman" w:hAnsi="Times New Roman" w:cs="Times New Roman"/>
                <w:bCs/>
                <w:i w:val="0"/>
                <w:iCs w:val="0"/>
                <w:color w:val="auto"/>
                <w:kern w:val="0"/>
                <w:sz w:val="24"/>
                <w:szCs w:val="24"/>
                <w:u w:val="none" w:color="auto"/>
                <w:lang w:val="en-US" w:eastAsia="zh-CN"/>
              </w:rPr>
              <w:t>36</w:t>
            </w:r>
            <w:r>
              <w:rPr>
                <w:rFonts w:ascii="Times New Roman" w:hAnsi="Times New Roman" w:cs="Times New Roman"/>
                <w:bCs/>
                <w:i w:val="0"/>
                <w:iCs w:val="0"/>
                <w:color w:val="auto"/>
                <w:kern w:val="0"/>
                <w:sz w:val="24"/>
                <w:szCs w:val="24"/>
                <w:u w:val="none" w:color="auto"/>
              </w:rPr>
              <w:t>车次；空车重约5t，重载车重约</w:t>
            </w:r>
            <w:r>
              <w:rPr>
                <w:rFonts w:hint="eastAsia" w:ascii="Times New Roman" w:hAnsi="Times New Roman" w:cs="Times New Roman"/>
                <w:bCs/>
                <w:i w:val="0"/>
                <w:iCs w:val="0"/>
                <w:color w:val="auto"/>
                <w:kern w:val="0"/>
                <w:sz w:val="24"/>
                <w:szCs w:val="24"/>
                <w:u w:val="none" w:color="auto"/>
                <w:lang w:val="en-US" w:eastAsia="zh-CN"/>
              </w:rPr>
              <w:t>35</w:t>
            </w:r>
            <w:r>
              <w:rPr>
                <w:rFonts w:ascii="Times New Roman" w:hAnsi="Times New Roman" w:cs="Times New Roman"/>
                <w:bCs/>
                <w:i w:val="0"/>
                <w:iCs w:val="0"/>
                <w:color w:val="auto"/>
                <w:kern w:val="0"/>
                <w:sz w:val="24"/>
                <w:szCs w:val="24"/>
                <w:u w:val="none" w:color="auto"/>
              </w:rPr>
              <w:t>t。以速度10km/h行驶，企业内部道路硬化处理，</w:t>
            </w:r>
            <w:r>
              <w:rPr>
                <w:rFonts w:hint="eastAsia" w:ascii="Times New Roman" w:hAnsi="Times New Roman" w:cs="Times New Roman"/>
                <w:bCs/>
                <w:i w:val="0"/>
                <w:iCs w:val="0"/>
                <w:color w:val="auto"/>
                <w:kern w:val="0"/>
                <w:sz w:val="24"/>
                <w:szCs w:val="24"/>
                <w:u w:val="none" w:color="auto"/>
                <w:lang w:val="en-US" w:eastAsia="zh-CN"/>
              </w:rPr>
              <w:t>建设单位在运营期设置一台洒水车，定期</w:t>
            </w:r>
            <w:r>
              <w:rPr>
                <w:rFonts w:ascii="Times New Roman" w:hAnsi="Times New Roman" w:cs="Times New Roman"/>
                <w:bCs/>
                <w:i w:val="0"/>
                <w:iCs w:val="0"/>
                <w:color w:val="auto"/>
                <w:kern w:val="0"/>
                <w:sz w:val="24"/>
                <w:szCs w:val="24"/>
                <w:u w:val="none" w:color="auto"/>
              </w:rPr>
              <w:t>对厂区内地面</w:t>
            </w:r>
            <w:r>
              <w:rPr>
                <w:rFonts w:hint="eastAsia" w:ascii="Times New Roman" w:hAnsi="Times New Roman" w:cs="Times New Roman"/>
                <w:bCs/>
                <w:i w:val="0"/>
                <w:iCs w:val="0"/>
                <w:color w:val="auto"/>
                <w:kern w:val="0"/>
                <w:sz w:val="24"/>
                <w:szCs w:val="24"/>
                <w:u w:val="none" w:color="auto"/>
                <w:lang w:val="en-US" w:eastAsia="zh-CN"/>
              </w:rPr>
              <w:t>进行洒</w:t>
            </w:r>
            <w:r>
              <w:rPr>
                <w:rFonts w:ascii="Times New Roman" w:hAnsi="Times New Roman" w:cs="Times New Roman"/>
                <w:bCs/>
                <w:i w:val="0"/>
                <w:iCs w:val="0"/>
                <w:color w:val="auto"/>
                <w:kern w:val="0"/>
                <w:sz w:val="24"/>
                <w:szCs w:val="24"/>
                <w:u w:val="none" w:color="auto"/>
              </w:rPr>
              <w:t>水</w:t>
            </w:r>
            <w:r>
              <w:rPr>
                <w:rFonts w:hint="eastAsia" w:ascii="Times New Roman" w:hAnsi="Times New Roman" w:cs="Times New Roman"/>
                <w:bCs/>
                <w:i w:val="0"/>
                <w:iCs w:val="0"/>
                <w:color w:val="auto"/>
                <w:kern w:val="0"/>
                <w:sz w:val="24"/>
                <w:szCs w:val="24"/>
                <w:u w:val="none" w:color="auto"/>
                <w:lang w:val="en-US" w:eastAsia="zh-CN"/>
              </w:rPr>
              <w:t>降尘</w:t>
            </w:r>
            <w:r>
              <w:rPr>
                <w:rFonts w:ascii="Times New Roman" w:hAnsi="Times New Roman" w:cs="Times New Roman"/>
                <w:bCs/>
                <w:i w:val="0"/>
                <w:iCs w:val="0"/>
                <w:color w:val="auto"/>
                <w:kern w:val="0"/>
                <w:sz w:val="24"/>
                <w:szCs w:val="24"/>
                <w:u w:val="none" w:color="auto"/>
              </w:rPr>
              <w:t>，以减少道路扬尘。基于这种情况，道路表面粉尘量以0.01kg/m</w:t>
            </w:r>
            <w:r>
              <w:rPr>
                <w:rFonts w:ascii="Times New Roman" w:hAnsi="Times New Roman" w:cs="Times New Roman"/>
                <w:bCs/>
                <w:i w:val="0"/>
                <w:iCs w:val="0"/>
                <w:color w:val="auto"/>
                <w:kern w:val="0"/>
                <w:sz w:val="24"/>
                <w:szCs w:val="24"/>
                <w:u w:val="none" w:color="auto"/>
                <w:vertAlign w:val="superscript"/>
              </w:rPr>
              <w:t>3</w:t>
            </w:r>
            <w:r>
              <w:rPr>
                <w:rFonts w:ascii="Times New Roman" w:hAnsi="Times New Roman" w:cs="Times New Roman"/>
                <w:bCs/>
                <w:i w:val="0"/>
                <w:iCs w:val="0"/>
                <w:color w:val="auto"/>
                <w:kern w:val="0"/>
                <w:sz w:val="24"/>
                <w:szCs w:val="24"/>
                <w:u w:val="none" w:color="auto"/>
              </w:rPr>
              <w:t>计，则项目汽车动力起尘量为</w:t>
            </w:r>
            <w:r>
              <w:rPr>
                <w:rFonts w:hint="eastAsia" w:ascii="Times New Roman" w:hAnsi="Times New Roman" w:cs="Times New Roman"/>
                <w:bCs/>
                <w:i w:val="0"/>
                <w:iCs w:val="0"/>
                <w:color w:val="auto"/>
                <w:kern w:val="0"/>
                <w:sz w:val="24"/>
                <w:szCs w:val="24"/>
                <w:u w:val="none" w:color="auto"/>
                <w:lang w:val="en-US" w:eastAsia="zh-CN"/>
              </w:rPr>
              <w:t>0.731</w:t>
            </w:r>
            <w:r>
              <w:rPr>
                <w:rFonts w:ascii="Times New Roman" w:hAnsi="Times New Roman" w:cs="Times New Roman"/>
                <w:bCs/>
                <w:i w:val="0"/>
                <w:iCs w:val="0"/>
                <w:color w:val="auto"/>
                <w:kern w:val="0"/>
                <w:sz w:val="24"/>
                <w:szCs w:val="24"/>
                <w:u w:val="none" w:color="auto"/>
              </w:rPr>
              <w:t>t/a。</w:t>
            </w:r>
          </w:p>
          <w:p w14:paraId="5C3EDD6C">
            <w:pPr>
              <w:adjustRightInd w:val="0"/>
              <w:spacing w:line="360" w:lineRule="auto"/>
              <w:ind w:firstLine="480" w:firstLineChars="200"/>
              <w:rPr>
                <w:rFonts w:hint="default" w:cs="Times New Roman"/>
                <w:b w:val="0"/>
                <w:bCs/>
                <w:sz w:val="24"/>
                <w:u w:val="single" w:color="auto"/>
                <w:lang w:val="en-US" w:eastAsia="zh-CN"/>
              </w:rPr>
            </w:pPr>
            <w:r>
              <w:rPr>
                <w:rFonts w:hint="eastAsia" w:hAnsi="宋体"/>
                <w:i w:val="0"/>
                <w:iCs w:val="0"/>
                <w:sz w:val="24"/>
                <w:szCs w:val="24"/>
                <w:u w:val="none" w:color="auto"/>
                <w:lang w:val="en-US" w:eastAsia="zh-CN"/>
              </w:rPr>
              <w:t>本项目</w:t>
            </w:r>
            <w:r>
              <w:rPr>
                <w:rFonts w:hint="eastAsia" w:hAnsi="宋体"/>
                <w:i w:val="0"/>
                <w:iCs w:val="0"/>
                <w:sz w:val="24"/>
                <w:szCs w:val="24"/>
                <w:highlight w:val="none"/>
                <w:u w:val="none" w:color="auto"/>
              </w:rPr>
              <w:t>废气产排放情况详见</w:t>
            </w:r>
            <w:r>
              <w:rPr>
                <w:rFonts w:hint="eastAsia" w:hAnsi="宋体"/>
                <w:i w:val="0"/>
                <w:iCs w:val="0"/>
                <w:sz w:val="24"/>
                <w:szCs w:val="24"/>
                <w:highlight w:val="none"/>
                <w:u w:val="none" w:color="auto"/>
                <w:lang w:val="en-US" w:eastAsia="zh-CN"/>
              </w:rPr>
              <w:t>下表</w:t>
            </w:r>
            <w:r>
              <w:rPr>
                <w:rFonts w:hint="eastAsia" w:hAnsi="宋体"/>
                <w:i w:val="0"/>
                <w:iCs w:val="0"/>
                <w:sz w:val="24"/>
                <w:szCs w:val="24"/>
                <w:highlight w:val="none"/>
                <w:u w:val="none" w:color="auto"/>
              </w:rPr>
              <w:t>。</w:t>
            </w:r>
          </w:p>
        </w:tc>
      </w:tr>
    </w:tbl>
    <w:p w14:paraId="5B7682D6">
      <w:pPr>
        <w:pStyle w:val="18"/>
        <w:jc w:val="both"/>
        <w:outlineLvl w:val="0"/>
        <w:rPr>
          <w:rFonts w:ascii="黑体" w:hAnsi="黑体" w:eastAsia="黑体"/>
          <w:snapToGrid w:val="0"/>
          <w:sz w:val="30"/>
          <w:szCs w:val="30"/>
          <w:u w:val="single" w:color="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72FBD57">
      <w:pPr>
        <w:pStyle w:val="67"/>
        <w:numPr>
          <w:ilvl w:val="0"/>
          <w:numId w:val="0"/>
        </w:numPr>
        <w:rPr>
          <w:rFonts w:hint="eastAsia"/>
          <w:highlight w:val="none"/>
          <w:u w:val="none" w:color="auto"/>
        </w:rPr>
      </w:pPr>
      <w:r>
        <w:rPr>
          <w:sz w:val="24"/>
          <w:szCs w:val="24"/>
          <w:u w:val="none" w:color="auto"/>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-13335</wp:posOffset>
                </wp:positionV>
                <wp:extent cx="8646160" cy="5513070"/>
                <wp:effectExtent l="6350" t="6350" r="15240" b="14605"/>
                <wp:wrapNone/>
                <wp:docPr id="20" name="矩形 20"/>
                <wp:cNvGraphicFramePr/>
                <a:graphic xmlns:a="http://schemas.openxmlformats.org/drawingml/2006/main">
                  <a:graphicData uri="http://schemas.microsoft.com/office/word/2010/wordprocessingShape">
                    <wps:wsp>
                      <wps:cNvSpPr/>
                      <wps:spPr>
                        <a:xfrm>
                          <a:off x="1140460" y="1000760"/>
                          <a:ext cx="8646160" cy="5513070"/>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5pt;margin-top:-1.05pt;height:434.1pt;width:680.8pt;z-index:251659264;v-text-anchor:middle;mso-width-relative:page;mso-height-relative:page;" filled="f" stroked="t" coordsize="21600,21600" o:gfxdata="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sBUOLZAAAACwEAAA8AAAAAAAAAAQAgAAAAIgAAAGRycy9kb3ducmV2LnhtbFBL&#10;AQIUABQAAAAIAIdO4kDFSHUcZwIAAMMEAAAOAAAAAAAAAAEAIAAAACgBAABkcnMvZTJvRG9jLnht&#10;bFBLBQYAAAAABgAGAFkBAAABBgAAAAA=&#10;">
                <v:fill on="f" focussize="0,0"/>
                <v:stroke weight="1pt" color="#000000 [3213]" joinstyle="round"/>
                <v:imagedata o:title=""/>
                <o:lock v:ext="edit" aspectratio="f"/>
              </v:rect>
            </w:pict>
          </mc:Fallback>
        </mc:AlternateContent>
      </w:r>
      <w:r>
        <w:rPr>
          <w:sz w:val="24"/>
          <w:szCs w:val="24"/>
          <w:highlight w:val="none"/>
          <w:u w:val="none" w:color="auto"/>
        </w:rPr>
        <w:t>表</w:t>
      </w:r>
      <w:r>
        <w:rPr>
          <w:rFonts w:hint="eastAsia"/>
          <w:sz w:val="24"/>
          <w:szCs w:val="24"/>
          <w:highlight w:val="none"/>
          <w:u w:val="none" w:color="auto"/>
          <w:lang w:val="en-US" w:eastAsia="zh-CN"/>
        </w:rPr>
        <w:t>4-4</w:t>
      </w:r>
      <w:r>
        <w:rPr>
          <w:sz w:val="24"/>
          <w:szCs w:val="24"/>
          <w:highlight w:val="none"/>
          <w:u w:val="none" w:color="auto"/>
        </w:rPr>
        <w:t xml:space="preserve">   </w:t>
      </w:r>
      <w:r>
        <w:rPr>
          <w:rFonts w:hint="eastAsia"/>
          <w:sz w:val="24"/>
          <w:szCs w:val="24"/>
          <w:highlight w:val="none"/>
          <w:u w:val="none" w:color="auto"/>
        </w:rPr>
        <w:t>本项目</w:t>
      </w:r>
      <w:r>
        <w:rPr>
          <w:sz w:val="24"/>
          <w:szCs w:val="24"/>
          <w:highlight w:val="none"/>
          <w:u w:val="none" w:color="auto"/>
        </w:rPr>
        <w:t>废气污染源源强核算结果及相关参数一览表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712"/>
        <w:gridCol w:w="760"/>
        <w:gridCol w:w="633"/>
        <w:gridCol w:w="553"/>
        <w:gridCol w:w="945"/>
        <w:gridCol w:w="889"/>
        <w:gridCol w:w="831"/>
        <w:gridCol w:w="852"/>
        <w:gridCol w:w="749"/>
        <w:gridCol w:w="747"/>
        <w:gridCol w:w="540"/>
        <w:gridCol w:w="953"/>
        <w:gridCol w:w="908"/>
        <w:gridCol w:w="940"/>
        <w:gridCol w:w="765"/>
        <w:gridCol w:w="731"/>
      </w:tblGrid>
      <w:tr w14:paraId="5CE0E3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vMerge w:val="restart"/>
            <w:noWrap w:val="0"/>
            <w:vAlign w:val="center"/>
          </w:tcPr>
          <w:p w14:paraId="3625503C">
            <w:pPr>
              <w:jc w:val="center"/>
              <w:rPr>
                <w:kern w:val="21"/>
                <w:sz w:val="18"/>
                <w:szCs w:val="18"/>
                <w:u w:val="none" w:color="auto"/>
              </w:rPr>
            </w:pPr>
            <w:r>
              <w:rPr>
                <w:kern w:val="21"/>
                <w:sz w:val="18"/>
                <w:szCs w:val="18"/>
                <w:u w:val="none" w:color="auto"/>
              </w:rPr>
              <w:t>工序</w:t>
            </w:r>
          </w:p>
        </w:tc>
        <w:tc>
          <w:tcPr>
            <w:tcW w:w="269" w:type="pct"/>
            <w:vMerge w:val="restart"/>
            <w:noWrap w:val="0"/>
            <w:vAlign w:val="center"/>
          </w:tcPr>
          <w:p w14:paraId="7C41BF10">
            <w:pPr>
              <w:jc w:val="center"/>
              <w:rPr>
                <w:kern w:val="21"/>
                <w:sz w:val="18"/>
                <w:szCs w:val="18"/>
                <w:u w:val="none" w:color="auto"/>
              </w:rPr>
            </w:pPr>
            <w:r>
              <w:rPr>
                <w:kern w:val="21"/>
                <w:sz w:val="18"/>
                <w:szCs w:val="18"/>
                <w:u w:val="none" w:color="auto"/>
              </w:rPr>
              <w:t>废气量m</w:t>
            </w:r>
            <w:r>
              <w:rPr>
                <w:kern w:val="21"/>
                <w:sz w:val="18"/>
                <w:szCs w:val="18"/>
                <w:u w:val="none" w:color="auto"/>
                <w:vertAlign w:val="superscript"/>
              </w:rPr>
              <w:t>3</w:t>
            </w:r>
            <w:r>
              <w:rPr>
                <w:kern w:val="21"/>
                <w:sz w:val="18"/>
                <w:szCs w:val="18"/>
                <w:u w:val="none" w:color="auto"/>
              </w:rPr>
              <w:t>/h</w:t>
            </w:r>
          </w:p>
        </w:tc>
        <w:tc>
          <w:tcPr>
            <w:tcW w:w="287" w:type="pct"/>
            <w:vMerge w:val="restart"/>
            <w:noWrap w:val="0"/>
            <w:vAlign w:val="center"/>
          </w:tcPr>
          <w:p w14:paraId="2C060021">
            <w:pPr>
              <w:jc w:val="center"/>
              <w:rPr>
                <w:kern w:val="21"/>
                <w:sz w:val="18"/>
                <w:szCs w:val="18"/>
                <w:u w:val="none" w:color="auto"/>
              </w:rPr>
            </w:pPr>
            <w:r>
              <w:rPr>
                <w:kern w:val="21"/>
                <w:sz w:val="18"/>
                <w:szCs w:val="18"/>
                <w:u w:val="none" w:color="auto"/>
              </w:rPr>
              <w:t>烟囱高度m/内径m</w:t>
            </w:r>
          </w:p>
        </w:tc>
        <w:tc>
          <w:tcPr>
            <w:tcW w:w="239" w:type="pct"/>
            <w:vMerge w:val="restart"/>
            <w:noWrap w:val="0"/>
            <w:vAlign w:val="center"/>
          </w:tcPr>
          <w:p w14:paraId="505BE193">
            <w:pPr>
              <w:jc w:val="center"/>
              <w:rPr>
                <w:kern w:val="21"/>
                <w:sz w:val="18"/>
                <w:szCs w:val="18"/>
                <w:u w:val="none" w:color="auto"/>
              </w:rPr>
            </w:pPr>
            <w:r>
              <w:rPr>
                <w:kern w:val="21"/>
                <w:sz w:val="18"/>
                <w:szCs w:val="18"/>
                <w:u w:val="none" w:color="auto"/>
              </w:rPr>
              <w:t>污染物</w:t>
            </w:r>
          </w:p>
        </w:tc>
        <w:tc>
          <w:tcPr>
            <w:tcW w:w="1215" w:type="pct"/>
            <w:gridSpan w:val="4"/>
            <w:noWrap w:val="0"/>
            <w:vAlign w:val="center"/>
          </w:tcPr>
          <w:p w14:paraId="785F1B95">
            <w:pPr>
              <w:jc w:val="center"/>
              <w:rPr>
                <w:kern w:val="21"/>
                <w:sz w:val="18"/>
                <w:szCs w:val="18"/>
                <w:u w:val="none" w:color="auto"/>
              </w:rPr>
            </w:pPr>
            <w:r>
              <w:rPr>
                <w:kern w:val="21"/>
                <w:sz w:val="18"/>
                <w:szCs w:val="18"/>
                <w:u w:val="none" w:color="auto"/>
              </w:rPr>
              <w:t>污染物产生</w:t>
            </w:r>
          </w:p>
        </w:tc>
        <w:tc>
          <w:tcPr>
            <w:tcW w:w="605" w:type="pct"/>
            <w:gridSpan w:val="2"/>
            <w:noWrap w:val="0"/>
            <w:vAlign w:val="center"/>
          </w:tcPr>
          <w:p w14:paraId="51D0895C">
            <w:pPr>
              <w:jc w:val="center"/>
              <w:rPr>
                <w:kern w:val="21"/>
                <w:sz w:val="18"/>
                <w:szCs w:val="18"/>
                <w:u w:val="none" w:color="auto"/>
              </w:rPr>
            </w:pPr>
            <w:r>
              <w:rPr>
                <w:kern w:val="21"/>
                <w:sz w:val="18"/>
                <w:szCs w:val="18"/>
                <w:u w:val="none" w:color="auto"/>
              </w:rPr>
              <w:t>治理措施</w:t>
            </w:r>
          </w:p>
        </w:tc>
        <w:tc>
          <w:tcPr>
            <w:tcW w:w="282" w:type="pct"/>
            <w:vMerge w:val="restart"/>
            <w:noWrap w:val="0"/>
            <w:vAlign w:val="center"/>
          </w:tcPr>
          <w:p w14:paraId="1F635A4D">
            <w:pPr>
              <w:jc w:val="center"/>
              <w:rPr>
                <w:kern w:val="21"/>
                <w:sz w:val="18"/>
                <w:szCs w:val="18"/>
                <w:u w:val="none" w:color="auto"/>
              </w:rPr>
            </w:pPr>
            <w:r>
              <w:rPr>
                <w:kern w:val="21"/>
                <w:sz w:val="18"/>
                <w:szCs w:val="18"/>
                <w:u w:val="none" w:color="auto"/>
              </w:rPr>
              <w:t>风机风量</w:t>
            </w:r>
          </w:p>
        </w:tc>
        <w:tc>
          <w:tcPr>
            <w:tcW w:w="1262" w:type="pct"/>
            <w:gridSpan w:val="4"/>
            <w:noWrap w:val="0"/>
            <w:vAlign w:val="center"/>
          </w:tcPr>
          <w:p w14:paraId="745F7F1C">
            <w:pPr>
              <w:jc w:val="center"/>
              <w:rPr>
                <w:kern w:val="21"/>
                <w:sz w:val="18"/>
                <w:szCs w:val="18"/>
                <w:u w:val="none" w:color="auto"/>
              </w:rPr>
            </w:pPr>
            <w:r>
              <w:rPr>
                <w:kern w:val="21"/>
                <w:sz w:val="18"/>
                <w:szCs w:val="18"/>
                <w:u w:val="none" w:color="auto"/>
              </w:rPr>
              <w:t>污染物排放</w:t>
            </w:r>
          </w:p>
        </w:tc>
        <w:tc>
          <w:tcPr>
            <w:tcW w:w="289" w:type="pct"/>
            <w:vMerge w:val="restart"/>
            <w:noWrap w:val="0"/>
            <w:vAlign w:val="center"/>
          </w:tcPr>
          <w:p w14:paraId="45DC1C30">
            <w:pPr>
              <w:jc w:val="center"/>
              <w:rPr>
                <w:kern w:val="21"/>
                <w:sz w:val="18"/>
                <w:szCs w:val="18"/>
                <w:u w:val="none" w:color="auto"/>
              </w:rPr>
            </w:pPr>
            <w:r>
              <w:rPr>
                <w:kern w:val="21"/>
                <w:sz w:val="18"/>
                <w:szCs w:val="18"/>
                <w:u w:val="none" w:color="auto"/>
              </w:rPr>
              <w:t>排放</w:t>
            </w:r>
          </w:p>
          <w:p w14:paraId="5C85EAC8">
            <w:pPr>
              <w:jc w:val="center"/>
              <w:rPr>
                <w:kern w:val="21"/>
                <w:sz w:val="18"/>
                <w:szCs w:val="18"/>
                <w:u w:val="none" w:color="auto"/>
              </w:rPr>
            </w:pPr>
            <w:r>
              <w:rPr>
                <w:kern w:val="21"/>
                <w:sz w:val="18"/>
                <w:szCs w:val="18"/>
                <w:u w:val="none" w:color="auto"/>
              </w:rPr>
              <w:t>标准mg/m</w:t>
            </w:r>
            <w:r>
              <w:rPr>
                <w:kern w:val="21"/>
                <w:sz w:val="18"/>
                <w:szCs w:val="18"/>
                <w:u w:val="none" w:color="auto"/>
                <w:vertAlign w:val="superscript"/>
              </w:rPr>
              <w:t>3</w:t>
            </w:r>
          </w:p>
        </w:tc>
        <w:tc>
          <w:tcPr>
            <w:tcW w:w="276" w:type="pct"/>
            <w:vMerge w:val="restart"/>
            <w:noWrap w:val="0"/>
            <w:vAlign w:val="center"/>
          </w:tcPr>
          <w:p w14:paraId="428A2E87">
            <w:pPr>
              <w:jc w:val="center"/>
              <w:rPr>
                <w:kern w:val="21"/>
                <w:sz w:val="18"/>
                <w:szCs w:val="18"/>
                <w:u w:val="none" w:color="auto"/>
              </w:rPr>
            </w:pPr>
            <w:r>
              <w:rPr>
                <w:kern w:val="21"/>
                <w:sz w:val="18"/>
                <w:szCs w:val="18"/>
                <w:u w:val="none" w:color="auto"/>
              </w:rPr>
              <w:t>排放时间（h）</w:t>
            </w:r>
          </w:p>
        </w:tc>
      </w:tr>
      <w:tr w14:paraId="4B63C7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vMerge w:val="continue"/>
            <w:noWrap w:val="0"/>
            <w:vAlign w:val="center"/>
          </w:tcPr>
          <w:p w14:paraId="0E31AE45">
            <w:pPr>
              <w:jc w:val="center"/>
              <w:rPr>
                <w:kern w:val="21"/>
                <w:sz w:val="18"/>
                <w:szCs w:val="18"/>
                <w:u w:val="none" w:color="auto"/>
              </w:rPr>
            </w:pPr>
          </w:p>
        </w:tc>
        <w:tc>
          <w:tcPr>
            <w:tcW w:w="269" w:type="pct"/>
            <w:vMerge w:val="continue"/>
            <w:noWrap w:val="0"/>
            <w:vAlign w:val="center"/>
          </w:tcPr>
          <w:p w14:paraId="11418241">
            <w:pPr>
              <w:jc w:val="center"/>
              <w:rPr>
                <w:kern w:val="21"/>
                <w:sz w:val="18"/>
                <w:szCs w:val="18"/>
                <w:u w:val="none" w:color="auto"/>
              </w:rPr>
            </w:pPr>
          </w:p>
        </w:tc>
        <w:tc>
          <w:tcPr>
            <w:tcW w:w="287" w:type="pct"/>
            <w:vMerge w:val="continue"/>
            <w:noWrap w:val="0"/>
            <w:vAlign w:val="center"/>
          </w:tcPr>
          <w:p w14:paraId="04B38B1F">
            <w:pPr>
              <w:jc w:val="center"/>
              <w:rPr>
                <w:kern w:val="21"/>
                <w:sz w:val="18"/>
                <w:szCs w:val="18"/>
                <w:u w:val="none" w:color="auto"/>
              </w:rPr>
            </w:pPr>
          </w:p>
        </w:tc>
        <w:tc>
          <w:tcPr>
            <w:tcW w:w="239" w:type="pct"/>
            <w:vMerge w:val="continue"/>
            <w:noWrap w:val="0"/>
            <w:vAlign w:val="center"/>
          </w:tcPr>
          <w:p w14:paraId="3035495C">
            <w:pPr>
              <w:jc w:val="center"/>
              <w:rPr>
                <w:kern w:val="21"/>
                <w:sz w:val="18"/>
                <w:szCs w:val="18"/>
                <w:u w:val="none" w:color="auto"/>
              </w:rPr>
            </w:pPr>
          </w:p>
        </w:tc>
        <w:tc>
          <w:tcPr>
            <w:tcW w:w="209" w:type="pct"/>
            <w:noWrap w:val="0"/>
            <w:vAlign w:val="center"/>
          </w:tcPr>
          <w:p w14:paraId="03310132">
            <w:pPr>
              <w:jc w:val="center"/>
              <w:rPr>
                <w:kern w:val="21"/>
                <w:sz w:val="18"/>
                <w:szCs w:val="18"/>
                <w:u w:val="none" w:color="auto"/>
              </w:rPr>
            </w:pPr>
            <w:r>
              <w:rPr>
                <w:kern w:val="21"/>
                <w:sz w:val="18"/>
                <w:szCs w:val="18"/>
                <w:u w:val="none" w:color="auto"/>
              </w:rPr>
              <w:t>核算</w:t>
            </w:r>
          </w:p>
          <w:p w14:paraId="0C632207">
            <w:pPr>
              <w:jc w:val="center"/>
              <w:rPr>
                <w:kern w:val="21"/>
                <w:sz w:val="18"/>
                <w:szCs w:val="18"/>
                <w:u w:val="none" w:color="auto"/>
              </w:rPr>
            </w:pPr>
            <w:r>
              <w:rPr>
                <w:kern w:val="21"/>
                <w:sz w:val="18"/>
                <w:szCs w:val="18"/>
                <w:u w:val="none" w:color="auto"/>
              </w:rPr>
              <w:t>方法</w:t>
            </w:r>
          </w:p>
        </w:tc>
        <w:tc>
          <w:tcPr>
            <w:tcW w:w="356" w:type="pct"/>
            <w:noWrap w:val="0"/>
            <w:vAlign w:val="center"/>
          </w:tcPr>
          <w:p w14:paraId="1F7E106F">
            <w:pPr>
              <w:jc w:val="center"/>
              <w:rPr>
                <w:kern w:val="21"/>
                <w:sz w:val="18"/>
                <w:szCs w:val="18"/>
                <w:u w:val="none" w:color="auto"/>
              </w:rPr>
            </w:pPr>
            <w:r>
              <w:rPr>
                <w:kern w:val="21"/>
                <w:sz w:val="18"/>
                <w:szCs w:val="18"/>
                <w:u w:val="none" w:color="auto"/>
              </w:rPr>
              <w:t>浓度mg/m</w:t>
            </w:r>
            <w:r>
              <w:rPr>
                <w:kern w:val="21"/>
                <w:sz w:val="18"/>
                <w:szCs w:val="18"/>
                <w:u w:val="none" w:color="auto"/>
                <w:vertAlign w:val="superscript"/>
              </w:rPr>
              <w:t>3</w:t>
            </w:r>
          </w:p>
        </w:tc>
        <w:tc>
          <w:tcPr>
            <w:tcW w:w="336" w:type="pct"/>
            <w:noWrap w:val="0"/>
            <w:vAlign w:val="center"/>
          </w:tcPr>
          <w:p w14:paraId="5196E374">
            <w:pPr>
              <w:jc w:val="center"/>
              <w:rPr>
                <w:kern w:val="21"/>
                <w:sz w:val="18"/>
                <w:szCs w:val="18"/>
                <w:u w:val="none" w:color="auto"/>
              </w:rPr>
            </w:pPr>
            <w:r>
              <w:rPr>
                <w:kern w:val="21"/>
                <w:sz w:val="18"/>
                <w:szCs w:val="18"/>
                <w:u w:val="none" w:color="auto"/>
              </w:rPr>
              <w:t>产生量</w:t>
            </w:r>
            <w:r>
              <w:rPr>
                <w:rFonts w:hint="eastAsia"/>
                <w:kern w:val="21"/>
                <w:sz w:val="18"/>
                <w:szCs w:val="18"/>
                <w:u w:val="none" w:color="auto"/>
                <w:lang w:val="en-US" w:eastAsia="zh-CN"/>
              </w:rPr>
              <w:t>t</w:t>
            </w:r>
            <w:r>
              <w:rPr>
                <w:kern w:val="21"/>
                <w:sz w:val="18"/>
                <w:szCs w:val="18"/>
                <w:u w:val="none" w:color="auto"/>
              </w:rPr>
              <w:t>/a</w:t>
            </w:r>
          </w:p>
        </w:tc>
        <w:tc>
          <w:tcPr>
            <w:tcW w:w="314" w:type="pct"/>
            <w:noWrap w:val="0"/>
            <w:vAlign w:val="center"/>
          </w:tcPr>
          <w:p w14:paraId="03491FFC">
            <w:pPr>
              <w:jc w:val="center"/>
              <w:rPr>
                <w:kern w:val="21"/>
                <w:sz w:val="18"/>
                <w:szCs w:val="18"/>
                <w:u w:val="none" w:color="auto"/>
              </w:rPr>
            </w:pPr>
            <w:r>
              <w:rPr>
                <w:kern w:val="21"/>
                <w:sz w:val="18"/>
                <w:szCs w:val="18"/>
                <w:u w:val="none" w:color="auto"/>
              </w:rPr>
              <w:t>速率kg/h</w:t>
            </w:r>
          </w:p>
        </w:tc>
        <w:tc>
          <w:tcPr>
            <w:tcW w:w="322" w:type="pct"/>
            <w:noWrap w:val="0"/>
            <w:vAlign w:val="center"/>
          </w:tcPr>
          <w:p w14:paraId="139FE8F9">
            <w:pPr>
              <w:jc w:val="center"/>
              <w:rPr>
                <w:kern w:val="21"/>
                <w:sz w:val="18"/>
                <w:szCs w:val="18"/>
                <w:u w:val="none" w:color="auto"/>
              </w:rPr>
            </w:pPr>
            <w:r>
              <w:rPr>
                <w:kern w:val="21"/>
                <w:sz w:val="18"/>
                <w:szCs w:val="18"/>
                <w:u w:val="none" w:color="auto"/>
              </w:rPr>
              <w:t>工艺</w:t>
            </w:r>
          </w:p>
        </w:tc>
        <w:tc>
          <w:tcPr>
            <w:tcW w:w="283" w:type="pct"/>
            <w:noWrap w:val="0"/>
            <w:vAlign w:val="center"/>
          </w:tcPr>
          <w:p w14:paraId="46480D27">
            <w:pPr>
              <w:jc w:val="center"/>
              <w:rPr>
                <w:kern w:val="21"/>
                <w:sz w:val="18"/>
                <w:szCs w:val="18"/>
                <w:u w:val="none" w:color="auto"/>
              </w:rPr>
            </w:pPr>
            <w:r>
              <w:rPr>
                <w:kern w:val="21"/>
                <w:sz w:val="18"/>
                <w:szCs w:val="18"/>
                <w:u w:val="none" w:color="auto"/>
              </w:rPr>
              <w:t>效率%</w:t>
            </w:r>
          </w:p>
        </w:tc>
        <w:tc>
          <w:tcPr>
            <w:tcW w:w="282" w:type="pct"/>
            <w:vMerge w:val="continue"/>
            <w:noWrap w:val="0"/>
            <w:vAlign w:val="center"/>
          </w:tcPr>
          <w:p w14:paraId="64BE20F6">
            <w:pPr>
              <w:jc w:val="center"/>
              <w:rPr>
                <w:kern w:val="21"/>
                <w:sz w:val="18"/>
                <w:szCs w:val="18"/>
                <w:u w:val="none" w:color="auto"/>
              </w:rPr>
            </w:pPr>
          </w:p>
        </w:tc>
        <w:tc>
          <w:tcPr>
            <w:tcW w:w="204" w:type="pct"/>
            <w:noWrap w:val="0"/>
            <w:vAlign w:val="center"/>
          </w:tcPr>
          <w:p w14:paraId="180A36B8">
            <w:pPr>
              <w:jc w:val="center"/>
              <w:rPr>
                <w:kern w:val="21"/>
                <w:sz w:val="18"/>
                <w:szCs w:val="18"/>
                <w:u w:val="none" w:color="auto"/>
              </w:rPr>
            </w:pPr>
            <w:r>
              <w:rPr>
                <w:kern w:val="21"/>
                <w:sz w:val="18"/>
                <w:szCs w:val="18"/>
                <w:u w:val="none" w:color="auto"/>
              </w:rPr>
              <w:t>核算方法</w:t>
            </w:r>
          </w:p>
        </w:tc>
        <w:tc>
          <w:tcPr>
            <w:tcW w:w="360" w:type="pct"/>
            <w:noWrap w:val="0"/>
            <w:vAlign w:val="center"/>
          </w:tcPr>
          <w:p w14:paraId="29598076">
            <w:pPr>
              <w:jc w:val="center"/>
              <w:rPr>
                <w:kern w:val="21"/>
                <w:sz w:val="18"/>
                <w:szCs w:val="18"/>
                <w:u w:val="none" w:color="auto"/>
              </w:rPr>
            </w:pPr>
            <w:r>
              <w:rPr>
                <w:kern w:val="21"/>
                <w:sz w:val="18"/>
                <w:szCs w:val="18"/>
                <w:u w:val="none" w:color="auto"/>
              </w:rPr>
              <w:t>浓度mg/m</w:t>
            </w:r>
            <w:r>
              <w:rPr>
                <w:kern w:val="21"/>
                <w:sz w:val="18"/>
                <w:szCs w:val="18"/>
                <w:u w:val="none" w:color="auto"/>
                <w:vertAlign w:val="superscript"/>
              </w:rPr>
              <w:t>3</w:t>
            </w:r>
          </w:p>
        </w:tc>
        <w:tc>
          <w:tcPr>
            <w:tcW w:w="343" w:type="pct"/>
            <w:noWrap w:val="0"/>
            <w:vAlign w:val="center"/>
          </w:tcPr>
          <w:p w14:paraId="4F280A5B">
            <w:pPr>
              <w:jc w:val="center"/>
              <w:rPr>
                <w:kern w:val="21"/>
                <w:sz w:val="18"/>
                <w:szCs w:val="18"/>
                <w:u w:val="none" w:color="auto"/>
              </w:rPr>
            </w:pPr>
            <w:r>
              <w:rPr>
                <w:kern w:val="21"/>
                <w:sz w:val="18"/>
                <w:szCs w:val="18"/>
                <w:u w:val="none" w:color="auto"/>
              </w:rPr>
              <w:t>排放量</w:t>
            </w:r>
            <w:r>
              <w:rPr>
                <w:rFonts w:hint="eastAsia"/>
                <w:kern w:val="21"/>
                <w:sz w:val="18"/>
                <w:szCs w:val="18"/>
                <w:u w:val="none" w:color="auto"/>
                <w:lang w:val="en-US" w:eastAsia="zh-CN"/>
              </w:rPr>
              <w:t>t</w:t>
            </w:r>
            <w:r>
              <w:rPr>
                <w:kern w:val="21"/>
                <w:sz w:val="18"/>
                <w:szCs w:val="18"/>
                <w:u w:val="none" w:color="auto"/>
              </w:rPr>
              <w:t>/a</w:t>
            </w:r>
          </w:p>
        </w:tc>
        <w:tc>
          <w:tcPr>
            <w:tcW w:w="355" w:type="pct"/>
            <w:noWrap w:val="0"/>
            <w:vAlign w:val="center"/>
          </w:tcPr>
          <w:p w14:paraId="3B42CAFF">
            <w:pPr>
              <w:jc w:val="center"/>
              <w:rPr>
                <w:kern w:val="21"/>
                <w:sz w:val="18"/>
                <w:szCs w:val="18"/>
                <w:u w:val="none" w:color="auto"/>
              </w:rPr>
            </w:pPr>
            <w:r>
              <w:rPr>
                <w:kern w:val="21"/>
                <w:sz w:val="18"/>
                <w:szCs w:val="18"/>
                <w:u w:val="none" w:color="auto"/>
              </w:rPr>
              <w:t>速率kg/h</w:t>
            </w:r>
          </w:p>
        </w:tc>
        <w:tc>
          <w:tcPr>
            <w:tcW w:w="289" w:type="pct"/>
            <w:vMerge w:val="continue"/>
            <w:noWrap w:val="0"/>
            <w:vAlign w:val="center"/>
          </w:tcPr>
          <w:p w14:paraId="053ACCA2">
            <w:pPr>
              <w:jc w:val="center"/>
              <w:rPr>
                <w:kern w:val="21"/>
                <w:sz w:val="18"/>
                <w:szCs w:val="18"/>
                <w:u w:val="none" w:color="auto"/>
              </w:rPr>
            </w:pPr>
          </w:p>
        </w:tc>
        <w:tc>
          <w:tcPr>
            <w:tcW w:w="276" w:type="pct"/>
            <w:vMerge w:val="continue"/>
            <w:noWrap w:val="0"/>
            <w:vAlign w:val="center"/>
          </w:tcPr>
          <w:p w14:paraId="110DE647">
            <w:pPr>
              <w:jc w:val="center"/>
              <w:rPr>
                <w:kern w:val="21"/>
                <w:sz w:val="18"/>
                <w:szCs w:val="18"/>
                <w:u w:val="none" w:color="auto"/>
              </w:rPr>
            </w:pPr>
          </w:p>
        </w:tc>
      </w:tr>
      <w:tr w14:paraId="631E37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noWrap w:val="0"/>
            <w:vAlign w:val="center"/>
          </w:tcPr>
          <w:p w14:paraId="539D5CBE">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1#水泥</w:t>
            </w:r>
            <w:r>
              <w:rPr>
                <w:rFonts w:hint="eastAsia" w:eastAsia="宋体"/>
                <w:kern w:val="21"/>
                <w:sz w:val="18"/>
                <w:szCs w:val="18"/>
                <w:u w:val="none" w:color="auto"/>
                <w:lang w:val="en-US" w:eastAsia="zh-CN"/>
              </w:rPr>
              <w:t>筒仓粉尘</w:t>
            </w:r>
          </w:p>
        </w:tc>
        <w:tc>
          <w:tcPr>
            <w:tcW w:w="269" w:type="pct"/>
            <w:shd w:val="clear" w:color="auto" w:fill="auto"/>
            <w:noWrap w:val="0"/>
            <w:vAlign w:val="center"/>
          </w:tcPr>
          <w:p w14:paraId="636B8133">
            <w:pPr>
              <w:jc w:val="center"/>
              <w:rPr>
                <w:rFonts w:hint="default"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87" w:type="pct"/>
            <w:shd w:val="clear" w:color="auto" w:fill="auto"/>
            <w:noWrap w:val="0"/>
            <w:vAlign w:val="center"/>
          </w:tcPr>
          <w:p w14:paraId="47F72046">
            <w:pPr>
              <w:jc w:val="center"/>
              <w:rPr>
                <w:rFonts w:hint="default"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39" w:type="pct"/>
            <w:vMerge w:val="restart"/>
            <w:noWrap w:val="0"/>
            <w:vAlign w:val="center"/>
          </w:tcPr>
          <w:p w14:paraId="3E159504">
            <w:pPr>
              <w:jc w:val="center"/>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TSP</w:t>
            </w:r>
          </w:p>
        </w:tc>
        <w:tc>
          <w:tcPr>
            <w:tcW w:w="209" w:type="pct"/>
            <w:vMerge w:val="restart"/>
            <w:noWrap w:val="0"/>
            <w:vAlign w:val="center"/>
          </w:tcPr>
          <w:p w14:paraId="1DCDC7C0">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产排污系数法</w:t>
            </w:r>
          </w:p>
        </w:tc>
        <w:tc>
          <w:tcPr>
            <w:tcW w:w="356" w:type="pct"/>
            <w:shd w:val="clear" w:color="auto" w:fill="auto"/>
            <w:noWrap w:val="0"/>
            <w:vAlign w:val="center"/>
          </w:tcPr>
          <w:p w14:paraId="3BD5A590">
            <w:pPr>
              <w:jc w:val="center"/>
              <w:rPr>
                <w:rFonts w:hint="default"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336" w:type="pct"/>
            <w:shd w:val="clear" w:color="auto" w:fill="auto"/>
            <w:noWrap w:val="0"/>
            <w:vAlign w:val="center"/>
          </w:tcPr>
          <w:p w14:paraId="2D543A4E">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3.6</w:t>
            </w:r>
          </w:p>
        </w:tc>
        <w:tc>
          <w:tcPr>
            <w:tcW w:w="314" w:type="pct"/>
            <w:shd w:val="clear" w:color="auto" w:fill="auto"/>
            <w:noWrap w:val="0"/>
            <w:vAlign w:val="center"/>
          </w:tcPr>
          <w:p w14:paraId="126CD44F">
            <w:pPr>
              <w:jc w:val="center"/>
              <w:rPr>
                <w:rFonts w:hint="default" w:ascii="Times New Roman" w:hAnsi="Times New Roman" w:eastAsia="宋体" w:cs="Times New Roman"/>
                <w:kern w:val="21"/>
                <w:sz w:val="18"/>
                <w:szCs w:val="18"/>
                <w:u w:val="none" w:color="auto"/>
                <w:lang w:val="en-US" w:eastAsia="zh-CN" w:bidi="ar-SA"/>
              </w:rPr>
            </w:pPr>
            <w:r>
              <w:rPr>
                <w:rFonts w:hint="eastAsia" w:cs="Times New Roman"/>
                <w:kern w:val="21"/>
                <w:sz w:val="18"/>
                <w:szCs w:val="18"/>
                <w:u w:val="none" w:color="auto"/>
                <w:lang w:val="en-US" w:eastAsia="zh-CN" w:bidi="ar-SA"/>
              </w:rPr>
              <w:t>1.5</w:t>
            </w:r>
          </w:p>
        </w:tc>
        <w:tc>
          <w:tcPr>
            <w:tcW w:w="322" w:type="pct"/>
            <w:noWrap w:val="0"/>
            <w:vAlign w:val="center"/>
          </w:tcPr>
          <w:p w14:paraId="4FA2458D">
            <w:pPr>
              <w:jc w:val="center"/>
              <w:rPr>
                <w:rFonts w:hint="eastAsia" w:ascii="Times New Roman" w:hAnsi="Times New Roman" w:eastAsia="宋体" w:cs="Times New Roman"/>
                <w:color w:val="000000"/>
                <w:kern w:val="0"/>
                <w:sz w:val="18"/>
                <w:szCs w:val="18"/>
                <w:u w:val="none" w:color="auto"/>
                <w:lang w:bidi="ar"/>
              </w:rPr>
            </w:pPr>
            <w:r>
              <w:rPr>
                <w:rFonts w:hint="eastAsia"/>
                <w:i w:val="0"/>
                <w:iCs w:val="0"/>
                <w:sz w:val="18"/>
                <w:szCs w:val="18"/>
                <w:u w:val="none" w:color="auto"/>
                <w:lang w:val="en-US" w:eastAsia="zh-CN"/>
              </w:rPr>
              <w:t>筒仓</w:t>
            </w:r>
            <w:r>
              <w:rPr>
                <w:rFonts w:hint="eastAsia"/>
                <w:i w:val="0"/>
                <w:iCs w:val="0"/>
                <w:sz w:val="18"/>
                <w:szCs w:val="18"/>
                <w:u w:val="none" w:color="auto"/>
              </w:rPr>
              <w:t>自带脉冲袋式除尘器</w:t>
            </w:r>
          </w:p>
        </w:tc>
        <w:tc>
          <w:tcPr>
            <w:tcW w:w="283" w:type="pct"/>
            <w:noWrap w:val="0"/>
            <w:vAlign w:val="center"/>
          </w:tcPr>
          <w:p w14:paraId="25C9D526">
            <w:pPr>
              <w:jc w:val="center"/>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99.7</w:t>
            </w:r>
          </w:p>
        </w:tc>
        <w:tc>
          <w:tcPr>
            <w:tcW w:w="282" w:type="pct"/>
            <w:shd w:val="clear" w:color="auto" w:fill="auto"/>
            <w:noWrap w:val="0"/>
            <w:vAlign w:val="center"/>
          </w:tcPr>
          <w:p w14:paraId="48FED122">
            <w:pPr>
              <w:jc w:val="center"/>
              <w:rPr>
                <w:rFonts w:hint="default"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04" w:type="pct"/>
            <w:vMerge w:val="restart"/>
            <w:noWrap w:val="0"/>
            <w:vAlign w:val="center"/>
          </w:tcPr>
          <w:p w14:paraId="3E68002B">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产排污系数法</w:t>
            </w:r>
          </w:p>
        </w:tc>
        <w:tc>
          <w:tcPr>
            <w:tcW w:w="360" w:type="pct"/>
            <w:shd w:val="clear" w:color="auto" w:fill="auto"/>
            <w:noWrap w:val="0"/>
            <w:vAlign w:val="center"/>
          </w:tcPr>
          <w:p w14:paraId="501BECC4">
            <w:pPr>
              <w:jc w:val="center"/>
              <w:rPr>
                <w:rFonts w:hint="default"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343" w:type="pct"/>
            <w:noWrap w:val="0"/>
            <w:vAlign w:val="center"/>
          </w:tcPr>
          <w:p w14:paraId="3673A5D9">
            <w:pPr>
              <w:jc w:val="center"/>
              <w:rPr>
                <w:rFonts w:hint="default" w:eastAsia="宋体"/>
                <w:kern w:val="21"/>
                <w:sz w:val="18"/>
                <w:szCs w:val="18"/>
                <w:u w:val="none" w:color="auto"/>
                <w:lang w:val="en-US" w:eastAsia="zh-CN"/>
              </w:rPr>
            </w:pPr>
            <w:r>
              <w:rPr>
                <w:rFonts w:hint="default" w:eastAsia="宋体"/>
                <w:kern w:val="21"/>
                <w:sz w:val="18"/>
                <w:szCs w:val="18"/>
                <w:u w:val="none" w:color="auto"/>
                <w:lang w:val="en-US" w:eastAsia="zh-CN"/>
              </w:rPr>
              <w:t>0.0</w:t>
            </w:r>
            <w:r>
              <w:rPr>
                <w:rFonts w:hint="eastAsia"/>
                <w:kern w:val="21"/>
                <w:sz w:val="18"/>
                <w:szCs w:val="18"/>
                <w:u w:val="none" w:color="auto"/>
                <w:lang w:val="en-US" w:eastAsia="zh-CN"/>
              </w:rPr>
              <w:t>108</w:t>
            </w:r>
          </w:p>
        </w:tc>
        <w:tc>
          <w:tcPr>
            <w:tcW w:w="355" w:type="pct"/>
            <w:noWrap w:val="0"/>
            <w:vAlign w:val="center"/>
          </w:tcPr>
          <w:p w14:paraId="0E7BB890">
            <w:pPr>
              <w:jc w:val="center"/>
              <w:rPr>
                <w:rFonts w:hint="default" w:eastAsia="宋体"/>
                <w:kern w:val="21"/>
                <w:sz w:val="18"/>
                <w:szCs w:val="18"/>
                <w:u w:val="none" w:color="auto"/>
                <w:lang w:val="en-US" w:eastAsia="zh-CN"/>
              </w:rPr>
            </w:pPr>
            <w:r>
              <w:rPr>
                <w:rFonts w:hint="default" w:eastAsia="宋体"/>
                <w:kern w:val="21"/>
                <w:sz w:val="18"/>
                <w:szCs w:val="18"/>
                <w:u w:val="none" w:color="auto"/>
                <w:lang w:val="en-US" w:eastAsia="zh-CN"/>
              </w:rPr>
              <w:t>0.0</w:t>
            </w:r>
            <w:r>
              <w:rPr>
                <w:rFonts w:hint="eastAsia"/>
                <w:kern w:val="21"/>
                <w:sz w:val="18"/>
                <w:szCs w:val="18"/>
                <w:u w:val="none" w:color="auto"/>
                <w:lang w:val="en-US" w:eastAsia="zh-CN"/>
              </w:rPr>
              <w:t>045</w:t>
            </w:r>
          </w:p>
        </w:tc>
        <w:tc>
          <w:tcPr>
            <w:tcW w:w="289" w:type="pct"/>
            <w:vMerge w:val="restart"/>
            <w:noWrap w:val="0"/>
            <w:vAlign w:val="center"/>
          </w:tcPr>
          <w:p w14:paraId="2E3C2244">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0.5</w:t>
            </w:r>
          </w:p>
        </w:tc>
        <w:tc>
          <w:tcPr>
            <w:tcW w:w="276" w:type="pct"/>
            <w:vMerge w:val="restart"/>
            <w:noWrap w:val="0"/>
            <w:vAlign w:val="center"/>
          </w:tcPr>
          <w:p w14:paraId="299396A5">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2400</w:t>
            </w:r>
          </w:p>
        </w:tc>
      </w:tr>
      <w:tr w14:paraId="03745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noWrap w:val="0"/>
            <w:vAlign w:val="center"/>
          </w:tcPr>
          <w:p w14:paraId="53A8862C">
            <w:pPr>
              <w:jc w:val="center"/>
              <w:rPr>
                <w:rFonts w:hint="eastAsia"/>
                <w:kern w:val="21"/>
                <w:sz w:val="18"/>
                <w:szCs w:val="18"/>
                <w:u w:val="none" w:color="auto"/>
                <w:lang w:val="en-US" w:eastAsia="zh-CN"/>
              </w:rPr>
            </w:pPr>
            <w:r>
              <w:rPr>
                <w:rFonts w:hint="eastAsia"/>
                <w:kern w:val="21"/>
                <w:sz w:val="18"/>
                <w:szCs w:val="18"/>
                <w:u w:val="none" w:color="auto"/>
                <w:lang w:val="en-US" w:eastAsia="zh-CN"/>
              </w:rPr>
              <w:t>2#水泥</w:t>
            </w:r>
            <w:r>
              <w:rPr>
                <w:rFonts w:hint="eastAsia" w:eastAsia="宋体"/>
                <w:kern w:val="21"/>
                <w:sz w:val="18"/>
                <w:szCs w:val="18"/>
                <w:u w:val="none" w:color="auto"/>
                <w:lang w:val="en-US" w:eastAsia="zh-CN"/>
              </w:rPr>
              <w:t>筒仓粉尘</w:t>
            </w:r>
          </w:p>
        </w:tc>
        <w:tc>
          <w:tcPr>
            <w:tcW w:w="269" w:type="pct"/>
            <w:shd w:val="clear" w:color="auto" w:fill="auto"/>
            <w:noWrap w:val="0"/>
            <w:vAlign w:val="center"/>
          </w:tcPr>
          <w:p w14:paraId="00043216">
            <w:pPr>
              <w:jc w:val="center"/>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87" w:type="pct"/>
            <w:shd w:val="clear" w:color="auto" w:fill="auto"/>
            <w:noWrap w:val="0"/>
            <w:vAlign w:val="center"/>
          </w:tcPr>
          <w:p w14:paraId="44260CC2">
            <w:pPr>
              <w:jc w:val="center"/>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39" w:type="pct"/>
            <w:vMerge w:val="continue"/>
            <w:noWrap w:val="0"/>
            <w:vAlign w:val="center"/>
          </w:tcPr>
          <w:p w14:paraId="60DB3125">
            <w:pPr>
              <w:jc w:val="center"/>
              <w:rPr>
                <w:rFonts w:hint="eastAsia" w:eastAsia="宋体"/>
                <w:kern w:val="21"/>
                <w:sz w:val="18"/>
                <w:szCs w:val="18"/>
                <w:u w:val="none" w:color="auto"/>
                <w:lang w:val="en-US" w:eastAsia="zh-CN"/>
              </w:rPr>
            </w:pPr>
          </w:p>
        </w:tc>
        <w:tc>
          <w:tcPr>
            <w:tcW w:w="209" w:type="pct"/>
            <w:vMerge w:val="continue"/>
            <w:noWrap w:val="0"/>
            <w:vAlign w:val="center"/>
          </w:tcPr>
          <w:p w14:paraId="6F5EE60F">
            <w:pPr>
              <w:jc w:val="center"/>
              <w:rPr>
                <w:rFonts w:hint="eastAsia"/>
                <w:kern w:val="21"/>
                <w:sz w:val="18"/>
                <w:szCs w:val="18"/>
                <w:u w:val="none" w:color="auto"/>
                <w:lang w:val="en-US" w:eastAsia="zh-CN"/>
              </w:rPr>
            </w:pPr>
          </w:p>
        </w:tc>
        <w:tc>
          <w:tcPr>
            <w:tcW w:w="356" w:type="pct"/>
            <w:shd w:val="clear" w:color="auto" w:fill="auto"/>
            <w:noWrap w:val="0"/>
            <w:vAlign w:val="center"/>
          </w:tcPr>
          <w:p w14:paraId="357A691A">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336" w:type="pct"/>
            <w:shd w:val="clear" w:color="auto" w:fill="auto"/>
            <w:noWrap w:val="0"/>
            <w:vAlign w:val="center"/>
          </w:tcPr>
          <w:p w14:paraId="04A5A6B6">
            <w:pPr>
              <w:jc w:val="center"/>
              <w:rPr>
                <w:rFonts w:hint="eastAsia"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3.6</w:t>
            </w:r>
          </w:p>
        </w:tc>
        <w:tc>
          <w:tcPr>
            <w:tcW w:w="314" w:type="pct"/>
            <w:shd w:val="clear" w:color="auto" w:fill="auto"/>
            <w:noWrap w:val="0"/>
            <w:vAlign w:val="center"/>
          </w:tcPr>
          <w:p w14:paraId="2413D77C">
            <w:pPr>
              <w:jc w:val="center"/>
              <w:rPr>
                <w:rFonts w:hint="eastAsia" w:ascii="Times New Roman" w:hAnsi="Times New Roman" w:eastAsia="宋体" w:cs="Times New Roman"/>
                <w:kern w:val="21"/>
                <w:sz w:val="18"/>
                <w:szCs w:val="18"/>
                <w:u w:val="none" w:color="auto"/>
                <w:lang w:val="en-US" w:eastAsia="zh-CN" w:bidi="ar-SA"/>
              </w:rPr>
            </w:pPr>
            <w:r>
              <w:rPr>
                <w:rFonts w:hint="eastAsia" w:cs="Times New Roman"/>
                <w:kern w:val="21"/>
                <w:sz w:val="18"/>
                <w:szCs w:val="18"/>
                <w:u w:val="none" w:color="auto"/>
                <w:lang w:val="en-US" w:eastAsia="zh-CN" w:bidi="ar-SA"/>
              </w:rPr>
              <w:t>1.5</w:t>
            </w:r>
          </w:p>
        </w:tc>
        <w:tc>
          <w:tcPr>
            <w:tcW w:w="322" w:type="pct"/>
            <w:shd w:val="clear" w:color="auto" w:fill="auto"/>
            <w:noWrap w:val="0"/>
            <w:vAlign w:val="center"/>
          </w:tcPr>
          <w:p w14:paraId="63666039">
            <w:pPr>
              <w:jc w:val="center"/>
              <w:rPr>
                <w:rFonts w:hint="eastAsia" w:ascii="Times New Roman" w:hAnsi="Times New Roman" w:eastAsia="宋体" w:cs="Times New Roman"/>
                <w:color w:val="000000"/>
                <w:kern w:val="0"/>
                <w:sz w:val="18"/>
                <w:szCs w:val="18"/>
                <w:u w:val="none" w:color="auto"/>
                <w:lang w:val="en-US" w:eastAsia="zh-CN" w:bidi="ar"/>
              </w:rPr>
            </w:pPr>
            <w:r>
              <w:rPr>
                <w:rFonts w:hint="eastAsia"/>
                <w:i w:val="0"/>
                <w:iCs w:val="0"/>
                <w:sz w:val="18"/>
                <w:szCs w:val="18"/>
                <w:u w:val="none" w:color="auto"/>
                <w:lang w:val="en-US" w:eastAsia="zh-CN"/>
              </w:rPr>
              <w:t>筒仓</w:t>
            </w:r>
            <w:r>
              <w:rPr>
                <w:rFonts w:hint="eastAsia"/>
                <w:i w:val="0"/>
                <w:iCs w:val="0"/>
                <w:sz w:val="18"/>
                <w:szCs w:val="18"/>
                <w:u w:val="none" w:color="auto"/>
              </w:rPr>
              <w:t>自带脉冲袋式除尘器</w:t>
            </w:r>
          </w:p>
        </w:tc>
        <w:tc>
          <w:tcPr>
            <w:tcW w:w="283" w:type="pct"/>
            <w:shd w:val="clear" w:color="auto" w:fill="auto"/>
            <w:noWrap w:val="0"/>
            <w:vAlign w:val="center"/>
          </w:tcPr>
          <w:p w14:paraId="6C5FE585">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99.7</w:t>
            </w:r>
          </w:p>
        </w:tc>
        <w:tc>
          <w:tcPr>
            <w:tcW w:w="282" w:type="pct"/>
            <w:shd w:val="clear" w:color="auto" w:fill="auto"/>
            <w:noWrap w:val="0"/>
            <w:vAlign w:val="center"/>
          </w:tcPr>
          <w:p w14:paraId="18D8C821">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04" w:type="pct"/>
            <w:vMerge w:val="continue"/>
            <w:noWrap w:val="0"/>
            <w:vAlign w:val="center"/>
          </w:tcPr>
          <w:p w14:paraId="14A2C395">
            <w:pPr>
              <w:jc w:val="center"/>
              <w:rPr>
                <w:rFonts w:hint="eastAsia"/>
                <w:kern w:val="21"/>
                <w:sz w:val="18"/>
                <w:szCs w:val="18"/>
                <w:u w:val="none" w:color="auto"/>
                <w:lang w:val="en-US" w:eastAsia="zh-CN"/>
              </w:rPr>
            </w:pPr>
          </w:p>
        </w:tc>
        <w:tc>
          <w:tcPr>
            <w:tcW w:w="360" w:type="pct"/>
            <w:shd w:val="clear" w:color="auto" w:fill="auto"/>
            <w:noWrap w:val="0"/>
            <w:vAlign w:val="center"/>
          </w:tcPr>
          <w:p w14:paraId="0573815E">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343" w:type="pct"/>
            <w:shd w:val="clear" w:color="auto" w:fill="auto"/>
            <w:noWrap w:val="0"/>
            <w:vAlign w:val="center"/>
          </w:tcPr>
          <w:p w14:paraId="456D4467">
            <w:pPr>
              <w:jc w:val="center"/>
              <w:rPr>
                <w:rFonts w:hint="default" w:ascii="Times New Roman" w:hAnsi="Times New Roman" w:eastAsia="宋体" w:cs="Times New Roman"/>
                <w:kern w:val="21"/>
                <w:sz w:val="18"/>
                <w:szCs w:val="18"/>
                <w:u w:val="none" w:color="auto"/>
                <w:lang w:val="en-US" w:eastAsia="zh-CN" w:bidi="ar-SA"/>
              </w:rPr>
            </w:pPr>
            <w:r>
              <w:rPr>
                <w:rFonts w:hint="default" w:eastAsia="宋体"/>
                <w:kern w:val="21"/>
                <w:sz w:val="18"/>
                <w:szCs w:val="18"/>
                <w:u w:val="none" w:color="auto"/>
                <w:lang w:val="en-US" w:eastAsia="zh-CN"/>
              </w:rPr>
              <w:t>0.0</w:t>
            </w:r>
            <w:r>
              <w:rPr>
                <w:rFonts w:hint="eastAsia"/>
                <w:kern w:val="21"/>
                <w:sz w:val="18"/>
                <w:szCs w:val="18"/>
                <w:u w:val="none" w:color="auto"/>
                <w:lang w:val="en-US" w:eastAsia="zh-CN"/>
              </w:rPr>
              <w:t>108</w:t>
            </w:r>
          </w:p>
        </w:tc>
        <w:tc>
          <w:tcPr>
            <w:tcW w:w="355" w:type="pct"/>
            <w:shd w:val="clear" w:color="auto" w:fill="auto"/>
            <w:noWrap w:val="0"/>
            <w:vAlign w:val="center"/>
          </w:tcPr>
          <w:p w14:paraId="6884ECBD">
            <w:pPr>
              <w:jc w:val="center"/>
              <w:rPr>
                <w:rFonts w:hint="default" w:ascii="Times New Roman" w:hAnsi="Times New Roman" w:eastAsia="宋体" w:cs="Times New Roman"/>
                <w:kern w:val="21"/>
                <w:sz w:val="18"/>
                <w:szCs w:val="18"/>
                <w:u w:val="none" w:color="auto"/>
                <w:lang w:val="en-US" w:eastAsia="zh-CN" w:bidi="ar-SA"/>
              </w:rPr>
            </w:pPr>
            <w:r>
              <w:rPr>
                <w:rFonts w:hint="default" w:eastAsia="宋体"/>
                <w:kern w:val="21"/>
                <w:sz w:val="18"/>
                <w:szCs w:val="18"/>
                <w:u w:val="none" w:color="auto"/>
                <w:lang w:val="en-US" w:eastAsia="zh-CN"/>
              </w:rPr>
              <w:t>0.0</w:t>
            </w:r>
            <w:r>
              <w:rPr>
                <w:rFonts w:hint="eastAsia"/>
                <w:kern w:val="21"/>
                <w:sz w:val="18"/>
                <w:szCs w:val="18"/>
                <w:u w:val="none" w:color="auto"/>
                <w:lang w:val="en-US" w:eastAsia="zh-CN"/>
              </w:rPr>
              <w:t>045</w:t>
            </w:r>
          </w:p>
        </w:tc>
        <w:tc>
          <w:tcPr>
            <w:tcW w:w="289" w:type="pct"/>
            <w:vMerge w:val="continue"/>
            <w:noWrap w:val="0"/>
            <w:vAlign w:val="center"/>
          </w:tcPr>
          <w:p w14:paraId="5079BCF6">
            <w:pPr>
              <w:jc w:val="center"/>
              <w:rPr>
                <w:rFonts w:hint="eastAsia"/>
                <w:kern w:val="21"/>
                <w:sz w:val="18"/>
                <w:szCs w:val="18"/>
                <w:u w:val="none" w:color="auto"/>
                <w:lang w:val="en-US" w:eastAsia="zh-CN"/>
              </w:rPr>
            </w:pPr>
          </w:p>
        </w:tc>
        <w:tc>
          <w:tcPr>
            <w:tcW w:w="276" w:type="pct"/>
            <w:vMerge w:val="continue"/>
            <w:noWrap w:val="0"/>
            <w:vAlign w:val="center"/>
          </w:tcPr>
          <w:p w14:paraId="1C59CE4F">
            <w:pPr>
              <w:jc w:val="center"/>
              <w:rPr>
                <w:rFonts w:hint="eastAsia"/>
                <w:kern w:val="21"/>
                <w:sz w:val="18"/>
                <w:szCs w:val="18"/>
                <w:u w:val="none" w:color="auto"/>
                <w:lang w:val="en-US" w:eastAsia="zh-CN"/>
              </w:rPr>
            </w:pPr>
          </w:p>
        </w:tc>
      </w:tr>
      <w:tr w14:paraId="0120BC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shd w:val="clear" w:color="auto" w:fill="auto"/>
            <w:noWrap w:val="0"/>
            <w:vAlign w:val="center"/>
          </w:tcPr>
          <w:p w14:paraId="5F3F7599">
            <w:pPr>
              <w:jc w:val="center"/>
              <w:rPr>
                <w:rFonts w:hint="eastAsia"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粉煤灰筒仓粉尘</w:t>
            </w:r>
          </w:p>
        </w:tc>
        <w:tc>
          <w:tcPr>
            <w:tcW w:w="269" w:type="pct"/>
            <w:shd w:val="clear" w:color="auto" w:fill="auto"/>
            <w:noWrap w:val="0"/>
            <w:vAlign w:val="center"/>
          </w:tcPr>
          <w:p w14:paraId="638C2C4E">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87" w:type="pct"/>
            <w:shd w:val="clear" w:color="auto" w:fill="auto"/>
            <w:noWrap w:val="0"/>
            <w:vAlign w:val="center"/>
          </w:tcPr>
          <w:p w14:paraId="400FD5EC">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39" w:type="pct"/>
            <w:vMerge w:val="continue"/>
            <w:noWrap w:val="0"/>
            <w:vAlign w:val="center"/>
          </w:tcPr>
          <w:p w14:paraId="664EFC31">
            <w:pPr>
              <w:jc w:val="center"/>
              <w:rPr>
                <w:rFonts w:hint="eastAsia" w:eastAsia="宋体"/>
                <w:kern w:val="21"/>
                <w:sz w:val="18"/>
                <w:szCs w:val="18"/>
                <w:u w:val="none" w:color="auto"/>
                <w:lang w:val="en-US" w:eastAsia="zh-CN"/>
              </w:rPr>
            </w:pPr>
          </w:p>
        </w:tc>
        <w:tc>
          <w:tcPr>
            <w:tcW w:w="209" w:type="pct"/>
            <w:vMerge w:val="continue"/>
            <w:noWrap w:val="0"/>
            <w:vAlign w:val="center"/>
          </w:tcPr>
          <w:p w14:paraId="658ED270">
            <w:pPr>
              <w:jc w:val="center"/>
              <w:rPr>
                <w:rFonts w:hint="eastAsia"/>
                <w:kern w:val="21"/>
                <w:sz w:val="18"/>
                <w:szCs w:val="18"/>
                <w:u w:val="none" w:color="auto"/>
                <w:lang w:val="en-US" w:eastAsia="zh-CN"/>
              </w:rPr>
            </w:pPr>
          </w:p>
        </w:tc>
        <w:tc>
          <w:tcPr>
            <w:tcW w:w="356" w:type="pct"/>
            <w:shd w:val="clear" w:color="auto" w:fill="auto"/>
            <w:noWrap w:val="0"/>
            <w:vAlign w:val="center"/>
          </w:tcPr>
          <w:p w14:paraId="015F1B37">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336" w:type="pct"/>
            <w:shd w:val="clear" w:color="auto" w:fill="auto"/>
            <w:noWrap w:val="0"/>
            <w:vAlign w:val="center"/>
          </w:tcPr>
          <w:p w14:paraId="2925BDBF">
            <w:pPr>
              <w:jc w:val="center"/>
              <w:rPr>
                <w:rFonts w:hint="default" w:ascii="Times New Roman" w:hAnsi="Times New Roman" w:eastAsia="宋体" w:cs="Times New Roman"/>
                <w:kern w:val="21"/>
                <w:sz w:val="18"/>
                <w:szCs w:val="18"/>
                <w:u w:val="none" w:color="auto"/>
                <w:lang w:val="en-US" w:eastAsia="zh-CN" w:bidi="ar-SA"/>
              </w:rPr>
            </w:pPr>
            <w:r>
              <w:rPr>
                <w:rFonts w:hint="eastAsia" w:ascii="Times New Roman" w:hAnsi="Times New Roman" w:eastAsia="宋体" w:cs="Times New Roman"/>
                <w:kern w:val="21"/>
                <w:sz w:val="18"/>
                <w:szCs w:val="18"/>
                <w:u w:val="none" w:color="auto"/>
                <w:lang w:val="en-US" w:eastAsia="zh-CN" w:bidi="ar-SA"/>
              </w:rPr>
              <w:t>0.</w:t>
            </w:r>
            <w:r>
              <w:rPr>
                <w:rFonts w:hint="eastAsia" w:cs="Times New Roman"/>
                <w:kern w:val="21"/>
                <w:sz w:val="18"/>
                <w:szCs w:val="18"/>
                <w:u w:val="none" w:color="auto"/>
                <w:lang w:val="en-US" w:eastAsia="zh-CN" w:bidi="ar-SA"/>
              </w:rPr>
              <w:t>168</w:t>
            </w:r>
          </w:p>
        </w:tc>
        <w:tc>
          <w:tcPr>
            <w:tcW w:w="314" w:type="pct"/>
            <w:shd w:val="clear" w:color="auto" w:fill="auto"/>
            <w:noWrap w:val="0"/>
            <w:vAlign w:val="center"/>
          </w:tcPr>
          <w:p w14:paraId="0BB55393">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0.07</w:t>
            </w:r>
          </w:p>
        </w:tc>
        <w:tc>
          <w:tcPr>
            <w:tcW w:w="322" w:type="pct"/>
            <w:shd w:val="clear" w:color="auto" w:fill="auto"/>
            <w:noWrap w:val="0"/>
            <w:vAlign w:val="center"/>
          </w:tcPr>
          <w:p w14:paraId="1D7E5CE0">
            <w:pPr>
              <w:jc w:val="center"/>
              <w:rPr>
                <w:rFonts w:hint="eastAsia" w:ascii="Times New Roman" w:hAnsi="Times New Roman" w:eastAsia="宋体" w:cs="Times New Roman"/>
                <w:color w:val="000000"/>
                <w:kern w:val="0"/>
                <w:sz w:val="18"/>
                <w:szCs w:val="18"/>
                <w:u w:val="none" w:color="auto"/>
                <w:lang w:val="en-US" w:eastAsia="zh-CN" w:bidi="ar"/>
              </w:rPr>
            </w:pPr>
            <w:r>
              <w:rPr>
                <w:rFonts w:hint="eastAsia"/>
                <w:i w:val="0"/>
                <w:iCs w:val="0"/>
                <w:sz w:val="18"/>
                <w:szCs w:val="18"/>
                <w:u w:val="none" w:color="auto"/>
                <w:lang w:val="en-US" w:eastAsia="zh-CN"/>
              </w:rPr>
              <w:t>筒仓</w:t>
            </w:r>
            <w:r>
              <w:rPr>
                <w:rFonts w:hint="eastAsia"/>
                <w:i w:val="0"/>
                <w:iCs w:val="0"/>
                <w:sz w:val="18"/>
                <w:szCs w:val="18"/>
                <w:u w:val="none" w:color="auto"/>
              </w:rPr>
              <w:t>自带脉冲袋式除尘器</w:t>
            </w:r>
          </w:p>
        </w:tc>
        <w:tc>
          <w:tcPr>
            <w:tcW w:w="283" w:type="pct"/>
            <w:shd w:val="clear" w:color="auto" w:fill="auto"/>
            <w:noWrap w:val="0"/>
            <w:vAlign w:val="center"/>
          </w:tcPr>
          <w:p w14:paraId="7FAB751B">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99.7</w:t>
            </w:r>
          </w:p>
        </w:tc>
        <w:tc>
          <w:tcPr>
            <w:tcW w:w="282" w:type="pct"/>
            <w:shd w:val="clear" w:color="auto" w:fill="auto"/>
            <w:noWrap w:val="0"/>
            <w:vAlign w:val="center"/>
          </w:tcPr>
          <w:p w14:paraId="77171187">
            <w:pPr>
              <w:jc w:val="center"/>
              <w:rPr>
                <w:rFonts w:hint="eastAsia"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204" w:type="pct"/>
            <w:vMerge w:val="continue"/>
            <w:noWrap w:val="0"/>
            <w:vAlign w:val="center"/>
          </w:tcPr>
          <w:p w14:paraId="72CDBA5F">
            <w:pPr>
              <w:jc w:val="center"/>
              <w:rPr>
                <w:rFonts w:hint="eastAsia"/>
                <w:kern w:val="21"/>
                <w:sz w:val="18"/>
                <w:szCs w:val="18"/>
                <w:u w:val="none" w:color="auto"/>
                <w:lang w:val="en-US" w:eastAsia="zh-CN"/>
              </w:rPr>
            </w:pPr>
          </w:p>
        </w:tc>
        <w:tc>
          <w:tcPr>
            <w:tcW w:w="360" w:type="pct"/>
            <w:shd w:val="clear" w:color="auto" w:fill="auto"/>
            <w:noWrap w:val="0"/>
            <w:vAlign w:val="center"/>
          </w:tcPr>
          <w:p w14:paraId="55566691">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343" w:type="pct"/>
            <w:shd w:val="clear" w:color="auto" w:fill="auto"/>
            <w:noWrap w:val="0"/>
            <w:vAlign w:val="center"/>
          </w:tcPr>
          <w:p w14:paraId="2362CEF9">
            <w:pPr>
              <w:jc w:val="center"/>
              <w:rPr>
                <w:rFonts w:hint="eastAsia" w:ascii="Times New Roman" w:hAnsi="Times New Roman" w:eastAsia="宋体" w:cs="Times New Roman"/>
                <w:kern w:val="21"/>
                <w:sz w:val="18"/>
                <w:szCs w:val="18"/>
                <w:u w:val="none" w:color="auto"/>
                <w:lang w:val="en-US" w:eastAsia="zh-CN" w:bidi="ar-SA"/>
              </w:rPr>
            </w:pPr>
            <w:r>
              <w:rPr>
                <w:rFonts w:hint="eastAsia" w:ascii="Times New Roman" w:hAnsi="Times New Roman" w:eastAsia="宋体" w:cs="Times New Roman"/>
                <w:kern w:val="21"/>
                <w:sz w:val="18"/>
                <w:szCs w:val="18"/>
                <w:u w:val="none" w:color="auto"/>
                <w:lang w:val="en-US" w:eastAsia="zh-CN" w:bidi="ar-SA"/>
              </w:rPr>
              <w:t>0.000</w:t>
            </w:r>
            <w:r>
              <w:rPr>
                <w:rFonts w:hint="eastAsia" w:cs="Times New Roman"/>
                <w:kern w:val="21"/>
                <w:sz w:val="18"/>
                <w:szCs w:val="18"/>
                <w:u w:val="none" w:color="auto"/>
                <w:lang w:val="en-US" w:eastAsia="zh-CN" w:bidi="ar-SA"/>
              </w:rPr>
              <w:t>4</w:t>
            </w:r>
          </w:p>
        </w:tc>
        <w:tc>
          <w:tcPr>
            <w:tcW w:w="355" w:type="pct"/>
            <w:shd w:val="clear" w:color="auto" w:fill="auto"/>
            <w:noWrap w:val="0"/>
            <w:vAlign w:val="center"/>
          </w:tcPr>
          <w:p w14:paraId="5532C495">
            <w:pPr>
              <w:jc w:val="center"/>
              <w:rPr>
                <w:rFonts w:hint="default" w:ascii="Times New Roman" w:hAnsi="Times New Roman" w:eastAsia="宋体" w:cs="Times New Roman"/>
                <w:kern w:val="21"/>
                <w:sz w:val="18"/>
                <w:szCs w:val="18"/>
                <w:u w:val="none" w:color="auto"/>
                <w:lang w:val="en-US" w:eastAsia="zh-CN" w:bidi="ar-SA"/>
              </w:rPr>
            </w:pPr>
            <w:r>
              <w:rPr>
                <w:rFonts w:hint="default" w:ascii="Times New Roman" w:hAnsi="Times New Roman" w:eastAsia="宋体" w:cs="Times New Roman"/>
                <w:kern w:val="21"/>
                <w:sz w:val="18"/>
                <w:szCs w:val="18"/>
                <w:u w:val="none" w:color="auto"/>
                <w:lang w:val="en-US" w:eastAsia="zh-CN" w:bidi="ar-SA"/>
              </w:rPr>
              <w:t>0.000</w:t>
            </w:r>
            <w:r>
              <w:rPr>
                <w:rFonts w:hint="eastAsia" w:cs="Times New Roman"/>
                <w:kern w:val="21"/>
                <w:sz w:val="18"/>
                <w:szCs w:val="18"/>
                <w:u w:val="none" w:color="auto"/>
                <w:lang w:val="en-US" w:eastAsia="zh-CN" w:bidi="ar-SA"/>
              </w:rPr>
              <w:t>2</w:t>
            </w:r>
          </w:p>
        </w:tc>
        <w:tc>
          <w:tcPr>
            <w:tcW w:w="289" w:type="pct"/>
            <w:vMerge w:val="continue"/>
            <w:shd w:val="clear" w:color="auto" w:fill="auto"/>
            <w:noWrap w:val="0"/>
            <w:vAlign w:val="center"/>
          </w:tcPr>
          <w:p w14:paraId="68011CA4">
            <w:pPr>
              <w:jc w:val="center"/>
              <w:rPr>
                <w:rFonts w:hint="eastAsia" w:ascii="Times New Roman" w:hAnsi="Times New Roman" w:eastAsia="宋体" w:cs="Times New Roman"/>
                <w:kern w:val="21"/>
                <w:sz w:val="18"/>
                <w:szCs w:val="18"/>
                <w:u w:val="none" w:color="auto"/>
                <w:lang w:val="en-US" w:eastAsia="zh-CN" w:bidi="ar-SA"/>
              </w:rPr>
            </w:pPr>
          </w:p>
        </w:tc>
        <w:tc>
          <w:tcPr>
            <w:tcW w:w="276" w:type="pct"/>
            <w:vMerge w:val="continue"/>
            <w:noWrap w:val="0"/>
            <w:vAlign w:val="center"/>
          </w:tcPr>
          <w:p w14:paraId="5BC06A61">
            <w:pPr>
              <w:jc w:val="center"/>
              <w:rPr>
                <w:rFonts w:hint="eastAsia"/>
                <w:kern w:val="21"/>
                <w:sz w:val="18"/>
                <w:szCs w:val="18"/>
                <w:u w:val="none" w:color="auto"/>
                <w:lang w:val="en-US" w:eastAsia="zh-CN"/>
              </w:rPr>
            </w:pPr>
          </w:p>
        </w:tc>
      </w:tr>
      <w:tr w14:paraId="4D6618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shd w:val="clear" w:color="auto" w:fill="auto"/>
            <w:noWrap w:val="0"/>
            <w:vAlign w:val="center"/>
          </w:tcPr>
          <w:p w14:paraId="0B39CB4D">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矿粉筒仓粉尘</w:t>
            </w:r>
          </w:p>
        </w:tc>
        <w:tc>
          <w:tcPr>
            <w:tcW w:w="269" w:type="pct"/>
            <w:shd w:val="clear" w:color="auto" w:fill="auto"/>
            <w:noWrap w:val="0"/>
            <w:vAlign w:val="center"/>
          </w:tcPr>
          <w:p w14:paraId="06307187">
            <w:pPr>
              <w:jc w:val="center"/>
              <w:rPr>
                <w:rFonts w:hint="eastAsia"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287" w:type="pct"/>
            <w:shd w:val="clear" w:color="auto" w:fill="auto"/>
            <w:noWrap w:val="0"/>
            <w:vAlign w:val="center"/>
          </w:tcPr>
          <w:p w14:paraId="725653E4">
            <w:pPr>
              <w:jc w:val="center"/>
              <w:rPr>
                <w:rFonts w:hint="eastAsia"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239" w:type="pct"/>
            <w:vMerge w:val="continue"/>
            <w:noWrap w:val="0"/>
            <w:vAlign w:val="center"/>
          </w:tcPr>
          <w:p w14:paraId="4C8D029A">
            <w:pPr>
              <w:jc w:val="center"/>
              <w:rPr>
                <w:rFonts w:hint="eastAsia" w:eastAsia="宋体"/>
                <w:kern w:val="21"/>
                <w:sz w:val="18"/>
                <w:szCs w:val="18"/>
                <w:u w:val="none" w:color="auto"/>
                <w:lang w:val="en-US" w:eastAsia="zh-CN"/>
              </w:rPr>
            </w:pPr>
          </w:p>
        </w:tc>
        <w:tc>
          <w:tcPr>
            <w:tcW w:w="209" w:type="pct"/>
            <w:vMerge w:val="continue"/>
            <w:noWrap w:val="0"/>
            <w:vAlign w:val="center"/>
          </w:tcPr>
          <w:p w14:paraId="5B6F159E">
            <w:pPr>
              <w:jc w:val="center"/>
              <w:rPr>
                <w:rFonts w:hint="eastAsia"/>
                <w:kern w:val="21"/>
                <w:sz w:val="18"/>
                <w:szCs w:val="18"/>
                <w:u w:val="none" w:color="auto"/>
                <w:lang w:val="en-US" w:eastAsia="zh-CN"/>
              </w:rPr>
            </w:pPr>
          </w:p>
        </w:tc>
        <w:tc>
          <w:tcPr>
            <w:tcW w:w="356" w:type="pct"/>
            <w:noWrap w:val="0"/>
            <w:vAlign w:val="center"/>
          </w:tcPr>
          <w:p w14:paraId="255F21C9">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w:t>
            </w:r>
          </w:p>
        </w:tc>
        <w:tc>
          <w:tcPr>
            <w:tcW w:w="336" w:type="pct"/>
            <w:shd w:val="clear" w:color="auto" w:fill="auto"/>
            <w:noWrap w:val="0"/>
            <w:vAlign w:val="center"/>
          </w:tcPr>
          <w:p w14:paraId="19E60B05">
            <w:pPr>
              <w:jc w:val="center"/>
              <w:rPr>
                <w:rFonts w:hint="default" w:ascii="Times New Roman" w:hAnsi="Times New Roman" w:eastAsia="宋体" w:cs="Times New Roman"/>
                <w:kern w:val="21"/>
                <w:sz w:val="18"/>
                <w:szCs w:val="18"/>
                <w:u w:val="none" w:color="auto"/>
                <w:lang w:val="en-US" w:eastAsia="zh-CN" w:bidi="ar-SA"/>
              </w:rPr>
            </w:pPr>
            <w:r>
              <w:rPr>
                <w:rFonts w:hint="eastAsia" w:ascii="Times New Roman" w:hAnsi="Times New Roman" w:eastAsia="宋体" w:cs="Times New Roman"/>
                <w:kern w:val="21"/>
                <w:sz w:val="18"/>
                <w:szCs w:val="18"/>
                <w:u w:val="none" w:color="auto"/>
                <w:lang w:val="en-US" w:eastAsia="zh-CN" w:bidi="ar-SA"/>
              </w:rPr>
              <w:t>0.</w:t>
            </w:r>
            <w:r>
              <w:rPr>
                <w:rFonts w:hint="eastAsia" w:cs="Times New Roman"/>
                <w:kern w:val="21"/>
                <w:sz w:val="18"/>
                <w:szCs w:val="18"/>
                <w:u w:val="none" w:color="auto"/>
                <w:lang w:val="en-US" w:eastAsia="zh-CN" w:bidi="ar-SA"/>
              </w:rPr>
              <w:t>168</w:t>
            </w:r>
          </w:p>
        </w:tc>
        <w:tc>
          <w:tcPr>
            <w:tcW w:w="314" w:type="pct"/>
            <w:shd w:val="clear" w:color="auto" w:fill="auto"/>
            <w:noWrap w:val="0"/>
            <w:vAlign w:val="center"/>
          </w:tcPr>
          <w:p w14:paraId="31969B86">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0.07</w:t>
            </w:r>
          </w:p>
        </w:tc>
        <w:tc>
          <w:tcPr>
            <w:tcW w:w="322" w:type="pct"/>
            <w:shd w:val="clear" w:color="auto" w:fill="auto"/>
            <w:noWrap w:val="0"/>
            <w:vAlign w:val="center"/>
          </w:tcPr>
          <w:p w14:paraId="580C4105">
            <w:pPr>
              <w:jc w:val="center"/>
              <w:rPr>
                <w:rFonts w:hint="eastAsia" w:ascii="Times New Roman" w:hAnsi="Times New Roman" w:eastAsia="宋体" w:cs="Times New Roman"/>
                <w:color w:val="000000"/>
                <w:kern w:val="0"/>
                <w:sz w:val="18"/>
                <w:szCs w:val="18"/>
                <w:u w:val="none" w:color="auto"/>
                <w:lang w:val="en-US" w:eastAsia="zh-CN" w:bidi="ar"/>
              </w:rPr>
            </w:pPr>
            <w:r>
              <w:rPr>
                <w:rFonts w:hint="eastAsia"/>
                <w:i w:val="0"/>
                <w:iCs w:val="0"/>
                <w:sz w:val="18"/>
                <w:szCs w:val="18"/>
                <w:u w:val="none" w:color="auto"/>
                <w:lang w:val="en-US" w:eastAsia="zh-CN"/>
              </w:rPr>
              <w:t>筒仓</w:t>
            </w:r>
            <w:r>
              <w:rPr>
                <w:rFonts w:hint="eastAsia"/>
                <w:i w:val="0"/>
                <w:iCs w:val="0"/>
                <w:sz w:val="18"/>
                <w:szCs w:val="18"/>
                <w:u w:val="none" w:color="auto"/>
              </w:rPr>
              <w:t>自带脉冲袋式除尘器</w:t>
            </w:r>
          </w:p>
        </w:tc>
        <w:tc>
          <w:tcPr>
            <w:tcW w:w="283" w:type="pct"/>
            <w:shd w:val="clear" w:color="auto" w:fill="auto"/>
            <w:noWrap w:val="0"/>
            <w:vAlign w:val="center"/>
          </w:tcPr>
          <w:p w14:paraId="0127CCB1">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99.7</w:t>
            </w:r>
          </w:p>
        </w:tc>
        <w:tc>
          <w:tcPr>
            <w:tcW w:w="282" w:type="pct"/>
            <w:shd w:val="clear" w:color="auto" w:fill="auto"/>
            <w:noWrap w:val="0"/>
            <w:vAlign w:val="center"/>
          </w:tcPr>
          <w:p w14:paraId="7FEB598F">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04" w:type="pct"/>
            <w:vMerge w:val="continue"/>
            <w:noWrap w:val="0"/>
            <w:vAlign w:val="center"/>
          </w:tcPr>
          <w:p w14:paraId="3B1BD70D">
            <w:pPr>
              <w:jc w:val="center"/>
              <w:rPr>
                <w:rFonts w:hint="eastAsia"/>
                <w:kern w:val="21"/>
                <w:sz w:val="18"/>
                <w:szCs w:val="18"/>
                <w:u w:val="none" w:color="auto"/>
                <w:lang w:val="en-US" w:eastAsia="zh-CN"/>
              </w:rPr>
            </w:pPr>
          </w:p>
        </w:tc>
        <w:tc>
          <w:tcPr>
            <w:tcW w:w="360" w:type="pct"/>
            <w:noWrap w:val="0"/>
            <w:vAlign w:val="center"/>
          </w:tcPr>
          <w:p w14:paraId="7B0D8CEF">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w:t>
            </w:r>
          </w:p>
        </w:tc>
        <w:tc>
          <w:tcPr>
            <w:tcW w:w="343" w:type="pct"/>
            <w:shd w:val="clear" w:color="auto" w:fill="auto"/>
            <w:noWrap w:val="0"/>
            <w:vAlign w:val="center"/>
          </w:tcPr>
          <w:p w14:paraId="7A736E4B">
            <w:pPr>
              <w:jc w:val="center"/>
              <w:rPr>
                <w:rFonts w:hint="eastAsia" w:ascii="Times New Roman" w:hAnsi="Times New Roman" w:eastAsia="宋体" w:cs="Times New Roman"/>
                <w:kern w:val="21"/>
                <w:sz w:val="18"/>
                <w:szCs w:val="18"/>
                <w:u w:val="none" w:color="auto"/>
                <w:lang w:val="en-US" w:eastAsia="zh-CN" w:bidi="ar-SA"/>
              </w:rPr>
            </w:pPr>
            <w:r>
              <w:rPr>
                <w:rFonts w:hint="eastAsia" w:ascii="Times New Roman" w:hAnsi="Times New Roman" w:eastAsia="宋体" w:cs="Times New Roman"/>
                <w:kern w:val="21"/>
                <w:sz w:val="18"/>
                <w:szCs w:val="18"/>
                <w:u w:val="none" w:color="auto"/>
                <w:lang w:val="en-US" w:eastAsia="zh-CN" w:bidi="ar-SA"/>
              </w:rPr>
              <w:t>0.000</w:t>
            </w:r>
            <w:r>
              <w:rPr>
                <w:rFonts w:hint="eastAsia" w:cs="Times New Roman"/>
                <w:kern w:val="21"/>
                <w:sz w:val="18"/>
                <w:szCs w:val="18"/>
                <w:u w:val="none" w:color="auto"/>
                <w:lang w:val="en-US" w:eastAsia="zh-CN" w:bidi="ar-SA"/>
              </w:rPr>
              <w:t>4</w:t>
            </w:r>
          </w:p>
        </w:tc>
        <w:tc>
          <w:tcPr>
            <w:tcW w:w="355" w:type="pct"/>
            <w:shd w:val="clear" w:color="auto" w:fill="auto"/>
            <w:noWrap w:val="0"/>
            <w:vAlign w:val="center"/>
          </w:tcPr>
          <w:p w14:paraId="5B663A40">
            <w:pPr>
              <w:jc w:val="center"/>
              <w:rPr>
                <w:rFonts w:hint="eastAsia" w:ascii="Times New Roman" w:hAnsi="Times New Roman" w:eastAsia="宋体" w:cs="Times New Roman"/>
                <w:kern w:val="21"/>
                <w:sz w:val="18"/>
                <w:szCs w:val="18"/>
                <w:u w:val="none" w:color="auto"/>
                <w:lang w:val="en-US" w:eastAsia="zh-CN" w:bidi="ar-SA"/>
              </w:rPr>
            </w:pPr>
            <w:r>
              <w:rPr>
                <w:rFonts w:hint="default" w:ascii="Times New Roman" w:hAnsi="Times New Roman" w:eastAsia="宋体" w:cs="Times New Roman"/>
                <w:kern w:val="21"/>
                <w:sz w:val="18"/>
                <w:szCs w:val="18"/>
                <w:u w:val="none" w:color="auto"/>
                <w:lang w:val="en-US" w:eastAsia="zh-CN" w:bidi="ar-SA"/>
              </w:rPr>
              <w:t>0.000</w:t>
            </w:r>
            <w:r>
              <w:rPr>
                <w:rFonts w:hint="eastAsia" w:cs="Times New Roman"/>
                <w:kern w:val="21"/>
                <w:sz w:val="18"/>
                <w:szCs w:val="18"/>
                <w:u w:val="none" w:color="auto"/>
                <w:lang w:val="en-US" w:eastAsia="zh-CN" w:bidi="ar-SA"/>
              </w:rPr>
              <w:t>2</w:t>
            </w:r>
          </w:p>
        </w:tc>
        <w:tc>
          <w:tcPr>
            <w:tcW w:w="289" w:type="pct"/>
            <w:vMerge w:val="continue"/>
            <w:noWrap w:val="0"/>
            <w:vAlign w:val="center"/>
          </w:tcPr>
          <w:p w14:paraId="69C925A0">
            <w:pPr>
              <w:jc w:val="center"/>
              <w:rPr>
                <w:rFonts w:hint="default" w:eastAsia="宋体"/>
                <w:kern w:val="21"/>
                <w:sz w:val="18"/>
                <w:szCs w:val="18"/>
                <w:u w:val="none" w:color="auto"/>
                <w:lang w:val="en-US" w:eastAsia="zh-CN"/>
              </w:rPr>
            </w:pPr>
          </w:p>
        </w:tc>
        <w:tc>
          <w:tcPr>
            <w:tcW w:w="276" w:type="pct"/>
            <w:vMerge w:val="continue"/>
            <w:noWrap w:val="0"/>
            <w:vAlign w:val="center"/>
          </w:tcPr>
          <w:p w14:paraId="33406008">
            <w:pPr>
              <w:jc w:val="center"/>
              <w:rPr>
                <w:rFonts w:hint="eastAsia"/>
                <w:kern w:val="21"/>
                <w:sz w:val="18"/>
                <w:szCs w:val="18"/>
                <w:u w:val="none" w:color="auto"/>
                <w:lang w:val="en-US" w:eastAsia="zh-CN"/>
              </w:rPr>
            </w:pPr>
          </w:p>
        </w:tc>
      </w:tr>
      <w:tr w14:paraId="092C0C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shd w:val="clear" w:color="auto" w:fill="auto"/>
            <w:noWrap w:val="0"/>
            <w:vAlign w:val="center"/>
          </w:tcPr>
          <w:p w14:paraId="3CEABA49">
            <w:pPr>
              <w:jc w:val="center"/>
              <w:rPr>
                <w:rFonts w:hint="default"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搅拌机粉尘</w:t>
            </w:r>
          </w:p>
        </w:tc>
        <w:tc>
          <w:tcPr>
            <w:tcW w:w="269" w:type="pct"/>
            <w:shd w:val="clear" w:color="auto" w:fill="auto"/>
            <w:noWrap w:val="0"/>
            <w:vAlign w:val="center"/>
          </w:tcPr>
          <w:p w14:paraId="677C2CD3">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87" w:type="pct"/>
            <w:shd w:val="clear" w:color="auto" w:fill="auto"/>
            <w:noWrap w:val="0"/>
            <w:vAlign w:val="center"/>
          </w:tcPr>
          <w:p w14:paraId="552439B0">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w:t>
            </w:r>
          </w:p>
        </w:tc>
        <w:tc>
          <w:tcPr>
            <w:tcW w:w="239" w:type="pct"/>
            <w:vMerge w:val="continue"/>
            <w:noWrap w:val="0"/>
            <w:vAlign w:val="center"/>
          </w:tcPr>
          <w:p w14:paraId="06C72AA1">
            <w:pPr>
              <w:jc w:val="center"/>
              <w:rPr>
                <w:rFonts w:hint="eastAsia" w:eastAsia="宋体"/>
                <w:kern w:val="21"/>
                <w:sz w:val="18"/>
                <w:szCs w:val="18"/>
                <w:u w:val="none" w:color="auto"/>
                <w:lang w:val="en-US" w:eastAsia="zh-CN"/>
              </w:rPr>
            </w:pPr>
          </w:p>
        </w:tc>
        <w:tc>
          <w:tcPr>
            <w:tcW w:w="209" w:type="pct"/>
            <w:vMerge w:val="continue"/>
            <w:noWrap w:val="0"/>
            <w:vAlign w:val="center"/>
          </w:tcPr>
          <w:p w14:paraId="300BBCD5">
            <w:pPr>
              <w:jc w:val="center"/>
              <w:rPr>
                <w:rFonts w:hint="eastAsia"/>
                <w:kern w:val="21"/>
                <w:sz w:val="18"/>
                <w:szCs w:val="18"/>
                <w:u w:val="none" w:color="auto"/>
                <w:lang w:val="en-US" w:eastAsia="zh-CN"/>
              </w:rPr>
            </w:pPr>
          </w:p>
        </w:tc>
        <w:tc>
          <w:tcPr>
            <w:tcW w:w="356" w:type="pct"/>
            <w:shd w:val="clear" w:color="auto" w:fill="auto"/>
            <w:noWrap w:val="0"/>
            <w:vAlign w:val="center"/>
          </w:tcPr>
          <w:p w14:paraId="66C0BC21">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336" w:type="pct"/>
            <w:shd w:val="clear" w:color="auto" w:fill="auto"/>
            <w:noWrap w:val="0"/>
            <w:vAlign w:val="center"/>
          </w:tcPr>
          <w:p w14:paraId="5B33482A">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18.72</w:t>
            </w:r>
          </w:p>
        </w:tc>
        <w:tc>
          <w:tcPr>
            <w:tcW w:w="314" w:type="pct"/>
            <w:shd w:val="clear" w:color="auto" w:fill="auto"/>
            <w:noWrap w:val="0"/>
            <w:vAlign w:val="center"/>
          </w:tcPr>
          <w:p w14:paraId="03997A42">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7.8</w:t>
            </w:r>
          </w:p>
        </w:tc>
        <w:tc>
          <w:tcPr>
            <w:tcW w:w="322" w:type="pct"/>
            <w:shd w:val="clear" w:color="auto" w:fill="auto"/>
            <w:noWrap w:val="0"/>
            <w:vAlign w:val="center"/>
          </w:tcPr>
          <w:p w14:paraId="73DC8360">
            <w:pPr>
              <w:jc w:val="center"/>
              <w:rPr>
                <w:rFonts w:hint="eastAsia" w:ascii="Times New Roman" w:hAnsi="Times New Roman" w:eastAsia="宋体" w:cs="Times New Roman"/>
                <w:color w:val="000000"/>
                <w:kern w:val="0"/>
                <w:sz w:val="18"/>
                <w:szCs w:val="18"/>
                <w:u w:val="none" w:color="auto"/>
                <w:lang w:val="en-US" w:eastAsia="zh-CN" w:bidi="ar"/>
              </w:rPr>
            </w:pPr>
            <w:r>
              <w:rPr>
                <w:rFonts w:hint="eastAsia"/>
                <w:i w:val="0"/>
                <w:iCs w:val="0"/>
                <w:sz w:val="18"/>
                <w:szCs w:val="18"/>
                <w:u w:val="none" w:color="auto"/>
                <w:lang w:val="en-US" w:eastAsia="zh-CN"/>
              </w:rPr>
              <w:t>搅拌机</w:t>
            </w:r>
            <w:r>
              <w:rPr>
                <w:rFonts w:hint="eastAsia"/>
                <w:i w:val="0"/>
                <w:iCs w:val="0"/>
                <w:sz w:val="18"/>
                <w:szCs w:val="18"/>
                <w:u w:val="none" w:color="auto"/>
              </w:rPr>
              <w:t>自带脉冲袋式除尘器</w:t>
            </w:r>
          </w:p>
        </w:tc>
        <w:tc>
          <w:tcPr>
            <w:tcW w:w="283" w:type="pct"/>
            <w:shd w:val="clear" w:color="auto" w:fill="auto"/>
            <w:noWrap w:val="0"/>
            <w:vAlign w:val="center"/>
          </w:tcPr>
          <w:p w14:paraId="014EC2DC">
            <w:pPr>
              <w:jc w:val="center"/>
              <w:rPr>
                <w:rFonts w:hint="eastAsia"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99.7</w:t>
            </w:r>
          </w:p>
        </w:tc>
        <w:tc>
          <w:tcPr>
            <w:tcW w:w="282" w:type="pct"/>
            <w:shd w:val="clear" w:color="auto" w:fill="auto"/>
            <w:noWrap w:val="0"/>
            <w:vAlign w:val="center"/>
          </w:tcPr>
          <w:p w14:paraId="0BFA99D0">
            <w:pPr>
              <w:jc w:val="center"/>
              <w:rPr>
                <w:rFonts w:hint="eastAsia"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204" w:type="pct"/>
            <w:vMerge w:val="continue"/>
            <w:noWrap w:val="0"/>
            <w:vAlign w:val="center"/>
          </w:tcPr>
          <w:p w14:paraId="1695D056">
            <w:pPr>
              <w:jc w:val="center"/>
              <w:rPr>
                <w:rFonts w:hint="eastAsia"/>
                <w:kern w:val="21"/>
                <w:sz w:val="18"/>
                <w:szCs w:val="18"/>
                <w:u w:val="none" w:color="auto"/>
                <w:lang w:val="en-US" w:eastAsia="zh-CN"/>
              </w:rPr>
            </w:pPr>
          </w:p>
        </w:tc>
        <w:tc>
          <w:tcPr>
            <w:tcW w:w="360" w:type="pct"/>
            <w:shd w:val="clear" w:color="auto" w:fill="auto"/>
            <w:noWrap w:val="0"/>
            <w:vAlign w:val="center"/>
          </w:tcPr>
          <w:p w14:paraId="29A6FB1D">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343" w:type="pct"/>
            <w:shd w:val="clear" w:color="auto" w:fill="auto"/>
            <w:noWrap w:val="0"/>
            <w:vAlign w:val="center"/>
          </w:tcPr>
          <w:p w14:paraId="48DE035E">
            <w:pPr>
              <w:jc w:val="center"/>
              <w:rPr>
                <w:rFonts w:hint="default" w:ascii="Times New Roman" w:hAnsi="Times New Roman" w:eastAsia="宋体" w:cs="Times New Roman"/>
                <w:kern w:val="21"/>
                <w:sz w:val="18"/>
                <w:szCs w:val="18"/>
                <w:u w:val="none" w:color="auto"/>
                <w:lang w:val="en-US" w:eastAsia="zh-CN" w:bidi="ar-SA"/>
              </w:rPr>
            </w:pPr>
            <w:r>
              <w:rPr>
                <w:rFonts w:hint="eastAsia" w:ascii="Times New Roman" w:hAnsi="Times New Roman" w:eastAsia="宋体" w:cs="Times New Roman"/>
                <w:kern w:val="21"/>
                <w:sz w:val="18"/>
                <w:szCs w:val="18"/>
                <w:u w:val="none" w:color="auto"/>
                <w:lang w:val="en-US" w:eastAsia="zh-CN" w:bidi="ar-SA"/>
              </w:rPr>
              <w:t>0.0</w:t>
            </w:r>
            <w:r>
              <w:rPr>
                <w:rFonts w:hint="eastAsia" w:cs="Times New Roman"/>
                <w:kern w:val="21"/>
                <w:sz w:val="18"/>
                <w:szCs w:val="18"/>
                <w:u w:val="none" w:color="auto"/>
                <w:lang w:val="en-US" w:eastAsia="zh-CN" w:bidi="ar-SA"/>
              </w:rPr>
              <w:t>56</w:t>
            </w:r>
          </w:p>
        </w:tc>
        <w:tc>
          <w:tcPr>
            <w:tcW w:w="355" w:type="pct"/>
            <w:shd w:val="clear" w:color="auto" w:fill="auto"/>
            <w:noWrap w:val="0"/>
            <w:vAlign w:val="center"/>
          </w:tcPr>
          <w:p w14:paraId="106AD74F">
            <w:pPr>
              <w:jc w:val="center"/>
              <w:rPr>
                <w:rFonts w:hint="default" w:ascii="Times New Roman" w:hAnsi="Times New Roman" w:eastAsia="宋体" w:cs="Times New Roman"/>
                <w:kern w:val="21"/>
                <w:sz w:val="18"/>
                <w:szCs w:val="18"/>
                <w:u w:val="none" w:color="auto"/>
                <w:lang w:val="en-US" w:eastAsia="zh-CN" w:bidi="ar-SA"/>
              </w:rPr>
            </w:pPr>
            <w:r>
              <w:rPr>
                <w:rFonts w:hint="eastAsia" w:eastAsia="宋体"/>
                <w:kern w:val="21"/>
                <w:sz w:val="18"/>
                <w:szCs w:val="18"/>
                <w:u w:val="none" w:color="auto"/>
                <w:lang w:val="en-US" w:eastAsia="zh-CN"/>
              </w:rPr>
              <w:t>0.0</w:t>
            </w:r>
            <w:r>
              <w:rPr>
                <w:rFonts w:hint="eastAsia"/>
                <w:kern w:val="21"/>
                <w:sz w:val="18"/>
                <w:szCs w:val="18"/>
                <w:u w:val="none" w:color="auto"/>
                <w:lang w:val="en-US" w:eastAsia="zh-CN"/>
              </w:rPr>
              <w:t>23</w:t>
            </w:r>
          </w:p>
        </w:tc>
        <w:tc>
          <w:tcPr>
            <w:tcW w:w="289" w:type="pct"/>
            <w:vMerge w:val="continue"/>
            <w:noWrap w:val="0"/>
            <w:vAlign w:val="center"/>
          </w:tcPr>
          <w:p w14:paraId="17D26A66">
            <w:pPr>
              <w:jc w:val="center"/>
              <w:rPr>
                <w:rFonts w:hint="default" w:eastAsia="宋体"/>
                <w:kern w:val="21"/>
                <w:sz w:val="18"/>
                <w:szCs w:val="18"/>
                <w:u w:val="none" w:color="auto"/>
                <w:lang w:val="en-US" w:eastAsia="zh-CN"/>
              </w:rPr>
            </w:pPr>
          </w:p>
        </w:tc>
        <w:tc>
          <w:tcPr>
            <w:tcW w:w="276" w:type="pct"/>
            <w:vMerge w:val="continue"/>
            <w:noWrap w:val="0"/>
            <w:vAlign w:val="center"/>
          </w:tcPr>
          <w:p w14:paraId="2B67D5ED">
            <w:pPr>
              <w:jc w:val="center"/>
              <w:rPr>
                <w:rFonts w:hint="eastAsia"/>
                <w:kern w:val="21"/>
                <w:sz w:val="18"/>
                <w:szCs w:val="18"/>
                <w:u w:val="none" w:color="auto"/>
                <w:lang w:val="en-US" w:eastAsia="zh-CN"/>
              </w:rPr>
            </w:pPr>
          </w:p>
        </w:tc>
      </w:tr>
      <w:tr w14:paraId="5294C7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shd w:val="clear" w:color="auto" w:fill="auto"/>
            <w:noWrap w:val="0"/>
            <w:vAlign w:val="center"/>
          </w:tcPr>
          <w:p w14:paraId="0D67E920">
            <w:pPr>
              <w:jc w:val="center"/>
              <w:rPr>
                <w:rFonts w:hint="default" w:ascii="Times New Roman" w:hAnsi="Times New Roman" w:eastAsia="宋体" w:cs="Times New Roman"/>
                <w:kern w:val="21"/>
                <w:sz w:val="18"/>
                <w:szCs w:val="18"/>
                <w:u w:val="none" w:color="auto"/>
                <w:lang w:val="en-US" w:eastAsia="zh-CN" w:bidi="ar-SA"/>
              </w:rPr>
            </w:pPr>
            <w:r>
              <w:rPr>
                <w:rFonts w:hint="eastAsia" w:ascii="Times New Roman" w:hAnsi="Times New Roman" w:cs="Times New Roman"/>
                <w:b w:val="0"/>
                <w:bCs w:val="0"/>
                <w:i w:val="0"/>
                <w:iCs w:val="0"/>
                <w:sz w:val="18"/>
                <w:szCs w:val="18"/>
                <w:highlight w:val="none"/>
                <w:u w:val="none" w:color="auto"/>
                <w:lang w:eastAsia="zh-CN"/>
              </w:rPr>
              <w:t>骨料堆场装卸及堆存粉尘</w:t>
            </w:r>
          </w:p>
        </w:tc>
        <w:tc>
          <w:tcPr>
            <w:tcW w:w="269" w:type="pct"/>
            <w:shd w:val="clear" w:color="auto" w:fill="auto"/>
            <w:noWrap w:val="0"/>
            <w:vAlign w:val="center"/>
          </w:tcPr>
          <w:p w14:paraId="797EA2AB">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287" w:type="pct"/>
            <w:shd w:val="clear" w:color="auto" w:fill="auto"/>
            <w:noWrap w:val="0"/>
            <w:vAlign w:val="center"/>
          </w:tcPr>
          <w:p w14:paraId="6A40B996">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w:t>
            </w:r>
          </w:p>
        </w:tc>
        <w:tc>
          <w:tcPr>
            <w:tcW w:w="239" w:type="pct"/>
            <w:vMerge w:val="continue"/>
            <w:noWrap w:val="0"/>
            <w:vAlign w:val="center"/>
          </w:tcPr>
          <w:p w14:paraId="38CC2285">
            <w:pPr>
              <w:jc w:val="center"/>
              <w:rPr>
                <w:rFonts w:hint="default" w:eastAsia="宋体"/>
                <w:kern w:val="21"/>
                <w:sz w:val="18"/>
                <w:szCs w:val="18"/>
                <w:u w:val="none" w:color="auto"/>
                <w:lang w:val="en-US" w:eastAsia="zh-CN"/>
              </w:rPr>
            </w:pPr>
          </w:p>
        </w:tc>
        <w:tc>
          <w:tcPr>
            <w:tcW w:w="209" w:type="pct"/>
            <w:vMerge w:val="continue"/>
            <w:noWrap w:val="0"/>
            <w:vAlign w:val="center"/>
          </w:tcPr>
          <w:p w14:paraId="38908C0D">
            <w:pPr>
              <w:jc w:val="center"/>
              <w:rPr>
                <w:kern w:val="21"/>
                <w:sz w:val="18"/>
                <w:szCs w:val="18"/>
                <w:u w:val="none" w:color="auto"/>
              </w:rPr>
            </w:pPr>
          </w:p>
        </w:tc>
        <w:tc>
          <w:tcPr>
            <w:tcW w:w="356" w:type="pct"/>
            <w:noWrap w:val="0"/>
            <w:vAlign w:val="center"/>
          </w:tcPr>
          <w:p w14:paraId="4521F770">
            <w:pPr>
              <w:jc w:val="center"/>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336" w:type="pct"/>
            <w:noWrap w:val="0"/>
            <w:vAlign w:val="center"/>
          </w:tcPr>
          <w:p w14:paraId="7DB0E0D8">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55.105</w:t>
            </w:r>
          </w:p>
        </w:tc>
        <w:tc>
          <w:tcPr>
            <w:tcW w:w="314" w:type="pct"/>
            <w:noWrap w:val="0"/>
            <w:vAlign w:val="center"/>
          </w:tcPr>
          <w:p w14:paraId="058907AD">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9.6</w:t>
            </w:r>
          </w:p>
        </w:tc>
        <w:tc>
          <w:tcPr>
            <w:tcW w:w="322" w:type="pct"/>
            <w:shd w:val="clear" w:color="auto" w:fill="auto"/>
            <w:noWrap w:val="0"/>
            <w:vAlign w:val="center"/>
          </w:tcPr>
          <w:p w14:paraId="71C769E2">
            <w:pPr>
              <w:jc w:val="center"/>
              <w:rPr>
                <w:rFonts w:hint="default" w:ascii="Times New Roman" w:hAnsi="Times New Roman" w:eastAsia="宋体" w:cs="Times New Roman"/>
                <w:i w:val="0"/>
                <w:iCs w:val="0"/>
                <w:kern w:val="2"/>
                <w:sz w:val="18"/>
                <w:szCs w:val="18"/>
                <w:u w:val="none" w:color="auto"/>
                <w:lang w:val="en-US" w:eastAsia="zh-CN" w:bidi="ar-SA"/>
              </w:rPr>
            </w:pPr>
            <w:r>
              <w:rPr>
                <w:rFonts w:hint="eastAsia"/>
                <w:kern w:val="21"/>
                <w:sz w:val="18"/>
                <w:szCs w:val="18"/>
                <w:u w:val="none" w:color="auto"/>
                <w:lang w:val="en-US" w:eastAsia="zh-CN"/>
              </w:rPr>
              <w:t>封闭料库</w:t>
            </w:r>
            <w:r>
              <w:rPr>
                <w:rFonts w:hint="eastAsia" w:eastAsia="宋体"/>
                <w:kern w:val="21"/>
                <w:sz w:val="18"/>
                <w:szCs w:val="18"/>
                <w:u w:val="none" w:color="auto"/>
                <w:lang w:val="en-US" w:eastAsia="zh-CN"/>
              </w:rPr>
              <w:t>、</w:t>
            </w:r>
            <w:r>
              <w:rPr>
                <w:rFonts w:hint="eastAsia"/>
                <w:kern w:val="21"/>
                <w:sz w:val="18"/>
                <w:szCs w:val="18"/>
                <w:u w:val="none" w:color="auto"/>
                <w:lang w:val="en-US" w:eastAsia="zh-CN"/>
              </w:rPr>
              <w:t>洒水</w:t>
            </w:r>
            <w:r>
              <w:rPr>
                <w:rFonts w:hint="eastAsia" w:eastAsia="宋体"/>
                <w:kern w:val="21"/>
                <w:sz w:val="18"/>
                <w:szCs w:val="18"/>
                <w:u w:val="none" w:color="auto"/>
                <w:lang w:val="en-US" w:eastAsia="zh-CN"/>
              </w:rPr>
              <w:t>降尘</w:t>
            </w:r>
          </w:p>
        </w:tc>
        <w:tc>
          <w:tcPr>
            <w:tcW w:w="283" w:type="pct"/>
            <w:shd w:val="clear" w:color="auto" w:fill="auto"/>
            <w:noWrap w:val="0"/>
            <w:vAlign w:val="center"/>
          </w:tcPr>
          <w:p w14:paraId="23EE6657">
            <w:pPr>
              <w:jc w:val="center"/>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99.9、74</w:t>
            </w:r>
          </w:p>
        </w:tc>
        <w:tc>
          <w:tcPr>
            <w:tcW w:w="282" w:type="pct"/>
            <w:noWrap w:val="0"/>
            <w:vAlign w:val="center"/>
          </w:tcPr>
          <w:p w14:paraId="47E5D14E">
            <w:pPr>
              <w:jc w:val="center"/>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04" w:type="pct"/>
            <w:vMerge w:val="continue"/>
            <w:noWrap w:val="0"/>
            <w:vAlign w:val="center"/>
          </w:tcPr>
          <w:p w14:paraId="1D271599">
            <w:pPr>
              <w:jc w:val="center"/>
              <w:rPr>
                <w:kern w:val="21"/>
                <w:sz w:val="18"/>
                <w:szCs w:val="18"/>
                <w:u w:val="none" w:color="auto"/>
              </w:rPr>
            </w:pPr>
          </w:p>
        </w:tc>
        <w:tc>
          <w:tcPr>
            <w:tcW w:w="360" w:type="pct"/>
            <w:noWrap w:val="0"/>
            <w:vAlign w:val="center"/>
          </w:tcPr>
          <w:p w14:paraId="7FCC7C69">
            <w:pPr>
              <w:jc w:val="center"/>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343" w:type="pct"/>
            <w:noWrap w:val="0"/>
            <w:vAlign w:val="center"/>
          </w:tcPr>
          <w:p w14:paraId="6F5DD544">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0.014</w:t>
            </w:r>
          </w:p>
        </w:tc>
        <w:tc>
          <w:tcPr>
            <w:tcW w:w="355" w:type="pct"/>
            <w:noWrap w:val="0"/>
            <w:vAlign w:val="center"/>
          </w:tcPr>
          <w:p w14:paraId="6E2CD0AB">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0.002</w:t>
            </w:r>
          </w:p>
        </w:tc>
        <w:tc>
          <w:tcPr>
            <w:tcW w:w="289" w:type="pct"/>
            <w:vMerge w:val="continue"/>
            <w:noWrap w:val="0"/>
            <w:vAlign w:val="center"/>
          </w:tcPr>
          <w:p w14:paraId="28F4F8E5">
            <w:pPr>
              <w:jc w:val="center"/>
              <w:rPr>
                <w:rFonts w:hint="default" w:eastAsia="宋体"/>
                <w:kern w:val="21"/>
                <w:sz w:val="18"/>
                <w:szCs w:val="18"/>
                <w:u w:val="none" w:color="auto"/>
                <w:lang w:val="en-US" w:eastAsia="zh-CN"/>
              </w:rPr>
            </w:pPr>
          </w:p>
        </w:tc>
        <w:tc>
          <w:tcPr>
            <w:tcW w:w="276" w:type="pct"/>
            <w:vMerge w:val="continue"/>
            <w:noWrap w:val="0"/>
            <w:vAlign w:val="center"/>
          </w:tcPr>
          <w:p w14:paraId="7822CF86">
            <w:pPr>
              <w:jc w:val="center"/>
              <w:rPr>
                <w:rFonts w:hint="default" w:eastAsia="宋体"/>
                <w:kern w:val="21"/>
                <w:sz w:val="18"/>
                <w:szCs w:val="18"/>
                <w:u w:val="none" w:color="auto"/>
                <w:lang w:val="en-US" w:eastAsia="zh-CN"/>
              </w:rPr>
            </w:pPr>
          </w:p>
        </w:tc>
      </w:tr>
      <w:tr w14:paraId="3FF8B7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atLeast"/>
          <w:tblHeader/>
          <w:jc w:val="center"/>
        </w:trPr>
        <w:tc>
          <w:tcPr>
            <w:tcW w:w="272" w:type="pct"/>
            <w:noWrap w:val="0"/>
            <w:vAlign w:val="center"/>
          </w:tcPr>
          <w:p w14:paraId="31260F39">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上料粉尘</w:t>
            </w:r>
          </w:p>
        </w:tc>
        <w:tc>
          <w:tcPr>
            <w:tcW w:w="269" w:type="pct"/>
            <w:noWrap w:val="0"/>
            <w:vAlign w:val="center"/>
          </w:tcPr>
          <w:p w14:paraId="72AB2713">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87" w:type="pct"/>
            <w:noWrap w:val="0"/>
            <w:vAlign w:val="center"/>
          </w:tcPr>
          <w:p w14:paraId="25300643">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39" w:type="pct"/>
            <w:vMerge w:val="continue"/>
            <w:noWrap w:val="0"/>
            <w:vAlign w:val="center"/>
          </w:tcPr>
          <w:p w14:paraId="763883FC">
            <w:pPr>
              <w:keepNext w:val="0"/>
              <w:keepLines w:val="0"/>
              <w:pageBreakBefore w:val="0"/>
              <w:widowControl w:val="0"/>
              <w:kinsoku/>
              <w:wordWrap/>
              <w:overflowPunct/>
              <w:topLinePunct w:val="0"/>
              <w:autoSpaceDE/>
              <w:autoSpaceDN/>
              <w:bidi w:val="0"/>
              <w:adjustRightInd/>
              <w:snapToGrid/>
              <w:jc w:val="center"/>
              <w:textAlignment w:val="auto"/>
              <w:rPr>
                <w:kern w:val="21"/>
                <w:sz w:val="18"/>
                <w:szCs w:val="18"/>
                <w:u w:val="none" w:color="auto"/>
              </w:rPr>
            </w:pPr>
          </w:p>
        </w:tc>
        <w:tc>
          <w:tcPr>
            <w:tcW w:w="209" w:type="pct"/>
            <w:vMerge w:val="restart"/>
            <w:noWrap w:val="0"/>
            <w:vAlign w:val="center"/>
          </w:tcPr>
          <w:p w14:paraId="586FCF92">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eastAsia="zh-CN"/>
              </w:rPr>
            </w:pPr>
            <w:r>
              <w:rPr>
                <w:rFonts w:hint="eastAsia"/>
                <w:kern w:val="21"/>
                <w:sz w:val="18"/>
                <w:szCs w:val="18"/>
                <w:u w:val="none" w:color="auto"/>
                <w:lang w:eastAsia="zh-CN"/>
              </w:rPr>
              <w:t>经验公式法</w:t>
            </w:r>
          </w:p>
        </w:tc>
        <w:tc>
          <w:tcPr>
            <w:tcW w:w="356" w:type="pct"/>
            <w:noWrap w:val="0"/>
            <w:vAlign w:val="center"/>
          </w:tcPr>
          <w:p w14:paraId="491BB362">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336" w:type="pct"/>
            <w:noWrap w:val="0"/>
            <w:vAlign w:val="center"/>
          </w:tcPr>
          <w:p w14:paraId="5E7300AE">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kern w:val="21"/>
                <w:sz w:val="18"/>
                <w:szCs w:val="18"/>
                <w:u w:val="none" w:color="auto"/>
                <w:lang w:val="en-US" w:eastAsia="zh-CN"/>
              </w:rPr>
              <w:t>0.043</w:t>
            </w:r>
          </w:p>
        </w:tc>
        <w:tc>
          <w:tcPr>
            <w:tcW w:w="314" w:type="pct"/>
            <w:noWrap w:val="0"/>
            <w:vAlign w:val="center"/>
          </w:tcPr>
          <w:p w14:paraId="4DDB7437">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0.</w:t>
            </w:r>
            <w:r>
              <w:rPr>
                <w:rFonts w:hint="eastAsia"/>
                <w:kern w:val="21"/>
                <w:sz w:val="18"/>
                <w:szCs w:val="18"/>
                <w:u w:val="none" w:color="auto"/>
                <w:lang w:val="en-US" w:eastAsia="zh-CN"/>
              </w:rPr>
              <w:t>018</w:t>
            </w:r>
          </w:p>
        </w:tc>
        <w:tc>
          <w:tcPr>
            <w:tcW w:w="322" w:type="pct"/>
            <w:noWrap w:val="0"/>
            <w:vAlign w:val="center"/>
          </w:tcPr>
          <w:p w14:paraId="4D4895C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1"/>
                <w:sz w:val="18"/>
                <w:szCs w:val="18"/>
                <w:u w:val="none" w:color="auto"/>
                <w:lang w:val="en-US" w:eastAsia="zh-CN"/>
              </w:rPr>
            </w:pPr>
            <w:r>
              <w:rPr>
                <w:rFonts w:hint="eastAsia" w:eastAsia="宋体"/>
                <w:kern w:val="21"/>
                <w:sz w:val="18"/>
                <w:szCs w:val="18"/>
                <w:u w:val="none" w:color="auto"/>
                <w:lang w:val="en-US" w:eastAsia="zh-CN"/>
              </w:rPr>
              <w:t>洒水降尘</w:t>
            </w:r>
          </w:p>
        </w:tc>
        <w:tc>
          <w:tcPr>
            <w:tcW w:w="283" w:type="pct"/>
            <w:noWrap w:val="0"/>
            <w:vAlign w:val="center"/>
          </w:tcPr>
          <w:p w14:paraId="4E47184D">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70</w:t>
            </w:r>
          </w:p>
        </w:tc>
        <w:tc>
          <w:tcPr>
            <w:tcW w:w="282" w:type="pct"/>
            <w:noWrap w:val="0"/>
            <w:vAlign w:val="center"/>
          </w:tcPr>
          <w:p w14:paraId="1E4577DC">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kern w:val="21"/>
                <w:sz w:val="18"/>
                <w:szCs w:val="18"/>
                <w:u w:val="none" w:color="auto"/>
                <w:lang w:val="en-US" w:eastAsia="zh-CN"/>
              </w:rPr>
              <w:t>--</w:t>
            </w:r>
          </w:p>
        </w:tc>
        <w:tc>
          <w:tcPr>
            <w:tcW w:w="204" w:type="pct"/>
            <w:vMerge w:val="restart"/>
            <w:noWrap w:val="0"/>
            <w:vAlign w:val="center"/>
          </w:tcPr>
          <w:p w14:paraId="069CB264">
            <w:pPr>
              <w:keepNext w:val="0"/>
              <w:keepLines w:val="0"/>
              <w:pageBreakBefore w:val="0"/>
              <w:widowControl w:val="0"/>
              <w:kinsoku/>
              <w:wordWrap/>
              <w:overflowPunct/>
              <w:topLinePunct w:val="0"/>
              <w:autoSpaceDE/>
              <w:autoSpaceDN/>
              <w:bidi w:val="0"/>
              <w:adjustRightInd/>
              <w:snapToGrid/>
              <w:jc w:val="center"/>
              <w:textAlignment w:val="auto"/>
              <w:rPr>
                <w:kern w:val="21"/>
                <w:sz w:val="18"/>
                <w:szCs w:val="18"/>
                <w:u w:val="none" w:color="auto"/>
              </w:rPr>
            </w:pPr>
            <w:r>
              <w:rPr>
                <w:rFonts w:hint="eastAsia"/>
                <w:kern w:val="21"/>
                <w:sz w:val="18"/>
                <w:szCs w:val="18"/>
                <w:u w:val="none" w:color="auto"/>
                <w:lang w:eastAsia="zh-CN"/>
              </w:rPr>
              <w:t>经验公式法</w:t>
            </w:r>
          </w:p>
        </w:tc>
        <w:tc>
          <w:tcPr>
            <w:tcW w:w="360" w:type="pct"/>
            <w:noWrap w:val="0"/>
            <w:vAlign w:val="center"/>
          </w:tcPr>
          <w:p w14:paraId="261611FF">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343" w:type="pct"/>
            <w:noWrap w:val="0"/>
            <w:vAlign w:val="center"/>
          </w:tcPr>
          <w:p w14:paraId="5C6141B5">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0.</w:t>
            </w:r>
            <w:r>
              <w:rPr>
                <w:rFonts w:hint="eastAsia"/>
                <w:kern w:val="21"/>
                <w:sz w:val="18"/>
                <w:szCs w:val="18"/>
                <w:u w:val="none" w:color="auto"/>
                <w:lang w:val="en-US" w:eastAsia="zh-CN"/>
              </w:rPr>
              <w:t>013</w:t>
            </w:r>
          </w:p>
        </w:tc>
        <w:tc>
          <w:tcPr>
            <w:tcW w:w="355" w:type="pct"/>
            <w:noWrap w:val="0"/>
            <w:vAlign w:val="center"/>
          </w:tcPr>
          <w:p w14:paraId="7792BABF">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0.0</w:t>
            </w:r>
            <w:r>
              <w:rPr>
                <w:rFonts w:hint="eastAsia"/>
                <w:kern w:val="21"/>
                <w:sz w:val="18"/>
                <w:szCs w:val="18"/>
                <w:u w:val="none" w:color="auto"/>
                <w:lang w:val="en-US" w:eastAsia="zh-CN"/>
              </w:rPr>
              <w:t>05</w:t>
            </w:r>
          </w:p>
        </w:tc>
        <w:tc>
          <w:tcPr>
            <w:tcW w:w="289" w:type="pct"/>
            <w:vMerge w:val="continue"/>
            <w:noWrap w:val="0"/>
            <w:vAlign w:val="center"/>
          </w:tcPr>
          <w:p w14:paraId="01CAB4E9">
            <w:pPr>
              <w:jc w:val="center"/>
              <w:rPr>
                <w:rFonts w:hint="default" w:eastAsia="宋体"/>
                <w:kern w:val="21"/>
                <w:sz w:val="18"/>
                <w:szCs w:val="18"/>
                <w:u w:val="none" w:color="auto"/>
                <w:lang w:val="en-US" w:eastAsia="zh-CN"/>
              </w:rPr>
            </w:pPr>
          </w:p>
        </w:tc>
        <w:tc>
          <w:tcPr>
            <w:tcW w:w="276" w:type="pct"/>
            <w:vMerge w:val="continue"/>
            <w:noWrap w:val="0"/>
            <w:vAlign w:val="center"/>
          </w:tcPr>
          <w:p w14:paraId="14172189">
            <w:pPr>
              <w:jc w:val="center"/>
              <w:rPr>
                <w:rFonts w:hint="default" w:eastAsia="宋体"/>
                <w:kern w:val="21"/>
                <w:sz w:val="18"/>
                <w:szCs w:val="18"/>
                <w:u w:val="none" w:color="auto"/>
                <w:lang w:val="en-US" w:eastAsia="zh-CN"/>
              </w:rPr>
            </w:pPr>
          </w:p>
        </w:tc>
      </w:tr>
      <w:tr w14:paraId="38E584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2" w:type="pct"/>
            <w:noWrap w:val="0"/>
            <w:vAlign w:val="center"/>
          </w:tcPr>
          <w:p w14:paraId="5FC90AA0">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车辆运输扬尘</w:t>
            </w:r>
          </w:p>
        </w:tc>
        <w:tc>
          <w:tcPr>
            <w:tcW w:w="269" w:type="pct"/>
            <w:noWrap w:val="0"/>
            <w:vAlign w:val="center"/>
          </w:tcPr>
          <w:p w14:paraId="4DD0EE2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87" w:type="pct"/>
            <w:noWrap w:val="0"/>
            <w:vAlign w:val="center"/>
          </w:tcPr>
          <w:p w14:paraId="4D061C52">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39" w:type="pct"/>
            <w:vMerge w:val="continue"/>
            <w:noWrap w:val="0"/>
            <w:vAlign w:val="center"/>
          </w:tcPr>
          <w:p w14:paraId="78C0D479">
            <w:pPr>
              <w:keepNext w:val="0"/>
              <w:keepLines w:val="0"/>
              <w:pageBreakBefore w:val="0"/>
              <w:widowControl w:val="0"/>
              <w:kinsoku/>
              <w:wordWrap/>
              <w:overflowPunct/>
              <w:topLinePunct w:val="0"/>
              <w:autoSpaceDE/>
              <w:autoSpaceDN/>
              <w:bidi w:val="0"/>
              <w:adjustRightInd/>
              <w:snapToGrid/>
              <w:jc w:val="center"/>
              <w:textAlignment w:val="auto"/>
              <w:rPr>
                <w:kern w:val="21"/>
                <w:sz w:val="18"/>
                <w:szCs w:val="18"/>
                <w:u w:val="none" w:color="auto"/>
              </w:rPr>
            </w:pPr>
          </w:p>
        </w:tc>
        <w:tc>
          <w:tcPr>
            <w:tcW w:w="209" w:type="pct"/>
            <w:vMerge w:val="continue"/>
            <w:noWrap w:val="0"/>
            <w:vAlign w:val="center"/>
          </w:tcPr>
          <w:p w14:paraId="1FBA7979">
            <w:pPr>
              <w:keepNext w:val="0"/>
              <w:keepLines w:val="0"/>
              <w:pageBreakBefore w:val="0"/>
              <w:widowControl w:val="0"/>
              <w:kinsoku/>
              <w:wordWrap/>
              <w:overflowPunct/>
              <w:topLinePunct w:val="0"/>
              <w:autoSpaceDE/>
              <w:autoSpaceDN/>
              <w:bidi w:val="0"/>
              <w:adjustRightInd/>
              <w:snapToGrid/>
              <w:jc w:val="center"/>
              <w:textAlignment w:val="auto"/>
              <w:rPr>
                <w:kern w:val="21"/>
                <w:sz w:val="18"/>
                <w:szCs w:val="18"/>
                <w:u w:val="none" w:color="auto"/>
              </w:rPr>
            </w:pPr>
          </w:p>
        </w:tc>
        <w:tc>
          <w:tcPr>
            <w:tcW w:w="356" w:type="pct"/>
            <w:noWrap w:val="0"/>
            <w:vAlign w:val="center"/>
          </w:tcPr>
          <w:p w14:paraId="56487FBD">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336" w:type="pct"/>
            <w:noWrap w:val="0"/>
            <w:vAlign w:val="center"/>
          </w:tcPr>
          <w:p w14:paraId="2DC9F4EB">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kern w:val="21"/>
                <w:sz w:val="18"/>
                <w:szCs w:val="18"/>
                <w:u w:val="none" w:color="auto"/>
                <w:lang w:val="en-US" w:eastAsia="zh-CN"/>
              </w:rPr>
              <w:t>0.731</w:t>
            </w:r>
          </w:p>
        </w:tc>
        <w:tc>
          <w:tcPr>
            <w:tcW w:w="314" w:type="pct"/>
            <w:noWrap w:val="0"/>
            <w:vAlign w:val="center"/>
          </w:tcPr>
          <w:p w14:paraId="4E364D53">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kern w:val="21"/>
                <w:sz w:val="18"/>
                <w:szCs w:val="18"/>
                <w:u w:val="none" w:color="auto"/>
                <w:lang w:val="en-US" w:eastAsia="zh-CN"/>
              </w:rPr>
              <w:t>0.305</w:t>
            </w:r>
          </w:p>
        </w:tc>
        <w:tc>
          <w:tcPr>
            <w:tcW w:w="322" w:type="pct"/>
            <w:noWrap w:val="0"/>
            <w:vAlign w:val="center"/>
          </w:tcPr>
          <w:p w14:paraId="3B8C687C">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洒水降尘</w:t>
            </w:r>
          </w:p>
        </w:tc>
        <w:tc>
          <w:tcPr>
            <w:tcW w:w="283" w:type="pct"/>
            <w:noWrap w:val="0"/>
            <w:vAlign w:val="center"/>
          </w:tcPr>
          <w:p w14:paraId="2D0F7575">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82" w:type="pct"/>
            <w:noWrap w:val="0"/>
            <w:vAlign w:val="center"/>
          </w:tcPr>
          <w:p w14:paraId="5FEF3E64">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204" w:type="pct"/>
            <w:vMerge w:val="continue"/>
            <w:noWrap w:val="0"/>
            <w:vAlign w:val="center"/>
          </w:tcPr>
          <w:p w14:paraId="3584418D">
            <w:pPr>
              <w:keepNext w:val="0"/>
              <w:keepLines w:val="0"/>
              <w:pageBreakBefore w:val="0"/>
              <w:widowControl w:val="0"/>
              <w:kinsoku/>
              <w:wordWrap/>
              <w:overflowPunct/>
              <w:topLinePunct w:val="0"/>
              <w:autoSpaceDE/>
              <w:autoSpaceDN/>
              <w:bidi w:val="0"/>
              <w:adjustRightInd/>
              <w:snapToGrid/>
              <w:jc w:val="center"/>
              <w:textAlignment w:val="auto"/>
              <w:rPr>
                <w:kern w:val="21"/>
                <w:sz w:val="18"/>
                <w:szCs w:val="18"/>
                <w:u w:val="none" w:color="auto"/>
              </w:rPr>
            </w:pPr>
          </w:p>
        </w:tc>
        <w:tc>
          <w:tcPr>
            <w:tcW w:w="360" w:type="pct"/>
            <w:noWrap w:val="0"/>
            <w:vAlign w:val="center"/>
          </w:tcPr>
          <w:p w14:paraId="16F08B6D">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343" w:type="pct"/>
            <w:shd w:val="clear" w:color="auto" w:fill="auto"/>
            <w:noWrap w:val="0"/>
            <w:vAlign w:val="center"/>
          </w:tcPr>
          <w:p w14:paraId="272C84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0.731</w:t>
            </w:r>
          </w:p>
        </w:tc>
        <w:tc>
          <w:tcPr>
            <w:tcW w:w="355" w:type="pct"/>
            <w:shd w:val="clear" w:color="auto" w:fill="auto"/>
            <w:noWrap w:val="0"/>
            <w:vAlign w:val="center"/>
          </w:tcPr>
          <w:p w14:paraId="1A9E3A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1"/>
                <w:sz w:val="18"/>
                <w:szCs w:val="18"/>
                <w:u w:val="none" w:color="auto"/>
                <w:lang w:val="en-US" w:eastAsia="zh-CN" w:bidi="ar-SA"/>
              </w:rPr>
            </w:pPr>
            <w:r>
              <w:rPr>
                <w:rFonts w:hint="eastAsia"/>
                <w:kern w:val="21"/>
                <w:sz w:val="18"/>
                <w:szCs w:val="18"/>
                <w:u w:val="none" w:color="auto"/>
                <w:lang w:val="en-US" w:eastAsia="zh-CN"/>
              </w:rPr>
              <w:t>0.305</w:t>
            </w:r>
          </w:p>
        </w:tc>
        <w:tc>
          <w:tcPr>
            <w:tcW w:w="289" w:type="pct"/>
            <w:vMerge w:val="continue"/>
            <w:noWrap w:val="0"/>
            <w:vAlign w:val="center"/>
          </w:tcPr>
          <w:p w14:paraId="796DAC0B">
            <w:pPr>
              <w:jc w:val="center"/>
              <w:rPr>
                <w:rFonts w:hint="default" w:eastAsia="宋体"/>
                <w:kern w:val="21"/>
                <w:sz w:val="18"/>
                <w:szCs w:val="18"/>
                <w:u w:val="none" w:color="auto"/>
                <w:lang w:val="en-US" w:eastAsia="zh-CN"/>
              </w:rPr>
            </w:pPr>
          </w:p>
        </w:tc>
        <w:tc>
          <w:tcPr>
            <w:tcW w:w="276" w:type="pct"/>
            <w:vMerge w:val="continue"/>
            <w:noWrap w:val="0"/>
            <w:vAlign w:val="center"/>
          </w:tcPr>
          <w:p w14:paraId="4A0844A3">
            <w:pPr>
              <w:jc w:val="center"/>
              <w:rPr>
                <w:rFonts w:hint="default" w:eastAsia="宋体"/>
                <w:kern w:val="21"/>
                <w:sz w:val="18"/>
                <w:szCs w:val="18"/>
                <w:u w:val="none" w:color="auto"/>
                <w:lang w:val="en-US" w:eastAsia="zh-CN"/>
              </w:rPr>
            </w:pPr>
          </w:p>
        </w:tc>
      </w:tr>
      <w:tr w14:paraId="5E38AE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3" w:type="pct"/>
            <w:gridSpan w:val="6"/>
            <w:noWrap w:val="0"/>
            <w:vAlign w:val="center"/>
          </w:tcPr>
          <w:p w14:paraId="06881E5E">
            <w:pPr>
              <w:jc w:val="center"/>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合计</w:t>
            </w:r>
          </w:p>
        </w:tc>
        <w:tc>
          <w:tcPr>
            <w:tcW w:w="336" w:type="pct"/>
            <w:noWrap w:val="0"/>
            <w:vAlign w:val="center"/>
          </w:tcPr>
          <w:p w14:paraId="1A6B0184">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82.135</w:t>
            </w:r>
          </w:p>
        </w:tc>
        <w:tc>
          <w:tcPr>
            <w:tcW w:w="831" w:type="dxa"/>
            <w:noWrap w:val="0"/>
            <w:vAlign w:val="center"/>
          </w:tcPr>
          <w:p w14:paraId="0D751236">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852" w:type="dxa"/>
            <w:noWrap w:val="0"/>
            <w:vAlign w:val="center"/>
          </w:tcPr>
          <w:p w14:paraId="24F71F9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749" w:type="dxa"/>
            <w:noWrap w:val="0"/>
            <w:vAlign w:val="center"/>
          </w:tcPr>
          <w:p w14:paraId="05A6F403">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747" w:type="dxa"/>
            <w:noWrap w:val="0"/>
            <w:vAlign w:val="center"/>
          </w:tcPr>
          <w:p w14:paraId="25D9CDFB">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540" w:type="dxa"/>
            <w:noWrap w:val="0"/>
            <w:vAlign w:val="center"/>
          </w:tcPr>
          <w:p w14:paraId="0CA5888F">
            <w:pPr>
              <w:keepNext w:val="0"/>
              <w:keepLines w:val="0"/>
              <w:pageBreakBefore w:val="0"/>
              <w:widowControl w:val="0"/>
              <w:kinsoku/>
              <w:wordWrap/>
              <w:overflowPunct/>
              <w:topLinePunct w:val="0"/>
              <w:autoSpaceDE/>
              <w:autoSpaceDN/>
              <w:bidi w:val="0"/>
              <w:adjustRightInd/>
              <w:snapToGrid/>
              <w:jc w:val="center"/>
              <w:textAlignment w:val="auto"/>
              <w:rPr>
                <w:kern w:val="21"/>
                <w:sz w:val="18"/>
                <w:szCs w:val="18"/>
                <w:u w:val="none" w:color="auto"/>
              </w:rPr>
            </w:pPr>
            <w:r>
              <w:rPr>
                <w:rFonts w:hint="eastAsia" w:eastAsia="宋体"/>
                <w:kern w:val="21"/>
                <w:sz w:val="18"/>
                <w:szCs w:val="18"/>
                <w:u w:val="none" w:color="auto"/>
                <w:lang w:val="en-US" w:eastAsia="zh-CN"/>
              </w:rPr>
              <w:t>--</w:t>
            </w:r>
          </w:p>
        </w:tc>
        <w:tc>
          <w:tcPr>
            <w:tcW w:w="953" w:type="dxa"/>
            <w:noWrap w:val="0"/>
            <w:vAlign w:val="center"/>
          </w:tcPr>
          <w:p w14:paraId="173A1A7A">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343" w:type="pct"/>
            <w:noWrap w:val="0"/>
            <w:vAlign w:val="center"/>
          </w:tcPr>
          <w:p w14:paraId="2EDDC1C8">
            <w:pPr>
              <w:jc w:val="center"/>
              <w:rPr>
                <w:rFonts w:hint="default" w:eastAsia="宋体"/>
                <w:kern w:val="21"/>
                <w:sz w:val="18"/>
                <w:szCs w:val="18"/>
                <w:u w:val="none" w:color="auto"/>
                <w:lang w:val="en-US" w:eastAsia="zh-CN"/>
              </w:rPr>
            </w:pPr>
            <w:r>
              <w:rPr>
                <w:rFonts w:hint="eastAsia"/>
                <w:kern w:val="21"/>
                <w:sz w:val="18"/>
                <w:szCs w:val="18"/>
                <w:u w:val="none" w:color="auto"/>
                <w:lang w:val="en-US" w:eastAsia="zh-CN"/>
              </w:rPr>
              <w:t>0.8364</w:t>
            </w:r>
          </w:p>
        </w:tc>
        <w:tc>
          <w:tcPr>
            <w:tcW w:w="940" w:type="dxa"/>
            <w:noWrap w:val="0"/>
            <w:vAlign w:val="center"/>
          </w:tcPr>
          <w:p w14:paraId="0FC27961">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765" w:type="dxa"/>
            <w:noWrap w:val="0"/>
            <w:vAlign w:val="center"/>
          </w:tcPr>
          <w:p w14:paraId="48FDE3E4">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c>
          <w:tcPr>
            <w:tcW w:w="731" w:type="dxa"/>
            <w:noWrap w:val="0"/>
            <w:vAlign w:val="center"/>
          </w:tcPr>
          <w:p w14:paraId="2500F52E">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kern w:val="21"/>
                <w:sz w:val="18"/>
                <w:szCs w:val="18"/>
                <w:u w:val="none" w:color="auto"/>
                <w:lang w:val="en-US" w:eastAsia="zh-CN"/>
              </w:rPr>
            </w:pPr>
            <w:r>
              <w:rPr>
                <w:rFonts w:hint="eastAsia" w:eastAsia="宋体"/>
                <w:kern w:val="21"/>
                <w:sz w:val="18"/>
                <w:szCs w:val="18"/>
                <w:u w:val="none" w:color="auto"/>
                <w:lang w:val="en-US" w:eastAsia="zh-CN"/>
              </w:rPr>
              <w:t>--</w:t>
            </w:r>
          </w:p>
        </w:tc>
      </w:tr>
    </w:tbl>
    <w:p w14:paraId="3ACC9DA3">
      <w:pPr>
        <w:pStyle w:val="18"/>
        <w:jc w:val="both"/>
        <w:outlineLvl w:val="0"/>
        <w:rPr>
          <w:rFonts w:ascii="黑体" w:hAnsi="黑体" w:eastAsia="黑体"/>
          <w:snapToGrid w:val="0"/>
          <w:sz w:val="30"/>
          <w:szCs w:val="30"/>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1"/>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5"/>
        <w:gridCol w:w="8696"/>
      </w:tblGrid>
      <w:tr w14:paraId="767FA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285" w:type="dxa"/>
            <w:noWrap w:val="0"/>
            <w:tcMar>
              <w:left w:w="28" w:type="dxa"/>
              <w:right w:w="28" w:type="dxa"/>
            </w:tcMar>
            <w:vAlign w:val="center"/>
          </w:tcPr>
          <w:p w14:paraId="7A465AF1">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1B36085D">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39456A34">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68E59929">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0B71D1AC">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2E9D3C7D">
            <w:pPr>
              <w:adjustRightInd w:val="0"/>
              <w:snapToGrid w:val="0"/>
              <w:jc w:val="center"/>
              <w:rPr>
                <w:rFonts w:ascii="宋体" w:hAnsi="宋体" w:cs="宋体"/>
                <w:bCs/>
                <w:sz w:val="24"/>
                <w:szCs w:val="24"/>
              </w:rPr>
            </w:pPr>
            <w:r>
              <w:rPr>
                <w:rFonts w:hint="eastAsia" w:ascii="宋体" w:hAnsi="宋体" w:cs="宋体"/>
                <w:bCs/>
                <w:sz w:val="24"/>
                <w:szCs w:val="24"/>
              </w:rPr>
              <w:t>措施</w:t>
            </w:r>
          </w:p>
        </w:tc>
        <w:tc>
          <w:tcPr>
            <w:tcW w:w="8696" w:type="dxa"/>
            <w:noWrap w:val="0"/>
            <w:vAlign w:val="top"/>
          </w:tcPr>
          <w:p w14:paraId="05C98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 w:val="0"/>
                <w:iCs w:val="0"/>
                <w:sz w:val="24"/>
                <w:szCs w:val="24"/>
                <w:u w:val="none"/>
              </w:rPr>
            </w:pPr>
            <w:r>
              <w:rPr>
                <w:rFonts w:hint="eastAsia"/>
                <w:b w:val="0"/>
                <w:bCs w:val="0"/>
                <w:i w:val="0"/>
                <w:iCs w:val="0"/>
                <w:sz w:val="24"/>
                <w:szCs w:val="24"/>
                <w:u w:val="none"/>
                <w:lang w:val="en-US" w:eastAsia="zh-CN"/>
              </w:rPr>
              <w:t>1.2</w:t>
            </w:r>
            <w:r>
              <w:rPr>
                <w:rFonts w:hint="eastAsia"/>
                <w:b w:val="0"/>
                <w:bCs w:val="0"/>
                <w:i w:val="0"/>
                <w:iCs w:val="0"/>
                <w:sz w:val="24"/>
                <w:szCs w:val="24"/>
                <w:u w:val="none"/>
              </w:rPr>
              <w:t>废气治理措施</w:t>
            </w:r>
            <w:r>
              <w:rPr>
                <w:rFonts w:hint="eastAsia"/>
                <w:b w:val="0"/>
                <w:bCs w:val="0"/>
                <w:i w:val="0"/>
                <w:iCs w:val="0"/>
                <w:sz w:val="24"/>
                <w:szCs w:val="24"/>
                <w:u w:val="none"/>
                <w:lang w:val="en-US" w:eastAsia="zh-CN"/>
              </w:rPr>
              <w:t>可行性分析</w:t>
            </w:r>
          </w:p>
          <w:p w14:paraId="187B1F73">
            <w:pPr>
              <w:pStyle w:val="64"/>
              <w:adjustRightInd w:val="0"/>
              <w:spacing w:before="0" w:after="0" w:line="360" w:lineRule="auto"/>
              <w:ind w:firstLine="480" w:firstLineChars="200"/>
              <w:rPr>
                <w:rFonts w:ascii="Times New Roman" w:hAnsi="Times New Roman" w:eastAsia="宋体" w:cs="Times New Roman"/>
                <w:i w:val="0"/>
                <w:iCs w:val="0"/>
                <w:kern w:val="2"/>
                <w:sz w:val="24"/>
                <w:szCs w:val="24"/>
                <w:u w:val="none"/>
                <w:lang w:val="en-US" w:eastAsia="zh-CN" w:bidi="ar-SA"/>
              </w:rPr>
            </w:pPr>
            <w:bookmarkStart w:id="13" w:name="_Hlk132272020"/>
            <w:r>
              <w:rPr>
                <w:rFonts w:ascii="Times New Roman" w:hAnsi="Times New Roman" w:eastAsia="宋体" w:cs="Times New Roman"/>
                <w:i w:val="0"/>
                <w:iCs w:val="0"/>
                <w:kern w:val="2"/>
                <w:sz w:val="24"/>
                <w:szCs w:val="24"/>
                <w:u w:val="none"/>
                <w:lang w:val="en-US" w:eastAsia="zh-CN" w:bidi="ar-SA"/>
              </w:rPr>
              <w:t>项目</w:t>
            </w:r>
            <w:r>
              <w:rPr>
                <w:rFonts w:hint="eastAsia" w:ascii="Times New Roman" w:hAnsi="Times New Roman" w:cs="Times New Roman"/>
                <w:i w:val="0"/>
                <w:iCs w:val="0"/>
                <w:kern w:val="2"/>
                <w:sz w:val="24"/>
                <w:szCs w:val="24"/>
                <w:u w:val="none"/>
                <w:lang w:val="en-US" w:eastAsia="zh-CN" w:bidi="ar-SA"/>
              </w:rPr>
              <w:t>筒仓粉尘</w:t>
            </w:r>
            <w:r>
              <w:rPr>
                <w:rFonts w:ascii="Times New Roman" w:hAnsi="Times New Roman" w:eastAsia="宋体" w:cs="Times New Roman"/>
                <w:i w:val="0"/>
                <w:iCs w:val="0"/>
                <w:kern w:val="2"/>
                <w:sz w:val="24"/>
                <w:szCs w:val="24"/>
                <w:u w:val="none"/>
                <w:lang w:val="en-US" w:eastAsia="zh-CN" w:bidi="ar-SA"/>
              </w:rPr>
              <w:t>采用</w:t>
            </w:r>
            <w:r>
              <w:rPr>
                <w:rFonts w:hint="eastAsia" w:ascii="Times New Roman" w:hAnsi="Times New Roman" w:cs="Times New Roman"/>
                <w:i w:val="0"/>
                <w:iCs w:val="0"/>
                <w:kern w:val="2"/>
                <w:sz w:val="24"/>
                <w:szCs w:val="24"/>
                <w:u w:val="none"/>
                <w:lang w:val="en-US" w:eastAsia="zh-CN" w:bidi="ar-SA"/>
              </w:rPr>
              <w:t>脉冲袋式</w:t>
            </w:r>
            <w:r>
              <w:rPr>
                <w:rFonts w:ascii="Times New Roman" w:hAnsi="Times New Roman" w:eastAsia="宋体" w:cs="Times New Roman"/>
                <w:i w:val="0"/>
                <w:iCs w:val="0"/>
                <w:kern w:val="2"/>
                <w:sz w:val="24"/>
                <w:szCs w:val="24"/>
                <w:u w:val="none"/>
                <w:lang w:val="en-US" w:eastAsia="zh-CN" w:bidi="ar-SA"/>
              </w:rPr>
              <w:t>除尘器进行处理，</w:t>
            </w:r>
            <w:r>
              <w:rPr>
                <w:rFonts w:hint="eastAsia" w:ascii="Times New Roman" w:hAnsi="Times New Roman" w:eastAsia="宋体" w:cs="Times New Roman"/>
                <w:i w:val="0"/>
                <w:iCs w:val="0"/>
                <w:kern w:val="2"/>
                <w:sz w:val="24"/>
                <w:szCs w:val="24"/>
                <w:u w:val="none"/>
                <w:lang w:val="en-US" w:eastAsia="zh-CN" w:bidi="ar-SA"/>
              </w:rPr>
              <w:t>粉料</w:t>
            </w:r>
            <w:r>
              <w:rPr>
                <w:rFonts w:ascii="Times New Roman" w:hAnsi="Times New Roman" w:eastAsia="宋体" w:cs="Times New Roman"/>
                <w:i w:val="0"/>
                <w:iCs w:val="0"/>
                <w:kern w:val="2"/>
                <w:sz w:val="24"/>
                <w:szCs w:val="24"/>
                <w:u w:val="none"/>
                <w:lang w:val="en-US" w:eastAsia="zh-CN" w:bidi="ar-SA"/>
              </w:rPr>
              <w:t>储罐</w:t>
            </w:r>
            <w:r>
              <w:rPr>
                <w:rFonts w:hint="eastAsia" w:ascii="Times New Roman" w:hAnsi="Times New Roman" w:eastAsia="宋体" w:cs="Times New Roman"/>
                <w:i w:val="0"/>
                <w:iCs w:val="0"/>
                <w:kern w:val="2"/>
                <w:sz w:val="24"/>
                <w:szCs w:val="24"/>
                <w:u w:val="none"/>
                <w:lang w:val="en-US" w:eastAsia="zh-CN" w:bidi="ar-SA"/>
              </w:rPr>
              <w:t>上方共</w:t>
            </w:r>
            <w:r>
              <w:rPr>
                <w:rFonts w:ascii="Times New Roman" w:hAnsi="Times New Roman" w:eastAsia="宋体" w:cs="Times New Roman"/>
                <w:i w:val="0"/>
                <w:iCs w:val="0"/>
                <w:kern w:val="2"/>
                <w:sz w:val="24"/>
                <w:szCs w:val="24"/>
                <w:u w:val="none"/>
                <w:lang w:val="en-US" w:eastAsia="zh-CN" w:bidi="ar-SA"/>
              </w:rPr>
              <w:t>设置了</w:t>
            </w:r>
            <w:r>
              <w:rPr>
                <w:rFonts w:hint="eastAsia" w:ascii="Times New Roman" w:hAnsi="Times New Roman" w:cs="Times New Roman"/>
                <w:i w:val="0"/>
                <w:iCs w:val="0"/>
                <w:kern w:val="2"/>
                <w:sz w:val="24"/>
                <w:szCs w:val="24"/>
                <w:u w:val="none"/>
                <w:lang w:val="en-US" w:eastAsia="zh-CN" w:bidi="ar-SA"/>
              </w:rPr>
              <w:t>4</w:t>
            </w:r>
            <w:r>
              <w:rPr>
                <w:rFonts w:hint="eastAsia" w:ascii="Times New Roman" w:hAnsi="Times New Roman" w:eastAsia="宋体" w:cs="Times New Roman"/>
                <w:i w:val="0"/>
                <w:iCs w:val="0"/>
                <w:kern w:val="2"/>
                <w:sz w:val="24"/>
                <w:szCs w:val="24"/>
                <w:u w:val="none"/>
                <w:lang w:val="en-US" w:eastAsia="zh-CN" w:bidi="ar-SA"/>
              </w:rPr>
              <w:t>套集气装置及</w:t>
            </w:r>
            <w:r>
              <w:rPr>
                <w:rFonts w:ascii="Times New Roman" w:hAnsi="Times New Roman" w:eastAsia="宋体" w:cs="Times New Roman"/>
                <w:i w:val="0"/>
                <w:iCs w:val="0"/>
                <w:kern w:val="2"/>
                <w:sz w:val="24"/>
                <w:szCs w:val="24"/>
                <w:u w:val="none"/>
                <w:lang w:val="en-US" w:eastAsia="zh-CN" w:bidi="ar-SA"/>
              </w:rPr>
              <w:t>除尘器，除尘器的处理效率为9</w:t>
            </w:r>
            <w:r>
              <w:rPr>
                <w:rFonts w:hint="eastAsia" w:ascii="Times New Roman" w:hAnsi="Times New Roman" w:eastAsia="宋体" w:cs="Times New Roman"/>
                <w:i w:val="0"/>
                <w:iCs w:val="0"/>
                <w:kern w:val="2"/>
                <w:sz w:val="24"/>
                <w:szCs w:val="24"/>
                <w:u w:val="none"/>
                <w:lang w:val="en-US" w:eastAsia="zh-CN" w:bidi="ar-SA"/>
              </w:rPr>
              <w:t>9</w:t>
            </w:r>
            <w:r>
              <w:rPr>
                <w:rFonts w:ascii="Times New Roman" w:hAnsi="Times New Roman" w:eastAsia="宋体" w:cs="Times New Roman"/>
                <w:i w:val="0"/>
                <w:iCs w:val="0"/>
                <w:kern w:val="2"/>
                <w:sz w:val="24"/>
                <w:szCs w:val="24"/>
                <w:u w:val="none"/>
                <w:lang w:val="en-US" w:eastAsia="zh-CN" w:bidi="ar-SA"/>
              </w:rPr>
              <w:t>.7%</w:t>
            </w:r>
            <w:r>
              <w:rPr>
                <w:rFonts w:hint="eastAsia" w:ascii="Times New Roman" w:hAnsi="Times New Roman" w:eastAsia="宋体" w:cs="Times New Roman"/>
                <w:i w:val="0"/>
                <w:iCs w:val="0"/>
                <w:kern w:val="2"/>
                <w:sz w:val="24"/>
                <w:szCs w:val="24"/>
                <w:u w:val="none"/>
                <w:lang w:val="en-US" w:eastAsia="zh-CN" w:bidi="ar-SA"/>
              </w:rPr>
              <w:t>。</w:t>
            </w:r>
          </w:p>
          <w:p w14:paraId="71254309">
            <w:pPr>
              <w:pStyle w:val="64"/>
              <w:adjustRightInd w:val="0"/>
              <w:spacing w:before="0" w:after="0" w:line="360" w:lineRule="auto"/>
              <w:ind w:firstLine="480" w:firstLineChars="200"/>
              <w:rPr>
                <w:rFonts w:ascii="Times New Roman" w:hAnsi="Times New Roman" w:eastAsia="宋体" w:cs="Times New Roman"/>
                <w:i w:val="0"/>
                <w:iCs w:val="0"/>
                <w:kern w:val="2"/>
                <w:sz w:val="24"/>
                <w:szCs w:val="24"/>
                <w:u w:val="none"/>
                <w:lang w:val="en-US" w:eastAsia="zh-CN" w:bidi="ar-SA"/>
              </w:rPr>
            </w:pPr>
            <w:r>
              <w:rPr>
                <w:rFonts w:hint="eastAsia" w:ascii="Times New Roman" w:hAnsi="Times New Roman" w:cs="Times New Roman"/>
                <w:i w:val="0"/>
                <w:iCs w:val="0"/>
                <w:kern w:val="2"/>
                <w:sz w:val="24"/>
                <w:szCs w:val="24"/>
                <w:u w:val="none"/>
                <w:lang w:val="en-US" w:eastAsia="zh-CN" w:bidi="ar-SA"/>
              </w:rPr>
              <w:t>搅拌机粉尘</w:t>
            </w:r>
            <w:r>
              <w:rPr>
                <w:rFonts w:ascii="Times New Roman" w:hAnsi="Times New Roman" w:eastAsia="宋体" w:cs="Times New Roman"/>
                <w:i w:val="0"/>
                <w:iCs w:val="0"/>
                <w:kern w:val="2"/>
                <w:sz w:val="24"/>
                <w:szCs w:val="24"/>
                <w:u w:val="none"/>
                <w:lang w:val="en-US" w:eastAsia="zh-CN" w:bidi="ar-SA"/>
              </w:rPr>
              <w:t>采用</w:t>
            </w:r>
            <w:r>
              <w:rPr>
                <w:rFonts w:hint="eastAsia" w:ascii="Times New Roman" w:hAnsi="Times New Roman" w:cs="Times New Roman"/>
                <w:i w:val="0"/>
                <w:iCs w:val="0"/>
                <w:kern w:val="2"/>
                <w:sz w:val="24"/>
                <w:szCs w:val="24"/>
                <w:u w:val="none"/>
                <w:lang w:val="en-US" w:eastAsia="zh-CN" w:bidi="ar-SA"/>
              </w:rPr>
              <w:t>脉冲袋式</w:t>
            </w:r>
            <w:r>
              <w:rPr>
                <w:rFonts w:ascii="Times New Roman" w:hAnsi="Times New Roman" w:eastAsia="宋体" w:cs="Times New Roman"/>
                <w:i w:val="0"/>
                <w:iCs w:val="0"/>
                <w:kern w:val="2"/>
                <w:sz w:val="24"/>
                <w:szCs w:val="24"/>
                <w:u w:val="none"/>
                <w:lang w:val="en-US" w:eastAsia="zh-CN" w:bidi="ar-SA"/>
              </w:rPr>
              <w:t>除尘器进行处理，</w:t>
            </w:r>
            <w:r>
              <w:rPr>
                <w:rFonts w:hint="eastAsia" w:ascii="Times New Roman" w:hAnsi="Times New Roman" w:cs="Times New Roman"/>
                <w:i w:val="0"/>
                <w:iCs w:val="0"/>
                <w:kern w:val="2"/>
                <w:sz w:val="24"/>
                <w:szCs w:val="24"/>
                <w:u w:val="none"/>
                <w:lang w:val="en-US" w:eastAsia="zh-CN" w:bidi="ar-SA"/>
              </w:rPr>
              <w:t>单台</w:t>
            </w:r>
            <w:r>
              <w:rPr>
                <w:rFonts w:hint="eastAsia" w:ascii="Times New Roman" w:hAnsi="Times New Roman" w:eastAsia="宋体" w:cs="Times New Roman"/>
                <w:i w:val="0"/>
                <w:iCs w:val="0"/>
                <w:kern w:val="2"/>
                <w:sz w:val="24"/>
                <w:szCs w:val="24"/>
                <w:u w:val="none"/>
                <w:lang w:val="en-US" w:eastAsia="zh-CN" w:bidi="ar-SA"/>
              </w:rPr>
              <w:t>搅拌</w:t>
            </w:r>
            <w:r>
              <w:rPr>
                <w:rFonts w:hint="eastAsia" w:ascii="Times New Roman" w:hAnsi="Times New Roman" w:cs="Times New Roman"/>
                <w:i w:val="0"/>
                <w:iCs w:val="0"/>
                <w:kern w:val="2"/>
                <w:sz w:val="24"/>
                <w:szCs w:val="24"/>
                <w:u w:val="none"/>
                <w:lang w:val="en-US" w:eastAsia="zh-CN" w:bidi="ar-SA"/>
              </w:rPr>
              <w:t>机</w:t>
            </w:r>
            <w:r>
              <w:rPr>
                <w:rFonts w:hint="eastAsia" w:ascii="Times New Roman" w:hAnsi="Times New Roman" w:eastAsia="宋体" w:cs="Times New Roman"/>
                <w:i w:val="0"/>
                <w:iCs w:val="0"/>
                <w:kern w:val="2"/>
                <w:sz w:val="24"/>
                <w:szCs w:val="24"/>
                <w:u w:val="none"/>
                <w:lang w:val="en-US" w:eastAsia="zh-CN" w:bidi="ar-SA"/>
              </w:rPr>
              <w:t>设置</w:t>
            </w:r>
            <w:r>
              <w:rPr>
                <w:rFonts w:hint="eastAsia" w:ascii="Times New Roman" w:hAnsi="Times New Roman" w:cs="Times New Roman"/>
                <w:i w:val="0"/>
                <w:iCs w:val="0"/>
                <w:kern w:val="2"/>
                <w:sz w:val="24"/>
                <w:szCs w:val="24"/>
                <w:u w:val="none"/>
                <w:lang w:val="en-US" w:eastAsia="zh-CN" w:bidi="ar-SA"/>
              </w:rPr>
              <w:t>1套脉冲袋式</w:t>
            </w:r>
            <w:r>
              <w:rPr>
                <w:rFonts w:hint="eastAsia" w:ascii="Times New Roman" w:hAnsi="Times New Roman" w:eastAsia="宋体" w:cs="Times New Roman"/>
                <w:i w:val="0"/>
                <w:iCs w:val="0"/>
                <w:kern w:val="2"/>
                <w:sz w:val="24"/>
                <w:szCs w:val="24"/>
                <w:u w:val="none"/>
                <w:lang w:val="en-US" w:eastAsia="zh-CN" w:bidi="ar-SA"/>
              </w:rPr>
              <w:t>除尘器，除尘效率</w:t>
            </w:r>
            <w:r>
              <w:rPr>
                <w:rFonts w:hint="eastAsia" w:ascii="Times New Roman" w:hAnsi="Times New Roman" w:cs="Times New Roman"/>
                <w:i w:val="0"/>
                <w:iCs w:val="0"/>
                <w:kern w:val="2"/>
                <w:sz w:val="24"/>
                <w:szCs w:val="24"/>
                <w:u w:val="none"/>
                <w:lang w:val="en-US" w:eastAsia="zh-CN" w:bidi="ar-SA"/>
              </w:rPr>
              <w:t>为</w:t>
            </w:r>
            <w:r>
              <w:rPr>
                <w:rFonts w:hint="eastAsia" w:ascii="Times New Roman" w:hAnsi="Times New Roman" w:eastAsia="宋体" w:cs="Times New Roman"/>
                <w:i w:val="0"/>
                <w:iCs w:val="0"/>
                <w:kern w:val="2"/>
                <w:sz w:val="24"/>
                <w:szCs w:val="24"/>
                <w:u w:val="none"/>
                <w:lang w:val="en-US" w:eastAsia="zh-CN" w:bidi="ar-SA"/>
              </w:rPr>
              <w:t>9</w:t>
            </w:r>
            <w:r>
              <w:rPr>
                <w:rFonts w:ascii="Times New Roman" w:hAnsi="Times New Roman" w:eastAsia="宋体" w:cs="Times New Roman"/>
                <w:i w:val="0"/>
                <w:iCs w:val="0"/>
                <w:kern w:val="2"/>
                <w:sz w:val="24"/>
                <w:szCs w:val="24"/>
                <w:u w:val="none"/>
                <w:lang w:val="en-US" w:eastAsia="zh-CN" w:bidi="ar-SA"/>
              </w:rPr>
              <w:t>9.7%</w:t>
            </w:r>
            <w:r>
              <w:rPr>
                <w:rFonts w:hint="eastAsia" w:ascii="Times New Roman" w:hAnsi="Times New Roman" w:eastAsia="宋体" w:cs="Times New Roman"/>
                <w:i w:val="0"/>
                <w:iCs w:val="0"/>
                <w:kern w:val="2"/>
                <w:sz w:val="24"/>
                <w:szCs w:val="24"/>
                <w:u w:val="none"/>
                <w:lang w:val="en-US" w:eastAsia="zh-CN" w:bidi="ar-SA"/>
              </w:rPr>
              <w:t>。</w:t>
            </w:r>
          </w:p>
          <w:p w14:paraId="06B61CBE">
            <w:pPr>
              <w:spacing w:line="360" w:lineRule="auto"/>
              <w:ind w:firstLine="480" w:firstLineChars="200"/>
              <w:rPr>
                <w:rFonts w:hint="eastAsia" w:cs="Times New Roman"/>
                <w:i w:val="0"/>
                <w:iCs w:val="0"/>
                <w:kern w:val="2"/>
                <w:sz w:val="24"/>
                <w:szCs w:val="24"/>
                <w:u w:val="none" w:color="auto"/>
                <w:lang w:val="en-US" w:eastAsia="zh-CN" w:bidi="ar-SA"/>
              </w:rPr>
            </w:pPr>
            <w:r>
              <w:rPr>
                <w:rFonts w:hint="eastAsia" w:ascii="Times New Roman" w:hAnsi="Times New Roman" w:eastAsia="宋体" w:cs="Times New Roman"/>
                <w:i w:val="0"/>
                <w:iCs w:val="0"/>
                <w:kern w:val="2"/>
                <w:sz w:val="24"/>
                <w:szCs w:val="24"/>
                <w:u w:val="none" w:color="auto"/>
                <w:lang w:val="en-US" w:eastAsia="zh-CN" w:bidi="ar-SA"/>
              </w:rPr>
              <w:t>参照HJ</w:t>
            </w:r>
            <w:r>
              <w:rPr>
                <w:rFonts w:hint="eastAsia" w:cs="Times New Roman"/>
                <w:i w:val="0"/>
                <w:iCs w:val="0"/>
                <w:kern w:val="2"/>
                <w:sz w:val="24"/>
                <w:szCs w:val="24"/>
                <w:u w:val="none" w:color="auto"/>
                <w:lang w:val="en-US" w:eastAsia="zh-CN" w:bidi="ar-SA"/>
              </w:rPr>
              <w:t>847</w:t>
            </w:r>
            <w:r>
              <w:rPr>
                <w:rFonts w:hint="eastAsia" w:ascii="Times New Roman" w:hAnsi="Times New Roman" w:eastAsia="宋体" w:cs="Times New Roman"/>
                <w:i w:val="0"/>
                <w:iCs w:val="0"/>
                <w:kern w:val="2"/>
                <w:sz w:val="24"/>
                <w:szCs w:val="24"/>
                <w:u w:val="none" w:color="auto"/>
                <w:lang w:val="en-US" w:eastAsia="zh-CN" w:bidi="ar-SA"/>
              </w:rPr>
              <w:t>-201</w:t>
            </w:r>
            <w:r>
              <w:rPr>
                <w:rFonts w:hint="eastAsia" w:cs="Times New Roman"/>
                <w:i w:val="0"/>
                <w:iCs w:val="0"/>
                <w:kern w:val="2"/>
                <w:sz w:val="24"/>
                <w:szCs w:val="24"/>
                <w:u w:val="none" w:color="auto"/>
                <w:lang w:val="en-US" w:eastAsia="zh-CN" w:bidi="ar-SA"/>
              </w:rPr>
              <w:t>7《</w:t>
            </w:r>
            <w:r>
              <w:rPr>
                <w:rFonts w:hint="eastAsia" w:ascii="Times New Roman" w:hAnsi="Times New Roman" w:eastAsia="宋体" w:cs="Times New Roman"/>
                <w:i w:val="0"/>
                <w:iCs w:val="0"/>
                <w:kern w:val="2"/>
                <w:sz w:val="24"/>
                <w:szCs w:val="24"/>
                <w:u w:val="none" w:color="auto"/>
                <w:lang w:val="en-US" w:eastAsia="zh-CN" w:bidi="ar-SA"/>
              </w:rPr>
              <w:t>排污许可证申请与核发技术规范水泥工业</w:t>
            </w:r>
            <w:r>
              <w:rPr>
                <w:rFonts w:hint="eastAsia" w:cs="Times New Roman"/>
                <w:i w:val="0"/>
                <w:iCs w:val="0"/>
                <w:kern w:val="2"/>
                <w:sz w:val="24"/>
                <w:szCs w:val="24"/>
                <w:u w:val="none" w:color="auto"/>
                <w:lang w:val="en-US" w:eastAsia="zh-CN" w:bidi="ar-SA"/>
              </w:rPr>
              <w:t>》中附录B及</w:t>
            </w:r>
            <w:r>
              <w:rPr>
                <w:rFonts w:hint="eastAsia" w:ascii="Times New Roman" w:hAnsi="Times New Roman" w:eastAsia="宋体" w:cs="Times New Roman"/>
                <w:i w:val="0"/>
                <w:iCs w:val="0"/>
                <w:kern w:val="2"/>
                <w:sz w:val="24"/>
                <w:szCs w:val="24"/>
                <w:u w:val="none" w:color="auto"/>
                <w:lang w:val="en-US" w:eastAsia="zh-CN" w:bidi="ar-SA"/>
              </w:rPr>
              <w:t>HJ886-2018《污染物源强核算技术指南 水泥工业》中附录C水泥工业废气污染防治可行技术，</w:t>
            </w:r>
            <w:r>
              <w:rPr>
                <w:rFonts w:hint="eastAsia" w:cs="Times New Roman"/>
                <w:i w:val="0"/>
                <w:iCs w:val="0"/>
                <w:kern w:val="2"/>
                <w:sz w:val="24"/>
                <w:szCs w:val="24"/>
                <w:u w:val="none" w:color="auto"/>
                <w:lang w:val="en-US" w:eastAsia="zh-CN" w:bidi="ar-SA"/>
              </w:rPr>
              <w:t>颗粒物可行技术为袋式除尘器；物料处理、输送、装卸、储存过程应当封闭，对块石、粘湿物料、浆料以及车船装卸料过程也可采取其他有效抑尘措施，控制颗粒物无组织排放。</w:t>
            </w:r>
          </w:p>
          <w:p w14:paraId="0C394BF4">
            <w:pPr>
              <w:spacing w:line="360" w:lineRule="auto"/>
              <w:ind w:firstLine="480" w:firstLineChars="200"/>
              <w:rPr>
                <w:rFonts w:hint="eastAsia" w:ascii="Times New Roman" w:hAnsi="Times New Roman" w:cs="Times New Roman"/>
                <w:i w:val="0"/>
                <w:iCs w:val="0"/>
                <w:kern w:val="2"/>
                <w:sz w:val="24"/>
                <w:szCs w:val="24"/>
                <w:u w:val="single" w:color="auto"/>
                <w:lang w:val="en-US" w:eastAsia="zh-CN" w:bidi="ar-SA"/>
              </w:rPr>
            </w:pPr>
            <w:r>
              <w:rPr>
                <w:rFonts w:hint="eastAsia" w:ascii="Times New Roman" w:hAnsi="Times New Roman" w:eastAsia="宋体" w:cs="Times New Roman"/>
                <w:i w:val="0"/>
                <w:iCs w:val="0"/>
                <w:kern w:val="2"/>
                <w:sz w:val="24"/>
                <w:szCs w:val="24"/>
                <w:u w:val="single" w:color="auto"/>
                <w:lang w:val="en-US" w:eastAsia="zh-CN" w:bidi="ar-SA"/>
              </w:rPr>
              <w:t>本项目</w:t>
            </w:r>
            <w:r>
              <w:rPr>
                <w:rFonts w:hint="eastAsia" w:cs="Times New Roman"/>
                <w:i w:val="0"/>
                <w:iCs w:val="0"/>
                <w:kern w:val="2"/>
                <w:sz w:val="24"/>
                <w:szCs w:val="24"/>
                <w:u w:val="single" w:color="auto"/>
                <w:lang w:val="en-US" w:eastAsia="zh-CN" w:bidi="ar-SA"/>
              </w:rPr>
              <w:t>筒仓粉尘、搅拌机粉尘</w:t>
            </w:r>
            <w:r>
              <w:rPr>
                <w:rFonts w:hint="eastAsia" w:ascii="Times New Roman" w:hAnsi="Times New Roman" w:eastAsia="宋体" w:cs="Times New Roman"/>
                <w:i w:val="0"/>
                <w:iCs w:val="0"/>
                <w:kern w:val="2"/>
                <w:sz w:val="24"/>
                <w:szCs w:val="24"/>
                <w:u w:val="single" w:color="auto"/>
                <w:lang w:val="en-US" w:eastAsia="zh-CN" w:bidi="ar-SA"/>
              </w:rPr>
              <w:t>采用</w:t>
            </w:r>
            <w:r>
              <w:rPr>
                <w:rFonts w:hint="eastAsia" w:cs="Times New Roman"/>
                <w:i w:val="0"/>
                <w:iCs w:val="0"/>
                <w:kern w:val="2"/>
                <w:sz w:val="24"/>
                <w:szCs w:val="24"/>
                <w:u w:val="single" w:color="auto"/>
                <w:lang w:val="en-US" w:eastAsia="zh-CN" w:bidi="ar-SA"/>
              </w:rPr>
              <w:t>脉冲袋式</w:t>
            </w:r>
            <w:r>
              <w:rPr>
                <w:rFonts w:hint="eastAsia" w:ascii="Times New Roman" w:hAnsi="Times New Roman" w:eastAsia="宋体" w:cs="Times New Roman"/>
                <w:i w:val="0"/>
                <w:iCs w:val="0"/>
                <w:kern w:val="2"/>
                <w:sz w:val="24"/>
                <w:szCs w:val="24"/>
                <w:u w:val="single" w:color="auto"/>
                <w:lang w:val="en-US" w:eastAsia="zh-CN" w:bidi="ar-SA"/>
              </w:rPr>
              <w:t>除尘器</w:t>
            </w:r>
            <w:r>
              <w:rPr>
                <w:rFonts w:hint="eastAsia" w:cs="Times New Roman"/>
                <w:i w:val="0"/>
                <w:iCs w:val="0"/>
                <w:kern w:val="2"/>
                <w:sz w:val="24"/>
                <w:szCs w:val="24"/>
                <w:u w:val="single" w:color="auto"/>
                <w:lang w:val="en-US" w:eastAsia="zh-CN" w:bidi="ar-SA"/>
              </w:rPr>
              <w:t>处理</w:t>
            </w:r>
            <w:r>
              <w:rPr>
                <w:rFonts w:hint="eastAsia" w:ascii="Times New Roman" w:hAnsi="Times New Roman" w:eastAsia="宋体" w:cs="Times New Roman"/>
                <w:i w:val="0"/>
                <w:iCs w:val="0"/>
                <w:kern w:val="2"/>
                <w:sz w:val="24"/>
                <w:szCs w:val="24"/>
                <w:u w:val="single" w:color="auto"/>
                <w:lang w:val="en-US" w:eastAsia="zh-CN" w:bidi="ar-SA"/>
              </w:rPr>
              <w:t>，</w:t>
            </w:r>
            <w:r>
              <w:rPr>
                <w:rFonts w:hint="eastAsia" w:ascii="Times New Roman" w:hAnsi="Times New Roman" w:cs="Times New Roman"/>
                <w:i w:val="0"/>
                <w:iCs w:val="0"/>
                <w:kern w:val="2"/>
                <w:sz w:val="24"/>
                <w:szCs w:val="24"/>
                <w:u w:val="single" w:color="auto"/>
                <w:lang w:val="en-US" w:eastAsia="zh-CN" w:bidi="ar-SA"/>
              </w:rPr>
              <w:t>骨料堆</w:t>
            </w:r>
            <w:r>
              <w:rPr>
                <w:rFonts w:hint="eastAsia" w:ascii="Times New Roman" w:hAnsi="Times New Roman" w:eastAsia="宋体" w:cs="Times New Roman"/>
                <w:i w:val="0"/>
                <w:iCs w:val="0"/>
                <w:kern w:val="2"/>
                <w:sz w:val="24"/>
                <w:szCs w:val="24"/>
                <w:u w:val="single" w:color="auto"/>
                <w:lang w:val="en-US" w:eastAsia="zh-CN" w:bidi="ar-SA"/>
              </w:rPr>
              <w:t>场采取</w:t>
            </w:r>
            <w:r>
              <w:rPr>
                <w:rFonts w:hint="eastAsia" w:cs="Times New Roman"/>
                <w:i w:val="0"/>
                <w:iCs w:val="0"/>
                <w:kern w:val="2"/>
                <w:sz w:val="24"/>
                <w:szCs w:val="24"/>
                <w:u w:val="single" w:color="auto"/>
                <w:lang w:val="en-US" w:eastAsia="zh-CN" w:bidi="ar-SA"/>
              </w:rPr>
              <w:t>封闭料库</w:t>
            </w:r>
            <w:r>
              <w:rPr>
                <w:rFonts w:hint="eastAsia" w:ascii="Times New Roman" w:hAnsi="Times New Roman" w:cs="Times New Roman"/>
                <w:i w:val="0"/>
                <w:iCs w:val="0"/>
                <w:kern w:val="2"/>
                <w:sz w:val="24"/>
                <w:szCs w:val="24"/>
                <w:u w:val="single" w:color="auto"/>
                <w:lang w:val="en-US" w:eastAsia="zh-CN" w:bidi="ar-SA"/>
              </w:rPr>
              <w:t>、洒水降尘的</w:t>
            </w:r>
            <w:r>
              <w:rPr>
                <w:rFonts w:hint="eastAsia" w:ascii="Times New Roman" w:hAnsi="Times New Roman" w:eastAsia="宋体" w:cs="Times New Roman"/>
                <w:i w:val="0"/>
                <w:iCs w:val="0"/>
                <w:kern w:val="2"/>
                <w:sz w:val="24"/>
                <w:szCs w:val="24"/>
                <w:u w:val="single" w:color="auto"/>
                <w:lang w:val="en-US" w:eastAsia="zh-CN" w:bidi="ar-SA"/>
              </w:rPr>
              <w:t>处理</w:t>
            </w:r>
            <w:r>
              <w:rPr>
                <w:rFonts w:hint="eastAsia" w:ascii="Times New Roman" w:hAnsi="Times New Roman" w:cs="Times New Roman"/>
                <w:i w:val="0"/>
                <w:iCs w:val="0"/>
                <w:kern w:val="2"/>
                <w:sz w:val="24"/>
                <w:szCs w:val="24"/>
                <w:u w:val="single" w:color="auto"/>
                <w:lang w:val="en-US" w:eastAsia="zh-CN" w:bidi="ar-SA"/>
              </w:rPr>
              <w:t>方式</w:t>
            </w:r>
            <w:r>
              <w:rPr>
                <w:rFonts w:hint="eastAsia" w:cs="Times New Roman"/>
                <w:i w:val="0"/>
                <w:iCs w:val="0"/>
                <w:kern w:val="2"/>
                <w:sz w:val="24"/>
                <w:szCs w:val="24"/>
                <w:u w:val="single" w:color="auto"/>
                <w:lang w:val="en-US" w:eastAsia="zh-CN" w:bidi="ar-SA"/>
              </w:rPr>
              <w:t>减少无组织粉尘排放</w:t>
            </w:r>
            <w:r>
              <w:rPr>
                <w:rFonts w:hint="eastAsia" w:ascii="Times New Roman" w:hAnsi="Times New Roman" w:cs="Times New Roman"/>
                <w:i w:val="0"/>
                <w:iCs w:val="0"/>
                <w:kern w:val="2"/>
                <w:sz w:val="24"/>
                <w:szCs w:val="24"/>
                <w:u w:val="single" w:color="auto"/>
                <w:lang w:val="en-US" w:eastAsia="zh-CN" w:bidi="ar-SA"/>
              </w:rPr>
              <w:t>；上料、装卸、运输过程中产生的粉尘均采取</w:t>
            </w:r>
            <w:r>
              <w:rPr>
                <w:rFonts w:hint="eastAsia" w:ascii="Times New Roman" w:hAnsi="Times New Roman" w:eastAsia="宋体" w:cs="Times New Roman"/>
                <w:i w:val="0"/>
                <w:iCs w:val="0"/>
                <w:kern w:val="2"/>
                <w:sz w:val="24"/>
                <w:szCs w:val="24"/>
                <w:u w:val="single" w:color="auto"/>
                <w:lang w:val="en-US" w:eastAsia="zh-CN" w:bidi="ar-SA"/>
              </w:rPr>
              <w:t>洒水降尘</w:t>
            </w:r>
            <w:r>
              <w:rPr>
                <w:rFonts w:hint="eastAsia" w:ascii="Times New Roman" w:hAnsi="Times New Roman" w:cs="Times New Roman"/>
                <w:i w:val="0"/>
                <w:iCs w:val="0"/>
                <w:kern w:val="2"/>
                <w:sz w:val="24"/>
                <w:szCs w:val="24"/>
                <w:u w:val="single" w:color="auto"/>
                <w:lang w:val="en-US" w:eastAsia="zh-CN" w:bidi="ar-SA"/>
              </w:rPr>
              <w:t>的</w:t>
            </w:r>
            <w:r>
              <w:rPr>
                <w:rFonts w:hint="eastAsia" w:ascii="Times New Roman" w:hAnsi="Times New Roman" w:eastAsia="宋体" w:cs="Times New Roman"/>
                <w:i w:val="0"/>
                <w:iCs w:val="0"/>
                <w:kern w:val="2"/>
                <w:sz w:val="24"/>
                <w:szCs w:val="24"/>
                <w:u w:val="single" w:color="auto"/>
                <w:lang w:val="en-US" w:eastAsia="zh-CN" w:bidi="ar-SA"/>
              </w:rPr>
              <w:t>处理</w:t>
            </w:r>
            <w:r>
              <w:rPr>
                <w:rFonts w:hint="eastAsia" w:ascii="Times New Roman" w:hAnsi="Times New Roman" w:cs="Times New Roman"/>
                <w:i w:val="0"/>
                <w:iCs w:val="0"/>
                <w:kern w:val="2"/>
                <w:sz w:val="24"/>
                <w:szCs w:val="24"/>
                <w:u w:val="single" w:color="auto"/>
                <w:lang w:val="en-US" w:eastAsia="zh-CN" w:bidi="ar-SA"/>
              </w:rPr>
              <w:t>方式</w:t>
            </w:r>
            <w:r>
              <w:rPr>
                <w:rFonts w:hint="eastAsia" w:cs="Times New Roman"/>
                <w:i w:val="0"/>
                <w:iCs w:val="0"/>
                <w:kern w:val="2"/>
                <w:sz w:val="24"/>
                <w:szCs w:val="24"/>
                <w:u w:val="single" w:color="auto"/>
                <w:lang w:val="en-US" w:eastAsia="zh-CN" w:bidi="ar-SA"/>
              </w:rPr>
              <w:t>减少无组织粉尘排放，</w:t>
            </w:r>
            <w:r>
              <w:rPr>
                <w:rFonts w:hint="eastAsia" w:ascii="Times New Roman" w:hAnsi="Times New Roman" w:eastAsia="宋体" w:cs="Times New Roman"/>
                <w:i w:val="0"/>
                <w:iCs w:val="0"/>
                <w:kern w:val="2"/>
                <w:sz w:val="24"/>
                <w:szCs w:val="24"/>
                <w:u w:val="single" w:color="auto"/>
                <w:lang w:val="en-US" w:eastAsia="zh-CN" w:bidi="ar-SA"/>
              </w:rPr>
              <w:t>满足工业废气污染防治可行技术要求。</w:t>
            </w:r>
          </w:p>
          <w:p w14:paraId="60F261D7">
            <w:pPr>
              <w:pStyle w:val="64"/>
              <w:adjustRightInd w:val="0"/>
              <w:spacing w:before="0" w:after="0" w:line="360" w:lineRule="auto"/>
              <w:ind w:firstLine="480" w:firstLineChars="200"/>
              <w:jc w:val="both"/>
              <w:rPr>
                <w:rFonts w:hint="eastAsia" w:ascii="Times New Roman" w:hAnsi="Times New Roman" w:eastAsia="宋体" w:cs="Times New Roman"/>
                <w:i w:val="0"/>
                <w:iCs w:val="0"/>
                <w:kern w:val="2"/>
                <w:sz w:val="24"/>
                <w:szCs w:val="24"/>
                <w:u w:val="single" w:color="auto"/>
                <w:lang w:val="en-US" w:eastAsia="zh-CN" w:bidi="ar-SA"/>
              </w:rPr>
            </w:pPr>
            <w:r>
              <w:rPr>
                <w:rFonts w:hint="eastAsia" w:ascii="Times New Roman" w:hAnsi="Times New Roman" w:cs="Times New Roman"/>
                <w:i w:val="0"/>
                <w:iCs w:val="0"/>
                <w:kern w:val="2"/>
                <w:sz w:val="24"/>
                <w:szCs w:val="24"/>
                <w:highlight w:val="none"/>
                <w:u w:val="none" w:color="auto"/>
                <w:lang w:val="en-US" w:eastAsia="zh-CN" w:bidi="ar-SA"/>
              </w:rPr>
              <w:t>采取上述治理措施后，项目废气均能实现达标排放，基本不会改变区域的环境质量，对环境影响较小，</w:t>
            </w:r>
            <w:r>
              <w:rPr>
                <w:rFonts w:hint="eastAsia" w:ascii="Times New Roman" w:hAnsi="Times New Roman" w:eastAsia="宋体" w:cs="Times New Roman"/>
                <w:i w:val="0"/>
                <w:iCs w:val="0"/>
                <w:kern w:val="2"/>
                <w:sz w:val="24"/>
                <w:szCs w:val="24"/>
                <w:highlight w:val="none"/>
                <w:u w:val="none" w:color="auto"/>
                <w:lang w:val="en-US" w:eastAsia="zh-CN" w:bidi="ar-SA"/>
              </w:rPr>
              <w:t>项目污染治理措施可行</w:t>
            </w:r>
            <w:r>
              <w:rPr>
                <w:rFonts w:hint="eastAsia" w:ascii="Times New Roman" w:hAnsi="Times New Roman" w:eastAsia="宋体" w:cs="Times New Roman"/>
                <w:i w:val="0"/>
                <w:iCs w:val="0"/>
                <w:kern w:val="2"/>
                <w:sz w:val="24"/>
                <w:szCs w:val="24"/>
                <w:u w:val="none" w:color="auto"/>
                <w:lang w:val="en-US" w:eastAsia="zh-CN" w:bidi="ar-SA"/>
              </w:rPr>
              <w:t>。</w:t>
            </w:r>
          </w:p>
          <w:p w14:paraId="2632369E">
            <w:pPr>
              <w:spacing w:line="360" w:lineRule="auto"/>
              <w:ind w:firstLine="480" w:firstLineChars="200"/>
              <w:rPr>
                <w:rFonts w:ascii="Times New Roman" w:hAnsi="Times New Roman" w:eastAsia="宋体" w:cs="Times New Roman"/>
                <w:i w:val="0"/>
                <w:iCs w:val="0"/>
                <w:kern w:val="2"/>
                <w:sz w:val="24"/>
                <w:szCs w:val="24"/>
                <w:u w:val="single"/>
                <w:lang w:val="en-US" w:eastAsia="zh-CN" w:bidi="ar-SA"/>
              </w:rPr>
            </w:pPr>
            <w:r>
              <w:rPr>
                <w:rFonts w:hint="eastAsia" w:cs="Times New Roman"/>
                <w:i w:val="0"/>
                <w:iCs w:val="0"/>
                <w:kern w:val="2"/>
                <w:sz w:val="24"/>
                <w:szCs w:val="24"/>
                <w:u w:val="none"/>
                <w:lang w:val="en-US" w:eastAsia="zh-CN" w:bidi="ar-SA"/>
              </w:rPr>
              <w:t>正常工况下，本项目废气均能达标排放，将对周围环境影响降至最低，</w:t>
            </w:r>
            <w:r>
              <w:rPr>
                <w:rFonts w:hint="eastAsia" w:ascii="Times New Roman" w:hAnsi="Times New Roman" w:eastAsia="宋体" w:cs="Times New Roman"/>
                <w:i w:val="0"/>
                <w:iCs w:val="0"/>
                <w:kern w:val="2"/>
                <w:sz w:val="24"/>
                <w:szCs w:val="24"/>
                <w:u w:val="none"/>
                <w:lang w:val="en-US" w:eastAsia="zh-CN" w:bidi="ar-SA"/>
              </w:rPr>
              <w:t>为了保护项目厂区周围大气环境不受本项目粉尘的污染影响，本次评价建议建设单位要加强对粉尘治理设施的管理和维护，一旦发现粉尘治理设施发生故障而无法正常运行时，要及时停止生产，待故障解除后，方可恢复生产。</w:t>
            </w:r>
            <w:bookmarkEnd w:id="13"/>
          </w:p>
          <w:p w14:paraId="1FFF502B">
            <w:pPr>
              <w:pStyle w:val="28"/>
              <w:spacing w:line="360" w:lineRule="auto"/>
              <w:ind w:firstLine="480" w:firstLineChars="200"/>
              <w:rPr>
                <w:rFonts w:hint="default" w:ascii="Times New Roman" w:hAnsi="Times New Roman" w:cs="Times New Roman"/>
                <w:b w:val="0"/>
                <w:bCs/>
                <w:i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i w:val="0"/>
                <w:iCs w:val="0"/>
                <w:kern w:val="2"/>
                <w:sz w:val="24"/>
                <w:szCs w:val="24"/>
                <w:u w:val="none"/>
                <w:lang w:val="en-US" w:eastAsia="zh-CN" w:bidi="ar-SA"/>
              </w:rPr>
              <w:t>脉冲袋式除尘器原理</w:t>
            </w:r>
            <w:r>
              <w:rPr>
                <w:rFonts w:ascii="Times New Roman" w:hAnsi="Times New Roman" w:eastAsia="宋体" w:cs="Times New Roman"/>
                <w:i w:val="0"/>
                <w:iCs w:val="0"/>
                <w:kern w:val="2"/>
                <w:sz w:val="24"/>
                <w:szCs w:val="24"/>
                <w:u w:val="none"/>
                <w:lang w:val="en-US" w:eastAsia="zh-CN" w:bidi="ar-SA"/>
              </w:rPr>
              <w:t>：除尘器正常工作时，含尘气体由风口进入灰斗，一部分较粗的尘粒由于惯性碰撞和自然沉降等原因落入灰斗，其余大部分尘粒随气流上升进入袋室，经滤袋过滤后，尘粒被滞留在滤袋外侧，净化后的气体由滤袋内部进入上箱体，再由阀板孔、排风口排入大气，从而达到除尘目的。除尘效率可达9</w:t>
            </w:r>
            <w:r>
              <w:rPr>
                <w:rFonts w:hint="eastAsia" w:ascii="Times New Roman" w:hAnsi="Times New Roman" w:eastAsia="宋体" w:cs="Times New Roman"/>
                <w:i w:val="0"/>
                <w:iCs w:val="0"/>
                <w:kern w:val="2"/>
                <w:sz w:val="24"/>
                <w:szCs w:val="24"/>
                <w:u w:val="none"/>
                <w:lang w:val="en-US" w:eastAsia="zh-CN" w:bidi="ar-SA"/>
              </w:rPr>
              <w:t>8</w:t>
            </w:r>
            <w:r>
              <w:rPr>
                <w:rFonts w:ascii="Times New Roman" w:hAnsi="Times New Roman" w:eastAsia="宋体" w:cs="Times New Roman"/>
                <w:i w:val="0"/>
                <w:iCs w:val="0"/>
                <w:kern w:val="2"/>
                <w:sz w:val="24"/>
                <w:szCs w:val="24"/>
                <w:u w:val="none"/>
                <w:lang w:val="en-US" w:eastAsia="zh-CN" w:bidi="ar-SA"/>
              </w:rPr>
              <w:t>%以上。最小捕集粒径＜0.1μm，由于其效率高、性能稳定、密闭性能好、清灰效果好、维修管理方便、操作简单，而获得越来越广泛的应用</w:t>
            </w:r>
            <w:r>
              <w:rPr>
                <w:rFonts w:hint="eastAsia" w:ascii="Times New Roman" w:hAnsi="Times New Roman" w:eastAsia="宋体" w:cs="Times New Roman"/>
                <w:i w:val="0"/>
                <w:iCs w:val="0"/>
                <w:kern w:val="2"/>
                <w:sz w:val="24"/>
                <w:szCs w:val="24"/>
                <w:u w:val="none"/>
                <w:lang w:val="en-US" w:eastAsia="zh-CN" w:bidi="ar-SA"/>
              </w:rPr>
              <w:t>。</w:t>
            </w:r>
          </w:p>
          <w:p w14:paraId="061D035F">
            <w:pPr>
              <w:pStyle w:val="56"/>
              <w:adjustRightInd w:val="0"/>
              <w:spacing w:line="360" w:lineRule="auto"/>
              <w:ind w:firstLine="482"/>
              <w:jc w:val="left"/>
              <w:rPr>
                <w:rFonts w:hint="eastAsia"/>
                <w:b/>
                <w:bCs/>
                <w:i w:val="0"/>
                <w:iCs w:val="0"/>
                <w:u w:val="single"/>
              </w:rPr>
            </w:pPr>
            <w:r>
              <w:rPr>
                <w:rFonts w:hint="default" w:ascii="Times New Roman" w:hAnsi="Times New Roman" w:cs="Times New Roman"/>
                <w:b w:val="0"/>
                <w:bCs/>
                <w:iCs/>
                <w:color w:val="000000" w:themeColor="text1"/>
                <w:sz w:val="24"/>
                <w:szCs w:val="24"/>
                <w:lang w:val="en-US" w:eastAsia="zh-CN"/>
                <w14:textFill>
                  <w14:solidFill>
                    <w14:schemeClr w14:val="tx1"/>
                  </w14:solidFill>
                </w14:textFill>
              </w:rPr>
              <w:t>1.</w:t>
            </w:r>
            <w:r>
              <w:rPr>
                <w:rFonts w:hint="eastAsia" w:ascii="Times New Roman" w:hAnsi="Times New Roman" w:cs="Times New Roman"/>
                <w:b w:val="0"/>
                <w:bCs/>
                <w:iCs/>
                <w:color w:val="000000" w:themeColor="text1"/>
                <w:sz w:val="24"/>
                <w:szCs w:val="24"/>
                <w:lang w:val="en-US" w:eastAsia="zh-CN"/>
                <w14:textFill>
                  <w14:solidFill>
                    <w14:schemeClr w14:val="tx1"/>
                  </w14:solidFill>
                </w14:textFill>
              </w:rPr>
              <w:t>3</w:t>
            </w:r>
            <w:r>
              <w:rPr>
                <w:rFonts w:hint="eastAsia"/>
                <w:b w:val="0"/>
                <w:bCs w:val="0"/>
                <w:i w:val="0"/>
                <w:iCs w:val="0"/>
                <w:color w:val="auto"/>
                <w:sz w:val="24"/>
                <w:szCs w:val="24"/>
                <w:u w:val="none"/>
              </w:rPr>
              <w:t>非正常工况污染物排放情况</w:t>
            </w:r>
          </w:p>
          <w:p w14:paraId="6868AE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u w:val="none" w:color="auto"/>
                <w:lang w:eastAsia="zh-CN"/>
              </w:rPr>
            </w:pPr>
            <w:r>
              <w:rPr>
                <w:rFonts w:hint="default" w:ascii="Times New Roman" w:hAnsi="Times New Roman" w:eastAsia="宋体" w:cs="Times New Roman"/>
                <w:sz w:val="24"/>
                <w:szCs w:val="24"/>
                <w:highlight w:val="none"/>
                <w:u w:val="none" w:color="auto"/>
              </w:rPr>
              <w:t>项目废气非正常排放主要发生的工况为</w:t>
            </w:r>
            <w:r>
              <w:rPr>
                <w:rFonts w:hint="default" w:ascii="Times New Roman" w:hAnsi="Times New Roman" w:eastAsia="宋体" w:cs="Times New Roman"/>
                <w:sz w:val="24"/>
                <w:szCs w:val="24"/>
                <w:highlight w:val="none"/>
                <w:u w:val="none" w:color="auto"/>
                <w:lang w:eastAsia="zh-CN"/>
              </w:rPr>
              <w:t>废气</w:t>
            </w:r>
            <w:r>
              <w:rPr>
                <w:rFonts w:hint="default" w:ascii="Times New Roman" w:hAnsi="Times New Roman" w:eastAsia="宋体" w:cs="Times New Roman"/>
                <w:sz w:val="24"/>
                <w:szCs w:val="24"/>
                <w:highlight w:val="none"/>
                <w:u w:val="none" w:color="auto"/>
              </w:rPr>
              <w:t>处理系统处理效率下降。本次评价考虑的非正常排放为</w:t>
            </w:r>
            <w:bookmarkStart w:id="14" w:name="OLE_LINK113"/>
            <w:r>
              <w:rPr>
                <w:rFonts w:hint="default" w:ascii="Times New Roman" w:hAnsi="Times New Roman" w:eastAsia="宋体" w:cs="Times New Roman"/>
                <w:sz w:val="24"/>
                <w:szCs w:val="24"/>
                <w:highlight w:val="none"/>
                <w:u w:val="none" w:color="auto"/>
              </w:rPr>
              <w:t>脉冲袋式除尘器故障失效</w:t>
            </w:r>
            <w:bookmarkEnd w:id="14"/>
            <w:r>
              <w:rPr>
                <w:rFonts w:hint="default" w:ascii="Times New Roman" w:hAnsi="Times New Roman" w:eastAsia="宋体" w:cs="Times New Roman"/>
                <w:sz w:val="24"/>
                <w:szCs w:val="24"/>
                <w:highlight w:val="none"/>
                <w:u w:val="none" w:color="auto"/>
              </w:rPr>
              <w:t>，</w:t>
            </w:r>
            <w:r>
              <w:rPr>
                <w:rFonts w:hint="default" w:ascii="Times New Roman" w:hAnsi="Times New Roman" w:eastAsia="宋体" w:cs="Times New Roman"/>
                <w:sz w:val="24"/>
                <w:szCs w:val="24"/>
                <w:highlight w:val="none"/>
                <w:u w:val="none" w:color="auto"/>
                <w:lang w:eastAsia="zh-CN"/>
              </w:rPr>
              <w:t>环保设施</w:t>
            </w:r>
            <w:r>
              <w:rPr>
                <w:rFonts w:hint="default" w:ascii="Times New Roman" w:hAnsi="Times New Roman" w:eastAsia="宋体" w:cs="Times New Roman"/>
                <w:sz w:val="24"/>
                <w:szCs w:val="24"/>
                <w:highlight w:val="none"/>
                <w:u w:val="none" w:color="auto"/>
              </w:rPr>
              <w:t>的处理效率为0的情况，废气非正常排放情况见</w:t>
            </w:r>
            <w:r>
              <w:rPr>
                <w:rFonts w:hint="default" w:ascii="Times New Roman" w:hAnsi="Times New Roman" w:eastAsia="宋体" w:cs="Times New Roman"/>
                <w:sz w:val="24"/>
                <w:szCs w:val="24"/>
                <w:highlight w:val="none"/>
                <w:u w:val="none" w:color="auto"/>
                <w:lang w:eastAsia="zh-CN"/>
              </w:rPr>
              <w:t>下表</w:t>
            </w:r>
            <w:r>
              <w:rPr>
                <w:rFonts w:hint="eastAsia" w:ascii="Times New Roman" w:hAnsi="Times New Roman" w:cs="Times New Roman"/>
                <w:sz w:val="24"/>
                <w:szCs w:val="24"/>
                <w:highlight w:val="none"/>
                <w:u w:val="none" w:color="auto"/>
                <w:lang w:eastAsia="zh-CN"/>
              </w:rPr>
              <w:t>。</w:t>
            </w:r>
          </w:p>
          <w:p w14:paraId="4E03F2F1">
            <w:pPr>
              <w:jc w:val="center"/>
              <w:rPr>
                <w:rFonts w:hint="eastAsia"/>
                <w:b/>
                <w:bCs/>
                <w:i w:val="0"/>
                <w:iCs w:val="0"/>
                <w:sz w:val="24"/>
                <w:szCs w:val="24"/>
                <w:u w:val="none" w:color="auto"/>
              </w:rPr>
            </w:pPr>
            <w:r>
              <w:rPr>
                <w:rFonts w:hint="eastAsia"/>
                <w:b/>
                <w:bCs/>
                <w:i w:val="0"/>
                <w:iCs w:val="0"/>
                <w:sz w:val="24"/>
                <w:szCs w:val="24"/>
                <w:u w:val="none" w:color="auto"/>
              </w:rPr>
              <w:t>表</w:t>
            </w:r>
            <w:r>
              <w:rPr>
                <w:rFonts w:hint="eastAsia"/>
                <w:b/>
                <w:bCs/>
                <w:i w:val="0"/>
                <w:iCs w:val="0"/>
                <w:sz w:val="24"/>
                <w:szCs w:val="24"/>
                <w:u w:val="none" w:color="auto"/>
                <w:lang w:val="en-US" w:eastAsia="zh-CN"/>
              </w:rPr>
              <w:t xml:space="preserve">4-5 </w:t>
            </w:r>
            <w:r>
              <w:rPr>
                <w:rFonts w:hint="eastAsia"/>
                <w:b/>
                <w:bCs/>
                <w:i w:val="0"/>
                <w:iCs w:val="0"/>
                <w:sz w:val="24"/>
                <w:szCs w:val="24"/>
                <w:u w:val="none" w:color="auto"/>
              </w:rPr>
              <w:t xml:space="preserve"> 非正常工况下废气污染物排放情况</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922"/>
              <w:gridCol w:w="1110"/>
              <w:gridCol w:w="1389"/>
              <w:gridCol w:w="1308"/>
              <w:gridCol w:w="986"/>
              <w:gridCol w:w="1020"/>
            </w:tblGrid>
            <w:tr w14:paraId="1B11D6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7" w:type="pct"/>
                  <w:tcBorders>
                    <w:tl2br w:val="nil"/>
                    <w:tr2bl w:val="nil"/>
                  </w:tcBorders>
                  <w:noWrap w:val="0"/>
                  <w:vAlign w:val="center"/>
                </w:tcPr>
                <w:p w14:paraId="2CA47E16">
                  <w:pPr>
                    <w:pStyle w:val="63"/>
                    <w:adjustRightInd w:val="0"/>
                    <w:snapToGrid w:val="0"/>
                    <w:spacing w:line="240" w:lineRule="auto"/>
                    <w:jc w:val="center"/>
                    <w:rPr>
                      <w:rFonts w:hint="default" w:eastAsia="宋体"/>
                      <w:b w:val="0"/>
                      <w:bCs/>
                      <w:sz w:val="21"/>
                      <w:szCs w:val="21"/>
                      <w:u w:val="none" w:color="auto"/>
                      <w:vertAlign w:val="baseline"/>
                      <w:lang w:val="en-US" w:eastAsia="zh-CN"/>
                    </w:rPr>
                  </w:pPr>
                  <w:r>
                    <w:rPr>
                      <w:rFonts w:hint="eastAsia"/>
                      <w:b w:val="0"/>
                      <w:bCs/>
                      <w:sz w:val="21"/>
                      <w:szCs w:val="21"/>
                      <w:u w:val="none" w:color="auto"/>
                      <w:vertAlign w:val="baseline"/>
                      <w:lang w:val="en-US" w:eastAsia="zh-CN"/>
                    </w:rPr>
                    <w:t>工序</w:t>
                  </w:r>
                </w:p>
              </w:tc>
              <w:tc>
                <w:tcPr>
                  <w:tcW w:w="543" w:type="pct"/>
                  <w:tcBorders>
                    <w:tl2br w:val="nil"/>
                    <w:tr2bl w:val="nil"/>
                  </w:tcBorders>
                  <w:noWrap w:val="0"/>
                  <w:vAlign w:val="center"/>
                </w:tcPr>
                <w:p w14:paraId="50C146B0">
                  <w:pPr>
                    <w:pStyle w:val="63"/>
                    <w:adjustRightInd w:val="0"/>
                    <w:snapToGrid w:val="0"/>
                    <w:spacing w:line="240" w:lineRule="auto"/>
                    <w:jc w:val="center"/>
                    <w:rPr>
                      <w:rFonts w:hint="eastAsia" w:eastAsia="宋体"/>
                      <w:b w:val="0"/>
                      <w:bCs/>
                      <w:sz w:val="21"/>
                      <w:szCs w:val="21"/>
                      <w:u w:val="none" w:color="auto"/>
                      <w:vertAlign w:val="baseline"/>
                      <w:lang w:val="en-US" w:eastAsia="zh-CN"/>
                    </w:rPr>
                  </w:pPr>
                  <w:r>
                    <w:rPr>
                      <w:rFonts w:hint="eastAsia"/>
                      <w:b w:val="0"/>
                      <w:bCs/>
                      <w:sz w:val="21"/>
                      <w:szCs w:val="21"/>
                      <w:u w:val="none" w:color="auto"/>
                      <w:vertAlign w:val="baseline"/>
                      <w:lang w:val="en-US" w:eastAsia="zh-CN"/>
                    </w:rPr>
                    <w:t>污染物</w:t>
                  </w:r>
                </w:p>
              </w:tc>
              <w:tc>
                <w:tcPr>
                  <w:tcW w:w="654" w:type="pct"/>
                  <w:tcBorders>
                    <w:tl2br w:val="nil"/>
                    <w:tr2bl w:val="nil"/>
                  </w:tcBorders>
                  <w:noWrap w:val="0"/>
                  <w:vAlign w:val="center"/>
                </w:tcPr>
                <w:p w14:paraId="066D3AAC">
                  <w:pPr>
                    <w:pStyle w:val="63"/>
                    <w:adjustRightInd w:val="0"/>
                    <w:snapToGrid w:val="0"/>
                    <w:spacing w:line="240" w:lineRule="auto"/>
                    <w:jc w:val="center"/>
                    <w:rPr>
                      <w:b w:val="0"/>
                      <w:bCs/>
                      <w:sz w:val="21"/>
                      <w:szCs w:val="21"/>
                      <w:u w:val="none" w:color="auto"/>
                      <w:vertAlign w:val="baseline"/>
                    </w:rPr>
                  </w:pPr>
                  <w:r>
                    <w:rPr>
                      <w:rFonts w:hint="eastAsia"/>
                      <w:b w:val="0"/>
                      <w:bCs/>
                      <w:sz w:val="21"/>
                      <w:szCs w:val="21"/>
                      <w:u w:val="none" w:color="auto"/>
                      <w:vertAlign w:val="baseline"/>
                      <w:lang w:val="en-US" w:eastAsia="zh-CN"/>
                    </w:rPr>
                    <w:t>非正常排放原因</w:t>
                  </w:r>
                </w:p>
              </w:tc>
              <w:tc>
                <w:tcPr>
                  <w:tcW w:w="819" w:type="pct"/>
                  <w:tcBorders>
                    <w:tl2br w:val="nil"/>
                    <w:tr2bl w:val="nil"/>
                  </w:tcBorders>
                  <w:noWrap w:val="0"/>
                  <w:vAlign w:val="center"/>
                </w:tcPr>
                <w:p w14:paraId="7EFB286A">
                  <w:pPr>
                    <w:pStyle w:val="63"/>
                    <w:adjustRightInd w:val="0"/>
                    <w:snapToGrid w:val="0"/>
                    <w:spacing w:line="240" w:lineRule="auto"/>
                    <w:jc w:val="center"/>
                    <w:rPr>
                      <w:rFonts w:hint="default" w:eastAsia="宋体"/>
                      <w:b w:val="0"/>
                      <w:bCs/>
                      <w:sz w:val="21"/>
                      <w:szCs w:val="21"/>
                      <w:u w:val="none" w:color="auto"/>
                      <w:vertAlign w:val="baseline"/>
                      <w:lang w:val="en-US" w:eastAsia="zh-CN"/>
                    </w:rPr>
                  </w:pPr>
                  <w:r>
                    <w:rPr>
                      <w:b w:val="0"/>
                      <w:bCs/>
                      <w:sz w:val="21"/>
                      <w:szCs w:val="21"/>
                      <w:u w:val="none" w:color="auto"/>
                    </w:rPr>
                    <w:t>非正常排放速率</w:t>
                  </w:r>
                  <w:r>
                    <w:rPr>
                      <w:rFonts w:hint="eastAsia"/>
                      <w:b w:val="0"/>
                      <w:bCs/>
                      <w:sz w:val="21"/>
                      <w:szCs w:val="21"/>
                      <w:u w:val="none" w:color="auto"/>
                      <w:lang w:eastAsia="zh-CN"/>
                    </w:rPr>
                    <w:t>（</w:t>
                  </w:r>
                  <w:r>
                    <w:rPr>
                      <w:b w:val="0"/>
                      <w:bCs/>
                      <w:sz w:val="21"/>
                      <w:szCs w:val="21"/>
                      <w:u w:val="none" w:color="auto"/>
                    </w:rPr>
                    <w:t>kg/h</w:t>
                  </w:r>
                  <w:r>
                    <w:rPr>
                      <w:rFonts w:hint="eastAsia"/>
                      <w:b w:val="0"/>
                      <w:bCs/>
                      <w:sz w:val="21"/>
                      <w:szCs w:val="21"/>
                      <w:u w:val="none" w:color="auto"/>
                      <w:lang w:eastAsia="zh-CN"/>
                    </w:rPr>
                    <w:t>）</w:t>
                  </w:r>
                </w:p>
              </w:tc>
              <w:tc>
                <w:tcPr>
                  <w:tcW w:w="771" w:type="pct"/>
                  <w:tcBorders>
                    <w:tl2br w:val="nil"/>
                    <w:tr2bl w:val="nil"/>
                  </w:tcBorders>
                  <w:noWrap w:val="0"/>
                  <w:vAlign w:val="center"/>
                </w:tcPr>
                <w:p w14:paraId="10A254A4">
                  <w:pPr>
                    <w:pStyle w:val="63"/>
                    <w:adjustRightInd w:val="0"/>
                    <w:snapToGrid w:val="0"/>
                    <w:spacing w:line="240" w:lineRule="auto"/>
                    <w:jc w:val="center"/>
                    <w:rPr>
                      <w:rFonts w:hint="eastAsia"/>
                      <w:b w:val="0"/>
                      <w:bCs/>
                      <w:sz w:val="21"/>
                      <w:szCs w:val="21"/>
                      <w:u w:val="none" w:color="auto"/>
                      <w:vertAlign w:val="baseline"/>
                      <w:lang w:val="en-US" w:eastAsia="zh-CN"/>
                    </w:rPr>
                  </w:pPr>
                  <w:r>
                    <w:rPr>
                      <w:rFonts w:hint="eastAsia"/>
                      <w:b w:val="0"/>
                      <w:bCs/>
                      <w:sz w:val="21"/>
                      <w:szCs w:val="21"/>
                      <w:u w:val="none" w:color="auto"/>
                      <w:vertAlign w:val="baseline"/>
                      <w:lang w:val="en-US" w:eastAsia="zh-CN"/>
                    </w:rPr>
                    <w:t>排放量（t/a）</w:t>
                  </w:r>
                </w:p>
              </w:tc>
              <w:tc>
                <w:tcPr>
                  <w:tcW w:w="581" w:type="pct"/>
                  <w:tcBorders>
                    <w:tl2br w:val="nil"/>
                    <w:tr2bl w:val="nil"/>
                  </w:tcBorders>
                  <w:noWrap w:val="0"/>
                  <w:vAlign w:val="center"/>
                </w:tcPr>
                <w:p w14:paraId="2726D66B">
                  <w:pPr>
                    <w:pStyle w:val="63"/>
                    <w:adjustRightInd w:val="0"/>
                    <w:snapToGrid w:val="0"/>
                    <w:spacing w:line="240" w:lineRule="auto"/>
                    <w:jc w:val="center"/>
                    <w:rPr>
                      <w:rFonts w:hint="default" w:eastAsia="宋体"/>
                      <w:b w:val="0"/>
                      <w:bCs/>
                      <w:sz w:val="21"/>
                      <w:szCs w:val="21"/>
                      <w:highlight w:val="none"/>
                      <w:u w:val="none" w:color="auto"/>
                      <w:vertAlign w:val="baseline"/>
                      <w:lang w:val="en-US" w:eastAsia="zh-CN"/>
                    </w:rPr>
                  </w:pPr>
                  <w:r>
                    <w:rPr>
                      <w:rFonts w:hint="eastAsia"/>
                      <w:b w:val="0"/>
                      <w:bCs/>
                      <w:sz w:val="21"/>
                      <w:szCs w:val="21"/>
                      <w:highlight w:val="none"/>
                      <w:u w:val="none" w:color="auto"/>
                      <w:vertAlign w:val="baseline"/>
                      <w:lang w:val="en-US" w:eastAsia="zh-CN"/>
                    </w:rPr>
                    <w:t>单次持续时间/h</w:t>
                  </w:r>
                </w:p>
              </w:tc>
              <w:tc>
                <w:tcPr>
                  <w:tcW w:w="601" w:type="pct"/>
                  <w:tcBorders>
                    <w:tl2br w:val="nil"/>
                    <w:tr2bl w:val="nil"/>
                  </w:tcBorders>
                  <w:noWrap w:val="0"/>
                  <w:vAlign w:val="center"/>
                </w:tcPr>
                <w:p w14:paraId="10C87551">
                  <w:pPr>
                    <w:pStyle w:val="63"/>
                    <w:adjustRightInd w:val="0"/>
                    <w:snapToGrid w:val="0"/>
                    <w:spacing w:line="240" w:lineRule="auto"/>
                    <w:jc w:val="center"/>
                    <w:rPr>
                      <w:rFonts w:hint="default" w:eastAsia="宋体"/>
                      <w:b w:val="0"/>
                      <w:bCs/>
                      <w:sz w:val="21"/>
                      <w:szCs w:val="21"/>
                      <w:highlight w:val="none"/>
                      <w:u w:val="none" w:color="auto"/>
                      <w:vertAlign w:val="baseline"/>
                      <w:lang w:val="en-US" w:eastAsia="zh-CN"/>
                    </w:rPr>
                  </w:pPr>
                  <w:r>
                    <w:rPr>
                      <w:rFonts w:hint="eastAsia"/>
                      <w:b w:val="0"/>
                      <w:bCs/>
                      <w:sz w:val="21"/>
                      <w:szCs w:val="21"/>
                      <w:highlight w:val="none"/>
                      <w:u w:val="none" w:color="auto"/>
                      <w:vertAlign w:val="baseline"/>
                      <w:lang w:val="en-US" w:eastAsia="zh-CN"/>
                    </w:rPr>
                    <w:t>年平均发生频次/次</w:t>
                  </w:r>
                </w:p>
              </w:tc>
            </w:tr>
            <w:tr w14:paraId="1E031E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7" w:type="pct"/>
                  <w:tcBorders>
                    <w:tl2br w:val="nil"/>
                    <w:tr2bl w:val="nil"/>
                  </w:tcBorders>
                  <w:shd w:val="clear" w:color="auto" w:fill="auto"/>
                  <w:noWrap w:val="0"/>
                  <w:vAlign w:val="center"/>
                </w:tcPr>
                <w:p w14:paraId="79B134BF">
                  <w:pPr>
                    <w:jc w:val="center"/>
                    <w:rPr>
                      <w:rFonts w:hint="default" w:ascii="Times New Roman" w:hAnsi="Times New Roman" w:eastAsia="宋体" w:cs="Times New Roman"/>
                      <w:kern w:val="21"/>
                      <w:sz w:val="21"/>
                      <w:szCs w:val="21"/>
                      <w:u w:val="none" w:color="auto"/>
                      <w:lang w:val="en-US" w:eastAsia="zh-CN" w:bidi="ar-SA"/>
                    </w:rPr>
                  </w:pPr>
                  <w:r>
                    <w:rPr>
                      <w:rFonts w:hint="eastAsia"/>
                      <w:kern w:val="21"/>
                      <w:sz w:val="21"/>
                      <w:szCs w:val="21"/>
                      <w:u w:val="none" w:color="auto"/>
                      <w:lang w:val="en-US" w:eastAsia="zh-CN"/>
                    </w:rPr>
                    <w:t>1#水泥</w:t>
                  </w:r>
                  <w:r>
                    <w:rPr>
                      <w:rFonts w:hint="eastAsia" w:eastAsia="宋体"/>
                      <w:kern w:val="21"/>
                      <w:sz w:val="21"/>
                      <w:szCs w:val="21"/>
                      <w:u w:val="none" w:color="auto"/>
                      <w:lang w:val="en-US" w:eastAsia="zh-CN"/>
                    </w:rPr>
                    <w:t>筒仓粉尘</w:t>
                  </w:r>
                </w:p>
              </w:tc>
              <w:tc>
                <w:tcPr>
                  <w:tcW w:w="543" w:type="pct"/>
                  <w:vMerge w:val="restart"/>
                  <w:tcBorders>
                    <w:tl2br w:val="nil"/>
                    <w:tr2bl w:val="nil"/>
                  </w:tcBorders>
                  <w:noWrap w:val="0"/>
                  <w:vAlign w:val="center"/>
                </w:tcPr>
                <w:p w14:paraId="2AB8A6CA">
                  <w:pPr>
                    <w:pStyle w:val="63"/>
                    <w:adjustRightInd w:val="0"/>
                    <w:snapToGrid w:val="0"/>
                    <w:spacing w:line="240" w:lineRule="auto"/>
                    <w:jc w:val="center"/>
                    <w:rPr>
                      <w:rFonts w:hint="eastAsia" w:eastAsia="宋体"/>
                      <w:b w:val="0"/>
                      <w:bCs/>
                      <w:sz w:val="21"/>
                      <w:szCs w:val="21"/>
                      <w:u w:val="none" w:color="auto"/>
                      <w:vertAlign w:val="baseline"/>
                      <w:lang w:val="en-US" w:eastAsia="zh-CN"/>
                    </w:rPr>
                  </w:pPr>
                  <w:r>
                    <w:rPr>
                      <w:rFonts w:hint="eastAsia"/>
                      <w:b w:val="0"/>
                      <w:bCs/>
                      <w:sz w:val="21"/>
                      <w:szCs w:val="21"/>
                      <w:u w:val="none" w:color="auto"/>
                      <w:vertAlign w:val="baseline"/>
                      <w:lang w:val="en-US" w:eastAsia="zh-CN"/>
                    </w:rPr>
                    <w:t>颗粒物</w:t>
                  </w:r>
                </w:p>
              </w:tc>
              <w:tc>
                <w:tcPr>
                  <w:tcW w:w="654" w:type="pct"/>
                  <w:vMerge w:val="restart"/>
                  <w:tcBorders>
                    <w:tl2br w:val="nil"/>
                    <w:tr2bl w:val="nil"/>
                  </w:tcBorders>
                  <w:shd w:val="clear" w:color="auto" w:fill="auto"/>
                  <w:noWrap w:val="0"/>
                  <w:vAlign w:val="center"/>
                </w:tcPr>
                <w:p w14:paraId="2ED5E8A4">
                  <w:pPr>
                    <w:jc w:val="center"/>
                    <w:rPr>
                      <w:rFonts w:hint="default" w:ascii="Times New Roman" w:hAnsi="Times New Roman" w:eastAsia="宋体" w:cs="Times New Roman"/>
                      <w:kern w:val="21"/>
                      <w:sz w:val="21"/>
                      <w:szCs w:val="21"/>
                      <w:u w:val="none" w:color="auto"/>
                      <w:lang w:val="en-US" w:eastAsia="zh-CN" w:bidi="ar-SA"/>
                    </w:rPr>
                  </w:pPr>
                  <w:r>
                    <w:rPr>
                      <w:rFonts w:hint="eastAsia"/>
                      <w:b w:val="0"/>
                      <w:bCs/>
                      <w:sz w:val="21"/>
                      <w:szCs w:val="21"/>
                      <w:u w:val="none" w:color="auto"/>
                      <w:vertAlign w:val="baseline"/>
                      <w:lang w:val="en-US" w:eastAsia="zh-CN"/>
                    </w:rPr>
                    <w:t>脉冲袋式除尘器故障</w:t>
                  </w:r>
                </w:p>
              </w:tc>
              <w:tc>
                <w:tcPr>
                  <w:tcW w:w="819" w:type="pct"/>
                  <w:tcBorders>
                    <w:tl2br w:val="nil"/>
                    <w:tr2bl w:val="nil"/>
                  </w:tcBorders>
                  <w:shd w:val="clear" w:color="auto" w:fill="auto"/>
                  <w:noWrap w:val="0"/>
                  <w:vAlign w:val="center"/>
                </w:tcPr>
                <w:p w14:paraId="627055D8">
                  <w:pPr>
                    <w:jc w:val="center"/>
                    <w:rPr>
                      <w:rFonts w:hint="default" w:ascii="Times New Roman" w:hAnsi="Times New Roman" w:eastAsia="宋体" w:cs="Times New Roman"/>
                      <w:kern w:val="21"/>
                      <w:sz w:val="21"/>
                      <w:szCs w:val="21"/>
                      <w:u w:val="none" w:color="auto"/>
                      <w:lang w:val="en-US" w:eastAsia="zh-CN" w:bidi="ar-SA"/>
                    </w:rPr>
                  </w:pPr>
                  <w:r>
                    <w:rPr>
                      <w:rFonts w:hint="eastAsia"/>
                      <w:kern w:val="21"/>
                      <w:sz w:val="21"/>
                      <w:szCs w:val="21"/>
                      <w:u w:val="none" w:color="auto"/>
                      <w:lang w:val="en-US" w:eastAsia="zh-CN"/>
                    </w:rPr>
                    <w:t>1.5</w:t>
                  </w:r>
                </w:p>
              </w:tc>
              <w:tc>
                <w:tcPr>
                  <w:tcW w:w="771" w:type="pct"/>
                  <w:tcBorders>
                    <w:tl2br w:val="nil"/>
                    <w:tr2bl w:val="nil"/>
                  </w:tcBorders>
                  <w:noWrap w:val="0"/>
                  <w:vAlign w:val="center"/>
                </w:tcPr>
                <w:p w14:paraId="3F54DFD9">
                  <w:pPr>
                    <w:pStyle w:val="63"/>
                    <w:adjustRightInd w:val="0"/>
                    <w:snapToGrid w:val="0"/>
                    <w:spacing w:line="240" w:lineRule="auto"/>
                    <w:jc w:val="center"/>
                    <w:rPr>
                      <w:rFonts w:hint="default"/>
                      <w:b w:val="0"/>
                      <w:bCs/>
                      <w:sz w:val="21"/>
                      <w:szCs w:val="21"/>
                      <w:u w:val="none" w:color="auto"/>
                      <w:vertAlign w:val="baseline"/>
                      <w:lang w:val="en-US" w:eastAsia="zh-CN"/>
                    </w:rPr>
                  </w:pPr>
                  <w:r>
                    <w:rPr>
                      <w:rFonts w:hint="eastAsia"/>
                      <w:b w:val="0"/>
                      <w:bCs/>
                      <w:sz w:val="21"/>
                      <w:szCs w:val="21"/>
                      <w:u w:val="none" w:color="auto"/>
                      <w:vertAlign w:val="baseline"/>
                      <w:lang w:val="en-US" w:eastAsia="zh-CN"/>
                    </w:rPr>
                    <w:t>0.006</w:t>
                  </w:r>
                </w:p>
              </w:tc>
              <w:tc>
                <w:tcPr>
                  <w:tcW w:w="581" w:type="pct"/>
                  <w:tcBorders>
                    <w:tl2br w:val="nil"/>
                    <w:tr2bl w:val="nil"/>
                  </w:tcBorders>
                  <w:noWrap w:val="0"/>
                  <w:vAlign w:val="center"/>
                </w:tcPr>
                <w:p w14:paraId="1F127921">
                  <w:pPr>
                    <w:pStyle w:val="63"/>
                    <w:adjustRightInd w:val="0"/>
                    <w:snapToGrid w:val="0"/>
                    <w:spacing w:line="240" w:lineRule="auto"/>
                    <w:jc w:val="center"/>
                    <w:rPr>
                      <w:rFonts w:hint="default" w:eastAsia="宋体"/>
                      <w:b w:val="0"/>
                      <w:bCs/>
                      <w:sz w:val="21"/>
                      <w:szCs w:val="21"/>
                      <w:highlight w:val="none"/>
                      <w:u w:val="none" w:color="auto"/>
                      <w:vertAlign w:val="baseline"/>
                      <w:lang w:val="en-US" w:eastAsia="zh-CN"/>
                    </w:rPr>
                  </w:pPr>
                  <w:r>
                    <w:rPr>
                      <w:rFonts w:hint="eastAsia"/>
                      <w:b w:val="0"/>
                      <w:bCs/>
                      <w:sz w:val="21"/>
                      <w:szCs w:val="21"/>
                      <w:highlight w:val="none"/>
                      <w:u w:val="none" w:color="auto"/>
                      <w:vertAlign w:val="baseline"/>
                      <w:lang w:val="en-US" w:eastAsia="zh-CN"/>
                    </w:rPr>
                    <w:t>2</w:t>
                  </w:r>
                </w:p>
              </w:tc>
              <w:tc>
                <w:tcPr>
                  <w:tcW w:w="601" w:type="pct"/>
                  <w:tcBorders>
                    <w:tl2br w:val="nil"/>
                    <w:tr2bl w:val="nil"/>
                  </w:tcBorders>
                  <w:noWrap w:val="0"/>
                  <w:vAlign w:val="center"/>
                </w:tcPr>
                <w:p w14:paraId="50F3CAAE">
                  <w:pPr>
                    <w:pStyle w:val="63"/>
                    <w:adjustRightInd w:val="0"/>
                    <w:snapToGrid w:val="0"/>
                    <w:spacing w:line="240" w:lineRule="auto"/>
                    <w:jc w:val="center"/>
                    <w:rPr>
                      <w:rFonts w:hint="eastAsia" w:eastAsia="宋体"/>
                      <w:b w:val="0"/>
                      <w:bCs/>
                      <w:sz w:val="21"/>
                      <w:szCs w:val="21"/>
                      <w:highlight w:val="none"/>
                      <w:u w:val="none" w:color="auto"/>
                      <w:vertAlign w:val="baseline"/>
                      <w:lang w:val="en-US" w:eastAsia="zh-CN"/>
                    </w:rPr>
                  </w:pPr>
                  <w:r>
                    <w:rPr>
                      <w:rFonts w:hint="eastAsia"/>
                      <w:b w:val="0"/>
                      <w:bCs/>
                      <w:sz w:val="21"/>
                      <w:szCs w:val="21"/>
                      <w:highlight w:val="none"/>
                      <w:u w:val="none" w:color="auto"/>
                      <w:vertAlign w:val="baseline"/>
                      <w:lang w:val="en-US" w:eastAsia="zh-CN"/>
                    </w:rPr>
                    <w:t>2</w:t>
                  </w:r>
                </w:p>
              </w:tc>
            </w:tr>
            <w:tr w14:paraId="78AD5A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7" w:type="pct"/>
                  <w:tcBorders>
                    <w:tl2br w:val="nil"/>
                    <w:tr2bl w:val="nil"/>
                  </w:tcBorders>
                  <w:shd w:val="clear" w:color="auto" w:fill="auto"/>
                  <w:noWrap w:val="0"/>
                  <w:vAlign w:val="center"/>
                </w:tcPr>
                <w:p w14:paraId="18C5AEE9">
                  <w:pPr>
                    <w:jc w:val="center"/>
                    <w:rPr>
                      <w:rFonts w:hint="eastAsia"/>
                      <w:kern w:val="21"/>
                      <w:sz w:val="21"/>
                      <w:szCs w:val="21"/>
                      <w:u w:val="none" w:color="auto"/>
                      <w:lang w:val="en-US" w:eastAsia="zh-CN"/>
                    </w:rPr>
                  </w:pPr>
                  <w:r>
                    <w:rPr>
                      <w:rFonts w:hint="eastAsia"/>
                      <w:kern w:val="21"/>
                      <w:sz w:val="21"/>
                      <w:szCs w:val="21"/>
                      <w:u w:val="none" w:color="auto"/>
                      <w:lang w:val="en-US" w:eastAsia="zh-CN"/>
                    </w:rPr>
                    <w:t>2#水泥</w:t>
                  </w:r>
                  <w:r>
                    <w:rPr>
                      <w:rFonts w:hint="eastAsia" w:eastAsia="宋体"/>
                      <w:kern w:val="21"/>
                      <w:sz w:val="21"/>
                      <w:szCs w:val="21"/>
                      <w:u w:val="none" w:color="auto"/>
                      <w:lang w:val="en-US" w:eastAsia="zh-CN"/>
                    </w:rPr>
                    <w:t>筒仓粉尘</w:t>
                  </w:r>
                </w:p>
              </w:tc>
              <w:tc>
                <w:tcPr>
                  <w:tcW w:w="543" w:type="pct"/>
                  <w:vMerge w:val="continue"/>
                  <w:tcBorders>
                    <w:tl2br w:val="nil"/>
                    <w:tr2bl w:val="nil"/>
                  </w:tcBorders>
                  <w:noWrap w:val="0"/>
                  <w:vAlign w:val="center"/>
                </w:tcPr>
                <w:p w14:paraId="47E08085">
                  <w:pPr>
                    <w:pStyle w:val="63"/>
                    <w:adjustRightInd w:val="0"/>
                    <w:snapToGrid w:val="0"/>
                    <w:spacing w:line="240" w:lineRule="auto"/>
                    <w:jc w:val="center"/>
                    <w:rPr>
                      <w:rFonts w:hint="eastAsia"/>
                      <w:b w:val="0"/>
                      <w:bCs/>
                      <w:sz w:val="21"/>
                      <w:szCs w:val="21"/>
                      <w:u w:val="none" w:color="auto"/>
                      <w:vertAlign w:val="baseline"/>
                      <w:lang w:val="en-US" w:eastAsia="zh-CN"/>
                    </w:rPr>
                  </w:pPr>
                </w:p>
              </w:tc>
              <w:tc>
                <w:tcPr>
                  <w:tcW w:w="654" w:type="pct"/>
                  <w:vMerge w:val="continue"/>
                  <w:tcBorders>
                    <w:tl2br w:val="nil"/>
                    <w:tr2bl w:val="nil"/>
                  </w:tcBorders>
                  <w:shd w:val="clear" w:color="auto" w:fill="auto"/>
                  <w:noWrap w:val="0"/>
                  <w:vAlign w:val="center"/>
                </w:tcPr>
                <w:p w14:paraId="2FE0F3EE">
                  <w:pPr>
                    <w:jc w:val="center"/>
                    <w:rPr>
                      <w:rFonts w:hint="eastAsia"/>
                      <w:b w:val="0"/>
                      <w:bCs/>
                      <w:sz w:val="21"/>
                      <w:szCs w:val="21"/>
                      <w:u w:val="none" w:color="auto"/>
                      <w:vertAlign w:val="baseline"/>
                      <w:lang w:val="en-US" w:eastAsia="zh-CN"/>
                    </w:rPr>
                  </w:pPr>
                </w:p>
              </w:tc>
              <w:tc>
                <w:tcPr>
                  <w:tcW w:w="819" w:type="pct"/>
                  <w:tcBorders>
                    <w:tl2br w:val="nil"/>
                    <w:tr2bl w:val="nil"/>
                  </w:tcBorders>
                  <w:shd w:val="clear" w:color="auto" w:fill="auto"/>
                  <w:noWrap w:val="0"/>
                  <w:vAlign w:val="center"/>
                </w:tcPr>
                <w:p w14:paraId="7F6C6A16">
                  <w:pPr>
                    <w:jc w:val="center"/>
                    <w:rPr>
                      <w:rFonts w:hint="eastAsia" w:ascii="Times New Roman" w:hAnsi="Times New Roman" w:eastAsia="宋体" w:cs="Times New Roman"/>
                      <w:kern w:val="21"/>
                      <w:sz w:val="21"/>
                      <w:szCs w:val="21"/>
                      <w:u w:val="none" w:color="auto"/>
                      <w:lang w:val="en-US" w:eastAsia="zh-CN" w:bidi="ar-SA"/>
                    </w:rPr>
                  </w:pPr>
                  <w:r>
                    <w:rPr>
                      <w:rFonts w:hint="eastAsia"/>
                      <w:kern w:val="21"/>
                      <w:sz w:val="21"/>
                      <w:szCs w:val="21"/>
                      <w:u w:val="none" w:color="auto"/>
                      <w:lang w:val="en-US" w:eastAsia="zh-CN"/>
                    </w:rPr>
                    <w:t>1.5</w:t>
                  </w:r>
                </w:p>
              </w:tc>
              <w:tc>
                <w:tcPr>
                  <w:tcW w:w="771" w:type="pct"/>
                  <w:tcBorders>
                    <w:tl2br w:val="nil"/>
                    <w:tr2bl w:val="nil"/>
                  </w:tcBorders>
                  <w:shd w:val="clear" w:color="auto" w:fill="auto"/>
                  <w:noWrap w:val="0"/>
                  <w:vAlign w:val="center"/>
                </w:tcPr>
                <w:p w14:paraId="090E5C20">
                  <w:pPr>
                    <w:pStyle w:val="63"/>
                    <w:adjustRightInd w:val="0"/>
                    <w:snapToGrid w:val="0"/>
                    <w:spacing w:line="240" w:lineRule="auto"/>
                    <w:ind w:firstLine="0" w:firstLineChars="0"/>
                    <w:jc w:val="center"/>
                    <w:rPr>
                      <w:rFonts w:hint="eastAsia" w:ascii="Times New Roman" w:hAnsi="Times New Roman" w:eastAsia="宋体" w:cs="Times New Roman"/>
                      <w:b w:val="0"/>
                      <w:bCs/>
                      <w:kern w:val="2"/>
                      <w:sz w:val="21"/>
                      <w:szCs w:val="21"/>
                      <w:u w:val="none" w:color="auto"/>
                      <w:vertAlign w:val="baseline"/>
                      <w:lang w:val="en-US" w:eastAsia="zh-CN" w:bidi="ar-SA"/>
                    </w:rPr>
                  </w:pPr>
                  <w:r>
                    <w:rPr>
                      <w:rFonts w:hint="eastAsia"/>
                      <w:b w:val="0"/>
                      <w:bCs/>
                      <w:sz w:val="21"/>
                      <w:szCs w:val="21"/>
                      <w:u w:val="none" w:color="auto"/>
                      <w:vertAlign w:val="baseline"/>
                      <w:lang w:val="en-US" w:eastAsia="zh-CN"/>
                    </w:rPr>
                    <w:t>0.006</w:t>
                  </w:r>
                </w:p>
              </w:tc>
              <w:tc>
                <w:tcPr>
                  <w:tcW w:w="581" w:type="pct"/>
                  <w:tcBorders>
                    <w:tl2br w:val="nil"/>
                    <w:tr2bl w:val="nil"/>
                  </w:tcBorders>
                  <w:shd w:val="clear" w:color="auto" w:fill="auto"/>
                  <w:noWrap w:val="0"/>
                  <w:vAlign w:val="center"/>
                </w:tcPr>
                <w:p w14:paraId="1F027D48">
                  <w:pPr>
                    <w:pStyle w:val="63"/>
                    <w:adjustRightInd w:val="0"/>
                    <w:snapToGrid w:val="0"/>
                    <w:spacing w:line="240" w:lineRule="auto"/>
                    <w:ind w:firstLine="0" w:firstLineChars="0"/>
                    <w:jc w:val="center"/>
                    <w:rPr>
                      <w:rFonts w:hint="eastAsia" w:ascii="Times New Roman" w:hAnsi="Times New Roman" w:eastAsia="宋体" w:cs="Times New Roman"/>
                      <w:b w:val="0"/>
                      <w:bCs/>
                      <w:kern w:val="2"/>
                      <w:sz w:val="21"/>
                      <w:szCs w:val="21"/>
                      <w:highlight w:val="none"/>
                      <w:u w:val="none" w:color="auto"/>
                      <w:vertAlign w:val="baseline"/>
                      <w:lang w:val="en-US" w:eastAsia="zh-CN" w:bidi="ar-SA"/>
                    </w:rPr>
                  </w:pPr>
                  <w:r>
                    <w:rPr>
                      <w:rFonts w:hint="eastAsia"/>
                      <w:b w:val="0"/>
                      <w:bCs/>
                      <w:sz w:val="21"/>
                      <w:szCs w:val="21"/>
                      <w:highlight w:val="none"/>
                      <w:u w:val="none" w:color="auto"/>
                      <w:vertAlign w:val="baseline"/>
                      <w:lang w:val="en-US" w:eastAsia="zh-CN"/>
                    </w:rPr>
                    <w:t>2</w:t>
                  </w:r>
                </w:p>
              </w:tc>
              <w:tc>
                <w:tcPr>
                  <w:tcW w:w="601" w:type="pct"/>
                  <w:tcBorders>
                    <w:tl2br w:val="nil"/>
                    <w:tr2bl w:val="nil"/>
                  </w:tcBorders>
                  <w:shd w:val="clear" w:color="auto" w:fill="auto"/>
                  <w:noWrap w:val="0"/>
                  <w:vAlign w:val="center"/>
                </w:tcPr>
                <w:p w14:paraId="1A16C128">
                  <w:pPr>
                    <w:pStyle w:val="63"/>
                    <w:adjustRightInd w:val="0"/>
                    <w:snapToGrid w:val="0"/>
                    <w:spacing w:line="240" w:lineRule="auto"/>
                    <w:ind w:firstLine="0" w:firstLineChars="0"/>
                    <w:jc w:val="center"/>
                    <w:rPr>
                      <w:rFonts w:hint="eastAsia" w:ascii="Times New Roman" w:hAnsi="Times New Roman" w:eastAsia="宋体" w:cs="Times New Roman"/>
                      <w:b w:val="0"/>
                      <w:bCs/>
                      <w:kern w:val="2"/>
                      <w:sz w:val="21"/>
                      <w:szCs w:val="21"/>
                      <w:highlight w:val="none"/>
                      <w:u w:val="none" w:color="auto"/>
                      <w:vertAlign w:val="baseline"/>
                      <w:lang w:val="en-US" w:eastAsia="zh-CN" w:bidi="ar-SA"/>
                    </w:rPr>
                  </w:pPr>
                  <w:r>
                    <w:rPr>
                      <w:rFonts w:hint="eastAsia"/>
                      <w:b w:val="0"/>
                      <w:bCs/>
                      <w:sz w:val="21"/>
                      <w:szCs w:val="21"/>
                      <w:highlight w:val="none"/>
                      <w:u w:val="none" w:color="auto"/>
                      <w:vertAlign w:val="baseline"/>
                      <w:lang w:val="en-US" w:eastAsia="zh-CN"/>
                    </w:rPr>
                    <w:t>2</w:t>
                  </w:r>
                </w:p>
              </w:tc>
            </w:tr>
            <w:tr w14:paraId="0A6FA1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7" w:type="pct"/>
                  <w:tcBorders>
                    <w:tl2br w:val="nil"/>
                    <w:tr2bl w:val="nil"/>
                  </w:tcBorders>
                  <w:shd w:val="clear" w:color="auto" w:fill="auto"/>
                  <w:noWrap w:val="0"/>
                  <w:vAlign w:val="center"/>
                </w:tcPr>
                <w:p w14:paraId="738BEB95">
                  <w:pPr>
                    <w:jc w:val="center"/>
                    <w:rPr>
                      <w:rFonts w:hint="eastAsia" w:ascii="Times New Roman" w:hAnsi="Times New Roman" w:eastAsia="宋体" w:cs="Times New Roman"/>
                      <w:kern w:val="21"/>
                      <w:sz w:val="21"/>
                      <w:szCs w:val="21"/>
                      <w:u w:val="none" w:color="auto"/>
                      <w:lang w:val="en-US" w:eastAsia="zh-CN" w:bidi="ar-SA"/>
                    </w:rPr>
                  </w:pPr>
                  <w:r>
                    <w:rPr>
                      <w:rFonts w:hint="eastAsia"/>
                      <w:kern w:val="21"/>
                      <w:sz w:val="21"/>
                      <w:szCs w:val="21"/>
                      <w:u w:val="none" w:color="auto"/>
                      <w:lang w:val="en-US" w:eastAsia="zh-CN"/>
                    </w:rPr>
                    <w:t>粉煤灰筒仓粉尘</w:t>
                  </w:r>
                </w:p>
              </w:tc>
              <w:tc>
                <w:tcPr>
                  <w:tcW w:w="543" w:type="pct"/>
                  <w:vMerge w:val="continue"/>
                  <w:tcBorders>
                    <w:tl2br w:val="nil"/>
                    <w:tr2bl w:val="nil"/>
                  </w:tcBorders>
                  <w:noWrap w:val="0"/>
                  <w:vAlign w:val="center"/>
                </w:tcPr>
                <w:p w14:paraId="516CA781">
                  <w:pPr>
                    <w:pStyle w:val="63"/>
                    <w:adjustRightInd w:val="0"/>
                    <w:snapToGrid w:val="0"/>
                    <w:spacing w:line="240" w:lineRule="auto"/>
                    <w:jc w:val="center"/>
                    <w:rPr>
                      <w:rFonts w:hint="eastAsia"/>
                      <w:b w:val="0"/>
                      <w:bCs/>
                      <w:sz w:val="21"/>
                      <w:szCs w:val="21"/>
                      <w:u w:val="none" w:color="auto"/>
                      <w:vertAlign w:val="baseline"/>
                      <w:lang w:val="en-US" w:eastAsia="zh-CN"/>
                    </w:rPr>
                  </w:pPr>
                </w:p>
              </w:tc>
              <w:tc>
                <w:tcPr>
                  <w:tcW w:w="654" w:type="pct"/>
                  <w:vMerge w:val="continue"/>
                  <w:tcBorders>
                    <w:tl2br w:val="nil"/>
                    <w:tr2bl w:val="nil"/>
                  </w:tcBorders>
                  <w:shd w:val="clear" w:color="auto" w:fill="auto"/>
                  <w:noWrap w:val="0"/>
                  <w:vAlign w:val="center"/>
                </w:tcPr>
                <w:p w14:paraId="590D208F">
                  <w:pPr>
                    <w:jc w:val="center"/>
                    <w:rPr>
                      <w:rFonts w:hint="eastAsia"/>
                      <w:b w:val="0"/>
                      <w:bCs/>
                      <w:sz w:val="21"/>
                      <w:szCs w:val="21"/>
                      <w:u w:val="none" w:color="auto"/>
                      <w:vertAlign w:val="baseline"/>
                      <w:lang w:val="en-US" w:eastAsia="zh-CN"/>
                    </w:rPr>
                  </w:pPr>
                </w:p>
              </w:tc>
              <w:tc>
                <w:tcPr>
                  <w:tcW w:w="819" w:type="pct"/>
                  <w:tcBorders>
                    <w:tl2br w:val="nil"/>
                    <w:tr2bl w:val="nil"/>
                  </w:tcBorders>
                  <w:shd w:val="clear" w:color="auto" w:fill="auto"/>
                  <w:noWrap w:val="0"/>
                  <w:vAlign w:val="center"/>
                </w:tcPr>
                <w:p w14:paraId="19782FDC">
                  <w:pPr>
                    <w:jc w:val="center"/>
                    <w:rPr>
                      <w:rFonts w:hint="default" w:ascii="Times New Roman" w:hAnsi="Times New Roman" w:eastAsia="宋体" w:cs="Times New Roman"/>
                      <w:kern w:val="21"/>
                      <w:sz w:val="21"/>
                      <w:szCs w:val="21"/>
                      <w:u w:val="none" w:color="auto"/>
                      <w:lang w:val="en-US" w:eastAsia="zh-CN" w:bidi="ar-SA"/>
                    </w:rPr>
                  </w:pPr>
                  <w:r>
                    <w:rPr>
                      <w:rFonts w:hint="eastAsia"/>
                      <w:kern w:val="21"/>
                      <w:sz w:val="21"/>
                      <w:szCs w:val="21"/>
                      <w:u w:val="none" w:color="auto"/>
                      <w:lang w:val="en-US" w:eastAsia="zh-CN"/>
                    </w:rPr>
                    <w:t>0.07</w:t>
                  </w:r>
                </w:p>
              </w:tc>
              <w:tc>
                <w:tcPr>
                  <w:tcW w:w="771" w:type="pct"/>
                  <w:tcBorders>
                    <w:tl2br w:val="nil"/>
                    <w:tr2bl w:val="nil"/>
                  </w:tcBorders>
                  <w:noWrap w:val="0"/>
                  <w:vAlign w:val="center"/>
                </w:tcPr>
                <w:p w14:paraId="425C3727">
                  <w:pPr>
                    <w:pStyle w:val="63"/>
                    <w:adjustRightInd w:val="0"/>
                    <w:snapToGrid w:val="0"/>
                    <w:spacing w:line="240" w:lineRule="auto"/>
                    <w:jc w:val="center"/>
                    <w:rPr>
                      <w:rFonts w:hint="default"/>
                      <w:b w:val="0"/>
                      <w:bCs/>
                      <w:sz w:val="21"/>
                      <w:szCs w:val="21"/>
                      <w:u w:val="none" w:color="auto"/>
                      <w:vertAlign w:val="baseline"/>
                      <w:lang w:val="en-US" w:eastAsia="zh-CN"/>
                    </w:rPr>
                  </w:pPr>
                  <w:r>
                    <w:rPr>
                      <w:rFonts w:hint="eastAsia"/>
                      <w:b w:val="0"/>
                      <w:bCs/>
                      <w:sz w:val="21"/>
                      <w:szCs w:val="21"/>
                      <w:u w:val="none" w:color="auto"/>
                      <w:vertAlign w:val="baseline"/>
                      <w:lang w:val="en-US" w:eastAsia="zh-CN"/>
                    </w:rPr>
                    <w:t>0.0003</w:t>
                  </w:r>
                </w:p>
              </w:tc>
              <w:tc>
                <w:tcPr>
                  <w:tcW w:w="581" w:type="pct"/>
                  <w:tcBorders>
                    <w:tl2br w:val="nil"/>
                    <w:tr2bl w:val="nil"/>
                  </w:tcBorders>
                  <w:shd w:val="clear" w:color="auto" w:fill="auto"/>
                  <w:noWrap w:val="0"/>
                  <w:vAlign w:val="center"/>
                </w:tcPr>
                <w:p w14:paraId="2754AD3A">
                  <w:pPr>
                    <w:pStyle w:val="63"/>
                    <w:adjustRightInd w:val="0"/>
                    <w:snapToGrid w:val="0"/>
                    <w:spacing w:line="240" w:lineRule="auto"/>
                    <w:ind w:firstLine="0" w:firstLineChars="0"/>
                    <w:jc w:val="center"/>
                    <w:rPr>
                      <w:rFonts w:hint="eastAsia" w:ascii="Times New Roman" w:hAnsi="Times New Roman" w:eastAsia="宋体" w:cs="Times New Roman"/>
                      <w:b w:val="0"/>
                      <w:bCs/>
                      <w:kern w:val="2"/>
                      <w:sz w:val="21"/>
                      <w:szCs w:val="21"/>
                      <w:highlight w:val="none"/>
                      <w:u w:val="none" w:color="auto"/>
                      <w:vertAlign w:val="baseline"/>
                      <w:lang w:val="en-US" w:eastAsia="zh-CN" w:bidi="ar-SA"/>
                    </w:rPr>
                  </w:pPr>
                  <w:r>
                    <w:rPr>
                      <w:rFonts w:hint="eastAsia"/>
                      <w:b w:val="0"/>
                      <w:bCs/>
                      <w:sz w:val="21"/>
                      <w:szCs w:val="21"/>
                      <w:highlight w:val="none"/>
                      <w:u w:val="none" w:color="auto"/>
                      <w:vertAlign w:val="baseline"/>
                      <w:lang w:val="en-US" w:eastAsia="zh-CN"/>
                    </w:rPr>
                    <w:t>2</w:t>
                  </w:r>
                </w:p>
              </w:tc>
              <w:tc>
                <w:tcPr>
                  <w:tcW w:w="601" w:type="pct"/>
                  <w:tcBorders>
                    <w:tl2br w:val="nil"/>
                    <w:tr2bl w:val="nil"/>
                  </w:tcBorders>
                  <w:shd w:val="clear" w:color="auto" w:fill="auto"/>
                  <w:noWrap w:val="0"/>
                  <w:vAlign w:val="center"/>
                </w:tcPr>
                <w:p w14:paraId="077B4C0D">
                  <w:pPr>
                    <w:pStyle w:val="63"/>
                    <w:adjustRightInd w:val="0"/>
                    <w:snapToGrid w:val="0"/>
                    <w:spacing w:line="240" w:lineRule="auto"/>
                    <w:ind w:firstLine="0" w:firstLineChars="0"/>
                    <w:jc w:val="center"/>
                    <w:rPr>
                      <w:rFonts w:hint="eastAsia" w:ascii="Times New Roman" w:hAnsi="Times New Roman" w:eastAsia="宋体" w:cs="Times New Roman"/>
                      <w:b w:val="0"/>
                      <w:bCs/>
                      <w:kern w:val="2"/>
                      <w:sz w:val="21"/>
                      <w:szCs w:val="21"/>
                      <w:highlight w:val="none"/>
                      <w:u w:val="none" w:color="auto"/>
                      <w:vertAlign w:val="baseline"/>
                      <w:lang w:val="en-US" w:eastAsia="zh-CN" w:bidi="ar-SA"/>
                    </w:rPr>
                  </w:pPr>
                  <w:r>
                    <w:rPr>
                      <w:rFonts w:hint="eastAsia"/>
                      <w:b w:val="0"/>
                      <w:bCs/>
                      <w:sz w:val="21"/>
                      <w:szCs w:val="21"/>
                      <w:highlight w:val="none"/>
                      <w:u w:val="none" w:color="auto"/>
                      <w:vertAlign w:val="baseline"/>
                      <w:lang w:val="en-US" w:eastAsia="zh-CN"/>
                    </w:rPr>
                    <w:t>2</w:t>
                  </w:r>
                </w:p>
              </w:tc>
            </w:tr>
            <w:tr w14:paraId="765BF8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7" w:type="pct"/>
                  <w:tcBorders>
                    <w:tl2br w:val="nil"/>
                    <w:tr2bl w:val="nil"/>
                  </w:tcBorders>
                  <w:shd w:val="clear" w:color="auto" w:fill="auto"/>
                  <w:noWrap w:val="0"/>
                  <w:vAlign w:val="center"/>
                </w:tcPr>
                <w:p w14:paraId="603B05E4">
                  <w:pPr>
                    <w:jc w:val="center"/>
                    <w:rPr>
                      <w:rFonts w:hint="eastAsia" w:ascii="Times New Roman" w:hAnsi="Times New Roman" w:eastAsia="宋体" w:cs="Times New Roman"/>
                      <w:kern w:val="21"/>
                      <w:sz w:val="21"/>
                      <w:szCs w:val="21"/>
                      <w:u w:val="none" w:color="auto"/>
                      <w:lang w:val="en-US" w:eastAsia="zh-CN" w:bidi="ar-SA"/>
                    </w:rPr>
                  </w:pPr>
                  <w:r>
                    <w:rPr>
                      <w:rFonts w:hint="eastAsia"/>
                      <w:kern w:val="21"/>
                      <w:sz w:val="21"/>
                      <w:szCs w:val="21"/>
                      <w:u w:val="none" w:color="auto"/>
                      <w:lang w:val="en-US" w:eastAsia="zh-CN"/>
                    </w:rPr>
                    <w:t>矿粉筒仓粉尘</w:t>
                  </w:r>
                </w:p>
              </w:tc>
              <w:tc>
                <w:tcPr>
                  <w:tcW w:w="543" w:type="pct"/>
                  <w:vMerge w:val="continue"/>
                  <w:tcBorders>
                    <w:tl2br w:val="nil"/>
                    <w:tr2bl w:val="nil"/>
                  </w:tcBorders>
                  <w:noWrap w:val="0"/>
                  <w:vAlign w:val="center"/>
                </w:tcPr>
                <w:p w14:paraId="086C989D">
                  <w:pPr>
                    <w:pStyle w:val="63"/>
                    <w:adjustRightInd w:val="0"/>
                    <w:snapToGrid w:val="0"/>
                    <w:spacing w:line="240" w:lineRule="auto"/>
                    <w:jc w:val="center"/>
                    <w:rPr>
                      <w:rFonts w:hint="eastAsia"/>
                      <w:b w:val="0"/>
                      <w:bCs/>
                      <w:sz w:val="21"/>
                      <w:szCs w:val="21"/>
                      <w:u w:val="none" w:color="auto"/>
                      <w:vertAlign w:val="baseline"/>
                      <w:lang w:val="en-US" w:eastAsia="zh-CN"/>
                    </w:rPr>
                  </w:pPr>
                </w:p>
              </w:tc>
              <w:tc>
                <w:tcPr>
                  <w:tcW w:w="654" w:type="pct"/>
                  <w:vMerge w:val="continue"/>
                  <w:tcBorders>
                    <w:tl2br w:val="nil"/>
                    <w:tr2bl w:val="nil"/>
                  </w:tcBorders>
                  <w:shd w:val="clear" w:color="auto" w:fill="auto"/>
                  <w:noWrap w:val="0"/>
                  <w:vAlign w:val="center"/>
                </w:tcPr>
                <w:p w14:paraId="61C6482D">
                  <w:pPr>
                    <w:jc w:val="center"/>
                    <w:rPr>
                      <w:rFonts w:hint="eastAsia"/>
                      <w:b w:val="0"/>
                      <w:bCs/>
                      <w:sz w:val="21"/>
                      <w:szCs w:val="21"/>
                      <w:u w:val="none" w:color="auto"/>
                      <w:vertAlign w:val="baseline"/>
                      <w:lang w:val="en-US" w:eastAsia="zh-CN"/>
                    </w:rPr>
                  </w:pPr>
                </w:p>
              </w:tc>
              <w:tc>
                <w:tcPr>
                  <w:tcW w:w="819" w:type="pct"/>
                  <w:tcBorders>
                    <w:tl2br w:val="nil"/>
                    <w:tr2bl w:val="nil"/>
                  </w:tcBorders>
                  <w:shd w:val="clear" w:color="auto" w:fill="auto"/>
                  <w:noWrap w:val="0"/>
                  <w:vAlign w:val="center"/>
                </w:tcPr>
                <w:p w14:paraId="0E80EB73">
                  <w:pPr>
                    <w:jc w:val="center"/>
                    <w:rPr>
                      <w:rFonts w:hint="eastAsia" w:ascii="Times New Roman" w:hAnsi="Times New Roman" w:eastAsia="宋体" w:cs="Times New Roman"/>
                      <w:kern w:val="21"/>
                      <w:sz w:val="21"/>
                      <w:szCs w:val="21"/>
                      <w:u w:val="none" w:color="auto"/>
                      <w:lang w:val="en-US" w:eastAsia="zh-CN" w:bidi="ar-SA"/>
                    </w:rPr>
                  </w:pPr>
                  <w:r>
                    <w:rPr>
                      <w:rFonts w:hint="eastAsia"/>
                      <w:kern w:val="21"/>
                      <w:sz w:val="21"/>
                      <w:szCs w:val="21"/>
                      <w:u w:val="none" w:color="auto"/>
                      <w:lang w:val="en-US" w:eastAsia="zh-CN"/>
                    </w:rPr>
                    <w:t>0.07</w:t>
                  </w:r>
                </w:p>
              </w:tc>
              <w:tc>
                <w:tcPr>
                  <w:tcW w:w="771" w:type="pct"/>
                  <w:tcBorders>
                    <w:tl2br w:val="nil"/>
                    <w:tr2bl w:val="nil"/>
                  </w:tcBorders>
                  <w:noWrap w:val="0"/>
                  <w:vAlign w:val="center"/>
                </w:tcPr>
                <w:p w14:paraId="3BC0438C">
                  <w:pPr>
                    <w:pStyle w:val="63"/>
                    <w:adjustRightInd w:val="0"/>
                    <w:snapToGrid w:val="0"/>
                    <w:spacing w:line="240" w:lineRule="auto"/>
                    <w:jc w:val="center"/>
                    <w:rPr>
                      <w:rFonts w:hint="default"/>
                      <w:b w:val="0"/>
                      <w:bCs/>
                      <w:sz w:val="21"/>
                      <w:szCs w:val="21"/>
                      <w:u w:val="none" w:color="auto"/>
                      <w:vertAlign w:val="baseline"/>
                      <w:lang w:val="en-US" w:eastAsia="zh-CN"/>
                    </w:rPr>
                  </w:pPr>
                  <w:r>
                    <w:rPr>
                      <w:rFonts w:hint="eastAsia"/>
                      <w:b w:val="0"/>
                      <w:bCs/>
                      <w:sz w:val="21"/>
                      <w:szCs w:val="21"/>
                      <w:u w:val="none" w:color="auto"/>
                      <w:vertAlign w:val="baseline"/>
                      <w:lang w:val="en-US" w:eastAsia="zh-CN"/>
                    </w:rPr>
                    <w:t>0.0003</w:t>
                  </w:r>
                </w:p>
              </w:tc>
              <w:tc>
                <w:tcPr>
                  <w:tcW w:w="581" w:type="pct"/>
                  <w:tcBorders>
                    <w:tl2br w:val="nil"/>
                    <w:tr2bl w:val="nil"/>
                  </w:tcBorders>
                  <w:shd w:val="clear" w:color="auto" w:fill="auto"/>
                  <w:noWrap w:val="0"/>
                  <w:vAlign w:val="center"/>
                </w:tcPr>
                <w:p w14:paraId="0EE64822">
                  <w:pPr>
                    <w:pStyle w:val="63"/>
                    <w:adjustRightInd w:val="0"/>
                    <w:snapToGrid w:val="0"/>
                    <w:spacing w:line="240" w:lineRule="auto"/>
                    <w:ind w:firstLine="0" w:firstLineChars="0"/>
                    <w:jc w:val="center"/>
                    <w:rPr>
                      <w:rFonts w:hint="eastAsia" w:ascii="Times New Roman" w:hAnsi="Times New Roman" w:eastAsia="宋体" w:cs="Times New Roman"/>
                      <w:b w:val="0"/>
                      <w:bCs/>
                      <w:kern w:val="2"/>
                      <w:sz w:val="21"/>
                      <w:szCs w:val="21"/>
                      <w:highlight w:val="none"/>
                      <w:u w:val="none" w:color="auto"/>
                      <w:vertAlign w:val="baseline"/>
                      <w:lang w:val="en-US" w:eastAsia="zh-CN" w:bidi="ar-SA"/>
                    </w:rPr>
                  </w:pPr>
                  <w:r>
                    <w:rPr>
                      <w:rFonts w:hint="eastAsia"/>
                      <w:b w:val="0"/>
                      <w:bCs/>
                      <w:sz w:val="21"/>
                      <w:szCs w:val="21"/>
                      <w:highlight w:val="none"/>
                      <w:u w:val="none" w:color="auto"/>
                      <w:vertAlign w:val="baseline"/>
                      <w:lang w:val="en-US" w:eastAsia="zh-CN"/>
                    </w:rPr>
                    <w:t>2</w:t>
                  </w:r>
                </w:p>
              </w:tc>
              <w:tc>
                <w:tcPr>
                  <w:tcW w:w="601" w:type="pct"/>
                  <w:tcBorders>
                    <w:tl2br w:val="nil"/>
                    <w:tr2bl w:val="nil"/>
                  </w:tcBorders>
                  <w:shd w:val="clear" w:color="auto" w:fill="auto"/>
                  <w:noWrap w:val="0"/>
                  <w:vAlign w:val="center"/>
                </w:tcPr>
                <w:p w14:paraId="239F118E">
                  <w:pPr>
                    <w:pStyle w:val="63"/>
                    <w:adjustRightInd w:val="0"/>
                    <w:snapToGrid w:val="0"/>
                    <w:spacing w:line="240" w:lineRule="auto"/>
                    <w:ind w:firstLine="0" w:firstLineChars="0"/>
                    <w:jc w:val="center"/>
                    <w:rPr>
                      <w:rFonts w:hint="eastAsia" w:ascii="Times New Roman" w:hAnsi="Times New Roman" w:eastAsia="宋体" w:cs="Times New Roman"/>
                      <w:b w:val="0"/>
                      <w:bCs/>
                      <w:kern w:val="2"/>
                      <w:sz w:val="21"/>
                      <w:szCs w:val="21"/>
                      <w:highlight w:val="none"/>
                      <w:u w:val="none" w:color="auto"/>
                      <w:vertAlign w:val="baseline"/>
                      <w:lang w:val="en-US" w:eastAsia="zh-CN" w:bidi="ar-SA"/>
                    </w:rPr>
                  </w:pPr>
                  <w:r>
                    <w:rPr>
                      <w:rFonts w:hint="eastAsia"/>
                      <w:b w:val="0"/>
                      <w:bCs/>
                      <w:sz w:val="21"/>
                      <w:szCs w:val="21"/>
                      <w:highlight w:val="none"/>
                      <w:u w:val="none" w:color="auto"/>
                      <w:vertAlign w:val="baseline"/>
                      <w:lang w:val="en-US" w:eastAsia="zh-CN"/>
                    </w:rPr>
                    <w:t>2</w:t>
                  </w:r>
                </w:p>
              </w:tc>
            </w:tr>
            <w:tr w14:paraId="520893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7" w:type="pct"/>
                  <w:tcBorders>
                    <w:tl2br w:val="nil"/>
                    <w:tr2bl w:val="nil"/>
                  </w:tcBorders>
                  <w:noWrap w:val="0"/>
                  <w:vAlign w:val="center"/>
                </w:tcPr>
                <w:p w14:paraId="17031F06">
                  <w:pPr>
                    <w:adjustRightInd w:val="0"/>
                    <w:ind w:left="-105" w:leftChars="-50" w:right="-105" w:rightChars="-50"/>
                    <w:jc w:val="center"/>
                    <w:rPr>
                      <w:rFonts w:hint="default"/>
                      <w:b w:val="0"/>
                      <w:bCs/>
                      <w:sz w:val="21"/>
                      <w:szCs w:val="21"/>
                      <w:u w:val="none" w:color="auto"/>
                      <w:vertAlign w:val="baseline"/>
                      <w:lang w:val="en-US" w:eastAsia="zh-CN"/>
                    </w:rPr>
                  </w:pPr>
                  <w:r>
                    <w:rPr>
                      <w:rFonts w:hint="eastAsia"/>
                      <w:b w:val="0"/>
                      <w:bCs/>
                      <w:sz w:val="21"/>
                      <w:szCs w:val="21"/>
                      <w:u w:val="none" w:color="auto"/>
                      <w:vertAlign w:val="baseline"/>
                      <w:lang w:val="en-US" w:eastAsia="zh-CN"/>
                    </w:rPr>
                    <w:t>搅拌机粉尘</w:t>
                  </w:r>
                </w:p>
              </w:tc>
              <w:tc>
                <w:tcPr>
                  <w:tcW w:w="543" w:type="pct"/>
                  <w:vMerge w:val="continue"/>
                  <w:tcBorders>
                    <w:tl2br w:val="nil"/>
                    <w:tr2bl w:val="nil"/>
                  </w:tcBorders>
                  <w:noWrap w:val="0"/>
                  <w:vAlign w:val="center"/>
                </w:tcPr>
                <w:p w14:paraId="2ED84017">
                  <w:pPr>
                    <w:pStyle w:val="63"/>
                    <w:adjustRightInd w:val="0"/>
                    <w:snapToGrid w:val="0"/>
                    <w:spacing w:line="240" w:lineRule="auto"/>
                    <w:jc w:val="center"/>
                    <w:rPr>
                      <w:rFonts w:hint="eastAsia"/>
                      <w:b w:val="0"/>
                      <w:bCs/>
                      <w:sz w:val="21"/>
                      <w:szCs w:val="21"/>
                      <w:u w:val="none" w:color="auto"/>
                      <w:vertAlign w:val="baseline"/>
                      <w:lang w:val="en-US" w:eastAsia="zh-CN"/>
                    </w:rPr>
                  </w:pPr>
                </w:p>
              </w:tc>
              <w:tc>
                <w:tcPr>
                  <w:tcW w:w="654" w:type="pct"/>
                  <w:vMerge w:val="continue"/>
                  <w:tcBorders>
                    <w:tl2br w:val="nil"/>
                    <w:tr2bl w:val="nil"/>
                  </w:tcBorders>
                  <w:shd w:val="clear" w:color="auto" w:fill="auto"/>
                  <w:noWrap w:val="0"/>
                  <w:vAlign w:val="center"/>
                </w:tcPr>
                <w:p w14:paraId="3782B499">
                  <w:pPr>
                    <w:jc w:val="center"/>
                    <w:rPr>
                      <w:rFonts w:hint="default" w:ascii="Times New Roman" w:hAnsi="Times New Roman" w:eastAsia="宋体" w:cs="Times New Roman"/>
                      <w:kern w:val="21"/>
                      <w:sz w:val="21"/>
                      <w:szCs w:val="21"/>
                      <w:u w:val="none" w:color="auto"/>
                      <w:lang w:val="en-US" w:eastAsia="zh-CN" w:bidi="ar-SA"/>
                    </w:rPr>
                  </w:pPr>
                </w:p>
              </w:tc>
              <w:tc>
                <w:tcPr>
                  <w:tcW w:w="819" w:type="pct"/>
                  <w:tcBorders>
                    <w:tl2br w:val="nil"/>
                    <w:tr2bl w:val="nil"/>
                  </w:tcBorders>
                  <w:shd w:val="clear" w:color="auto" w:fill="auto"/>
                  <w:noWrap w:val="0"/>
                  <w:vAlign w:val="center"/>
                </w:tcPr>
                <w:p w14:paraId="510279DE">
                  <w:pPr>
                    <w:jc w:val="center"/>
                    <w:rPr>
                      <w:rFonts w:hint="default" w:ascii="Times New Roman" w:hAnsi="Times New Roman" w:eastAsia="宋体" w:cs="Times New Roman"/>
                      <w:kern w:val="21"/>
                      <w:sz w:val="21"/>
                      <w:szCs w:val="21"/>
                      <w:u w:val="none" w:color="auto"/>
                      <w:lang w:val="en-US" w:eastAsia="zh-CN" w:bidi="ar-SA"/>
                    </w:rPr>
                  </w:pPr>
                  <w:r>
                    <w:rPr>
                      <w:rFonts w:hint="eastAsia"/>
                      <w:kern w:val="21"/>
                      <w:sz w:val="21"/>
                      <w:szCs w:val="21"/>
                      <w:u w:val="none" w:color="auto"/>
                      <w:lang w:val="en-US" w:eastAsia="zh-CN"/>
                    </w:rPr>
                    <w:t>7.8</w:t>
                  </w:r>
                </w:p>
              </w:tc>
              <w:tc>
                <w:tcPr>
                  <w:tcW w:w="771" w:type="pct"/>
                  <w:tcBorders>
                    <w:tl2br w:val="nil"/>
                    <w:tr2bl w:val="nil"/>
                  </w:tcBorders>
                  <w:noWrap w:val="0"/>
                  <w:vAlign w:val="center"/>
                </w:tcPr>
                <w:p w14:paraId="59455276">
                  <w:pPr>
                    <w:pStyle w:val="63"/>
                    <w:adjustRightInd w:val="0"/>
                    <w:snapToGrid w:val="0"/>
                    <w:spacing w:line="240" w:lineRule="auto"/>
                    <w:jc w:val="center"/>
                    <w:rPr>
                      <w:rFonts w:hint="default"/>
                      <w:b w:val="0"/>
                      <w:bCs/>
                      <w:sz w:val="21"/>
                      <w:szCs w:val="21"/>
                      <w:u w:val="none" w:color="auto"/>
                      <w:vertAlign w:val="baseline"/>
                      <w:lang w:val="en-US" w:eastAsia="zh-CN"/>
                    </w:rPr>
                  </w:pPr>
                  <w:r>
                    <w:rPr>
                      <w:rFonts w:hint="eastAsia"/>
                      <w:b w:val="0"/>
                      <w:bCs/>
                      <w:sz w:val="21"/>
                      <w:szCs w:val="21"/>
                      <w:u w:val="none" w:color="auto"/>
                      <w:vertAlign w:val="baseline"/>
                      <w:lang w:val="en-US" w:eastAsia="zh-CN"/>
                    </w:rPr>
                    <w:t>0.031</w:t>
                  </w:r>
                </w:p>
              </w:tc>
              <w:tc>
                <w:tcPr>
                  <w:tcW w:w="581" w:type="pct"/>
                  <w:tcBorders>
                    <w:tl2br w:val="nil"/>
                    <w:tr2bl w:val="nil"/>
                  </w:tcBorders>
                  <w:noWrap w:val="0"/>
                  <w:vAlign w:val="center"/>
                </w:tcPr>
                <w:p w14:paraId="6527F59E">
                  <w:pPr>
                    <w:pStyle w:val="63"/>
                    <w:adjustRightInd w:val="0"/>
                    <w:snapToGrid w:val="0"/>
                    <w:spacing w:line="240" w:lineRule="auto"/>
                    <w:ind w:firstLine="0" w:firstLineChars="0"/>
                    <w:jc w:val="center"/>
                    <w:rPr>
                      <w:rFonts w:hint="eastAsia"/>
                      <w:b w:val="0"/>
                      <w:bCs/>
                      <w:sz w:val="21"/>
                      <w:szCs w:val="21"/>
                      <w:highlight w:val="none"/>
                      <w:u w:val="none" w:color="auto"/>
                      <w:vertAlign w:val="baseline"/>
                      <w:lang w:val="en-US" w:eastAsia="zh-CN"/>
                    </w:rPr>
                  </w:pPr>
                  <w:r>
                    <w:rPr>
                      <w:rFonts w:hint="eastAsia"/>
                      <w:b w:val="0"/>
                      <w:bCs/>
                      <w:sz w:val="21"/>
                      <w:szCs w:val="21"/>
                      <w:highlight w:val="none"/>
                      <w:u w:val="none" w:color="auto"/>
                      <w:vertAlign w:val="baseline"/>
                      <w:lang w:val="en-US" w:eastAsia="zh-CN"/>
                    </w:rPr>
                    <w:t>2</w:t>
                  </w:r>
                </w:p>
              </w:tc>
              <w:tc>
                <w:tcPr>
                  <w:tcW w:w="601" w:type="pct"/>
                  <w:tcBorders>
                    <w:tl2br w:val="nil"/>
                    <w:tr2bl w:val="nil"/>
                  </w:tcBorders>
                  <w:noWrap w:val="0"/>
                  <w:vAlign w:val="center"/>
                </w:tcPr>
                <w:p w14:paraId="523943BF">
                  <w:pPr>
                    <w:pStyle w:val="63"/>
                    <w:adjustRightInd w:val="0"/>
                    <w:snapToGrid w:val="0"/>
                    <w:spacing w:line="240" w:lineRule="auto"/>
                    <w:ind w:firstLine="0" w:firstLineChars="0"/>
                    <w:jc w:val="center"/>
                    <w:rPr>
                      <w:rFonts w:hint="default"/>
                      <w:b w:val="0"/>
                      <w:bCs/>
                      <w:sz w:val="21"/>
                      <w:szCs w:val="21"/>
                      <w:highlight w:val="none"/>
                      <w:u w:val="none" w:color="auto"/>
                      <w:vertAlign w:val="baseline"/>
                      <w:lang w:val="en-US" w:eastAsia="zh-CN"/>
                    </w:rPr>
                  </w:pPr>
                  <w:r>
                    <w:rPr>
                      <w:rFonts w:hint="eastAsia"/>
                      <w:b w:val="0"/>
                      <w:bCs/>
                      <w:sz w:val="21"/>
                      <w:szCs w:val="21"/>
                      <w:highlight w:val="none"/>
                      <w:u w:val="none" w:color="auto"/>
                      <w:vertAlign w:val="baseline"/>
                      <w:lang w:val="en-US" w:eastAsia="zh-CN"/>
                    </w:rPr>
                    <w:t>2</w:t>
                  </w:r>
                </w:p>
              </w:tc>
            </w:tr>
          </w:tbl>
          <w:p w14:paraId="4A0B21A5">
            <w:pPr>
              <w:spacing w:line="360" w:lineRule="auto"/>
              <w:ind w:firstLine="480" w:firstLineChars="200"/>
              <w:rPr>
                <w:rFonts w:hint="eastAsia" w:eastAsia="宋体"/>
                <w:b w:val="0"/>
                <w:bCs/>
                <w:iCs/>
                <w:sz w:val="24"/>
                <w:szCs w:val="24"/>
                <w:u w:val="single" w:color="auto"/>
                <w:lang w:val="en-US" w:eastAsia="zh-CN"/>
              </w:rPr>
            </w:pPr>
            <w:r>
              <w:rPr>
                <w:rFonts w:hint="default" w:ascii="Times New Roman" w:hAnsi="Times New Roman" w:eastAsia="宋体" w:cs="Times New Roman"/>
                <w:sz w:val="24"/>
                <w:szCs w:val="24"/>
                <w:highlight w:val="none"/>
                <w:u w:val="none" w:color="auto"/>
              </w:rPr>
              <w:t>项目废气非正常排放情况下应停产检查环保设施情况，待废气处理装置检修正常后恢复生产</w:t>
            </w:r>
            <w:r>
              <w:rPr>
                <w:rFonts w:hint="eastAsia" w:ascii="Times New Roman" w:hAnsi="Times New Roman" w:cs="Times New Roman"/>
                <w:sz w:val="24"/>
                <w:szCs w:val="24"/>
                <w:highlight w:val="none"/>
                <w:u w:val="none" w:color="auto"/>
                <w:lang w:eastAsia="zh-CN"/>
              </w:rPr>
              <w:t>。</w:t>
            </w:r>
          </w:p>
          <w:p w14:paraId="1FC522D9">
            <w:pPr>
              <w:spacing w:line="360" w:lineRule="auto"/>
              <w:ind w:firstLine="480" w:firstLineChars="200"/>
              <w:rPr>
                <w:b w:val="0"/>
                <w:bCs/>
                <w:iCs/>
                <w:sz w:val="24"/>
                <w:szCs w:val="24"/>
              </w:rPr>
            </w:pPr>
            <w:r>
              <w:rPr>
                <w:rFonts w:hint="eastAsia"/>
                <w:b w:val="0"/>
                <w:bCs/>
                <w:iCs/>
                <w:sz w:val="24"/>
                <w:szCs w:val="24"/>
                <w:lang w:val="en-US" w:eastAsia="zh-CN"/>
              </w:rPr>
              <w:t>1.4</w:t>
            </w:r>
            <w:r>
              <w:rPr>
                <w:rFonts w:hint="eastAsia"/>
                <w:b w:val="0"/>
                <w:bCs/>
                <w:iCs/>
                <w:sz w:val="24"/>
                <w:szCs w:val="24"/>
              </w:rPr>
              <w:t>废气监测计划</w:t>
            </w:r>
          </w:p>
          <w:p w14:paraId="1E22572B">
            <w:pPr>
              <w:spacing w:line="360" w:lineRule="auto"/>
              <w:ind w:firstLine="480" w:firstLineChars="200"/>
              <w:rPr>
                <w:rFonts w:hint="default" w:eastAsia="宋体"/>
                <w:sz w:val="24"/>
                <w:szCs w:val="24"/>
                <w:u w:val="single"/>
                <w:lang w:val="en-US" w:eastAsia="zh-CN"/>
              </w:rPr>
            </w:pPr>
            <w:r>
              <w:rPr>
                <w:rFonts w:hint="eastAsia"/>
                <w:sz w:val="24"/>
                <w:szCs w:val="24"/>
                <w:u w:val="single"/>
                <w:lang w:eastAsia="zh-CN"/>
              </w:rPr>
              <w:t>参照</w:t>
            </w:r>
            <w:r>
              <w:rPr>
                <w:rFonts w:hint="eastAsia"/>
                <w:sz w:val="24"/>
                <w:szCs w:val="24"/>
                <w:u w:val="single"/>
                <w:lang w:val="en-US" w:eastAsia="zh-CN"/>
              </w:rPr>
              <w:t>《排污单位自行监测技术指南 水泥工业》（HJ848-2017）</w:t>
            </w:r>
            <w:r>
              <w:rPr>
                <w:rFonts w:hint="eastAsia"/>
                <w:sz w:val="24"/>
                <w:szCs w:val="24"/>
                <w:u w:val="single"/>
                <w:lang w:eastAsia="zh-CN"/>
              </w:rPr>
              <w:t>，</w:t>
            </w:r>
            <w:r>
              <w:rPr>
                <w:rFonts w:hint="eastAsia"/>
                <w:sz w:val="24"/>
                <w:szCs w:val="24"/>
                <w:u w:val="single"/>
              </w:rPr>
              <w:t>制定本项目废气监测方案</w:t>
            </w:r>
            <w:r>
              <w:rPr>
                <w:rFonts w:hint="eastAsia"/>
                <w:sz w:val="24"/>
                <w:szCs w:val="24"/>
                <w:u w:val="single"/>
                <w:lang w:eastAsia="zh-CN"/>
              </w:rPr>
              <w:t>，</w:t>
            </w:r>
            <w:r>
              <w:rPr>
                <w:rFonts w:hint="eastAsia"/>
                <w:sz w:val="24"/>
                <w:szCs w:val="24"/>
                <w:u w:val="single"/>
                <w:lang w:val="en-US" w:eastAsia="zh-CN"/>
              </w:rPr>
              <w:t>详见</w:t>
            </w:r>
            <w:r>
              <w:rPr>
                <w:rFonts w:hint="eastAsia"/>
                <w:sz w:val="24"/>
                <w:szCs w:val="24"/>
                <w:highlight w:val="none"/>
                <w:u w:val="single"/>
                <w:lang w:val="en-US" w:eastAsia="zh-CN"/>
              </w:rPr>
              <w:t>下表。</w:t>
            </w:r>
          </w:p>
          <w:p w14:paraId="4A4E9ACC">
            <w:pPr>
              <w:adjustRightInd w:val="0"/>
              <w:ind w:firstLine="602" w:firstLineChars="250"/>
              <w:jc w:val="center"/>
              <w:rPr>
                <w:b/>
                <w:sz w:val="24"/>
                <w:szCs w:val="24"/>
                <w:u w:val="single"/>
                <w:lang w:val="zh-CN"/>
              </w:rPr>
            </w:pPr>
            <w:r>
              <w:rPr>
                <w:rFonts w:hint="eastAsia"/>
                <w:b/>
                <w:sz w:val="24"/>
                <w:szCs w:val="24"/>
                <w:u w:val="single"/>
                <w:lang w:val="zh-CN"/>
              </w:rPr>
              <w:t>表</w:t>
            </w:r>
            <w:r>
              <w:rPr>
                <w:rFonts w:hint="eastAsia"/>
                <w:b/>
                <w:sz w:val="24"/>
                <w:szCs w:val="24"/>
                <w:u w:val="single"/>
                <w:lang w:val="en-US" w:eastAsia="zh-CN"/>
              </w:rPr>
              <w:t>4-6</w:t>
            </w:r>
            <w:r>
              <w:rPr>
                <w:rFonts w:hint="eastAsia"/>
                <w:b/>
                <w:sz w:val="24"/>
                <w:szCs w:val="24"/>
                <w:u w:val="single"/>
                <w:lang w:val="zh-CN"/>
              </w:rPr>
              <w:t xml:space="preserve"> </w:t>
            </w:r>
            <w:r>
              <w:rPr>
                <w:rFonts w:hint="eastAsia"/>
                <w:b/>
                <w:sz w:val="24"/>
                <w:szCs w:val="24"/>
                <w:u w:val="single"/>
              </w:rPr>
              <w:t xml:space="preserve"> 项目废气</w:t>
            </w:r>
            <w:r>
              <w:rPr>
                <w:rFonts w:hint="eastAsia"/>
                <w:b/>
                <w:sz w:val="24"/>
                <w:szCs w:val="24"/>
                <w:u w:val="single"/>
                <w:lang w:val="zh-CN"/>
              </w:rPr>
              <w:t>监测计划</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65"/>
              <w:gridCol w:w="2478"/>
              <w:gridCol w:w="1041"/>
              <w:gridCol w:w="1291"/>
              <w:gridCol w:w="3202"/>
            </w:tblGrid>
            <w:tr w14:paraId="77A26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74" w:type="pct"/>
                  <w:noWrap w:val="0"/>
                  <w:vAlign w:val="center"/>
                </w:tcPr>
                <w:p w14:paraId="2C42CDDF">
                  <w:pPr>
                    <w:jc w:val="center"/>
                    <w:rPr>
                      <w:rFonts w:hint="eastAsia"/>
                      <w:b w:val="0"/>
                      <w:bCs/>
                      <w:szCs w:val="21"/>
                      <w:u w:val="single"/>
                    </w:rPr>
                  </w:pPr>
                  <w:r>
                    <w:rPr>
                      <w:rFonts w:hint="eastAsia"/>
                      <w:b w:val="0"/>
                      <w:bCs/>
                      <w:szCs w:val="21"/>
                      <w:u w:val="single"/>
                    </w:rPr>
                    <w:t>序号</w:t>
                  </w:r>
                </w:p>
              </w:tc>
              <w:tc>
                <w:tcPr>
                  <w:tcW w:w="1461" w:type="pct"/>
                  <w:noWrap w:val="0"/>
                  <w:vAlign w:val="center"/>
                </w:tcPr>
                <w:p w14:paraId="7594A532">
                  <w:pPr>
                    <w:jc w:val="center"/>
                    <w:rPr>
                      <w:rFonts w:hint="eastAsia"/>
                      <w:b w:val="0"/>
                      <w:bCs/>
                      <w:szCs w:val="21"/>
                      <w:u w:val="single"/>
                    </w:rPr>
                  </w:pPr>
                  <w:r>
                    <w:rPr>
                      <w:rFonts w:hint="eastAsia"/>
                      <w:b w:val="0"/>
                      <w:bCs/>
                      <w:szCs w:val="21"/>
                      <w:u w:val="single"/>
                    </w:rPr>
                    <w:t>监测点位</w:t>
                  </w:r>
                </w:p>
              </w:tc>
              <w:tc>
                <w:tcPr>
                  <w:tcW w:w="614" w:type="pct"/>
                  <w:noWrap w:val="0"/>
                  <w:vAlign w:val="center"/>
                </w:tcPr>
                <w:p w14:paraId="02CA6D20">
                  <w:pPr>
                    <w:jc w:val="center"/>
                    <w:rPr>
                      <w:rFonts w:hint="eastAsia"/>
                      <w:b w:val="0"/>
                      <w:bCs/>
                      <w:szCs w:val="21"/>
                      <w:u w:val="single"/>
                    </w:rPr>
                  </w:pPr>
                  <w:r>
                    <w:rPr>
                      <w:rFonts w:hint="eastAsia"/>
                      <w:b w:val="0"/>
                      <w:bCs/>
                      <w:szCs w:val="21"/>
                      <w:u w:val="single"/>
                    </w:rPr>
                    <w:t>监测指标</w:t>
                  </w:r>
                </w:p>
              </w:tc>
              <w:tc>
                <w:tcPr>
                  <w:tcW w:w="761" w:type="pct"/>
                  <w:noWrap w:val="0"/>
                  <w:vAlign w:val="center"/>
                </w:tcPr>
                <w:p w14:paraId="2A11CF32">
                  <w:pPr>
                    <w:jc w:val="center"/>
                    <w:rPr>
                      <w:rFonts w:hint="eastAsia"/>
                      <w:b w:val="0"/>
                      <w:bCs/>
                      <w:szCs w:val="21"/>
                      <w:u w:val="single"/>
                    </w:rPr>
                  </w:pPr>
                  <w:r>
                    <w:rPr>
                      <w:rFonts w:hint="eastAsia"/>
                      <w:b w:val="0"/>
                      <w:bCs/>
                      <w:szCs w:val="21"/>
                      <w:u w:val="single"/>
                    </w:rPr>
                    <w:t>监测频次</w:t>
                  </w:r>
                </w:p>
              </w:tc>
              <w:tc>
                <w:tcPr>
                  <w:tcW w:w="1888" w:type="pct"/>
                  <w:noWrap w:val="0"/>
                  <w:vAlign w:val="center"/>
                </w:tcPr>
                <w:p w14:paraId="29A05983">
                  <w:pPr>
                    <w:jc w:val="center"/>
                    <w:rPr>
                      <w:rFonts w:hint="eastAsia"/>
                      <w:b w:val="0"/>
                      <w:bCs/>
                      <w:szCs w:val="21"/>
                      <w:u w:val="single"/>
                    </w:rPr>
                  </w:pPr>
                  <w:r>
                    <w:rPr>
                      <w:b w:val="0"/>
                      <w:bCs/>
                      <w:szCs w:val="21"/>
                      <w:u w:val="single"/>
                      <w:lang w:val="zh-CN"/>
                    </w:rPr>
                    <w:t>执行标准</w:t>
                  </w:r>
                </w:p>
              </w:tc>
            </w:tr>
            <w:tr w14:paraId="08083E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74" w:type="pct"/>
                  <w:noWrap w:val="0"/>
                  <w:vAlign w:val="center"/>
                </w:tcPr>
                <w:p w14:paraId="047F6D70">
                  <w:pPr>
                    <w:jc w:val="center"/>
                    <w:rPr>
                      <w:rFonts w:hint="eastAsia" w:eastAsia="宋体"/>
                      <w:bCs/>
                      <w:szCs w:val="21"/>
                      <w:u w:val="single"/>
                      <w:lang w:eastAsia="zh-CN"/>
                    </w:rPr>
                  </w:pPr>
                  <w:r>
                    <w:rPr>
                      <w:rFonts w:hint="eastAsia"/>
                      <w:bCs/>
                      <w:szCs w:val="21"/>
                      <w:u w:val="single"/>
                      <w:lang w:val="en-US" w:eastAsia="zh-CN"/>
                    </w:rPr>
                    <w:t>1</w:t>
                  </w:r>
                </w:p>
              </w:tc>
              <w:tc>
                <w:tcPr>
                  <w:tcW w:w="1461" w:type="pct"/>
                  <w:noWrap w:val="0"/>
                  <w:vAlign w:val="center"/>
                </w:tcPr>
                <w:p w14:paraId="63BB2E63">
                  <w:pPr>
                    <w:jc w:val="center"/>
                    <w:rPr>
                      <w:rFonts w:hint="eastAsia"/>
                      <w:bCs/>
                      <w:szCs w:val="21"/>
                      <w:u w:val="single"/>
                    </w:rPr>
                  </w:pPr>
                  <w:r>
                    <w:rPr>
                      <w:rFonts w:hint="eastAsia"/>
                      <w:bCs/>
                      <w:szCs w:val="21"/>
                      <w:u w:val="single"/>
                    </w:rPr>
                    <w:t>厂界外20m处上风向设</w:t>
                  </w:r>
                  <w:r>
                    <w:rPr>
                      <w:rFonts w:hint="eastAsia"/>
                      <w:bCs/>
                      <w:szCs w:val="21"/>
                      <w:u w:val="single"/>
                      <w:lang w:val="en-US" w:eastAsia="zh-CN"/>
                    </w:rPr>
                    <w:t>1个</w:t>
                  </w:r>
                  <w:r>
                    <w:rPr>
                      <w:rFonts w:hint="eastAsia"/>
                      <w:bCs/>
                      <w:szCs w:val="21"/>
                      <w:u w:val="single"/>
                    </w:rPr>
                    <w:t>参照点，下风向</w:t>
                  </w:r>
                  <w:r>
                    <w:rPr>
                      <w:rFonts w:hint="eastAsia"/>
                      <w:bCs/>
                      <w:szCs w:val="21"/>
                      <w:u w:val="single"/>
                      <w:lang w:val="en-US" w:eastAsia="zh-CN"/>
                    </w:rPr>
                    <w:t>10m</w:t>
                  </w:r>
                  <w:r>
                    <w:rPr>
                      <w:rFonts w:hint="eastAsia"/>
                      <w:bCs/>
                      <w:szCs w:val="21"/>
                      <w:u w:val="single"/>
                    </w:rPr>
                    <w:t>设</w:t>
                  </w:r>
                  <w:r>
                    <w:rPr>
                      <w:rFonts w:hint="eastAsia"/>
                      <w:bCs/>
                      <w:szCs w:val="21"/>
                      <w:u w:val="single"/>
                      <w:lang w:val="en-US" w:eastAsia="zh-CN"/>
                    </w:rPr>
                    <w:t>3个</w:t>
                  </w:r>
                  <w:r>
                    <w:rPr>
                      <w:rFonts w:hint="eastAsia"/>
                      <w:bCs/>
                      <w:szCs w:val="21"/>
                      <w:u w:val="single"/>
                    </w:rPr>
                    <w:t>监控点</w:t>
                  </w:r>
                </w:p>
              </w:tc>
              <w:tc>
                <w:tcPr>
                  <w:tcW w:w="614" w:type="pct"/>
                  <w:noWrap w:val="0"/>
                  <w:vAlign w:val="center"/>
                </w:tcPr>
                <w:p w14:paraId="148459D7">
                  <w:pPr>
                    <w:jc w:val="center"/>
                    <w:rPr>
                      <w:rFonts w:hint="eastAsia"/>
                      <w:bCs/>
                      <w:szCs w:val="21"/>
                      <w:highlight w:val="none"/>
                      <w:u w:val="single"/>
                    </w:rPr>
                  </w:pPr>
                  <w:r>
                    <w:rPr>
                      <w:rFonts w:hint="eastAsia"/>
                      <w:bCs/>
                      <w:szCs w:val="21"/>
                      <w:highlight w:val="none"/>
                      <w:u w:val="single"/>
                    </w:rPr>
                    <w:t>颗粒物</w:t>
                  </w:r>
                </w:p>
              </w:tc>
              <w:tc>
                <w:tcPr>
                  <w:tcW w:w="761" w:type="pct"/>
                  <w:noWrap w:val="0"/>
                  <w:vAlign w:val="center"/>
                </w:tcPr>
                <w:p w14:paraId="2552BE26">
                  <w:pPr>
                    <w:jc w:val="center"/>
                    <w:rPr>
                      <w:rFonts w:hint="eastAsia" w:eastAsia="宋体"/>
                      <w:bCs/>
                      <w:szCs w:val="21"/>
                      <w:highlight w:val="none"/>
                      <w:u w:val="single"/>
                      <w:lang w:eastAsia="zh-CN"/>
                    </w:rPr>
                  </w:pPr>
                  <w:r>
                    <w:rPr>
                      <w:rFonts w:hint="eastAsia"/>
                      <w:bCs/>
                      <w:szCs w:val="21"/>
                      <w:highlight w:val="none"/>
                      <w:u w:val="single"/>
                    </w:rPr>
                    <w:t>1次/</w:t>
                  </w:r>
                  <w:r>
                    <w:rPr>
                      <w:rFonts w:hint="eastAsia"/>
                      <w:bCs/>
                      <w:szCs w:val="21"/>
                      <w:highlight w:val="none"/>
                      <w:u w:val="single"/>
                      <w:lang w:eastAsia="zh-CN"/>
                    </w:rPr>
                    <w:t>年</w:t>
                  </w:r>
                </w:p>
              </w:tc>
              <w:tc>
                <w:tcPr>
                  <w:tcW w:w="1888" w:type="pct"/>
                  <w:noWrap w:val="0"/>
                  <w:vAlign w:val="center"/>
                </w:tcPr>
                <w:p w14:paraId="48A8995C">
                  <w:pPr>
                    <w:jc w:val="center"/>
                    <w:rPr>
                      <w:rFonts w:hint="eastAsia"/>
                      <w:bCs/>
                      <w:szCs w:val="21"/>
                      <w:u w:val="single"/>
                    </w:rPr>
                  </w:pPr>
                  <w:r>
                    <w:rPr>
                      <w:rFonts w:hint="eastAsia"/>
                      <w:iCs/>
                      <w:kern w:val="0"/>
                      <w:szCs w:val="21"/>
                      <w:u w:val="single"/>
                      <w:lang w:eastAsia="zh-CN"/>
                    </w:rPr>
                    <w:t>《</w:t>
                  </w:r>
                  <w:r>
                    <w:rPr>
                      <w:rFonts w:hint="eastAsia"/>
                      <w:iCs/>
                      <w:kern w:val="0"/>
                      <w:szCs w:val="21"/>
                      <w:u w:val="single"/>
                    </w:rPr>
                    <w:t>水泥工业大气污染物排放标准</w:t>
                  </w:r>
                  <w:r>
                    <w:rPr>
                      <w:rFonts w:hint="eastAsia"/>
                      <w:iCs/>
                      <w:kern w:val="0"/>
                      <w:szCs w:val="21"/>
                      <w:u w:val="single"/>
                      <w:lang w:eastAsia="zh-CN"/>
                    </w:rPr>
                    <w:t>》</w:t>
                  </w:r>
                  <w:r>
                    <w:rPr>
                      <w:rFonts w:hint="eastAsia"/>
                      <w:iCs/>
                      <w:kern w:val="0"/>
                      <w:szCs w:val="21"/>
                      <w:u w:val="single"/>
                    </w:rPr>
                    <w:t>（GB 4915-2013）中无组织粉尘排放限值</w:t>
                  </w:r>
                </w:p>
              </w:tc>
            </w:tr>
          </w:tbl>
          <w:p w14:paraId="668A1C75">
            <w:pPr>
              <w:adjustRightInd w:val="0"/>
              <w:snapToGrid w:val="0"/>
              <w:spacing w:line="360" w:lineRule="auto"/>
              <w:ind w:firstLine="482" w:firstLineChars="200"/>
              <w:rPr>
                <w:rFonts w:hint="eastAsia" w:ascii="Times New Roman" w:hAnsi="Times New Roman" w:eastAsia="宋体" w:cs="Times New Roman"/>
                <w:b/>
                <w:bCs/>
                <w:i w:val="0"/>
                <w:iCs w:val="0"/>
                <w:sz w:val="24"/>
                <w:szCs w:val="24"/>
                <w:u w:val="none"/>
                <w:lang w:val="en-US" w:eastAsia="zh-CN"/>
              </w:rPr>
            </w:pPr>
            <w:r>
              <w:rPr>
                <w:rFonts w:hint="eastAsia" w:ascii="Times New Roman" w:hAnsi="Times New Roman" w:eastAsia="宋体" w:cs="Times New Roman"/>
                <w:b/>
                <w:bCs/>
                <w:i w:val="0"/>
                <w:iCs w:val="0"/>
                <w:sz w:val="24"/>
                <w:szCs w:val="24"/>
                <w:u w:val="none"/>
                <w:lang w:val="en-US" w:eastAsia="zh-CN"/>
              </w:rPr>
              <w:t>2、地表水环境</w:t>
            </w:r>
          </w:p>
          <w:p w14:paraId="1D9B23A1">
            <w:pPr>
              <w:adjustRightInd w:val="0"/>
              <w:snapToGrid w:val="0"/>
              <w:spacing w:line="360" w:lineRule="auto"/>
              <w:ind w:firstLine="480" w:firstLineChars="200"/>
              <w:rPr>
                <w:rFonts w:hint="eastAsia"/>
                <w:b w:val="0"/>
                <w:bCs w:val="0"/>
                <w:sz w:val="24"/>
                <w:szCs w:val="24"/>
                <w:lang w:val="en-US" w:eastAsia="zh-CN"/>
              </w:rPr>
            </w:pPr>
            <w:r>
              <w:rPr>
                <w:rFonts w:hint="eastAsia"/>
                <w:b w:val="0"/>
                <w:bCs w:val="0"/>
                <w:i w:val="0"/>
                <w:iCs w:val="0"/>
                <w:sz w:val="24"/>
                <w:szCs w:val="24"/>
                <w:u w:val="none"/>
                <w:lang w:val="en-US" w:eastAsia="zh-CN"/>
              </w:rPr>
              <w:t>2.1</w:t>
            </w:r>
            <w:r>
              <w:rPr>
                <w:rFonts w:hint="eastAsia"/>
                <w:b w:val="0"/>
                <w:bCs w:val="0"/>
                <w:i w:val="0"/>
                <w:iCs w:val="0"/>
                <w:sz w:val="24"/>
                <w:szCs w:val="24"/>
                <w:u w:val="none"/>
              </w:rPr>
              <w:t>废</w:t>
            </w:r>
            <w:r>
              <w:rPr>
                <w:rFonts w:hint="eastAsia"/>
                <w:b w:val="0"/>
                <w:bCs w:val="0"/>
                <w:i w:val="0"/>
                <w:iCs w:val="0"/>
                <w:sz w:val="24"/>
                <w:szCs w:val="24"/>
                <w:u w:val="none"/>
                <w:lang w:val="en-US" w:eastAsia="zh-CN"/>
              </w:rPr>
              <w:t>水产生量</w:t>
            </w:r>
          </w:p>
          <w:p w14:paraId="51BDF23B">
            <w:pPr>
              <w:pStyle w:val="65"/>
              <w:keepNext w:val="0"/>
              <w:keepLines w:val="0"/>
              <w:pageBreakBefore w:val="0"/>
              <w:widowControl w:val="0"/>
              <w:kinsoku/>
              <w:wordWrap/>
              <w:overflowPunct/>
              <w:topLinePunct w:val="0"/>
              <w:autoSpaceDE/>
              <w:autoSpaceDN/>
              <w:bidi w:val="0"/>
              <w:adjustRightInd/>
              <w:snapToGrid w:val="0"/>
              <w:spacing w:beforeLines="0" w:afterLines="0"/>
              <w:jc w:val="left"/>
              <w:textAlignment w:val="auto"/>
              <w:rPr>
                <w:rFonts w:hint="default" w:ascii="Times New Roman" w:hAnsi="Times New Roman" w:cs="Times New Roman"/>
                <w:sz w:val="24"/>
                <w:szCs w:val="24"/>
                <w:highlight w:val="none"/>
                <w:u w:val="none"/>
                <w:lang w:val="en-US" w:eastAsia="zh-CN"/>
              </w:rPr>
            </w:pPr>
            <w:r>
              <w:rPr>
                <w:rFonts w:hint="eastAsia" w:ascii="Times New Roman" w:hAnsi="Times New Roman" w:cs="Times New Roman"/>
                <w:sz w:val="24"/>
                <w:szCs w:val="24"/>
                <w:highlight w:val="none"/>
                <w:u w:val="none"/>
                <w:lang w:val="en-US" w:eastAsia="zh-CN"/>
              </w:rPr>
              <w:t>（1）生活污水</w:t>
            </w:r>
          </w:p>
          <w:p w14:paraId="15CD9631">
            <w:pPr>
              <w:pStyle w:val="65"/>
              <w:keepNext w:val="0"/>
              <w:keepLines w:val="0"/>
              <w:pageBreakBefore w:val="0"/>
              <w:widowControl w:val="0"/>
              <w:numPr>
                <w:ilvl w:val="0"/>
                <w:numId w:val="0"/>
              </w:numPr>
              <w:kinsoku/>
              <w:wordWrap/>
              <w:overflowPunct/>
              <w:topLinePunct w:val="0"/>
              <w:autoSpaceDE/>
              <w:autoSpaceDN/>
              <w:bidi w:val="0"/>
              <w:adjustRightInd/>
              <w:snapToGrid w:val="0"/>
              <w:spacing w:beforeLines="0" w:afterLines="0"/>
              <w:ind w:firstLine="480" w:firstLineChars="200"/>
              <w:jc w:val="left"/>
              <w:textAlignment w:val="auto"/>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pPr>
            <w:r>
              <w:rPr>
                <w:rFonts w:ascii="Times New Roman" w:hAnsi="Times New Roman"/>
                <w:iCs/>
                <w:color w:val="000000" w:themeColor="text1"/>
                <w:sz w:val="24"/>
                <w:szCs w:val="24"/>
                <w:highlight w:val="none"/>
                <w:u w:val="none" w:color="auto"/>
                <w14:textFill>
                  <w14:solidFill>
                    <w14:schemeClr w14:val="tx1"/>
                  </w14:solidFill>
                </w14:textFill>
              </w:rPr>
              <w:t>项目职工</w:t>
            </w:r>
            <w:r>
              <w:rPr>
                <w:rFonts w:hint="eastAsia" w:ascii="Times New Roman" w:hAnsi="Times New Roman"/>
                <w:iCs/>
                <w:color w:val="000000" w:themeColor="text1"/>
                <w:sz w:val="24"/>
                <w:szCs w:val="24"/>
                <w:highlight w:val="none"/>
                <w:u w:val="none" w:color="auto"/>
                <w:lang w:val="en-US" w:eastAsia="zh-CN"/>
                <w14:textFill>
                  <w14:solidFill>
                    <w14:schemeClr w14:val="tx1"/>
                  </w14:solidFill>
                </w14:textFill>
              </w:rPr>
              <w:t>20</w:t>
            </w:r>
            <w:r>
              <w:rPr>
                <w:rFonts w:ascii="Times New Roman" w:hAnsi="Times New Roman"/>
                <w:iCs/>
                <w:color w:val="000000" w:themeColor="text1"/>
                <w:sz w:val="24"/>
                <w:szCs w:val="24"/>
                <w:highlight w:val="none"/>
                <w:u w:val="none" w:color="auto"/>
                <w14:textFill>
                  <w14:solidFill>
                    <w14:schemeClr w14:val="tx1"/>
                  </w14:solidFill>
                </w14:textFill>
              </w:rPr>
              <w:t>人，年生产</w:t>
            </w:r>
            <w:r>
              <w:rPr>
                <w:rFonts w:hint="eastAsia" w:ascii="Times New Roman" w:hAnsi="Times New Roman"/>
                <w:iCs/>
                <w:color w:val="000000" w:themeColor="text1"/>
                <w:sz w:val="24"/>
                <w:szCs w:val="24"/>
                <w:highlight w:val="none"/>
                <w:u w:val="none" w:color="auto"/>
                <w:lang w:val="en-US" w:eastAsia="zh-CN"/>
                <w14:textFill>
                  <w14:solidFill>
                    <w14:schemeClr w14:val="tx1"/>
                  </w14:solidFill>
                </w14:textFill>
              </w:rPr>
              <w:t>240</w:t>
            </w:r>
            <w:r>
              <w:rPr>
                <w:rFonts w:ascii="Times New Roman" w:hAnsi="Times New Roman"/>
                <w:iCs/>
                <w:color w:val="000000" w:themeColor="text1"/>
                <w:sz w:val="24"/>
                <w:szCs w:val="24"/>
                <w:highlight w:val="none"/>
                <w:u w:val="none" w:color="auto"/>
                <w14:textFill>
                  <w14:solidFill>
                    <w14:schemeClr w14:val="tx1"/>
                  </w14:solidFill>
                </w14:textFill>
              </w:rPr>
              <w:t>天，</w:t>
            </w:r>
            <w:r>
              <w:rPr>
                <w:rFonts w:hint="eastAsia" w:ascii="Times New Roman" w:hAnsi="Times New Roman" w:cs="Times New Roman"/>
                <w:sz w:val="24"/>
                <w:szCs w:val="24"/>
                <w:u w:val="none" w:color="auto"/>
                <w:lang w:eastAsia="zh-CN"/>
              </w:rPr>
              <w:t>根据</w:t>
            </w:r>
            <w:r>
              <w:rPr>
                <w:rFonts w:hint="default" w:ascii="Times New Roman" w:hAnsi="Times New Roman" w:cs="Times New Roman"/>
                <w:sz w:val="24"/>
                <w:szCs w:val="24"/>
                <w:u w:val="none" w:color="auto"/>
              </w:rPr>
              <w:t>《吉林省地方</w:t>
            </w:r>
            <w:r>
              <w:rPr>
                <w:rFonts w:hint="eastAsia" w:ascii="Times New Roman" w:hAnsi="Times New Roman" w:cs="Times New Roman"/>
                <w:sz w:val="24"/>
                <w:szCs w:val="24"/>
                <w:u w:val="none" w:color="auto"/>
                <w:lang w:eastAsia="zh-CN"/>
              </w:rPr>
              <w:t>标准</w:t>
            </w:r>
            <w:r>
              <w:rPr>
                <w:rFonts w:hint="eastAsia" w:ascii="Times New Roman" w:hAnsi="Times New Roman" w:cs="Times New Roman"/>
                <w:sz w:val="24"/>
                <w:szCs w:val="24"/>
                <w:u w:val="none" w:color="auto"/>
                <w:lang w:val="en-US" w:eastAsia="zh-CN"/>
              </w:rPr>
              <w:t xml:space="preserve"> </w:t>
            </w:r>
            <w:r>
              <w:rPr>
                <w:rFonts w:hint="default" w:ascii="Times New Roman" w:hAnsi="Times New Roman" w:cs="Times New Roman"/>
                <w:sz w:val="24"/>
                <w:szCs w:val="24"/>
                <w:u w:val="none" w:color="auto"/>
              </w:rPr>
              <w:t>用水定额</w:t>
            </w:r>
            <w:r>
              <w:rPr>
                <w:rFonts w:hint="eastAsia" w:ascii="Times New Roman" w:hAnsi="Times New Roman" w:cs="Times New Roman"/>
                <w:sz w:val="24"/>
                <w:szCs w:val="24"/>
                <w:u w:val="none" w:color="auto"/>
                <w:lang w:val="en-US" w:eastAsia="zh-CN"/>
              </w:rPr>
              <w:t xml:space="preserve"> 第4部分：居民生活</w:t>
            </w:r>
            <w:r>
              <w:rPr>
                <w:rFonts w:hint="default" w:ascii="Times New Roman" w:hAnsi="Times New Roman" w:cs="Times New Roman"/>
                <w:sz w:val="24"/>
                <w:szCs w:val="24"/>
                <w:u w:val="none" w:color="auto"/>
              </w:rPr>
              <w:t>》（DB22/T 389</w:t>
            </w:r>
            <w:r>
              <w:rPr>
                <w:rFonts w:hint="eastAsia" w:ascii="Times New Roman" w:hAnsi="Times New Roman" w:cs="Times New Roman"/>
                <w:sz w:val="24"/>
                <w:szCs w:val="24"/>
                <w:u w:val="none" w:color="auto"/>
                <w:lang w:val="en-US" w:eastAsia="zh-CN"/>
              </w:rPr>
              <w:t>.4</w:t>
            </w:r>
            <w:r>
              <w:rPr>
                <w:rFonts w:hint="default" w:ascii="Times New Roman" w:hAnsi="Times New Roman" w:cs="Times New Roman"/>
                <w:sz w:val="24"/>
                <w:szCs w:val="24"/>
                <w:u w:val="none" w:color="auto"/>
              </w:rPr>
              <w:t>-20</w:t>
            </w:r>
            <w:r>
              <w:rPr>
                <w:rFonts w:hint="eastAsia" w:ascii="Times New Roman" w:hAnsi="Times New Roman" w:cs="Times New Roman"/>
                <w:sz w:val="24"/>
                <w:szCs w:val="24"/>
                <w:u w:val="none" w:color="auto"/>
                <w:lang w:val="en-US" w:eastAsia="zh-CN"/>
              </w:rPr>
              <w:t>25</w:t>
            </w:r>
            <w:r>
              <w:rPr>
                <w:rFonts w:hint="default" w:ascii="Times New Roman" w:hAnsi="Times New Roman" w:cs="Times New Roman"/>
                <w:sz w:val="24"/>
                <w:szCs w:val="24"/>
                <w:u w:val="none" w:color="auto"/>
              </w:rPr>
              <w:t>）</w:t>
            </w:r>
            <w:r>
              <w:rPr>
                <w:rFonts w:hint="eastAsia" w:ascii="Times New Roman" w:hAnsi="Times New Roman" w:cs="Times New Roman"/>
                <w:sz w:val="24"/>
                <w:szCs w:val="24"/>
                <w:u w:val="none" w:color="auto"/>
                <w:lang w:eastAsia="zh-CN"/>
              </w:rPr>
              <w:t>，</w:t>
            </w:r>
            <w:r>
              <w:rPr>
                <w:rFonts w:ascii="Times New Roman" w:hAnsi="Times New Roman" w:cs="Times New Roman"/>
                <w:sz w:val="24"/>
                <w:szCs w:val="24"/>
                <w:u w:val="none" w:color="auto"/>
              </w:rPr>
              <w:t>生活用水按</w:t>
            </w:r>
            <w:r>
              <w:rPr>
                <w:rFonts w:hint="eastAsia" w:ascii="Times New Roman" w:hAnsi="Times New Roman" w:cs="Times New Roman"/>
                <w:sz w:val="24"/>
                <w:szCs w:val="24"/>
                <w:u w:val="none" w:color="auto"/>
                <w:lang w:val="en-US" w:eastAsia="zh-CN"/>
              </w:rPr>
              <w:t>60</w:t>
            </w:r>
            <w:r>
              <w:rPr>
                <w:rFonts w:ascii="Times New Roman" w:hAnsi="Times New Roman" w:cs="Times New Roman"/>
                <w:sz w:val="24"/>
                <w:szCs w:val="24"/>
                <w:u w:val="none" w:color="auto"/>
              </w:rPr>
              <w:t>L/人·d计</w:t>
            </w:r>
            <w:r>
              <w:rPr>
                <w:rFonts w:ascii="Times New Roman" w:hAnsi="Times New Roman"/>
                <w:color w:val="000000" w:themeColor="text1"/>
                <w:kern w:val="0"/>
                <w:sz w:val="24"/>
                <w:u w:val="none" w:color="auto"/>
                <w14:textFill>
                  <w14:solidFill>
                    <w14:schemeClr w14:val="tx1"/>
                  </w14:solidFill>
                </w14:textFill>
              </w:rPr>
              <w:t>，</w:t>
            </w:r>
            <w:r>
              <w:rPr>
                <w:rFonts w:ascii="Times New Roman" w:hAnsi="Times New Roman"/>
                <w:iCs/>
                <w:color w:val="000000" w:themeColor="text1"/>
                <w:sz w:val="24"/>
                <w:szCs w:val="24"/>
                <w:highlight w:val="none"/>
                <w:u w:val="none" w:color="auto"/>
                <w14:textFill>
                  <w14:solidFill>
                    <w14:schemeClr w14:val="tx1"/>
                  </w14:solidFill>
                </w14:textFill>
              </w:rPr>
              <w:t>则生活用水量为</w:t>
            </w:r>
            <w:r>
              <w:rPr>
                <w:rFonts w:hint="eastAsia" w:ascii="Times New Roman" w:hAnsi="Times New Roman"/>
                <w:iCs/>
                <w:color w:val="000000" w:themeColor="text1"/>
                <w:sz w:val="24"/>
                <w:szCs w:val="24"/>
                <w:highlight w:val="none"/>
                <w:u w:val="none" w:color="auto"/>
                <w:lang w:val="en-US" w:eastAsia="zh-CN"/>
                <w14:textFill>
                  <w14:solidFill>
                    <w14:schemeClr w14:val="tx1"/>
                  </w14:solidFill>
                </w14:textFill>
              </w:rPr>
              <w:t>1.2</w:t>
            </w:r>
            <w:r>
              <w:rPr>
                <w:rFonts w:ascii="Times New Roman" w:hAnsi="Times New Roman"/>
                <w:iCs/>
                <w:color w:val="000000" w:themeColor="text1"/>
                <w:sz w:val="24"/>
                <w:szCs w:val="24"/>
                <w:highlight w:val="none"/>
                <w:u w:val="none" w:color="auto"/>
                <w14:textFill>
                  <w14:solidFill>
                    <w14:schemeClr w14:val="tx1"/>
                  </w14:solidFill>
                </w14:textFill>
              </w:rPr>
              <w:t>m</w:t>
            </w:r>
            <w:r>
              <w:rPr>
                <w:rFonts w:ascii="Times New Roman" w:hAnsi="Times New Roman"/>
                <w:iCs/>
                <w:color w:val="000000" w:themeColor="text1"/>
                <w:sz w:val="24"/>
                <w:szCs w:val="24"/>
                <w:highlight w:val="none"/>
                <w:u w:val="none" w:color="auto"/>
                <w:vertAlign w:val="superscript"/>
                <w14:textFill>
                  <w14:solidFill>
                    <w14:schemeClr w14:val="tx1"/>
                  </w14:solidFill>
                </w14:textFill>
              </w:rPr>
              <w:t>3</w:t>
            </w:r>
            <w:r>
              <w:rPr>
                <w:rFonts w:ascii="Times New Roman" w:hAnsi="Times New Roman"/>
                <w:iCs/>
                <w:color w:val="000000" w:themeColor="text1"/>
                <w:sz w:val="24"/>
                <w:szCs w:val="24"/>
                <w:highlight w:val="none"/>
                <w:u w:val="none" w:color="auto"/>
                <w14:textFill>
                  <w14:solidFill>
                    <w14:schemeClr w14:val="tx1"/>
                  </w14:solidFill>
                </w14:textFill>
              </w:rPr>
              <w:t>/d</w:t>
            </w:r>
            <w:r>
              <w:rPr>
                <w:rFonts w:hint="eastAsia" w:ascii="Times New Roman" w:hAnsi="Times New Roman"/>
                <w:iCs/>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iCs/>
                <w:color w:val="000000" w:themeColor="text1"/>
                <w:sz w:val="24"/>
                <w:szCs w:val="24"/>
                <w:highlight w:val="none"/>
                <w:u w:val="none" w:color="auto"/>
                <w:lang w:val="en-US" w:eastAsia="zh-CN"/>
                <w14:textFill>
                  <w14:solidFill>
                    <w14:schemeClr w14:val="tx1"/>
                  </w14:solidFill>
                </w14:textFill>
              </w:rPr>
              <w:t>288</w:t>
            </w:r>
            <w:r>
              <w:rPr>
                <w:rFonts w:ascii="Times New Roman" w:hAnsi="Times New Roman"/>
                <w:iCs/>
                <w:color w:val="000000" w:themeColor="text1"/>
                <w:sz w:val="24"/>
                <w:szCs w:val="24"/>
                <w:highlight w:val="none"/>
                <w:u w:val="none" w:color="auto"/>
                <w14:textFill>
                  <w14:solidFill>
                    <w14:schemeClr w14:val="tx1"/>
                  </w14:solidFill>
                </w14:textFill>
              </w:rPr>
              <w:t>m</w:t>
            </w:r>
            <w:r>
              <w:rPr>
                <w:rFonts w:ascii="Times New Roman" w:hAnsi="Times New Roman"/>
                <w:iCs/>
                <w:color w:val="000000" w:themeColor="text1"/>
                <w:sz w:val="24"/>
                <w:szCs w:val="24"/>
                <w:highlight w:val="none"/>
                <w:u w:val="none" w:color="auto"/>
                <w:vertAlign w:val="superscript"/>
                <w14:textFill>
                  <w14:solidFill>
                    <w14:schemeClr w14:val="tx1"/>
                  </w14:solidFill>
                </w14:textFill>
              </w:rPr>
              <w:t>3</w:t>
            </w:r>
            <w:r>
              <w:rPr>
                <w:rFonts w:hint="eastAsia" w:ascii="Times New Roman" w:hAnsi="Times New Roman"/>
                <w:iCs/>
                <w:color w:val="000000" w:themeColor="text1"/>
                <w:sz w:val="24"/>
                <w:szCs w:val="24"/>
                <w:highlight w:val="none"/>
                <w:u w:val="none" w:color="auto"/>
                <w:lang w:eastAsia="zh-CN"/>
                <w14:textFill>
                  <w14:solidFill>
                    <w14:schemeClr w14:val="tx1"/>
                  </w14:solidFill>
                </w14:textFill>
              </w:rPr>
              <w:t>/a）。</w:t>
            </w:r>
            <w:r>
              <w:rPr>
                <w:rFonts w:hint="eastAsia" w:ascii="Times New Roman" w:hAnsi="Times New Roman" w:eastAsia="宋体" w:cs="Times New Roman"/>
                <w:color w:val="000000" w:themeColor="text1"/>
                <w:kern w:val="0"/>
                <w:sz w:val="24"/>
                <w:u w:val="none" w:color="auto"/>
                <w:lang w:val="en-US" w:eastAsia="zh-CN"/>
                <w14:textFill>
                  <w14:solidFill>
                    <w14:schemeClr w14:val="tx1"/>
                  </w14:solidFill>
                </w14:textFill>
              </w:rPr>
              <w:t>职工生活污水产生</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量按用水量的80%计，则生活污水产生量为0.</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96</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230.4m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/a），排入</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防渗旱厕，</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定期清掏</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作</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农肥。</w:t>
            </w:r>
          </w:p>
          <w:p w14:paraId="2CBC52B1">
            <w:pPr>
              <w:pStyle w:val="65"/>
              <w:keepNext w:val="0"/>
              <w:keepLines w:val="0"/>
              <w:pageBreakBefore w:val="0"/>
              <w:widowControl w:val="0"/>
              <w:numPr>
                <w:ilvl w:val="0"/>
                <w:numId w:val="0"/>
              </w:numPr>
              <w:kinsoku/>
              <w:wordWrap/>
              <w:overflowPunct/>
              <w:topLinePunct w:val="0"/>
              <w:autoSpaceDE/>
              <w:autoSpaceDN/>
              <w:bidi w:val="0"/>
              <w:adjustRightInd/>
              <w:snapToGrid w:val="0"/>
              <w:spacing w:beforeLines="0" w:afterLines="0"/>
              <w:ind w:firstLine="480" w:firstLineChars="200"/>
              <w:jc w:val="left"/>
              <w:textAlignment w:val="auto"/>
              <w:rPr>
                <w:rFonts w:hint="default" w:ascii="Times New Roman" w:hAnsi="Times New Roman" w:cs="Times New Roman"/>
                <w:highlight w:val="none"/>
                <w:u w:val="none"/>
                <w:lang w:val="en-US" w:eastAsia="zh-CN"/>
              </w:rPr>
            </w:pPr>
            <w:r>
              <w:rPr>
                <w:rFonts w:hint="default" w:ascii="Times New Roman" w:hAnsi="Times New Roman" w:eastAsia="宋体" w:cs="Times New Roman"/>
                <w:kern w:val="2"/>
                <w:sz w:val="24"/>
                <w:szCs w:val="24"/>
                <w:lang w:val="en-US" w:eastAsia="zh-CN" w:bidi="ar-SA"/>
              </w:rPr>
              <w:t>（2）</w:t>
            </w:r>
            <w:r>
              <w:rPr>
                <w:rFonts w:hint="eastAsia" w:cs="Times New Roman"/>
                <w:highlight w:val="none"/>
                <w:u w:val="none"/>
                <w:lang w:val="en-US" w:eastAsia="zh-CN"/>
              </w:rPr>
              <w:t>罐车清洗</w:t>
            </w:r>
            <w:r>
              <w:rPr>
                <w:rFonts w:hint="default" w:ascii="Times New Roman" w:hAnsi="Times New Roman" w:cs="Times New Roman"/>
                <w:highlight w:val="none"/>
                <w:u w:val="none"/>
                <w:lang w:val="en-US" w:eastAsia="zh-CN"/>
              </w:rPr>
              <w:t>废水</w:t>
            </w:r>
          </w:p>
          <w:p w14:paraId="20A5DBF3">
            <w:pPr>
              <w:pStyle w:val="53"/>
              <w:ind w:firstLine="420"/>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项目</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混凝土</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生产规模</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6</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万</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/a，运输量平均每天</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250m</w:t>
            </w:r>
            <w:r>
              <w:rPr>
                <w:rFonts w:hint="eastAsia" w:ascii="Times New Roman" w:hAnsi="Times New Roman"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单车一次</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运输量为</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12、18m</w:t>
            </w:r>
            <w:r>
              <w:rPr>
                <w:rFonts w:hint="eastAsia" w:ascii="Times New Roman" w:hAnsi="Times New Roman"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，每天大约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需</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运输</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按20</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次，每次均需对运输车辆进行冲洗，车辆冲洗水量大约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0.2</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辆·</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次，则项目</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罐车</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用</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水约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4.0</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960</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/a）。废水产生量按用水量的</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8</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0%计，</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罐车</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清洗</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废</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水</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产生量</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约</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为</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3.2</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768</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罐车清洗</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废</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水</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经</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三级</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沉淀池</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沉淀</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处理后</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回用于生产，不外排。</w:t>
            </w:r>
          </w:p>
          <w:p w14:paraId="17D59E28">
            <w:pPr>
              <w:pStyle w:val="65"/>
              <w:keepNext w:val="0"/>
              <w:keepLines w:val="0"/>
              <w:pageBreakBefore w:val="0"/>
              <w:widowControl w:val="0"/>
              <w:numPr>
                <w:ilvl w:val="0"/>
                <w:numId w:val="0"/>
              </w:numPr>
              <w:kinsoku/>
              <w:wordWrap/>
              <w:overflowPunct/>
              <w:topLinePunct w:val="0"/>
              <w:autoSpaceDE/>
              <w:autoSpaceDN/>
              <w:bidi w:val="0"/>
              <w:adjustRightInd/>
              <w:snapToGrid w:val="0"/>
              <w:spacing w:beforeLines="0" w:afterLines="0"/>
              <w:ind w:firstLine="480" w:firstLineChars="200"/>
              <w:jc w:val="left"/>
              <w:textAlignment w:val="auto"/>
              <w:rPr>
                <w:rFonts w:hint="eastAsia" w:ascii="Times New Roman" w:hAnsi="Times New Roman" w:eastAsia="宋体" w:cs="Times New Roman"/>
                <w:iCs/>
                <w:color w:val="000000" w:themeColor="text1"/>
                <w:sz w:val="24"/>
                <w:szCs w:val="24"/>
                <w:highlight w:val="none"/>
                <w14:textFill>
                  <w14:solidFill>
                    <w14:schemeClr w14:val="tx1"/>
                  </w14:solidFill>
                </w14:textFill>
              </w:rPr>
            </w:pPr>
            <w:r>
              <w:rPr>
                <w:rFonts w:hint="eastAsia" w:ascii="Times New Roman" w:hAnsi="Times New Roman" w:eastAsia="宋体" w:cs="Times New Roman"/>
                <w:iCs/>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iCs/>
                <w:color w:val="000000" w:themeColor="text1"/>
                <w:sz w:val="24"/>
                <w:szCs w:val="24"/>
                <w:highlight w:val="none"/>
                <w14:textFill>
                  <w14:solidFill>
                    <w14:schemeClr w14:val="tx1"/>
                  </w14:solidFill>
                </w14:textFill>
              </w:rPr>
              <w:t>设备</w:t>
            </w:r>
            <w:r>
              <w:rPr>
                <w:rFonts w:hint="eastAsia" w:cs="Times New Roman"/>
                <w:iCs/>
                <w:color w:val="000000" w:themeColor="text1"/>
                <w:sz w:val="24"/>
                <w:szCs w:val="24"/>
                <w:highlight w:val="none"/>
                <w:lang w:val="en-US" w:eastAsia="zh-CN"/>
                <w14:textFill>
                  <w14:solidFill>
                    <w14:schemeClr w14:val="tx1"/>
                  </w14:solidFill>
                </w14:textFill>
              </w:rPr>
              <w:t>清洗废</w:t>
            </w:r>
            <w:r>
              <w:rPr>
                <w:rFonts w:hint="eastAsia" w:ascii="Times New Roman" w:hAnsi="Times New Roman" w:eastAsia="宋体" w:cs="Times New Roman"/>
                <w:iCs/>
                <w:color w:val="000000" w:themeColor="text1"/>
                <w:sz w:val="24"/>
                <w:szCs w:val="24"/>
                <w:highlight w:val="none"/>
                <w14:textFill>
                  <w14:solidFill>
                    <w14:schemeClr w14:val="tx1"/>
                  </w14:solidFill>
                </w14:textFill>
              </w:rPr>
              <w:t>水</w:t>
            </w:r>
          </w:p>
          <w:p w14:paraId="0A30815A">
            <w:pPr>
              <w:pStyle w:val="53"/>
              <w:ind w:firstLine="420"/>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搅拌站设备定期清洗，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平均</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每天清洗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1</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次，每次</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每台搅拌机</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用水量</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按1</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计算，则项目设备清洗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用</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水约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1</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240</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/a）。废水产生量按用水量的</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8</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0%计，设备清洗</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废</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水约</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0.8</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default"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/d（</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192</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m</w:t>
            </w:r>
            <w:r>
              <w:rPr>
                <w:rFonts w:hint="eastAsia" w:ascii="Times New Roman" w:hAnsi="Times New Roman" w:eastAsia="宋体" w:cs="Times New Roman"/>
                <w:iCs/>
                <w:color w:val="000000" w:themeColor="text1"/>
                <w:sz w:val="24"/>
                <w:szCs w:val="24"/>
                <w:highlight w:val="none"/>
                <w:u w:val="none" w:color="auto"/>
                <w:vertAlign w:val="superscript"/>
                <w:lang w:val="en-US" w:eastAsia="zh-CN"/>
                <w14:textFill>
                  <w14:solidFill>
                    <w14:schemeClr w14:val="tx1"/>
                  </w14:solidFill>
                </w14:textFill>
              </w:rPr>
              <w:t>3</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/a）。设备清洗废水</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经</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三级</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沉淀池</w:t>
            </w:r>
            <w:r>
              <w:rPr>
                <w:rFonts w:hint="eastAsia" w:ascii="Times New Roman" w:hAnsi="Times New Roman" w:cs="Times New Roman"/>
                <w:iCs/>
                <w:color w:val="000000" w:themeColor="text1"/>
                <w:sz w:val="24"/>
                <w:szCs w:val="24"/>
                <w:highlight w:val="none"/>
                <w:u w:val="none" w:color="auto"/>
                <w:lang w:val="en-US" w:eastAsia="zh-CN"/>
                <w14:textFill>
                  <w14:solidFill>
                    <w14:schemeClr w14:val="tx1"/>
                  </w14:solidFill>
                </w14:textFill>
              </w:rPr>
              <w:t>沉淀</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处理后</w:t>
            </w:r>
            <w:r>
              <w:rPr>
                <w:rFonts w:hint="eastAsia"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回</w:t>
            </w:r>
            <w:r>
              <w:rPr>
                <w:rFonts w:hint="default" w:ascii="Times New Roman" w:hAnsi="Times New Roman" w:eastAsia="宋体" w:cs="Times New Roman"/>
                <w:iCs/>
                <w:color w:val="000000" w:themeColor="text1"/>
                <w:sz w:val="24"/>
                <w:szCs w:val="24"/>
                <w:highlight w:val="none"/>
                <w:u w:val="none" w:color="auto"/>
                <w:lang w:val="en-US" w:eastAsia="zh-CN"/>
                <w14:textFill>
                  <w14:solidFill>
                    <w14:schemeClr w14:val="tx1"/>
                  </w14:solidFill>
                </w14:textFill>
              </w:rPr>
              <w:t>用于生产，不外排。</w:t>
            </w:r>
          </w:p>
          <w:p w14:paraId="3C86991E">
            <w:pPr>
              <w:pStyle w:val="53"/>
              <w:ind w:firstLine="420"/>
              <w:rPr>
                <w:rFonts w:hint="default" w:ascii="Times New Roman" w:hAnsi="Times New Roman" w:eastAsia="宋体" w:cs="Times New Roman"/>
                <w:iCs/>
                <w:color w:val="000000" w:themeColor="text1"/>
                <w:sz w:val="24"/>
                <w:szCs w:val="24"/>
                <w:highlight w:val="none"/>
                <w:u w:val="single" w:color="auto"/>
                <w:lang w:val="en-US" w:eastAsia="zh-CN"/>
                <w14:textFill>
                  <w14:solidFill>
                    <w14:schemeClr w14:val="tx1"/>
                  </w14:solidFill>
                </w14:textFill>
              </w:rPr>
            </w:pPr>
            <w:r>
              <w:rPr>
                <w:rFonts w:hint="eastAsia" w:ascii="Times New Roman" w:hAnsi="Times New Roman" w:cs="Times New Roman"/>
                <w:iCs/>
                <w:color w:val="000000" w:themeColor="text1"/>
                <w:sz w:val="24"/>
                <w:szCs w:val="24"/>
                <w:highlight w:val="none"/>
                <w:u w:val="single" w:color="auto"/>
                <w:lang w:val="en-US" w:eastAsia="zh-CN"/>
                <w14:textFill>
                  <w14:solidFill>
                    <w14:schemeClr w14:val="tx1"/>
                  </w14:solidFill>
                </w14:textFill>
              </w:rPr>
              <w:t>因项目骨料堆场为全封闭砂石料堆，采用塑料罩棚进行全密闭处理，雨季不会产生堆场淋溶水，厂区进行地面硬化，车辆运输产生极少洒落，及时安排专人清扫全部回用于料堆，故本项目不考虑初期雨水。</w:t>
            </w:r>
          </w:p>
          <w:p w14:paraId="45392801">
            <w:pPr>
              <w:pStyle w:val="65"/>
              <w:keepNext w:val="0"/>
              <w:keepLines w:val="0"/>
              <w:pageBreakBefore w:val="0"/>
              <w:widowControl w:val="0"/>
              <w:kinsoku/>
              <w:wordWrap/>
              <w:overflowPunct/>
              <w:topLinePunct w:val="0"/>
              <w:autoSpaceDE/>
              <w:autoSpaceDN/>
              <w:bidi w:val="0"/>
              <w:adjustRightInd/>
              <w:snapToGrid w:val="0"/>
              <w:spacing w:beforeLines="0" w:afterLines="0"/>
              <w:jc w:val="left"/>
              <w:textAlignment w:val="auto"/>
              <w:rPr>
                <w:rFonts w:hint="eastAsia"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u w:val="none"/>
                <w:lang w:val="en-US" w:eastAsia="zh-CN"/>
              </w:rPr>
              <w:t>2.2废水源强及产排情况分析</w:t>
            </w:r>
          </w:p>
          <w:p w14:paraId="782903F0">
            <w:pPr>
              <w:pStyle w:val="65"/>
              <w:keepNext w:val="0"/>
              <w:keepLines w:val="0"/>
              <w:pageBreakBefore w:val="0"/>
              <w:widowControl w:val="0"/>
              <w:kinsoku/>
              <w:wordWrap/>
              <w:overflowPunct/>
              <w:topLinePunct w:val="0"/>
              <w:autoSpaceDE/>
              <w:autoSpaceDN/>
              <w:bidi w:val="0"/>
              <w:adjustRightInd/>
              <w:snapToGrid w:val="0"/>
              <w:spacing w:beforeLines="0" w:afterLines="0"/>
              <w:jc w:val="left"/>
              <w:textAlignment w:val="auto"/>
              <w:rPr>
                <w:rFonts w:hint="eastAsia"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u w:val="none"/>
                <w:lang w:val="en-US" w:eastAsia="zh-CN"/>
              </w:rPr>
              <w:t>参照《给水排水设计手册》中生活污水主要污染物浓度。经调查，生活污水中主要污染物COD、BOD</w:t>
            </w:r>
            <w:r>
              <w:rPr>
                <w:rFonts w:hint="eastAsia" w:ascii="Times New Roman" w:hAnsi="Times New Roman" w:eastAsia="宋体" w:cs="Times New Roman"/>
                <w:highlight w:val="none"/>
                <w:u w:val="none"/>
                <w:vertAlign w:val="subscript"/>
                <w:lang w:val="en-US" w:eastAsia="zh-CN"/>
              </w:rPr>
              <w:t>5</w:t>
            </w:r>
            <w:r>
              <w:rPr>
                <w:rFonts w:hint="eastAsia" w:ascii="Times New Roman" w:hAnsi="Times New Roman" w:eastAsia="宋体" w:cs="Times New Roman"/>
                <w:highlight w:val="none"/>
                <w:u w:val="none"/>
                <w:lang w:val="en-US" w:eastAsia="zh-CN"/>
              </w:rPr>
              <w:t>、</w:t>
            </w:r>
            <w:r>
              <w:rPr>
                <w:rFonts w:hint="eastAsia" w:cs="Times New Roman"/>
                <w:highlight w:val="none"/>
                <w:u w:val="none"/>
                <w:lang w:val="en-US" w:eastAsia="zh-CN"/>
              </w:rPr>
              <w:t>氨氮</w:t>
            </w:r>
            <w:r>
              <w:rPr>
                <w:rFonts w:hint="eastAsia" w:ascii="Times New Roman" w:hAnsi="Times New Roman" w:eastAsia="宋体" w:cs="Times New Roman"/>
                <w:highlight w:val="none"/>
                <w:u w:val="none"/>
                <w:lang w:val="en-US" w:eastAsia="zh-CN"/>
              </w:rPr>
              <w:t>、SS的产生浓度分别为：280mg/L、150mg/L、30mg/L、200mg/L。</w:t>
            </w:r>
          </w:p>
          <w:p w14:paraId="2382E4E7">
            <w:pPr>
              <w:pStyle w:val="48"/>
              <w:keepNext w:val="0"/>
              <w:keepLines w:val="0"/>
              <w:pageBreakBefore w:val="0"/>
              <w:widowControl/>
              <w:kinsoku/>
              <w:wordWrap/>
              <w:overflowPunct/>
              <w:topLinePunct w:val="0"/>
              <w:autoSpaceDE/>
              <w:autoSpaceDN/>
              <w:bidi w:val="0"/>
              <w:adjustRightInd/>
              <w:snapToGrid/>
              <w:spacing w:beforeLines="0" w:afterLines="0" w:line="240" w:lineRule="auto"/>
              <w:textAlignment w:val="auto"/>
              <w:rPr>
                <w:rFonts w:hint="default"/>
                <w:highlight w:val="none"/>
                <w:u w:val="none" w:color="auto"/>
              </w:rPr>
            </w:pPr>
            <w:r>
              <w:rPr>
                <w:rFonts w:hint="default"/>
                <w:highlight w:val="none"/>
                <w:u w:val="none" w:color="auto"/>
                <w:lang w:eastAsia="zh-CN"/>
              </w:rPr>
              <w:t>表</w:t>
            </w:r>
            <w:r>
              <w:rPr>
                <w:rFonts w:hint="eastAsia"/>
                <w:highlight w:val="none"/>
                <w:u w:val="none" w:color="auto"/>
                <w:lang w:val="en-US" w:eastAsia="zh-CN"/>
              </w:rPr>
              <w:t>4-7</w:t>
            </w:r>
            <w:r>
              <w:rPr>
                <w:rFonts w:hint="default"/>
                <w:highlight w:val="none"/>
                <w:u w:val="none" w:color="auto"/>
                <w:lang w:val="en-US" w:eastAsia="zh-CN"/>
              </w:rPr>
              <w:t xml:space="preserve">  </w:t>
            </w:r>
            <w:r>
              <w:rPr>
                <w:rFonts w:hint="default"/>
                <w:highlight w:val="none"/>
                <w:u w:val="none" w:color="auto"/>
              </w:rPr>
              <w:t>项目生活污水产生情况一览表</w:t>
            </w:r>
          </w:p>
          <w:tbl>
            <w:tblPr>
              <w:tblStyle w:val="21"/>
              <w:tblW w:w="4998" w:type="pct"/>
              <w:tblInd w:w="0" w:type="dxa"/>
              <w:tblLayout w:type="fixed"/>
              <w:tblCellMar>
                <w:top w:w="0" w:type="dxa"/>
                <w:left w:w="0" w:type="dxa"/>
                <w:bottom w:w="0" w:type="dxa"/>
                <w:right w:w="0" w:type="dxa"/>
              </w:tblCellMar>
            </w:tblPr>
            <w:tblGrid>
              <w:gridCol w:w="928"/>
              <w:gridCol w:w="1111"/>
              <w:gridCol w:w="804"/>
              <w:gridCol w:w="804"/>
              <w:gridCol w:w="804"/>
              <w:gridCol w:w="807"/>
              <w:gridCol w:w="804"/>
              <w:gridCol w:w="804"/>
              <w:gridCol w:w="804"/>
              <w:gridCol w:w="807"/>
            </w:tblGrid>
            <w:tr w14:paraId="72F0E6C5">
              <w:tblPrEx>
                <w:tblCellMar>
                  <w:top w:w="0" w:type="dxa"/>
                  <w:left w:w="0" w:type="dxa"/>
                  <w:bottom w:w="0" w:type="dxa"/>
                  <w:right w:w="0" w:type="dxa"/>
                </w:tblCellMar>
              </w:tblPrEx>
              <w:trPr>
                <w:trHeight w:val="23" w:hRule="atLeast"/>
              </w:trPr>
              <w:tc>
                <w:tcPr>
                  <w:tcW w:w="547" w:type="pct"/>
                  <w:vMerge w:val="restart"/>
                  <w:tcBorders>
                    <w:top w:val="single" w:color="000000" w:sz="12" w:space="0"/>
                    <w:left w:val="nil"/>
                    <w:right w:val="single" w:color="000000" w:sz="4" w:space="0"/>
                  </w:tcBorders>
                  <w:noWrap w:val="0"/>
                  <w:vAlign w:val="center"/>
                </w:tcPr>
                <w:p w14:paraId="56EB6601">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项目</w:t>
                  </w:r>
                </w:p>
              </w:tc>
              <w:tc>
                <w:tcPr>
                  <w:tcW w:w="655" w:type="pct"/>
                  <w:vMerge w:val="restart"/>
                  <w:tcBorders>
                    <w:top w:val="single" w:color="000000" w:sz="12" w:space="0"/>
                    <w:left w:val="single" w:color="000000" w:sz="4" w:space="0"/>
                    <w:right w:val="single" w:color="000000" w:sz="4" w:space="0"/>
                  </w:tcBorders>
                  <w:noWrap w:val="0"/>
                  <w:vAlign w:val="center"/>
                </w:tcPr>
                <w:p w14:paraId="0160A8B9">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污水排放量（</w:t>
                  </w:r>
                  <w:r>
                    <w:rPr>
                      <w:rFonts w:hint="eastAsia" w:ascii="Times New Roman" w:eastAsia="宋体" w:cs="Times New Roman"/>
                      <w:b w:val="0"/>
                      <w:bCs w:val="0"/>
                      <w:sz w:val="21"/>
                      <w:szCs w:val="21"/>
                      <w:highlight w:val="none"/>
                      <w:lang w:val="en-US" w:eastAsia="zh-CN"/>
                    </w:rPr>
                    <w:t>m</w:t>
                  </w:r>
                  <w:r>
                    <w:rPr>
                      <w:rFonts w:hint="eastAsia" w:ascii="Times New Roman" w:eastAsia="宋体" w:cs="Times New Roman"/>
                      <w:b w:val="0"/>
                      <w:bCs w:val="0"/>
                      <w:sz w:val="21"/>
                      <w:szCs w:val="21"/>
                      <w:highlight w:val="none"/>
                      <w:vertAlign w:val="superscript"/>
                      <w:lang w:val="en-US" w:eastAsia="zh-CN"/>
                    </w:rPr>
                    <w:t>3</w:t>
                  </w:r>
                  <w:r>
                    <w:rPr>
                      <w:rFonts w:hint="default" w:ascii="Times New Roman" w:hAnsi="Times New Roman" w:eastAsia="宋体" w:cs="Times New Roman"/>
                      <w:b w:val="0"/>
                      <w:bCs w:val="0"/>
                      <w:sz w:val="21"/>
                      <w:szCs w:val="21"/>
                      <w:highlight w:val="none"/>
                    </w:rPr>
                    <w:t>/a）</w:t>
                  </w:r>
                </w:p>
              </w:tc>
              <w:tc>
                <w:tcPr>
                  <w:tcW w:w="1898" w:type="pct"/>
                  <w:gridSpan w:val="4"/>
                  <w:tcBorders>
                    <w:top w:val="single" w:color="000000" w:sz="12" w:space="0"/>
                    <w:left w:val="single" w:color="000000" w:sz="4" w:space="0"/>
                    <w:bottom w:val="single" w:color="000000" w:sz="4" w:space="0"/>
                    <w:right w:val="single" w:color="000000" w:sz="4" w:space="0"/>
                  </w:tcBorders>
                  <w:noWrap w:val="0"/>
                  <w:vAlign w:val="center"/>
                </w:tcPr>
                <w:p w14:paraId="72FC6FA0">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污染物产生浓度（mg/L）</w:t>
                  </w:r>
                </w:p>
              </w:tc>
              <w:tc>
                <w:tcPr>
                  <w:tcW w:w="1898" w:type="pct"/>
                  <w:gridSpan w:val="4"/>
                  <w:tcBorders>
                    <w:top w:val="single" w:color="000000" w:sz="12" w:space="0"/>
                    <w:left w:val="single" w:color="000000" w:sz="4" w:space="0"/>
                    <w:bottom w:val="single" w:color="000000" w:sz="4" w:space="0"/>
                    <w:right w:val="nil"/>
                  </w:tcBorders>
                  <w:noWrap w:val="0"/>
                  <w:vAlign w:val="center"/>
                </w:tcPr>
                <w:p w14:paraId="0B9087B2">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污染物产生量（t/a）</w:t>
                  </w:r>
                </w:p>
              </w:tc>
            </w:tr>
            <w:tr w14:paraId="3B5F6F8A">
              <w:tblPrEx>
                <w:tblCellMar>
                  <w:top w:w="0" w:type="dxa"/>
                  <w:left w:w="0" w:type="dxa"/>
                  <w:bottom w:w="0" w:type="dxa"/>
                  <w:right w:w="0" w:type="dxa"/>
                </w:tblCellMar>
              </w:tblPrEx>
              <w:trPr>
                <w:trHeight w:val="23" w:hRule="atLeast"/>
              </w:trPr>
              <w:tc>
                <w:tcPr>
                  <w:tcW w:w="547" w:type="pct"/>
                  <w:vMerge w:val="continue"/>
                  <w:tcBorders>
                    <w:left w:val="nil"/>
                    <w:bottom w:val="single" w:color="000000" w:sz="4" w:space="0"/>
                    <w:right w:val="single" w:color="000000" w:sz="4" w:space="0"/>
                  </w:tcBorders>
                  <w:noWrap w:val="0"/>
                  <w:vAlign w:val="center"/>
                </w:tcPr>
                <w:p w14:paraId="3531E611">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p>
              </w:tc>
              <w:tc>
                <w:tcPr>
                  <w:tcW w:w="655" w:type="pct"/>
                  <w:vMerge w:val="continue"/>
                  <w:tcBorders>
                    <w:left w:val="single" w:color="000000" w:sz="4" w:space="0"/>
                    <w:bottom w:val="single" w:color="000000" w:sz="4" w:space="0"/>
                    <w:right w:val="single" w:color="000000" w:sz="4" w:space="0"/>
                  </w:tcBorders>
                  <w:noWrap w:val="0"/>
                  <w:vAlign w:val="center"/>
                </w:tcPr>
                <w:p w14:paraId="6B83E1B6">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B29EC1D">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COD</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E774BF2">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BOD</w:t>
                  </w:r>
                  <w:r>
                    <w:rPr>
                      <w:rFonts w:hint="default" w:ascii="Times New Roman" w:hAnsi="Times New Roman" w:eastAsia="宋体" w:cs="Times New Roman"/>
                      <w:b w:val="0"/>
                      <w:bCs w:val="0"/>
                      <w:sz w:val="21"/>
                      <w:szCs w:val="21"/>
                      <w:highlight w:val="none"/>
                      <w:vertAlign w:val="subscript"/>
                    </w:rPr>
                    <w:t>5</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DD14E93">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SS</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59996B8">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氨氮</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02045CF">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COD</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7C2BA4B">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BOD</w:t>
                  </w:r>
                  <w:r>
                    <w:rPr>
                      <w:rFonts w:hint="default" w:ascii="Times New Roman" w:hAnsi="Times New Roman" w:eastAsia="宋体" w:cs="Times New Roman"/>
                      <w:b w:val="0"/>
                      <w:bCs w:val="0"/>
                      <w:sz w:val="21"/>
                      <w:szCs w:val="21"/>
                      <w:highlight w:val="none"/>
                      <w:vertAlign w:val="subscript"/>
                    </w:rPr>
                    <w:t>5</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61481E0">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SS</w:t>
                  </w:r>
                </w:p>
              </w:tc>
              <w:tc>
                <w:tcPr>
                  <w:tcW w:w="475" w:type="pct"/>
                  <w:tcBorders>
                    <w:top w:val="single" w:color="000000" w:sz="4" w:space="0"/>
                    <w:left w:val="single" w:color="000000" w:sz="4" w:space="0"/>
                    <w:bottom w:val="single" w:color="000000" w:sz="4" w:space="0"/>
                    <w:right w:val="nil"/>
                  </w:tcBorders>
                  <w:noWrap w:val="0"/>
                  <w:vAlign w:val="center"/>
                </w:tcPr>
                <w:p w14:paraId="75736E09">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氨氮</w:t>
                  </w:r>
                </w:p>
              </w:tc>
            </w:tr>
            <w:tr w14:paraId="7F457C3F">
              <w:tblPrEx>
                <w:tblCellMar>
                  <w:top w:w="0" w:type="dxa"/>
                  <w:left w:w="0" w:type="dxa"/>
                  <w:bottom w:w="0" w:type="dxa"/>
                  <w:right w:w="0" w:type="dxa"/>
                </w:tblCellMar>
              </w:tblPrEx>
              <w:trPr>
                <w:trHeight w:val="23" w:hRule="atLeast"/>
              </w:trPr>
              <w:tc>
                <w:tcPr>
                  <w:tcW w:w="547" w:type="pct"/>
                  <w:tcBorders>
                    <w:top w:val="single" w:color="000000" w:sz="4" w:space="0"/>
                    <w:left w:val="nil"/>
                    <w:bottom w:val="single" w:color="000000" w:sz="12" w:space="0"/>
                    <w:right w:val="single" w:color="000000" w:sz="4" w:space="0"/>
                  </w:tcBorders>
                  <w:noWrap w:val="0"/>
                  <w:vAlign w:val="center"/>
                </w:tcPr>
                <w:p w14:paraId="694AA7B8">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生活污水</w:t>
                  </w:r>
                </w:p>
              </w:tc>
              <w:tc>
                <w:tcPr>
                  <w:tcW w:w="655" w:type="pct"/>
                  <w:tcBorders>
                    <w:top w:val="single" w:color="000000" w:sz="4" w:space="0"/>
                    <w:left w:val="single" w:color="000000" w:sz="4" w:space="0"/>
                    <w:bottom w:val="single" w:color="000000" w:sz="12" w:space="0"/>
                    <w:right w:val="single" w:color="000000" w:sz="4" w:space="0"/>
                  </w:tcBorders>
                  <w:noWrap w:val="0"/>
                  <w:vAlign w:val="center"/>
                </w:tcPr>
                <w:p w14:paraId="3CD80494">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cs="Times New Roman"/>
                      <w:sz w:val="21"/>
                      <w:szCs w:val="21"/>
                      <w:highlight w:val="none"/>
                      <w:lang w:val="en-US" w:eastAsia="zh-CN"/>
                    </w:rPr>
                    <w:t>230.4</w:t>
                  </w:r>
                </w:p>
              </w:tc>
              <w:tc>
                <w:tcPr>
                  <w:tcW w:w="474" w:type="pct"/>
                  <w:tcBorders>
                    <w:top w:val="single" w:color="000000" w:sz="4" w:space="0"/>
                    <w:left w:val="single" w:color="000000" w:sz="4" w:space="0"/>
                    <w:bottom w:val="single" w:color="000000" w:sz="12" w:space="0"/>
                    <w:right w:val="single" w:color="000000" w:sz="4" w:space="0"/>
                  </w:tcBorders>
                  <w:noWrap w:val="0"/>
                  <w:vAlign w:val="center"/>
                </w:tcPr>
                <w:p w14:paraId="78A8A4B5">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280</w:t>
                  </w:r>
                </w:p>
              </w:tc>
              <w:tc>
                <w:tcPr>
                  <w:tcW w:w="474" w:type="pct"/>
                  <w:tcBorders>
                    <w:top w:val="single" w:color="000000" w:sz="4" w:space="0"/>
                    <w:left w:val="single" w:color="000000" w:sz="4" w:space="0"/>
                    <w:bottom w:val="single" w:color="000000" w:sz="12" w:space="0"/>
                    <w:right w:val="single" w:color="000000" w:sz="4" w:space="0"/>
                  </w:tcBorders>
                  <w:noWrap w:val="0"/>
                  <w:vAlign w:val="center"/>
                </w:tcPr>
                <w:p w14:paraId="4D55F151">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150</w:t>
                  </w:r>
                </w:p>
              </w:tc>
              <w:tc>
                <w:tcPr>
                  <w:tcW w:w="474" w:type="pct"/>
                  <w:tcBorders>
                    <w:top w:val="single" w:color="000000" w:sz="4" w:space="0"/>
                    <w:left w:val="single" w:color="000000" w:sz="4" w:space="0"/>
                    <w:bottom w:val="single" w:color="000000" w:sz="12" w:space="0"/>
                    <w:right w:val="single" w:color="000000" w:sz="4" w:space="0"/>
                  </w:tcBorders>
                  <w:noWrap w:val="0"/>
                  <w:vAlign w:val="center"/>
                </w:tcPr>
                <w:p w14:paraId="0A350CF5">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200</w:t>
                  </w:r>
                </w:p>
              </w:tc>
              <w:tc>
                <w:tcPr>
                  <w:tcW w:w="475" w:type="pct"/>
                  <w:tcBorders>
                    <w:top w:val="single" w:color="000000" w:sz="4" w:space="0"/>
                    <w:left w:val="single" w:color="000000" w:sz="4" w:space="0"/>
                    <w:bottom w:val="single" w:color="000000" w:sz="12" w:space="0"/>
                    <w:right w:val="single" w:color="000000" w:sz="4" w:space="0"/>
                  </w:tcBorders>
                  <w:noWrap w:val="0"/>
                  <w:vAlign w:val="center"/>
                </w:tcPr>
                <w:p w14:paraId="06BAABEE">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30</w:t>
                  </w:r>
                </w:p>
              </w:tc>
              <w:tc>
                <w:tcPr>
                  <w:tcW w:w="474" w:type="pct"/>
                  <w:tcBorders>
                    <w:top w:val="single" w:color="000000" w:sz="4" w:space="0"/>
                    <w:left w:val="single" w:color="000000" w:sz="4" w:space="0"/>
                    <w:bottom w:val="single" w:color="000000" w:sz="12" w:space="0"/>
                    <w:right w:val="single" w:color="000000" w:sz="4" w:space="0"/>
                  </w:tcBorders>
                  <w:noWrap w:val="0"/>
                  <w:vAlign w:val="center"/>
                </w:tcPr>
                <w:p w14:paraId="0CB6845B">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0.065</w:t>
                  </w:r>
                </w:p>
              </w:tc>
              <w:tc>
                <w:tcPr>
                  <w:tcW w:w="474" w:type="pct"/>
                  <w:tcBorders>
                    <w:top w:val="single" w:color="000000" w:sz="4" w:space="0"/>
                    <w:left w:val="single" w:color="000000" w:sz="4" w:space="0"/>
                    <w:bottom w:val="single" w:color="000000" w:sz="12" w:space="0"/>
                    <w:right w:val="single" w:color="000000" w:sz="4" w:space="0"/>
                  </w:tcBorders>
                  <w:noWrap w:val="0"/>
                  <w:vAlign w:val="center"/>
                </w:tcPr>
                <w:p w14:paraId="16630CAE">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0.035</w:t>
                  </w:r>
                </w:p>
              </w:tc>
              <w:tc>
                <w:tcPr>
                  <w:tcW w:w="474" w:type="pct"/>
                  <w:tcBorders>
                    <w:top w:val="single" w:color="000000" w:sz="4" w:space="0"/>
                    <w:left w:val="single" w:color="000000" w:sz="4" w:space="0"/>
                    <w:bottom w:val="single" w:color="000000" w:sz="12" w:space="0"/>
                    <w:right w:val="single" w:color="000000" w:sz="4" w:space="0"/>
                  </w:tcBorders>
                  <w:noWrap w:val="0"/>
                  <w:vAlign w:val="center"/>
                </w:tcPr>
                <w:p w14:paraId="549B08E4">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0.046</w:t>
                  </w:r>
                </w:p>
              </w:tc>
              <w:tc>
                <w:tcPr>
                  <w:tcW w:w="475" w:type="pct"/>
                  <w:tcBorders>
                    <w:top w:val="single" w:color="000000" w:sz="4" w:space="0"/>
                    <w:left w:val="single" w:color="000000" w:sz="4" w:space="0"/>
                    <w:bottom w:val="single" w:color="000000" w:sz="12" w:space="0"/>
                    <w:right w:val="nil"/>
                  </w:tcBorders>
                  <w:noWrap w:val="0"/>
                  <w:vAlign w:val="center"/>
                </w:tcPr>
                <w:p w14:paraId="3DC253BC">
                  <w:pPr>
                    <w:pStyle w:val="42"/>
                    <w:keepNext w:val="0"/>
                    <w:keepLines w:val="0"/>
                    <w:pageBreakBefore w:val="0"/>
                    <w:kinsoku/>
                    <w:wordWrap/>
                    <w:overflowPunct/>
                    <w:topLinePunct w:val="0"/>
                    <w:autoSpaceDE/>
                    <w:autoSpaceDN/>
                    <w:bidi w:val="0"/>
                    <w:spacing w:beforeLines="0" w:afterLines="0" w:line="240"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0.007</w:t>
                  </w:r>
                </w:p>
              </w:tc>
            </w:tr>
          </w:tbl>
          <w:p w14:paraId="68D22177">
            <w:pPr>
              <w:adjustRightInd w:val="0"/>
              <w:spacing w:line="360" w:lineRule="auto"/>
              <w:ind w:firstLine="480" w:firstLineChars="200"/>
              <w:rPr>
                <w:rFonts w:hint="default" w:ascii="Times New Roman" w:hAnsi="Times New Roman" w:cs="Times New Roman"/>
                <w:highlight w:val="none"/>
                <w:u w:val="single"/>
                <w:lang w:val="en-US" w:eastAsia="zh-CN"/>
              </w:rPr>
            </w:pPr>
            <w:r>
              <w:rPr>
                <w:rFonts w:hint="eastAsia"/>
                <w:b w:val="0"/>
                <w:bCs w:val="0"/>
                <w:i w:val="0"/>
                <w:iCs w:val="0"/>
                <w:sz w:val="24"/>
                <w:szCs w:val="24"/>
                <w:highlight w:val="none"/>
                <w:u w:val="single"/>
                <w:lang w:val="en-US" w:eastAsia="zh-CN"/>
              </w:rPr>
              <w:t>2.3</w:t>
            </w:r>
            <w:r>
              <w:rPr>
                <w:b w:val="0"/>
                <w:bCs w:val="0"/>
                <w:i w:val="0"/>
                <w:iCs w:val="0"/>
                <w:sz w:val="24"/>
                <w:szCs w:val="24"/>
                <w:highlight w:val="none"/>
                <w:u w:val="single"/>
              </w:rPr>
              <w:t>废水治理措施</w:t>
            </w:r>
          </w:p>
          <w:p w14:paraId="791985A2">
            <w:pPr>
              <w:pStyle w:val="65"/>
              <w:keepNext w:val="0"/>
              <w:keepLines w:val="0"/>
              <w:pageBreakBefore w:val="0"/>
              <w:widowControl w:val="0"/>
              <w:kinsoku/>
              <w:wordWrap/>
              <w:overflowPunct/>
              <w:topLinePunct w:val="0"/>
              <w:autoSpaceDE/>
              <w:autoSpaceDN/>
              <w:bidi w:val="0"/>
              <w:adjustRightInd/>
              <w:snapToGrid w:val="0"/>
              <w:spacing w:beforeLines="0" w:afterLines="0"/>
              <w:jc w:val="left"/>
              <w:textAlignment w:val="auto"/>
              <w:rPr>
                <w:rFonts w:hint="default"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三级沉淀池：</w:t>
            </w:r>
            <w:r>
              <w:rPr>
                <w:rFonts w:hint="eastAsia" w:cs="Times New Roman"/>
                <w:highlight w:val="none"/>
                <w:u w:val="single"/>
                <w:lang w:val="en-US" w:eastAsia="zh-CN"/>
              </w:rPr>
              <w:t>总</w:t>
            </w:r>
            <w:r>
              <w:rPr>
                <w:rFonts w:hint="default" w:ascii="Times New Roman" w:hAnsi="Times New Roman" w:cs="Times New Roman"/>
                <w:highlight w:val="none"/>
                <w:u w:val="single"/>
                <w:lang w:val="en-US" w:eastAsia="zh-CN"/>
              </w:rPr>
              <w:t>规格为深2m，宽3m，长度依次为6m、4m、4m，容积为</w:t>
            </w:r>
            <w:r>
              <w:rPr>
                <w:rFonts w:hint="eastAsia" w:cs="Times New Roman"/>
                <w:highlight w:val="none"/>
                <w:u w:val="single"/>
                <w:lang w:val="en-US" w:eastAsia="zh-CN"/>
              </w:rPr>
              <w:t>84</w:t>
            </w:r>
            <w:r>
              <w:rPr>
                <w:rFonts w:hint="default" w:ascii="Times New Roman" w:hAnsi="Times New Roman" w:cs="Times New Roman"/>
                <w:highlight w:val="none"/>
                <w:u w:val="single"/>
                <w:lang w:val="en-US" w:eastAsia="zh-CN"/>
              </w:rPr>
              <w:t>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，采取一般防渗措施，防渗满足等效粘土防渗层Mb≥1.5m，K≤10</w:t>
            </w:r>
            <w:r>
              <w:rPr>
                <w:rFonts w:hint="default" w:ascii="Times New Roman" w:hAnsi="Times New Roman" w:cs="Times New Roman"/>
                <w:highlight w:val="none"/>
                <w:u w:val="single"/>
                <w:vertAlign w:val="superscript"/>
                <w:lang w:val="en-US" w:eastAsia="zh-CN"/>
              </w:rPr>
              <w:t>-7</w:t>
            </w:r>
            <w:r>
              <w:rPr>
                <w:rFonts w:hint="default" w:ascii="Times New Roman" w:hAnsi="Times New Roman" w:cs="Times New Roman"/>
                <w:highlight w:val="none"/>
                <w:u w:val="single"/>
                <w:lang w:val="en-US" w:eastAsia="zh-CN"/>
              </w:rPr>
              <w:t>cm/s。</w:t>
            </w:r>
          </w:p>
          <w:p w14:paraId="67BC433F">
            <w:pPr>
              <w:pStyle w:val="65"/>
              <w:keepNext w:val="0"/>
              <w:keepLines w:val="0"/>
              <w:pageBreakBefore w:val="0"/>
              <w:widowControl w:val="0"/>
              <w:kinsoku/>
              <w:wordWrap/>
              <w:overflowPunct/>
              <w:topLinePunct w:val="0"/>
              <w:autoSpaceDE/>
              <w:autoSpaceDN/>
              <w:bidi w:val="0"/>
              <w:adjustRightInd/>
              <w:snapToGrid w:val="0"/>
              <w:spacing w:beforeLines="0" w:afterLines="0"/>
              <w:jc w:val="left"/>
              <w:textAlignment w:val="auto"/>
              <w:rPr>
                <w:rFonts w:hint="eastAsia" w:ascii="Times New Roman" w:hAnsi="Times New Roman" w:cs="Times New Roman"/>
                <w:highlight w:val="none"/>
                <w:u w:val="none"/>
                <w:lang w:val="en-US" w:eastAsia="zh-CN"/>
              </w:rPr>
            </w:pPr>
            <w:r>
              <w:rPr>
                <w:rFonts w:hint="default" w:ascii="Times New Roman" w:hAnsi="Times New Roman" w:cs="Times New Roman"/>
                <w:highlight w:val="none"/>
                <w:u w:val="single"/>
                <w:lang w:val="en-US" w:eastAsia="zh-CN"/>
              </w:rPr>
              <w:t>三级沉淀池工作原理：沉淀池是利用水流中悬浮杂质颗粒向下沉淀速度大于水流向卜流动速度、或向下沉淀时间小于水流流出沉淀池的时间时能与水流分离的原理实现水的净化。废水流入沉淀池，第一级沉淀做污水的初次沉淀，将大颗粒的物质通过重力沉降沉淀下来，经沉淀后，打开封堵，经过通水沟槽排放清水到二级沉淀池。第二级沉淀用来进一步的沉淀，去除相对较小的颗粒物，带沉淀完全后，经水沟将清水排放至三级沉淀池。第三级沉淀池是临时存放经过处理的清水。根据废渣的沉积量不定期安排专人清理回用于生产。</w:t>
            </w:r>
          </w:p>
          <w:p w14:paraId="115392FC">
            <w:pPr>
              <w:pStyle w:val="65"/>
              <w:keepNext w:val="0"/>
              <w:keepLines w:val="0"/>
              <w:pageBreakBefore w:val="0"/>
              <w:widowControl w:val="0"/>
              <w:kinsoku/>
              <w:wordWrap/>
              <w:overflowPunct/>
              <w:topLinePunct w:val="0"/>
              <w:autoSpaceDE/>
              <w:autoSpaceDN/>
              <w:bidi w:val="0"/>
              <w:adjustRightInd/>
              <w:snapToGrid w:val="0"/>
              <w:spacing w:beforeLines="0" w:afterLines="0"/>
              <w:jc w:val="both"/>
              <w:textAlignment w:val="auto"/>
              <w:rPr>
                <w:rFonts w:hint="default" w:ascii="Times New Roman" w:hAnsi="Times New Roman" w:cs="Times New Roman"/>
                <w:highlight w:val="none"/>
                <w:u w:val="single" w:color="auto"/>
                <w:lang w:val="en-US" w:eastAsia="zh-CN"/>
              </w:rPr>
            </w:pPr>
            <w:r>
              <w:rPr>
                <w:rFonts w:hint="eastAsia" w:ascii="Times New Roman" w:hAnsi="Times New Roman" w:cs="Times New Roman"/>
                <w:highlight w:val="none"/>
                <w:u w:val="single" w:color="auto"/>
                <w:lang w:val="en-US" w:eastAsia="zh-CN"/>
              </w:rPr>
              <w:t xml:space="preserve">2.4 </w:t>
            </w:r>
            <w:r>
              <w:rPr>
                <w:rFonts w:hint="default" w:ascii="Times New Roman" w:hAnsi="Times New Roman" w:cs="Times New Roman"/>
                <w:highlight w:val="none"/>
                <w:u w:val="single" w:color="auto"/>
                <w:lang w:val="en-US" w:eastAsia="zh-CN"/>
              </w:rPr>
              <w:t>废水污染治理措施可行技术分析</w:t>
            </w:r>
          </w:p>
          <w:p w14:paraId="5E2C90FB">
            <w:pPr>
              <w:pStyle w:val="65"/>
              <w:keepNext w:val="0"/>
              <w:keepLines w:val="0"/>
              <w:pageBreakBefore w:val="0"/>
              <w:widowControl w:val="0"/>
              <w:kinsoku/>
              <w:wordWrap/>
              <w:overflowPunct/>
              <w:topLinePunct w:val="0"/>
              <w:autoSpaceDE/>
              <w:autoSpaceDN/>
              <w:bidi w:val="0"/>
              <w:adjustRightInd/>
              <w:snapToGrid w:val="0"/>
              <w:spacing w:beforeLines="0" w:afterLines="0"/>
              <w:jc w:val="both"/>
              <w:textAlignment w:val="auto"/>
              <w:rPr>
                <w:rFonts w:hint="default" w:ascii="Times New Roman" w:hAnsi="Times New Roman" w:cs="Times New Roman"/>
                <w:highlight w:val="none"/>
                <w:u w:val="single" w:color="auto"/>
                <w:lang w:val="en-US" w:eastAsia="zh-CN"/>
              </w:rPr>
            </w:pPr>
            <w:r>
              <w:rPr>
                <w:rFonts w:hint="default" w:ascii="Times New Roman" w:hAnsi="Times New Roman" w:cs="Times New Roman"/>
                <w:highlight w:val="none"/>
                <w:u w:val="single" w:color="auto"/>
                <w:lang w:val="en-US" w:eastAsia="zh-CN"/>
              </w:rPr>
              <w:t>混凝土搅拌站项目没有专项的污染防治可行技术指南和排污许可技术规范。经查阅资料可知：</w:t>
            </w:r>
            <w:r>
              <w:rPr>
                <w:rFonts w:hint="eastAsia" w:ascii="Times New Roman" w:hAnsi="Times New Roman" w:cs="Times New Roman"/>
                <w:highlight w:val="none"/>
                <w:u w:val="single" w:color="auto"/>
                <w:lang w:val="en-US" w:eastAsia="zh-CN"/>
              </w:rPr>
              <w:t>混凝土</w:t>
            </w:r>
            <w:r>
              <w:rPr>
                <w:rFonts w:hint="default" w:ascii="Times New Roman" w:hAnsi="Times New Roman" w:cs="Times New Roman"/>
                <w:highlight w:val="none"/>
                <w:u w:val="single" w:color="auto"/>
                <w:lang w:val="en-US" w:eastAsia="zh-CN"/>
              </w:rPr>
              <w:t>搅拌站等水泥制品行业废水处理措施普遍采用</w:t>
            </w:r>
            <w:r>
              <w:rPr>
                <w:rFonts w:hint="eastAsia" w:cs="Times New Roman"/>
                <w:highlight w:val="none"/>
                <w:u w:val="single" w:color="auto"/>
                <w:lang w:val="en-US" w:eastAsia="zh-CN"/>
              </w:rPr>
              <w:t>三级</w:t>
            </w:r>
            <w:r>
              <w:rPr>
                <w:rFonts w:hint="default" w:ascii="Times New Roman" w:hAnsi="Times New Roman" w:cs="Times New Roman"/>
                <w:highlight w:val="none"/>
                <w:u w:val="single" w:color="auto"/>
                <w:lang w:val="en-US" w:eastAsia="zh-CN"/>
              </w:rPr>
              <w:t>沉淀池处理废水后回用于生产。</w:t>
            </w:r>
            <w:r>
              <w:rPr>
                <w:rFonts w:hint="eastAsia" w:cs="Times New Roman"/>
                <w:highlight w:val="none"/>
                <w:u w:val="single" w:color="auto"/>
                <w:lang w:val="en-US" w:eastAsia="zh-CN"/>
              </w:rPr>
              <w:t>本项目</w:t>
            </w:r>
            <w:r>
              <w:rPr>
                <w:rFonts w:hint="eastAsia" w:ascii="宋体" w:hAnsi="宋体" w:eastAsia="宋体" w:cs="宋体"/>
                <w:kern w:val="2"/>
                <w:sz w:val="24"/>
                <w:szCs w:val="24"/>
                <w:highlight w:val="none"/>
                <w:u w:val="single" w:color="auto"/>
                <w:lang w:val="en-US" w:eastAsia="zh-CN" w:bidi="ar-SA"/>
              </w:rPr>
              <w:t>罐车清洗</w:t>
            </w:r>
            <w:r>
              <w:rPr>
                <w:rFonts w:hint="default" w:ascii="宋体" w:hAnsi="宋体" w:eastAsia="宋体" w:cs="宋体"/>
                <w:kern w:val="2"/>
                <w:sz w:val="24"/>
                <w:szCs w:val="24"/>
                <w:highlight w:val="none"/>
                <w:u w:val="single" w:color="auto"/>
                <w:lang w:val="en-US" w:eastAsia="zh-CN" w:bidi="ar-SA"/>
              </w:rPr>
              <w:t>废水</w:t>
            </w:r>
            <w:r>
              <w:rPr>
                <w:rFonts w:hint="eastAsia" w:ascii="宋体" w:hAnsi="宋体" w:eastAsia="宋体" w:cs="宋体"/>
                <w:kern w:val="2"/>
                <w:sz w:val="24"/>
                <w:szCs w:val="24"/>
                <w:highlight w:val="none"/>
                <w:u w:val="single" w:color="auto"/>
                <w:lang w:val="en-US" w:eastAsia="zh-CN" w:bidi="ar-SA"/>
              </w:rPr>
              <w:t>、</w:t>
            </w:r>
            <w:r>
              <w:rPr>
                <w:rFonts w:hint="default" w:ascii="宋体" w:hAnsi="宋体" w:eastAsia="宋体" w:cs="宋体"/>
                <w:kern w:val="2"/>
                <w:sz w:val="24"/>
                <w:szCs w:val="24"/>
                <w:highlight w:val="none"/>
                <w:u w:val="single" w:color="auto"/>
                <w:lang w:val="en-US" w:eastAsia="zh-CN" w:bidi="ar-SA"/>
              </w:rPr>
              <w:t>设备清洗废水</w:t>
            </w:r>
            <w:r>
              <w:rPr>
                <w:rFonts w:hint="eastAsia" w:ascii="Times New Roman" w:hAnsi="Times New Roman" w:eastAsia="宋体" w:cs="Times New Roman"/>
                <w:iCs/>
                <w:color w:val="000000" w:themeColor="text1"/>
                <w:sz w:val="24"/>
                <w:szCs w:val="24"/>
                <w:highlight w:val="none"/>
                <w:u w:val="single" w:color="auto"/>
                <w:lang w:val="en-US" w:eastAsia="zh-CN"/>
                <w14:textFill>
                  <w14:solidFill>
                    <w14:schemeClr w14:val="tx1"/>
                  </w14:solidFill>
                </w14:textFill>
              </w:rPr>
              <w:t>经沉淀池处理后</w:t>
            </w:r>
            <w:r>
              <w:rPr>
                <w:rFonts w:hint="default" w:ascii="Times New Roman" w:hAnsi="Times New Roman" w:eastAsia="宋体" w:cs="Times New Roman"/>
                <w:iCs/>
                <w:color w:val="000000" w:themeColor="text1"/>
                <w:sz w:val="24"/>
                <w:szCs w:val="24"/>
                <w:highlight w:val="none"/>
                <w:u w:val="single" w:color="auto"/>
                <w:lang w:val="en-US" w:eastAsia="zh-CN"/>
                <w14:textFill>
                  <w14:solidFill>
                    <w14:schemeClr w14:val="tx1"/>
                  </w14:solidFill>
                </w14:textFill>
              </w:rPr>
              <w:t>回用于生产，不外排</w:t>
            </w:r>
            <w:r>
              <w:rPr>
                <w:rFonts w:hint="eastAsia" w:cs="Times New Roman"/>
                <w:iCs/>
                <w:color w:val="000000" w:themeColor="text1"/>
                <w:sz w:val="24"/>
                <w:szCs w:val="24"/>
                <w:highlight w:val="none"/>
                <w:u w:val="single" w:color="auto"/>
                <w:lang w:val="en-US" w:eastAsia="zh-CN"/>
                <w14:textFill>
                  <w14:solidFill>
                    <w14:schemeClr w14:val="tx1"/>
                  </w14:solidFill>
                </w14:textFill>
              </w:rPr>
              <w:t>。</w:t>
            </w:r>
            <w:r>
              <w:rPr>
                <w:rFonts w:hint="eastAsia" w:ascii="宋体" w:hAnsi="宋体" w:eastAsia="宋体" w:cs="宋体"/>
                <w:kern w:val="2"/>
                <w:sz w:val="24"/>
                <w:szCs w:val="24"/>
                <w:highlight w:val="none"/>
                <w:u w:val="single" w:color="auto"/>
                <w:lang w:val="en-US" w:eastAsia="zh-CN" w:bidi="ar-SA"/>
              </w:rPr>
              <w:t>罐车清洗</w:t>
            </w:r>
            <w:r>
              <w:rPr>
                <w:rFonts w:hint="default" w:ascii="宋体" w:hAnsi="宋体" w:eastAsia="宋体" w:cs="宋体"/>
                <w:kern w:val="2"/>
                <w:sz w:val="24"/>
                <w:szCs w:val="24"/>
                <w:highlight w:val="none"/>
                <w:u w:val="single" w:color="auto"/>
                <w:lang w:val="en-US" w:eastAsia="zh-CN" w:bidi="ar-SA"/>
              </w:rPr>
              <w:t>废水</w:t>
            </w:r>
            <w:r>
              <w:rPr>
                <w:rFonts w:hint="eastAsia" w:ascii="宋体" w:hAnsi="宋体" w:eastAsia="宋体" w:cs="宋体"/>
                <w:kern w:val="2"/>
                <w:sz w:val="24"/>
                <w:szCs w:val="24"/>
                <w:highlight w:val="none"/>
                <w:u w:val="single" w:color="auto"/>
                <w:lang w:val="en-US" w:eastAsia="zh-CN" w:bidi="ar-SA"/>
              </w:rPr>
              <w:t>、</w:t>
            </w:r>
            <w:r>
              <w:rPr>
                <w:rFonts w:hint="default" w:ascii="宋体" w:hAnsi="宋体" w:eastAsia="宋体" w:cs="宋体"/>
                <w:kern w:val="2"/>
                <w:sz w:val="24"/>
                <w:szCs w:val="24"/>
                <w:highlight w:val="none"/>
                <w:u w:val="single" w:color="auto"/>
                <w:lang w:val="en-US" w:eastAsia="zh-CN" w:bidi="ar-SA"/>
              </w:rPr>
              <w:t>设备清洗废水</w:t>
            </w:r>
            <w:r>
              <w:rPr>
                <w:rFonts w:hint="eastAsia" w:cs="Times New Roman"/>
                <w:highlight w:val="none"/>
                <w:u w:val="single" w:color="auto"/>
                <w:lang w:val="en-US" w:eastAsia="zh-CN"/>
              </w:rPr>
              <w:t>产生</w:t>
            </w:r>
            <w:r>
              <w:rPr>
                <w:rFonts w:hint="eastAsia" w:cs="Times New Roman"/>
                <w:color w:val="000000" w:themeColor="text1"/>
                <w:highlight w:val="none"/>
                <w:u w:val="single" w:color="auto"/>
                <w:lang w:val="en-US" w:eastAsia="zh-CN"/>
                <w14:textFill>
                  <w14:solidFill>
                    <w14:schemeClr w14:val="tx1"/>
                  </w14:solidFill>
                </w14:textFill>
              </w:rPr>
              <w:t>量</w:t>
            </w:r>
            <w:r>
              <w:rPr>
                <w:rFonts w:hint="default" w:ascii="Times New Roman" w:hAnsi="Times New Roman" w:cs="Times New Roman"/>
                <w:color w:val="000000" w:themeColor="text1"/>
                <w:highlight w:val="none"/>
                <w:u w:val="single" w:color="auto"/>
                <w:lang w:val="en-US" w:eastAsia="zh-CN"/>
                <w14:textFill>
                  <w14:solidFill>
                    <w14:schemeClr w14:val="tx1"/>
                  </w14:solidFill>
                </w14:textFill>
              </w:rPr>
              <w:t>为</w:t>
            </w:r>
            <w:r>
              <w:rPr>
                <w:rFonts w:hint="eastAsia" w:cs="Times New Roman"/>
                <w:color w:val="000000" w:themeColor="text1"/>
                <w:highlight w:val="none"/>
                <w:u w:val="single" w:color="auto"/>
                <w:lang w:val="en-US" w:eastAsia="zh-CN"/>
                <w14:textFill>
                  <w14:solidFill>
                    <w14:schemeClr w14:val="tx1"/>
                  </w14:solidFill>
                </w14:textFill>
              </w:rPr>
              <w:t>4.0m</w:t>
            </w:r>
            <w:r>
              <w:rPr>
                <w:rFonts w:hint="eastAsia" w:cs="Times New Roman"/>
                <w:color w:val="000000" w:themeColor="text1"/>
                <w:highlight w:val="none"/>
                <w:u w:val="single" w:color="auto"/>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u w:val="single" w:color="auto"/>
                <w:lang w:val="en-US" w:eastAsia="zh-CN"/>
                <w14:textFill>
                  <w14:solidFill>
                    <w14:schemeClr w14:val="tx1"/>
                  </w14:solidFill>
                </w14:textFill>
              </w:rPr>
              <w:t>/</w:t>
            </w:r>
            <w:r>
              <w:rPr>
                <w:rFonts w:hint="eastAsia" w:ascii="Times New Roman" w:hAnsi="Times New Roman" w:cs="Times New Roman"/>
                <w:color w:val="000000" w:themeColor="text1"/>
                <w:highlight w:val="none"/>
                <w:u w:val="single" w:color="auto"/>
                <w:lang w:val="en-US" w:eastAsia="zh-CN"/>
                <w14:textFill>
                  <w14:solidFill>
                    <w14:schemeClr w14:val="tx1"/>
                  </w14:solidFill>
                </w14:textFill>
              </w:rPr>
              <w:t>d，</w:t>
            </w:r>
            <w:r>
              <w:rPr>
                <w:rFonts w:hint="eastAsia" w:cs="Times New Roman"/>
                <w:highlight w:val="none"/>
                <w:u w:val="single" w:color="auto"/>
                <w:lang w:val="en-US" w:eastAsia="zh-CN"/>
              </w:rPr>
              <w:t>沉淀池容积为84</w:t>
            </w:r>
            <w:r>
              <w:rPr>
                <w:rFonts w:hint="default" w:ascii="Times New Roman" w:hAnsi="Times New Roman" w:cs="Times New Roman"/>
                <w:highlight w:val="none"/>
                <w:u w:val="single" w:color="auto"/>
                <w:lang w:val="en-US" w:eastAsia="zh-CN"/>
              </w:rPr>
              <w:t>m</w:t>
            </w:r>
            <w:r>
              <w:rPr>
                <w:rFonts w:hint="default" w:ascii="Times New Roman" w:hAnsi="Times New Roman" w:cs="Times New Roman"/>
                <w:highlight w:val="none"/>
                <w:u w:val="single" w:color="auto"/>
                <w:vertAlign w:val="superscript"/>
                <w:lang w:val="en-US" w:eastAsia="zh-CN"/>
              </w:rPr>
              <w:t>3</w:t>
            </w:r>
            <w:r>
              <w:rPr>
                <w:rFonts w:hint="default" w:ascii="Times New Roman" w:hAnsi="Times New Roman" w:cs="Times New Roman"/>
                <w:highlight w:val="none"/>
                <w:u w:val="single" w:color="auto"/>
                <w:lang w:val="en-US" w:eastAsia="zh-CN"/>
              </w:rPr>
              <w:t>，</w:t>
            </w:r>
            <w:r>
              <w:rPr>
                <w:rFonts w:hint="eastAsia" w:cs="Times New Roman"/>
                <w:highlight w:val="none"/>
                <w:u w:val="single" w:color="auto"/>
                <w:lang w:val="en-US" w:eastAsia="zh-CN"/>
              </w:rPr>
              <w:t>容量满足要求，</w:t>
            </w:r>
            <w:r>
              <w:rPr>
                <w:rFonts w:hint="default" w:ascii="Times New Roman" w:hAnsi="Times New Roman" w:cs="Times New Roman"/>
                <w:highlight w:val="none"/>
                <w:u w:val="single" w:color="auto"/>
                <w:lang w:val="en-US" w:eastAsia="zh-CN"/>
              </w:rPr>
              <w:t>防渗</w:t>
            </w:r>
            <w:r>
              <w:rPr>
                <w:rFonts w:hint="eastAsia" w:cs="Times New Roman"/>
                <w:highlight w:val="none"/>
                <w:u w:val="single" w:color="auto"/>
                <w:lang w:val="en-US" w:eastAsia="zh-CN"/>
              </w:rPr>
              <w:t>要求</w:t>
            </w:r>
            <w:r>
              <w:rPr>
                <w:rFonts w:hint="default" w:ascii="Times New Roman" w:hAnsi="Times New Roman" w:cs="Times New Roman"/>
                <w:highlight w:val="none"/>
                <w:u w:val="single" w:color="auto"/>
                <w:lang w:val="en-US" w:eastAsia="zh-CN"/>
              </w:rPr>
              <w:t>满足等效粘土防渗层Mb≥1.5m，K≤10</w:t>
            </w:r>
            <w:r>
              <w:rPr>
                <w:rFonts w:hint="default" w:ascii="Times New Roman" w:hAnsi="Times New Roman" w:cs="Times New Roman"/>
                <w:highlight w:val="none"/>
                <w:u w:val="single" w:color="auto"/>
                <w:vertAlign w:val="superscript"/>
                <w:lang w:val="en-US" w:eastAsia="zh-CN"/>
              </w:rPr>
              <w:t>-7</w:t>
            </w:r>
            <w:r>
              <w:rPr>
                <w:rFonts w:hint="default" w:ascii="Times New Roman" w:hAnsi="Times New Roman" w:cs="Times New Roman"/>
                <w:highlight w:val="none"/>
                <w:u w:val="single" w:color="auto"/>
                <w:lang w:val="en-US" w:eastAsia="zh-CN"/>
              </w:rPr>
              <w:t>cm/s。本项目生产过程中废水经沉淀处理后可用于</w:t>
            </w:r>
            <w:r>
              <w:rPr>
                <w:rFonts w:hint="eastAsia" w:cs="Times New Roman"/>
                <w:highlight w:val="none"/>
                <w:u w:val="single" w:color="auto"/>
                <w:lang w:val="en-US" w:eastAsia="zh-CN"/>
              </w:rPr>
              <w:t>混凝土</w:t>
            </w:r>
            <w:r>
              <w:rPr>
                <w:rFonts w:hint="default" w:ascii="Times New Roman" w:hAnsi="Times New Roman" w:cs="Times New Roman"/>
                <w:highlight w:val="none"/>
                <w:u w:val="single" w:color="auto"/>
                <w:lang w:val="en-US" w:eastAsia="zh-CN"/>
              </w:rPr>
              <w:t>搅拌过程，不向环境中排放</w:t>
            </w:r>
            <w:r>
              <w:rPr>
                <w:rFonts w:hint="eastAsia" w:cs="Times New Roman"/>
                <w:highlight w:val="none"/>
                <w:u w:val="single" w:color="auto"/>
                <w:lang w:val="en-US" w:eastAsia="zh-CN"/>
              </w:rPr>
              <w:t>，故本项目废水治理措施可行。</w:t>
            </w:r>
          </w:p>
          <w:p w14:paraId="235FD479">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u w:val="single" w:color="auto"/>
                <w:lang w:val="en-US" w:eastAsia="zh-CN" w:bidi="ar-SA"/>
              </w:rPr>
            </w:pPr>
            <w:r>
              <w:rPr>
                <w:rFonts w:hint="default" w:ascii="Times New Roman" w:hAnsi="Times New Roman" w:eastAsia="宋体" w:cs="Times New Roman"/>
                <w:kern w:val="2"/>
                <w:sz w:val="24"/>
                <w:szCs w:val="24"/>
                <w:highlight w:val="none"/>
                <w:u w:val="single" w:color="auto"/>
                <w:lang w:val="en-US" w:eastAsia="zh-CN" w:bidi="ar-SA"/>
              </w:rPr>
              <w:t>2.5</w:t>
            </w:r>
            <w:r>
              <w:rPr>
                <w:rFonts w:hint="eastAsia" w:ascii="宋体" w:hAnsi="宋体" w:eastAsia="宋体" w:cs="宋体"/>
                <w:kern w:val="2"/>
                <w:sz w:val="24"/>
                <w:szCs w:val="24"/>
                <w:highlight w:val="none"/>
                <w:u w:val="single" w:color="auto"/>
                <w:lang w:val="en-US" w:eastAsia="zh-CN" w:bidi="ar-SA"/>
              </w:rPr>
              <w:t xml:space="preserve"> </w:t>
            </w:r>
            <w:r>
              <w:rPr>
                <w:rFonts w:hint="eastAsia" w:ascii="宋体" w:hAnsi="宋体" w:cs="宋体"/>
                <w:kern w:val="2"/>
                <w:sz w:val="24"/>
                <w:szCs w:val="24"/>
                <w:highlight w:val="none"/>
                <w:u w:val="single" w:color="auto"/>
                <w:lang w:val="en-US" w:eastAsia="zh-CN" w:bidi="ar-SA"/>
              </w:rPr>
              <w:t>废水</w:t>
            </w:r>
            <w:r>
              <w:rPr>
                <w:rFonts w:hint="eastAsia" w:ascii="宋体" w:hAnsi="宋体" w:eastAsia="宋体" w:cs="宋体"/>
                <w:kern w:val="2"/>
                <w:sz w:val="24"/>
                <w:szCs w:val="24"/>
                <w:highlight w:val="none"/>
                <w:u w:val="single" w:color="auto"/>
                <w:lang w:val="en-US" w:eastAsia="zh-CN" w:bidi="ar-SA"/>
              </w:rPr>
              <w:t>回用于生产的可行性分析</w:t>
            </w:r>
          </w:p>
          <w:p w14:paraId="7BE4ABEF">
            <w:pPr>
              <w:keepNext w:val="0"/>
              <w:keepLines w:val="0"/>
              <w:widowControl/>
              <w:suppressLineNumbers w:val="0"/>
              <w:spacing w:line="360" w:lineRule="auto"/>
              <w:ind w:firstLine="480" w:firstLineChars="200"/>
              <w:jc w:val="left"/>
              <w:rPr>
                <w:rFonts w:hint="eastAsia" w:ascii="Times New Roman" w:hAnsi="Times New Roman"/>
                <w:b w:val="0"/>
                <w:bCs w:val="0"/>
                <w:sz w:val="24"/>
                <w:szCs w:val="24"/>
                <w:highlight w:val="none"/>
                <w:u w:val="single" w:color="auto"/>
                <w:lang w:val="en-US" w:eastAsia="zh-CN"/>
              </w:rPr>
            </w:pPr>
            <w:r>
              <w:rPr>
                <w:rFonts w:hint="eastAsia"/>
                <w:kern w:val="0"/>
                <w:sz w:val="24"/>
                <w:szCs w:val="24"/>
                <w:highlight w:val="none"/>
                <w:u w:val="single" w:color="auto"/>
                <w:lang w:val="en-US" w:eastAsia="zh-CN"/>
              </w:rPr>
              <w:t>本项目仅对罐车储罐的内部及搅拌设备内部进行清洗，故罐车清洗水及设备清洗水不包含油类物质，由砂石残料和泥浆水组成，</w:t>
            </w:r>
            <w:r>
              <w:rPr>
                <w:rFonts w:hint="default" w:ascii="Times New Roman" w:hAnsi="Times New Roman" w:cs="Times New Roman"/>
                <w:sz w:val="24"/>
                <w:szCs w:val="24"/>
                <w:highlight w:val="none"/>
                <w:u w:val="single" w:color="auto"/>
                <w:lang w:val="en-US" w:eastAsia="zh-CN"/>
              </w:rPr>
              <w:t>主要污染物为SS，污染浓度1000-1500mg/L，</w:t>
            </w:r>
            <w:r>
              <w:rPr>
                <w:rFonts w:hint="eastAsia" w:ascii="宋体" w:hAnsi="宋体" w:eastAsia="宋体" w:cs="宋体"/>
                <w:color w:val="000000"/>
                <w:kern w:val="0"/>
                <w:sz w:val="24"/>
                <w:szCs w:val="24"/>
                <w:highlight w:val="none"/>
                <w:u w:val="single" w:color="auto"/>
                <w:lang w:val="en-US" w:eastAsia="zh-CN" w:bidi="ar"/>
              </w:rPr>
              <w:t>废水进入到沉淀池，进行</w:t>
            </w:r>
            <w:r>
              <w:rPr>
                <w:rFonts w:hint="eastAsia" w:ascii="宋体" w:hAnsi="宋体" w:cs="宋体"/>
                <w:color w:val="000000"/>
                <w:kern w:val="0"/>
                <w:sz w:val="24"/>
                <w:szCs w:val="24"/>
                <w:highlight w:val="none"/>
                <w:u w:val="single" w:color="auto"/>
                <w:lang w:val="en-US" w:eastAsia="zh-CN" w:bidi="ar"/>
              </w:rPr>
              <w:t>沉淀</w:t>
            </w:r>
            <w:r>
              <w:rPr>
                <w:rFonts w:hint="eastAsia" w:ascii="宋体" w:hAnsi="宋体" w:eastAsia="宋体" w:cs="宋体"/>
                <w:color w:val="000000"/>
                <w:kern w:val="0"/>
                <w:sz w:val="24"/>
                <w:szCs w:val="24"/>
                <w:highlight w:val="none"/>
                <w:u w:val="single" w:color="auto"/>
                <w:lang w:val="en-US" w:eastAsia="zh-CN" w:bidi="ar"/>
              </w:rPr>
              <w:t>处理。本项目经沉淀澄清过程后（澄清时间一般在</w:t>
            </w:r>
            <w:r>
              <w:rPr>
                <w:rFonts w:hint="eastAsia" w:cs="Times New Roman"/>
                <w:color w:val="000000"/>
                <w:kern w:val="0"/>
                <w:sz w:val="24"/>
                <w:szCs w:val="24"/>
                <w:highlight w:val="none"/>
                <w:u w:val="single" w:color="auto"/>
                <w:lang w:val="en-US" w:eastAsia="zh-CN" w:bidi="ar"/>
              </w:rPr>
              <w:t>48</w:t>
            </w:r>
            <w:r>
              <w:rPr>
                <w:rFonts w:hint="eastAsia" w:ascii="宋体" w:hAnsi="宋体" w:eastAsia="宋体" w:cs="宋体"/>
                <w:color w:val="000000"/>
                <w:kern w:val="0"/>
                <w:sz w:val="24"/>
                <w:szCs w:val="24"/>
                <w:highlight w:val="none"/>
                <w:u w:val="single" w:color="auto"/>
                <w:lang w:val="en-US" w:eastAsia="zh-CN" w:bidi="ar"/>
              </w:rPr>
              <w:t>小时左右），</w:t>
            </w:r>
            <w:r>
              <w:rPr>
                <w:rFonts w:hint="default" w:ascii="Times New Roman" w:hAnsi="Times New Roman" w:eastAsia="宋体" w:cs="Times New Roman"/>
                <w:color w:val="000000"/>
                <w:kern w:val="0"/>
                <w:sz w:val="24"/>
                <w:szCs w:val="24"/>
                <w:highlight w:val="none"/>
                <w:u w:val="single" w:color="auto"/>
                <w:lang w:val="en-US" w:eastAsia="zh-CN" w:bidi="ar"/>
              </w:rPr>
              <w:t>SS</w:t>
            </w:r>
            <w:r>
              <w:rPr>
                <w:rFonts w:hint="eastAsia" w:ascii="宋体" w:hAnsi="宋体" w:eastAsia="宋体" w:cs="宋体"/>
                <w:color w:val="000000"/>
                <w:kern w:val="0"/>
                <w:sz w:val="24"/>
                <w:szCs w:val="24"/>
                <w:highlight w:val="none"/>
                <w:u w:val="single" w:color="auto"/>
                <w:lang w:val="en-US" w:eastAsia="zh-CN" w:bidi="ar"/>
              </w:rPr>
              <w:t>浓度</w:t>
            </w:r>
            <w:r>
              <w:rPr>
                <w:rFonts w:hint="eastAsia" w:ascii="宋体" w:hAnsi="宋体" w:cs="宋体"/>
                <w:color w:val="000000"/>
                <w:kern w:val="0"/>
                <w:sz w:val="24"/>
                <w:szCs w:val="24"/>
                <w:highlight w:val="none"/>
                <w:u w:val="single" w:color="auto"/>
                <w:lang w:val="en-US" w:eastAsia="zh-CN" w:bidi="ar"/>
              </w:rPr>
              <w:t>减</w:t>
            </w:r>
            <w:r>
              <w:rPr>
                <w:rFonts w:hint="eastAsia" w:ascii="宋体" w:hAnsi="宋体" w:eastAsia="宋体" w:cs="宋体"/>
                <w:color w:val="000000"/>
                <w:kern w:val="0"/>
                <w:sz w:val="24"/>
                <w:szCs w:val="24"/>
                <w:highlight w:val="none"/>
                <w:u w:val="single" w:color="auto"/>
                <w:lang w:val="en-US" w:eastAsia="zh-CN" w:bidi="ar"/>
              </w:rPr>
              <w:t>小，</w:t>
            </w:r>
            <w:r>
              <w:rPr>
                <w:rFonts w:hint="default" w:ascii="Times New Roman" w:hAnsi="Times New Roman" w:cs="Times New Roman"/>
                <w:sz w:val="24"/>
                <w:szCs w:val="24"/>
                <w:highlight w:val="none"/>
                <w:u w:val="single" w:color="auto"/>
                <w:lang w:val="en-US" w:eastAsia="zh-CN"/>
              </w:rPr>
              <w:t>约为</w:t>
            </w:r>
            <w:r>
              <w:rPr>
                <w:rFonts w:hint="eastAsia" w:cs="Times New Roman"/>
                <w:sz w:val="24"/>
                <w:szCs w:val="24"/>
                <w:highlight w:val="none"/>
                <w:u w:val="single" w:color="auto"/>
                <w:lang w:val="en-US" w:eastAsia="zh-CN"/>
              </w:rPr>
              <w:t>4</w:t>
            </w:r>
            <w:r>
              <w:rPr>
                <w:rFonts w:hint="default" w:ascii="Times New Roman" w:hAnsi="Times New Roman" w:cs="Times New Roman"/>
                <w:sz w:val="24"/>
                <w:szCs w:val="24"/>
                <w:highlight w:val="none"/>
                <w:u w:val="single" w:color="auto"/>
                <w:lang w:val="en-US" w:eastAsia="zh-CN"/>
              </w:rPr>
              <w:t>00mg/L，</w:t>
            </w:r>
            <w:r>
              <w:rPr>
                <w:rFonts w:hint="eastAsia" w:cs="Times New Roman"/>
                <w:sz w:val="24"/>
                <w:szCs w:val="24"/>
                <w:highlight w:val="none"/>
                <w:u w:val="single" w:color="auto"/>
                <w:lang w:val="en-US" w:eastAsia="zh-CN"/>
              </w:rPr>
              <w:t>其中成分与混凝土一致，且本项目对</w:t>
            </w:r>
            <w:r>
              <w:rPr>
                <w:rFonts w:hint="eastAsia" w:ascii="Times New Roman" w:hAnsi="Times New Roman"/>
                <w:b w:val="0"/>
                <w:bCs w:val="0"/>
                <w:sz w:val="24"/>
                <w:szCs w:val="24"/>
                <w:highlight w:val="none"/>
                <w:u w:val="single" w:color="auto"/>
                <w:lang w:val="en-US" w:eastAsia="zh-CN"/>
              </w:rPr>
              <w:t>回用水水质要求不高，</w:t>
            </w:r>
            <w:r>
              <w:rPr>
                <w:rFonts w:hint="default" w:ascii="Times New Roman" w:hAnsi="Times New Roman" w:cs="Times New Roman"/>
                <w:sz w:val="24"/>
                <w:szCs w:val="24"/>
                <w:highlight w:val="none"/>
                <w:u w:val="single" w:color="auto"/>
                <w:lang w:val="en-US" w:eastAsia="zh-CN"/>
              </w:rPr>
              <w:t>故采用沉淀池处理后废水能满足处理回用水要求，</w:t>
            </w:r>
            <w:r>
              <w:rPr>
                <w:rFonts w:hint="eastAsia" w:ascii="Times New Roman" w:hAnsi="Times New Roman"/>
                <w:b w:val="0"/>
                <w:bCs w:val="0"/>
                <w:sz w:val="24"/>
                <w:szCs w:val="24"/>
                <w:highlight w:val="none"/>
                <w:u w:val="single" w:color="auto"/>
                <w:lang w:val="en-US" w:eastAsia="zh-CN"/>
              </w:rPr>
              <w:t>出水稳定，从水质角度分析，</w:t>
            </w:r>
            <w:r>
              <w:rPr>
                <w:rFonts w:hint="eastAsia" w:ascii="宋体" w:hAnsi="宋体" w:eastAsia="宋体" w:cs="宋体"/>
                <w:kern w:val="2"/>
                <w:sz w:val="24"/>
                <w:szCs w:val="24"/>
                <w:highlight w:val="none"/>
                <w:u w:val="single" w:color="auto"/>
                <w:lang w:val="en-US" w:eastAsia="zh-CN" w:bidi="ar-SA"/>
              </w:rPr>
              <w:t>罐车清洗</w:t>
            </w:r>
            <w:r>
              <w:rPr>
                <w:rFonts w:hint="default" w:ascii="宋体" w:hAnsi="宋体" w:eastAsia="宋体" w:cs="宋体"/>
                <w:kern w:val="2"/>
                <w:sz w:val="24"/>
                <w:szCs w:val="24"/>
                <w:highlight w:val="none"/>
                <w:u w:val="single" w:color="auto"/>
                <w:lang w:val="en-US" w:eastAsia="zh-CN" w:bidi="ar-SA"/>
              </w:rPr>
              <w:t>废水和设备清洗废水</w:t>
            </w:r>
            <w:r>
              <w:rPr>
                <w:rFonts w:hint="eastAsia" w:ascii="Times New Roman" w:hAnsi="Times New Roman"/>
                <w:b w:val="0"/>
                <w:bCs w:val="0"/>
                <w:sz w:val="24"/>
                <w:szCs w:val="24"/>
                <w:highlight w:val="none"/>
                <w:u w:val="single" w:color="auto"/>
                <w:lang w:val="en-US" w:eastAsia="zh-CN"/>
              </w:rPr>
              <w:t>排入</w:t>
            </w:r>
            <w:r>
              <w:rPr>
                <w:rFonts w:hint="eastAsia"/>
                <w:b w:val="0"/>
                <w:bCs w:val="0"/>
                <w:sz w:val="24"/>
                <w:szCs w:val="24"/>
                <w:highlight w:val="none"/>
                <w:u w:val="single" w:color="auto"/>
                <w:lang w:val="en-US" w:eastAsia="zh-CN"/>
              </w:rPr>
              <w:t>三级</w:t>
            </w:r>
            <w:r>
              <w:rPr>
                <w:rFonts w:hint="eastAsia" w:ascii="Times New Roman" w:hAnsi="Times New Roman"/>
                <w:b w:val="0"/>
                <w:bCs w:val="0"/>
                <w:sz w:val="24"/>
                <w:szCs w:val="24"/>
                <w:highlight w:val="none"/>
                <w:u w:val="single" w:color="auto"/>
                <w:lang w:val="en-US" w:eastAsia="zh-CN"/>
              </w:rPr>
              <w:t>沉淀池，沉淀后回用于生产是可行的。</w:t>
            </w:r>
          </w:p>
          <w:p w14:paraId="5D51899D">
            <w:pPr>
              <w:keepNext w:val="0"/>
              <w:keepLines w:val="0"/>
              <w:widowControl/>
              <w:suppressLineNumbers w:val="0"/>
              <w:spacing w:line="360" w:lineRule="auto"/>
              <w:ind w:firstLine="480" w:firstLineChars="200"/>
              <w:jc w:val="left"/>
              <w:rPr>
                <w:rFonts w:hint="eastAsia" w:ascii="宋体" w:hAnsi="宋体" w:eastAsia="宋体" w:cs="宋体"/>
                <w:kern w:val="2"/>
                <w:sz w:val="24"/>
                <w:szCs w:val="24"/>
                <w:highlight w:val="none"/>
                <w:u w:val="single" w:color="auto"/>
                <w:lang w:val="en-US" w:eastAsia="zh-CN" w:bidi="ar-SA"/>
              </w:rPr>
            </w:pPr>
            <w:r>
              <w:rPr>
                <w:rFonts w:hint="default" w:ascii="Times New Roman" w:hAnsi="Times New Roman" w:eastAsia="宋体" w:cs="Times New Roman"/>
                <w:kern w:val="2"/>
                <w:sz w:val="24"/>
                <w:szCs w:val="24"/>
                <w:highlight w:val="none"/>
                <w:u w:val="single" w:color="auto"/>
                <w:lang w:val="en-US" w:eastAsia="zh-CN" w:bidi="ar-SA"/>
              </w:rPr>
              <w:t>2.</w:t>
            </w:r>
            <w:r>
              <w:rPr>
                <w:rFonts w:hint="eastAsia" w:ascii="Times New Roman" w:hAnsi="Times New Roman" w:eastAsia="宋体" w:cs="Times New Roman"/>
                <w:kern w:val="2"/>
                <w:sz w:val="24"/>
                <w:szCs w:val="24"/>
                <w:highlight w:val="none"/>
                <w:u w:val="single" w:color="auto"/>
                <w:lang w:val="en-US" w:eastAsia="zh-CN" w:bidi="ar-SA"/>
              </w:rPr>
              <w:t xml:space="preserve">6 </w:t>
            </w:r>
            <w:r>
              <w:rPr>
                <w:rFonts w:hint="eastAsia" w:ascii="宋体" w:hAnsi="宋体" w:cs="宋体"/>
                <w:kern w:val="2"/>
                <w:sz w:val="24"/>
                <w:szCs w:val="24"/>
                <w:highlight w:val="none"/>
                <w:u w:val="single" w:color="auto"/>
                <w:lang w:val="en-US" w:eastAsia="zh-CN" w:bidi="ar-SA"/>
              </w:rPr>
              <w:t>取水对三道沟河</w:t>
            </w:r>
            <w:r>
              <w:rPr>
                <w:rFonts w:hint="eastAsia" w:ascii="宋体" w:hAnsi="宋体" w:eastAsia="宋体" w:cs="宋体"/>
                <w:kern w:val="2"/>
                <w:sz w:val="24"/>
                <w:szCs w:val="24"/>
                <w:highlight w:val="none"/>
                <w:u w:val="single" w:color="auto"/>
                <w:lang w:val="en-US" w:eastAsia="zh-CN" w:bidi="ar-SA"/>
              </w:rPr>
              <w:t>影响分析</w:t>
            </w:r>
          </w:p>
          <w:p w14:paraId="3A555B21">
            <w:pPr>
              <w:keepNext w:val="0"/>
              <w:keepLines w:val="0"/>
              <w:widowControl/>
              <w:suppressLineNumbers w:val="0"/>
              <w:spacing w:line="360" w:lineRule="auto"/>
              <w:ind w:firstLine="480" w:firstLineChars="200"/>
              <w:jc w:val="both"/>
              <w:rPr>
                <w:rFonts w:hint="eastAsia"/>
                <w:kern w:val="0"/>
                <w:sz w:val="24"/>
                <w:szCs w:val="24"/>
                <w:highlight w:val="none"/>
                <w:u w:val="single" w:color="auto"/>
                <w:lang w:val="en-US" w:eastAsia="zh-CN"/>
              </w:rPr>
            </w:pPr>
            <w:r>
              <w:rPr>
                <w:rFonts w:hint="eastAsia"/>
                <w:kern w:val="0"/>
                <w:sz w:val="24"/>
                <w:szCs w:val="24"/>
                <w:highlight w:val="none"/>
                <w:u w:val="single" w:color="auto"/>
                <w:lang w:val="en-US" w:eastAsia="zh-CN"/>
              </w:rPr>
              <w:t>本项目</w:t>
            </w:r>
            <w:r>
              <w:rPr>
                <w:rFonts w:hint="eastAsia"/>
                <w:color w:val="000000" w:themeColor="text1"/>
                <w:sz w:val="24"/>
                <w:szCs w:val="24"/>
                <w:highlight w:val="none"/>
                <w:u w:val="single" w:color="auto"/>
                <w:lang w:val="en-US" w:eastAsia="zh-CN"/>
                <w14:textFill>
                  <w14:solidFill>
                    <w14:schemeClr w14:val="tx1"/>
                  </w14:solidFill>
                </w14:textFill>
              </w:rPr>
              <w:t>生产用水取自东侧三道沟河地表水，</w:t>
            </w:r>
            <w:r>
              <w:rPr>
                <w:color w:val="000000" w:themeColor="text1"/>
                <w:sz w:val="24"/>
                <w:szCs w:val="24"/>
                <w:highlight w:val="none"/>
                <w:u w:val="single" w:color="auto"/>
                <w14:textFill>
                  <w14:solidFill>
                    <w14:schemeClr w14:val="tx1"/>
                  </w14:solidFill>
                </w14:textFill>
              </w:rPr>
              <w:t>能够满足本项目用水需求</w:t>
            </w:r>
            <w:r>
              <w:rPr>
                <w:rFonts w:hint="eastAsia"/>
                <w:color w:val="000000" w:themeColor="text1"/>
                <w:sz w:val="24"/>
                <w:szCs w:val="24"/>
                <w:highlight w:val="none"/>
                <w:u w:val="single" w:color="auto"/>
                <w:lang w:val="en-US" w:eastAsia="zh-CN"/>
                <w14:textFill>
                  <w14:solidFill>
                    <w14:schemeClr w14:val="tx1"/>
                  </w14:solidFill>
                </w14:textFill>
              </w:rPr>
              <w:t>，取水证正在办理中，本次项目不含饮水工程。</w:t>
            </w:r>
          </w:p>
          <w:p w14:paraId="7516332C">
            <w:pPr>
              <w:keepNext w:val="0"/>
              <w:keepLines w:val="0"/>
              <w:widowControl/>
              <w:suppressLineNumbers w:val="0"/>
              <w:spacing w:line="360" w:lineRule="auto"/>
              <w:ind w:firstLine="480" w:firstLineChars="200"/>
              <w:jc w:val="both"/>
              <w:rPr>
                <w:rFonts w:hint="default" w:ascii="Times New Roman" w:hAnsi="Times New Roman"/>
                <w:b w:val="0"/>
                <w:bCs w:val="0"/>
                <w:sz w:val="24"/>
                <w:szCs w:val="24"/>
                <w:highlight w:val="none"/>
                <w:u w:val="none" w:color="auto"/>
                <w:lang w:val="en-US" w:eastAsia="zh-CN"/>
              </w:rPr>
            </w:pPr>
            <w:r>
              <w:rPr>
                <w:rFonts w:hint="eastAsia"/>
                <w:kern w:val="0"/>
                <w:sz w:val="24"/>
                <w:szCs w:val="24"/>
                <w:highlight w:val="none"/>
                <w:u w:val="single" w:color="auto"/>
                <w:lang w:val="en-US" w:eastAsia="zh-CN"/>
              </w:rPr>
              <w:t>经调查，该河流为鸭绿江右岸一级支流，属于典型的山溪性河流，流域面积747km</w:t>
            </w:r>
            <w:r>
              <w:rPr>
                <w:rFonts w:hint="eastAsia"/>
                <w:kern w:val="0"/>
                <w:sz w:val="24"/>
                <w:szCs w:val="24"/>
                <w:highlight w:val="none"/>
                <w:u w:val="single" w:color="auto"/>
                <w:vertAlign w:val="superscript"/>
                <w:lang w:val="en-US" w:eastAsia="zh-CN"/>
              </w:rPr>
              <w:t>2</w:t>
            </w:r>
            <w:r>
              <w:rPr>
                <w:rFonts w:hint="eastAsia"/>
                <w:kern w:val="0"/>
                <w:sz w:val="24"/>
                <w:szCs w:val="24"/>
                <w:highlight w:val="none"/>
                <w:u w:val="single" w:color="auto"/>
                <w:lang w:val="en-US" w:eastAsia="zh-CN"/>
              </w:rPr>
              <w:t>，河长83.6km。水量充沛，多年均径流量3亿立方米，平均流量约9.5m</w:t>
            </w:r>
            <w:r>
              <w:rPr>
                <w:rFonts w:hint="eastAsia"/>
                <w:kern w:val="0"/>
                <w:sz w:val="24"/>
                <w:szCs w:val="24"/>
                <w:highlight w:val="none"/>
                <w:u w:val="single" w:color="auto"/>
                <w:vertAlign w:val="superscript"/>
                <w:lang w:val="en-US" w:eastAsia="zh-CN"/>
              </w:rPr>
              <w:t>3</w:t>
            </w:r>
            <w:r>
              <w:rPr>
                <w:rFonts w:hint="eastAsia"/>
                <w:kern w:val="0"/>
                <w:sz w:val="24"/>
                <w:szCs w:val="24"/>
                <w:highlight w:val="none"/>
                <w:u w:val="single" w:color="auto"/>
                <w:lang w:val="en-US" w:eastAsia="zh-CN"/>
              </w:rPr>
              <w:t>/s。本项目仅生产用水取自项目东侧的三道沟河，取水量45.5m</w:t>
            </w:r>
            <w:r>
              <w:rPr>
                <w:rFonts w:hint="eastAsia"/>
                <w:kern w:val="0"/>
                <w:sz w:val="24"/>
                <w:szCs w:val="24"/>
                <w:highlight w:val="none"/>
                <w:u w:val="single" w:color="auto"/>
                <w:vertAlign w:val="superscript"/>
                <w:lang w:val="en-US" w:eastAsia="zh-CN"/>
              </w:rPr>
              <w:t>3</w:t>
            </w:r>
            <w:r>
              <w:rPr>
                <w:rFonts w:hint="eastAsia"/>
                <w:kern w:val="0"/>
                <w:sz w:val="24"/>
                <w:szCs w:val="24"/>
                <w:highlight w:val="none"/>
                <w:u w:val="single" w:color="auto"/>
                <w:lang w:val="en-US" w:eastAsia="zh-CN"/>
              </w:rPr>
              <w:t>/d（10920m</w:t>
            </w:r>
            <w:r>
              <w:rPr>
                <w:rFonts w:hint="eastAsia"/>
                <w:kern w:val="0"/>
                <w:sz w:val="24"/>
                <w:szCs w:val="24"/>
                <w:highlight w:val="none"/>
                <w:u w:val="single" w:color="auto"/>
                <w:vertAlign w:val="superscript"/>
                <w:lang w:val="en-US" w:eastAsia="zh-CN"/>
              </w:rPr>
              <w:t>3</w:t>
            </w:r>
            <w:r>
              <w:rPr>
                <w:rFonts w:hint="eastAsia"/>
                <w:kern w:val="0"/>
                <w:sz w:val="24"/>
                <w:szCs w:val="24"/>
                <w:highlight w:val="none"/>
                <w:u w:val="single" w:color="auto"/>
                <w:lang w:val="en-US" w:eastAsia="zh-CN"/>
              </w:rPr>
              <w:t>/a），取水量相比三道沟河年均径流量微乎其微，取水不会造成三道沟河河宽、水深、径流量等水文情势的改变，项目取水对三道沟河基本不构成影响。</w:t>
            </w:r>
          </w:p>
          <w:p w14:paraId="18726D46">
            <w:pPr>
              <w:adjustRightInd w:val="0"/>
              <w:snapToGrid w:val="0"/>
              <w:spacing w:line="360" w:lineRule="auto"/>
              <w:ind w:firstLine="482" w:firstLineChars="200"/>
              <w:rPr>
                <w:b/>
                <w:bCs/>
                <w:sz w:val="24"/>
                <w:szCs w:val="24"/>
              </w:rPr>
            </w:pPr>
            <w:r>
              <w:rPr>
                <w:b/>
                <w:bCs/>
                <w:sz w:val="24"/>
                <w:szCs w:val="24"/>
              </w:rPr>
              <w:t>3、声环境</w:t>
            </w:r>
          </w:p>
          <w:p w14:paraId="0EFE96AD">
            <w:pPr>
              <w:spacing w:line="360" w:lineRule="auto"/>
              <w:ind w:firstLine="480" w:firstLineChars="200"/>
              <w:rPr>
                <w:rFonts w:hint="eastAsia"/>
                <w:sz w:val="24"/>
                <w:szCs w:val="24"/>
              </w:rPr>
            </w:pPr>
            <w:r>
              <w:rPr>
                <w:rFonts w:hint="eastAsia"/>
                <w:sz w:val="24"/>
                <w:szCs w:val="24"/>
                <w:lang w:val="en-US" w:eastAsia="zh-CN"/>
              </w:rPr>
              <w:t>3.1</w:t>
            </w:r>
            <w:r>
              <w:rPr>
                <w:rFonts w:hint="eastAsia"/>
                <w:sz w:val="24"/>
                <w:szCs w:val="24"/>
              </w:rPr>
              <w:t>噪声源确定</w:t>
            </w:r>
          </w:p>
          <w:p w14:paraId="47F1D54C">
            <w:pPr>
              <w:spacing w:line="360" w:lineRule="auto"/>
              <w:ind w:firstLine="480" w:firstLineChars="200"/>
              <w:rPr>
                <w:sz w:val="24"/>
                <w:szCs w:val="24"/>
              </w:rPr>
            </w:pPr>
            <w:r>
              <w:rPr>
                <w:rFonts w:hint="eastAsia"/>
                <w:sz w:val="24"/>
                <w:szCs w:val="24"/>
              </w:rPr>
              <w:t>本项目产噪设备主要</w:t>
            </w:r>
            <w:r>
              <w:rPr>
                <w:rFonts w:hint="eastAsia"/>
                <w:sz w:val="24"/>
                <w:szCs w:val="24"/>
                <w:lang w:val="en-US" w:eastAsia="zh-CN"/>
              </w:rPr>
              <w:t>为</w:t>
            </w:r>
            <w:r>
              <w:rPr>
                <w:rFonts w:hint="eastAsia"/>
                <w:sz w:val="24"/>
                <w:szCs w:val="24"/>
                <w:lang w:eastAsia="zh-CN"/>
              </w:rPr>
              <w:t>搅拌机、输送机、水泵</w:t>
            </w:r>
            <w:r>
              <w:rPr>
                <w:rFonts w:hint="eastAsia"/>
                <w:sz w:val="24"/>
                <w:szCs w:val="24"/>
              </w:rPr>
              <w:t>等，其噪声源强约为</w:t>
            </w:r>
            <w:r>
              <w:rPr>
                <w:rFonts w:hint="eastAsia"/>
                <w:sz w:val="24"/>
                <w:szCs w:val="24"/>
                <w:lang w:val="en-US" w:eastAsia="zh-CN"/>
              </w:rPr>
              <w:t>70</w:t>
            </w:r>
            <w:r>
              <w:rPr>
                <w:rFonts w:hint="eastAsia"/>
                <w:sz w:val="24"/>
                <w:szCs w:val="24"/>
              </w:rPr>
              <w:t>-8</w:t>
            </w:r>
            <w:r>
              <w:rPr>
                <w:rFonts w:hint="eastAsia"/>
                <w:sz w:val="24"/>
                <w:szCs w:val="24"/>
                <w:lang w:val="en-US" w:eastAsia="zh-CN"/>
              </w:rPr>
              <w:t>0</w:t>
            </w:r>
            <w:r>
              <w:rPr>
                <w:rFonts w:hint="eastAsia"/>
                <w:sz w:val="24"/>
                <w:szCs w:val="24"/>
              </w:rPr>
              <w:t>dB（A）之间。设备采取选用低噪声设备、安装基础减振、</w:t>
            </w:r>
            <w:r>
              <w:rPr>
                <w:rFonts w:hint="eastAsia"/>
                <w:sz w:val="24"/>
                <w:szCs w:val="24"/>
                <w:lang w:eastAsia="zh-CN"/>
              </w:rPr>
              <w:t>消声装置</w:t>
            </w:r>
            <w:r>
              <w:rPr>
                <w:rFonts w:hint="eastAsia"/>
                <w:sz w:val="24"/>
                <w:szCs w:val="24"/>
              </w:rPr>
              <w:t>等措施，降低噪声对周围环境的影响。项目噪声源情况详见下表。</w:t>
            </w:r>
          </w:p>
          <w:p w14:paraId="71744183">
            <w:pPr>
              <w:pStyle w:val="48"/>
              <w:keepNext w:val="0"/>
              <w:keepLines w:val="0"/>
              <w:pageBreakBefore w:val="0"/>
              <w:widowControl/>
              <w:kinsoku/>
              <w:wordWrap/>
              <w:overflowPunct/>
              <w:topLinePunct w:val="0"/>
              <w:autoSpaceDE/>
              <w:autoSpaceDN/>
              <w:bidi w:val="0"/>
              <w:adjustRightInd/>
              <w:snapToGrid/>
              <w:spacing w:beforeLines="0" w:afterLines="0" w:line="240" w:lineRule="auto"/>
              <w:textAlignment w:val="auto"/>
              <w:rPr>
                <w:rFonts w:hint="default"/>
                <w:u w:val="none" w:color="auto"/>
              </w:rPr>
            </w:pPr>
            <w:r>
              <w:rPr>
                <w:rFonts w:hint="default"/>
                <w:u w:val="none" w:color="auto"/>
              </w:rPr>
              <w:t>表</w:t>
            </w:r>
            <w:r>
              <w:rPr>
                <w:rFonts w:hint="eastAsia"/>
                <w:u w:val="none" w:color="auto"/>
                <w:lang w:val="en-US" w:eastAsia="zh-CN"/>
              </w:rPr>
              <w:t>4-8</w:t>
            </w:r>
            <w:r>
              <w:rPr>
                <w:rFonts w:hint="default"/>
                <w:u w:val="none" w:color="auto"/>
              </w:rPr>
              <w:t xml:space="preserve"> 本项目噪声设备源及噪声值一览表</w:t>
            </w:r>
          </w:p>
          <w:tbl>
            <w:tblPr>
              <w:tblStyle w:val="22"/>
              <w:tblW w:w="507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49"/>
              <w:gridCol w:w="731"/>
              <w:gridCol w:w="612"/>
              <w:gridCol w:w="612"/>
              <w:gridCol w:w="615"/>
              <w:gridCol w:w="999"/>
              <w:gridCol w:w="1228"/>
              <w:gridCol w:w="1157"/>
              <w:gridCol w:w="704"/>
            </w:tblGrid>
            <w:tr w14:paraId="41C38C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52" w:type="pct"/>
                  <w:vMerge w:val="restart"/>
                  <w:tcBorders>
                    <w:tl2br w:val="nil"/>
                    <w:tr2bl w:val="nil"/>
                  </w:tcBorders>
                  <w:noWrap w:val="0"/>
                  <w:vAlign w:val="center"/>
                </w:tcPr>
                <w:p w14:paraId="25E765BE">
                  <w:pPr>
                    <w:bidi w:val="0"/>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cs="Times New Roman"/>
                      <w:b w:val="0"/>
                      <w:bCs w:val="0"/>
                      <w:color w:val="auto"/>
                      <w:sz w:val="21"/>
                      <w:szCs w:val="21"/>
                      <w:highlight w:val="none"/>
                      <w:u w:val="none" w:color="auto"/>
                      <w:lang w:val="en-US" w:eastAsia="zh-CN"/>
                    </w:rPr>
                    <w:t>序号</w:t>
                  </w:r>
                </w:p>
              </w:tc>
              <w:tc>
                <w:tcPr>
                  <w:tcW w:w="782" w:type="pct"/>
                  <w:vMerge w:val="restart"/>
                  <w:tcBorders>
                    <w:tl2br w:val="nil"/>
                    <w:tr2bl w:val="nil"/>
                  </w:tcBorders>
                  <w:noWrap w:val="0"/>
                  <w:vAlign w:val="center"/>
                </w:tcPr>
                <w:p w14:paraId="0FC887A6">
                  <w:pPr>
                    <w:bidi w:val="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cs="Times New Roman"/>
                      <w:b w:val="0"/>
                      <w:bCs w:val="0"/>
                      <w:color w:val="auto"/>
                      <w:sz w:val="21"/>
                      <w:szCs w:val="21"/>
                      <w:highlight w:val="none"/>
                      <w:u w:val="none" w:color="auto"/>
                      <w:lang w:val="en-US" w:eastAsia="zh-CN"/>
                    </w:rPr>
                    <w:t>声源名称</w:t>
                  </w:r>
                </w:p>
              </w:tc>
              <w:tc>
                <w:tcPr>
                  <w:tcW w:w="424" w:type="pct"/>
                  <w:vMerge w:val="restart"/>
                  <w:tcBorders>
                    <w:tl2br w:val="nil"/>
                    <w:tr2bl w:val="nil"/>
                  </w:tcBorders>
                  <w:noWrap w:val="0"/>
                  <w:vAlign w:val="center"/>
                </w:tcPr>
                <w:p w14:paraId="2170F2E5">
                  <w:pPr>
                    <w:bidi w:val="0"/>
                    <w:jc w:val="center"/>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数量</w:t>
                  </w:r>
                </w:p>
                <w:p w14:paraId="556AC6F7">
                  <w:pPr>
                    <w:bidi w:val="0"/>
                    <w:jc w:val="center"/>
                    <w:rPr>
                      <w:rFonts w:hint="default" w:ascii="Times New Roman" w:hAnsi="Times New Roman" w:cs="Times New Roman"/>
                      <w:b w:val="0"/>
                      <w:bCs w:val="0"/>
                      <w:color w:val="auto"/>
                      <w:sz w:val="21"/>
                      <w:szCs w:val="21"/>
                      <w:highlight w:val="none"/>
                      <w:u w:val="none" w:color="auto"/>
                      <w:lang w:val="en-US" w:eastAsia="zh-CN"/>
                    </w:rPr>
                  </w:pPr>
                  <w:r>
                    <w:rPr>
                      <w:rFonts w:hint="default" w:ascii="Times New Roman" w:hAnsi="Times New Roman" w:cs="Times New Roman"/>
                      <w:b w:val="0"/>
                      <w:bCs w:val="0"/>
                      <w:color w:val="auto"/>
                      <w:sz w:val="21"/>
                      <w:szCs w:val="21"/>
                      <w:highlight w:val="none"/>
                      <w:u w:val="none" w:color="auto"/>
                      <w:lang w:val="en-US" w:eastAsia="zh-CN"/>
                    </w:rPr>
                    <w:t>/台</w:t>
                  </w:r>
                </w:p>
              </w:tc>
              <w:tc>
                <w:tcPr>
                  <w:tcW w:w="1067" w:type="pct"/>
                  <w:gridSpan w:val="3"/>
                  <w:tcBorders>
                    <w:tl2br w:val="nil"/>
                    <w:tr2bl w:val="nil"/>
                  </w:tcBorders>
                  <w:noWrap w:val="0"/>
                  <w:vAlign w:val="center"/>
                </w:tcPr>
                <w:p w14:paraId="1B991366">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color w:val="auto"/>
                      <w:sz w:val="21"/>
                      <w:szCs w:val="21"/>
                      <w:u w:val="none" w:color="auto"/>
                    </w:rPr>
                    <w:t>空间相对位置/m</w:t>
                  </w:r>
                </w:p>
              </w:tc>
              <w:tc>
                <w:tcPr>
                  <w:tcW w:w="579" w:type="pct"/>
                  <w:vMerge w:val="restart"/>
                  <w:tcBorders>
                    <w:tl2br w:val="nil"/>
                    <w:tr2bl w:val="nil"/>
                  </w:tcBorders>
                  <w:noWrap w:val="0"/>
                  <w:vAlign w:val="center"/>
                </w:tcPr>
                <w:p w14:paraId="14D0024D">
                  <w:pPr>
                    <w:bidi w:val="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cs="Times New Roman"/>
                      <w:b w:val="0"/>
                      <w:bCs w:val="0"/>
                      <w:color w:val="auto"/>
                      <w:sz w:val="21"/>
                      <w:szCs w:val="21"/>
                      <w:highlight w:val="none"/>
                      <w:u w:val="none" w:color="auto"/>
                      <w:lang w:val="en-US" w:eastAsia="zh-CN"/>
                    </w:rPr>
                    <w:t>声功率级</w:t>
                  </w:r>
                  <w:r>
                    <w:rPr>
                      <w:rFonts w:hint="default" w:ascii="Times New Roman" w:hAnsi="Times New Roman" w:cs="Times New Roman"/>
                      <w:b w:val="0"/>
                      <w:bCs w:val="0"/>
                      <w:color w:val="auto"/>
                      <w:sz w:val="21"/>
                      <w:szCs w:val="21"/>
                      <w:highlight w:val="none"/>
                      <w:u w:val="none" w:color="auto"/>
                    </w:rPr>
                    <w:t>dB（A）</w:t>
                  </w:r>
                </w:p>
              </w:tc>
              <w:tc>
                <w:tcPr>
                  <w:tcW w:w="712" w:type="pct"/>
                  <w:vMerge w:val="restart"/>
                  <w:tcBorders>
                    <w:tl2br w:val="nil"/>
                    <w:tr2bl w:val="nil"/>
                  </w:tcBorders>
                  <w:noWrap w:val="0"/>
                  <w:vAlign w:val="center"/>
                </w:tcPr>
                <w:p w14:paraId="7C130951">
                  <w:pPr>
                    <w:bidi w:val="0"/>
                    <w:jc w:val="center"/>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color w:val="auto"/>
                      <w:sz w:val="21"/>
                      <w:szCs w:val="21"/>
                      <w:u w:val="none" w:color="auto"/>
                    </w:rPr>
                    <w:t>声源控制措施</w:t>
                  </w:r>
                </w:p>
              </w:tc>
              <w:tc>
                <w:tcPr>
                  <w:tcW w:w="671" w:type="pct"/>
                  <w:vMerge w:val="restart"/>
                  <w:tcBorders>
                    <w:tl2br w:val="nil"/>
                    <w:tr2bl w:val="nil"/>
                  </w:tcBorders>
                  <w:noWrap w:val="0"/>
                  <w:vAlign w:val="center"/>
                </w:tcPr>
                <w:p w14:paraId="7C1ECBA1">
                  <w:pPr>
                    <w:bidi w:val="0"/>
                    <w:jc w:val="center"/>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val="en-US" w:eastAsia="zh-CN"/>
                    </w:rPr>
                    <w:t>排放强度</w:t>
                  </w:r>
                  <w:r>
                    <w:rPr>
                      <w:rFonts w:hint="default" w:ascii="Times New Roman" w:hAnsi="Times New Roman" w:cs="Times New Roman"/>
                      <w:b w:val="0"/>
                      <w:bCs w:val="0"/>
                      <w:color w:val="auto"/>
                      <w:sz w:val="21"/>
                      <w:szCs w:val="21"/>
                      <w:highlight w:val="none"/>
                      <w:u w:val="none" w:color="auto"/>
                    </w:rPr>
                    <w:t>dB（A）</w:t>
                  </w:r>
                </w:p>
              </w:tc>
              <w:tc>
                <w:tcPr>
                  <w:tcW w:w="408" w:type="pct"/>
                  <w:vMerge w:val="restart"/>
                  <w:tcBorders>
                    <w:tl2br w:val="nil"/>
                    <w:tr2bl w:val="nil"/>
                  </w:tcBorders>
                  <w:noWrap w:val="0"/>
                  <w:vAlign w:val="center"/>
                </w:tcPr>
                <w:p w14:paraId="6E924D52">
                  <w:pPr>
                    <w:bidi w:val="0"/>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cs="Times New Roman"/>
                      <w:b w:val="0"/>
                      <w:bCs w:val="0"/>
                      <w:color w:val="auto"/>
                      <w:sz w:val="21"/>
                      <w:szCs w:val="21"/>
                      <w:highlight w:val="none"/>
                      <w:u w:val="none" w:color="auto"/>
                      <w:lang w:val="en-US" w:eastAsia="zh-CN"/>
                    </w:rPr>
                    <w:t>运行时段</w:t>
                  </w:r>
                </w:p>
              </w:tc>
            </w:tr>
            <w:tr w14:paraId="7147A0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52" w:type="pct"/>
                  <w:vMerge w:val="continue"/>
                  <w:tcBorders>
                    <w:tl2br w:val="nil"/>
                    <w:tr2bl w:val="nil"/>
                  </w:tcBorders>
                  <w:noWrap w:val="0"/>
                  <w:vAlign w:val="center"/>
                </w:tcPr>
                <w:p w14:paraId="65573E9A">
                  <w:pPr>
                    <w:bidi w:val="0"/>
                    <w:jc w:val="center"/>
                    <w:rPr>
                      <w:rFonts w:hint="default" w:ascii="Times New Roman" w:hAnsi="Times New Roman" w:cs="Times New Roman"/>
                      <w:b w:val="0"/>
                      <w:bCs w:val="0"/>
                      <w:color w:val="auto"/>
                      <w:sz w:val="21"/>
                      <w:szCs w:val="21"/>
                      <w:highlight w:val="none"/>
                      <w:u w:val="none" w:color="auto"/>
                      <w:lang w:val="en-US" w:eastAsia="zh-CN"/>
                    </w:rPr>
                  </w:pPr>
                </w:p>
              </w:tc>
              <w:tc>
                <w:tcPr>
                  <w:tcW w:w="782" w:type="pct"/>
                  <w:vMerge w:val="continue"/>
                  <w:tcBorders>
                    <w:tl2br w:val="nil"/>
                    <w:tr2bl w:val="nil"/>
                  </w:tcBorders>
                  <w:noWrap w:val="0"/>
                  <w:vAlign w:val="center"/>
                </w:tcPr>
                <w:p w14:paraId="4CA9D2BD">
                  <w:pPr>
                    <w:bidi w:val="0"/>
                    <w:jc w:val="center"/>
                    <w:rPr>
                      <w:rFonts w:hint="default" w:ascii="Times New Roman" w:hAnsi="Times New Roman" w:cs="Times New Roman"/>
                      <w:b w:val="0"/>
                      <w:bCs w:val="0"/>
                      <w:color w:val="auto"/>
                      <w:sz w:val="21"/>
                      <w:szCs w:val="21"/>
                      <w:highlight w:val="none"/>
                      <w:u w:val="none" w:color="auto"/>
                      <w:lang w:val="en-US" w:eastAsia="zh-CN"/>
                    </w:rPr>
                  </w:pPr>
                </w:p>
              </w:tc>
              <w:tc>
                <w:tcPr>
                  <w:tcW w:w="424" w:type="pct"/>
                  <w:vMerge w:val="continue"/>
                  <w:tcBorders>
                    <w:tl2br w:val="nil"/>
                    <w:tr2bl w:val="nil"/>
                  </w:tcBorders>
                  <w:noWrap w:val="0"/>
                  <w:vAlign w:val="center"/>
                </w:tcPr>
                <w:p w14:paraId="6BAB23C2">
                  <w:pPr>
                    <w:bidi w:val="0"/>
                    <w:jc w:val="center"/>
                    <w:rPr>
                      <w:rFonts w:hint="default" w:ascii="Times New Roman" w:hAnsi="Times New Roman" w:cs="Times New Roman"/>
                      <w:b w:val="0"/>
                      <w:bCs w:val="0"/>
                      <w:color w:val="auto"/>
                      <w:sz w:val="21"/>
                      <w:szCs w:val="21"/>
                      <w:highlight w:val="none"/>
                      <w:u w:val="none" w:color="auto"/>
                    </w:rPr>
                  </w:pPr>
                </w:p>
              </w:tc>
              <w:tc>
                <w:tcPr>
                  <w:tcW w:w="355" w:type="pct"/>
                  <w:tcBorders>
                    <w:tl2br w:val="nil"/>
                    <w:tr2bl w:val="nil"/>
                  </w:tcBorders>
                  <w:noWrap w:val="0"/>
                  <w:vAlign w:val="center"/>
                </w:tcPr>
                <w:p w14:paraId="0C16C249">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cs="Times New Roman"/>
                      <w:b w:val="0"/>
                      <w:bCs w:val="0"/>
                      <w:color w:val="auto"/>
                      <w:sz w:val="21"/>
                      <w:szCs w:val="21"/>
                      <w:highlight w:val="none"/>
                      <w:u w:val="none" w:color="auto"/>
                      <w:lang w:eastAsia="zh-CN"/>
                    </w:rPr>
                  </w:pPr>
                  <w:r>
                    <w:rPr>
                      <w:rFonts w:hint="default" w:ascii="Times New Roman" w:hAnsi="Times New Roman" w:cs="Times New Roman"/>
                      <w:color w:val="auto"/>
                      <w:sz w:val="21"/>
                      <w:szCs w:val="21"/>
                      <w:u w:val="none" w:color="auto"/>
                    </w:rPr>
                    <w:t>X</w:t>
                  </w:r>
                </w:p>
              </w:tc>
              <w:tc>
                <w:tcPr>
                  <w:tcW w:w="355" w:type="pct"/>
                  <w:tcBorders>
                    <w:tl2br w:val="nil"/>
                    <w:tr2bl w:val="nil"/>
                  </w:tcBorders>
                  <w:noWrap w:val="0"/>
                  <w:vAlign w:val="center"/>
                </w:tcPr>
                <w:p w14:paraId="7796B8D2">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cs="Times New Roman"/>
                      <w:b w:val="0"/>
                      <w:bCs w:val="0"/>
                      <w:color w:val="auto"/>
                      <w:sz w:val="21"/>
                      <w:szCs w:val="21"/>
                      <w:highlight w:val="none"/>
                      <w:u w:val="none" w:color="auto"/>
                      <w:lang w:eastAsia="zh-CN"/>
                    </w:rPr>
                  </w:pPr>
                  <w:r>
                    <w:rPr>
                      <w:rFonts w:hint="default" w:ascii="Times New Roman" w:hAnsi="Times New Roman" w:cs="Times New Roman"/>
                      <w:color w:val="auto"/>
                      <w:sz w:val="21"/>
                      <w:szCs w:val="21"/>
                      <w:u w:val="none" w:color="auto"/>
                    </w:rPr>
                    <w:t>Y</w:t>
                  </w:r>
                </w:p>
              </w:tc>
              <w:tc>
                <w:tcPr>
                  <w:tcW w:w="356" w:type="pct"/>
                  <w:tcBorders>
                    <w:tl2br w:val="nil"/>
                    <w:tr2bl w:val="nil"/>
                  </w:tcBorders>
                  <w:noWrap w:val="0"/>
                  <w:vAlign w:val="center"/>
                </w:tcPr>
                <w:p w14:paraId="24E2F637">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cs="Times New Roman"/>
                      <w:b w:val="0"/>
                      <w:bCs w:val="0"/>
                      <w:color w:val="auto"/>
                      <w:sz w:val="21"/>
                      <w:szCs w:val="21"/>
                      <w:highlight w:val="none"/>
                      <w:u w:val="none" w:color="auto"/>
                    </w:rPr>
                  </w:pPr>
                  <w:r>
                    <w:rPr>
                      <w:rFonts w:hint="default" w:ascii="Times New Roman" w:hAnsi="Times New Roman" w:cs="Times New Roman"/>
                      <w:color w:val="auto"/>
                      <w:sz w:val="21"/>
                      <w:szCs w:val="21"/>
                      <w:u w:val="none" w:color="auto"/>
                    </w:rPr>
                    <w:t>Z</w:t>
                  </w:r>
                </w:p>
              </w:tc>
              <w:tc>
                <w:tcPr>
                  <w:tcW w:w="579" w:type="pct"/>
                  <w:vMerge w:val="continue"/>
                  <w:tcBorders>
                    <w:tl2br w:val="nil"/>
                    <w:tr2bl w:val="nil"/>
                  </w:tcBorders>
                  <w:noWrap w:val="0"/>
                  <w:vAlign w:val="center"/>
                </w:tcPr>
                <w:p w14:paraId="6AF8C30B">
                  <w:pPr>
                    <w:bidi w:val="0"/>
                    <w:jc w:val="center"/>
                    <w:rPr>
                      <w:rFonts w:hint="default" w:ascii="Times New Roman" w:hAnsi="Times New Roman" w:cs="Times New Roman"/>
                      <w:b w:val="0"/>
                      <w:bCs w:val="0"/>
                      <w:color w:val="auto"/>
                      <w:sz w:val="21"/>
                      <w:szCs w:val="21"/>
                      <w:highlight w:val="none"/>
                      <w:u w:val="none" w:color="auto"/>
                    </w:rPr>
                  </w:pPr>
                </w:p>
              </w:tc>
              <w:tc>
                <w:tcPr>
                  <w:tcW w:w="712" w:type="pct"/>
                  <w:vMerge w:val="continue"/>
                  <w:tcBorders>
                    <w:tl2br w:val="nil"/>
                    <w:tr2bl w:val="nil"/>
                  </w:tcBorders>
                  <w:noWrap w:val="0"/>
                  <w:vAlign w:val="center"/>
                </w:tcPr>
                <w:p w14:paraId="2CBDCD23">
                  <w:pPr>
                    <w:bidi w:val="0"/>
                    <w:jc w:val="center"/>
                    <w:rPr>
                      <w:rFonts w:hint="default" w:ascii="Times New Roman" w:hAnsi="Times New Roman" w:cs="Times New Roman"/>
                      <w:b w:val="0"/>
                      <w:bCs w:val="0"/>
                      <w:color w:val="auto"/>
                      <w:sz w:val="21"/>
                      <w:szCs w:val="21"/>
                      <w:highlight w:val="none"/>
                      <w:u w:val="none" w:color="auto"/>
                    </w:rPr>
                  </w:pPr>
                </w:p>
              </w:tc>
              <w:tc>
                <w:tcPr>
                  <w:tcW w:w="671" w:type="pct"/>
                  <w:vMerge w:val="continue"/>
                  <w:tcBorders>
                    <w:tl2br w:val="nil"/>
                    <w:tr2bl w:val="nil"/>
                  </w:tcBorders>
                  <w:noWrap w:val="0"/>
                  <w:vAlign w:val="center"/>
                </w:tcPr>
                <w:p w14:paraId="69F0400F">
                  <w:pPr>
                    <w:bidi w:val="0"/>
                    <w:jc w:val="center"/>
                    <w:rPr>
                      <w:rFonts w:hint="default" w:ascii="Times New Roman" w:hAnsi="Times New Roman" w:cs="Times New Roman"/>
                      <w:b w:val="0"/>
                      <w:bCs w:val="0"/>
                      <w:color w:val="auto"/>
                      <w:sz w:val="21"/>
                      <w:szCs w:val="21"/>
                      <w:highlight w:val="none"/>
                      <w:u w:val="none" w:color="auto"/>
                    </w:rPr>
                  </w:pPr>
                </w:p>
              </w:tc>
              <w:tc>
                <w:tcPr>
                  <w:tcW w:w="408" w:type="pct"/>
                  <w:vMerge w:val="continue"/>
                  <w:tcBorders>
                    <w:tl2br w:val="nil"/>
                    <w:tr2bl w:val="nil"/>
                  </w:tcBorders>
                  <w:noWrap w:val="0"/>
                  <w:vAlign w:val="center"/>
                </w:tcPr>
                <w:p w14:paraId="6352602D">
                  <w:pPr>
                    <w:bidi w:val="0"/>
                    <w:jc w:val="center"/>
                    <w:rPr>
                      <w:rFonts w:hint="default" w:ascii="Times New Roman" w:hAnsi="Times New Roman" w:cs="Times New Roman"/>
                      <w:b w:val="0"/>
                      <w:bCs w:val="0"/>
                      <w:color w:val="auto"/>
                      <w:sz w:val="21"/>
                      <w:szCs w:val="21"/>
                      <w:highlight w:val="none"/>
                      <w:u w:val="none" w:color="auto"/>
                    </w:rPr>
                  </w:pPr>
                </w:p>
              </w:tc>
            </w:tr>
            <w:tr w14:paraId="2DCDF3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52" w:type="pct"/>
                  <w:tcBorders>
                    <w:tl2br w:val="nil"/>
                    <w:tr2bl w:val="nil"/>
                  </w:tcBorders>
                  <w:noWrap w:val="0"/>
                  <w:vAlign w:val="center"/>
                </w:tcPr>
                <w:p w14:paraId="02814963">
                  <w:pPr>
                    <w:widowControl/>
                    <w:snapToGrid w:val="0"/>
                    <w:ind w:right="-105" w:rightChars="0"/>
                    <w:jc w:val="center"/>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cs="Times New Roman"/>
                      <w:sz w:val="21"/>
                      <w:szCs w:val="21"/>
                      <w:u w:val="none" w:color="auto"/>
                      <w:lang w:val="en-US" w:eastAsia="zh-CN"/>
                    </w:rPr>
                    <w:t>1</w:t>
                  </w:r>
                </w:p>
              </w:tc>
              <w:tc>
                <w:tcPr>
                  <w:tcW w:w="782" w:type="pct"/>
                  <w:tcBorders>
                    <w:tl2br w:val="nil"/>
                    <w:tr2bl w:val="nil"/>
                  </w:tcBorders>
                  <w:noWrap w:val="0"/>
                  <w:vAlign w:val="center"/>
                </w:tcPr>
                <w:p w14:paraId="4B4A44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highlight w:val="none"/>
                      <w:u w:val="none" w:color="auto"/>
                      <w:lang w:val="en-US" w:eastAsia="zh-CN" w:bidi="ar"/>
                    </w:rPr>
                  </w:pPr>
                  <w:r>
                    <w:rPr>
                      <w:rFonts w:hint="eastAsia" w:ascii="Times New Roman" w:hAnsi="Times New Roman" w:eastAsia="宋体" w:cs="Times New Roman"/>
                      <w:i w:val="0"/>
                      <w:iCs w:val="0"/>
                      <w:color w:val="000000"/>
                      <w:kern w:val="0"/>
                      <w:sz w:val="21"/>
                      <w:szCs w:val="21"/>
                      <w:highlight w:val="none"/>
                      <w:u w:val="none" w:color="auto"/>
                      <w:lang w:val="en-US" w:eastAsia="zh-CN" w:bidi="ar"/>
                    </w:rPr>
                    <w:t>搅拌</w:t>
                  </w:r>
                  <w:r>
                    <w:rPr>
                      <w:rFonts w:hint="default" w:ascii="Times New Roman" w:hAnsi="Times New Roman" w:eastAsia="宋体" w:cs="Times New Roman"/>
                      <w:i w:val="0"/>
                      <w:iCs w:val="0"/>
                      <w:color w:val="000000"/>
                      <w:kern w:val="0"/>
                      <w:sz w:val="21"/>
                      <w:szCs w:val="21"/>
                      <w:highlight w:val="none"/>
                      <w:u w:val="none" w:color="auto"/>
                      <w:lang w:val="en-US" w:eastAsia="zh-CN" w:bidi="ar"/>
                    </w:rPr>
                    <w:t>机</w:t>
                  </w:r>
                </w:p>
              </w:tc>
              <w:tc>
                <w:tcPr>
                  <w:tcW w:w="424" w:type="pct"/>
                  <w:tcBorders>
                    <w:tl2br w:val="nil"/>
                    <w:tr2bl w:val="nil"/>
                  </w:tcBorders>
                  <w:noWrap w:val="0"/>
                  <w:vAlign w:val="center"/>
                </w:tcPr>
                <w:p w14:paraId="451C06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sz w:val="21"/>
                      <w:szCs w:val="21"/>
                      <w:highlight w:val="none"/>
                      <w:u w:val="none" w:color="auto"/>
                      <w:lang w:val="en-US" w:eastAsia="zh-CN"/>
                    </w:rPr>
                    <w:t>1</w:t>
                  </w:r>
                </w:p>
              </w:tc>
              <w:tc>
                <w:tcPr>
                  <w:tcW w:w="355" w:type="pct"/>
                  <w:tcBorders>
                    <w:tl2br w:val="nil"/>
                    <w:tr2bl w:val="nil"/>
                  </w:tcBorders>
                  <w:noWrap w:val="0"/>
                  <w:vAlign w:val="center"/>
                </w:tcPr>
                <w:p w14:paraId="73F8D76E">
                  <w:pPr>
                    <w:pStyle w:val="73"/>
                    <w:keepNext w:val="0"/>
                    <w:keepLines w:val="0"/>
                    <w:pageBreakBefore w:val="0"/>
                    <w:widowControl w:val="0"/>
                    <w:kinsoku/>
                    <w:wordWrap/>
                    <w:overflowPunct/>
                    <w:topLinePunct w:val="0"/>
                    <w:autoSpaceDE/>
                    <w:autoSpaceDN/>
                    <w:bidi w:val="0"/>
                    <w:adjustRightInd w:val="0"/>
                    <w:snapToGrid w:val="0"/>
                    <w:ind w:left="-63" w:leftChars="-30" w:right="-63" w:rightChars="-30"/>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w:t>
                  </w:r>
                </w:p>
              </w:tc>
              <w:tc>
                <w:tcPr>
                  <w:tcW w:w="355" w:type="pct"/>
                  <w:tcBorders>
                    <w:tl2br w:val="nil"/>
                    <w:tr2bl w:val="nil"/>
                  </w:tcBorders>
                  <w:noWrap w:val="0"/>
                  <w:vAlign w:val="center"/>
                </w:tcPr>
                <w:p w14:paraId="463EDF1B">
                  <w:pPr>
                    <w:pStyle w:val="73"/>
                    <w:keepNext w:val="0"/>
                    <w:keepLines w:val="0"/>
                    <w:pageBreakBefore w:val="0"/>
                    <w:widowControl w:val="0"/>
                    <w:kinsoku/>
                    <w:wordWrap/>
                    <w:overflowPunct/>
                    <w:topLinePunct w:val="0"/>
                    <w:autoSpaceDE/>
                    <w:autoSpaceDN/>
                    <w:bidi w:val="0"/>
                    <w:adjustRightInd w:val="0"/>
                    <w:snapToGrid w:val="0"/>
                    <w:ind w:left="-63" w:leftChars="-30" w:right="-63" w:rightChars="-30"/>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2</w:t>
                  </w:r>
                </w:p>
              </w:tc>
              <w:tc>
                <w:tcPr>
                  <w:tcW w:w="356" w:type="pct"/>
                  <w:tcBorders>
                    <w:tl2br w:val="nil"/>
                    <w:tr2bl w:val="nil"/>
                  </w:tcBorders>
                  <w:noWrap w:val="0"/>
                  <w:vAlign w:val="center"/>
                </w:tcPr>
                <w:p w14:paraId="32F8DC8D">
                  <w:pPr>
                    <w:pStyle w:val="73"/>
                    <w:keepNext w:val="0"/>
                    <w:keepLines w:val="0"/>
                    <w:pageBreakBefore w:val="0"/>
                    <w:widowControl w:val="0"/>
                    <w:kinsoku/>
                    <w:wordWrap/>
                    <w:overflowPunct/>
                    <w:topLinePunct w:val="0"/>
                    <w:autoSpaceDE/>
                    <w:autoSpaceDN/>
                    <w:bidi w:val="0"/>
                    <w:adjustRightInd w:val="0"/>
                    <w:snapToGrid w:val="0"/>
                    <w:ind w:left="-63" w:leftChars="-30" w:right="-63" w:rightChars="-30"/>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3.0</w:t>
                  </w:r>
                </w:p>
              </w:tc>
              <w:tc>
                <w:tcPr>
                  <w:tcW w:w="579" w:type="pct"/>
                  <w:tcBorders>
                    <w:tl2br w:val="nil"/>
                    <w:tr2bl w:val="nil"/>
                  </w:tcBorders>
                  <w:noWrap w:val="0"/>
                  <w:vAlign w:val="center"/>
                </w:tcPr>
                <w:p w14:paraId="535D7B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sz w:val="21"/>
                      <w:szCs w:val="21"/>
                      <w:highlight w:val="none"/>
                      <w:u w:val="none" w:color="auto"/>
                      <w:lang w:val="en-US" w:eastAsia="zh-CN"/>
                    </w:rPr>
                    <w:t>80</w:t>
                  </w:r>
                </w:p>
              </w:tc>
              <w:tc>
                <w:tcPr>
                  <w:tcW w:w="712" w:type="pct"/>
                  <w:vMerge w:val="restart"/>
                  <w:tcBorders>
                    <w:tl2br w:val="nil"/>
                    <w:tr2bl w:val="nil"/>
                  </w:tcBorders>
                  <w:noWrap w:val="0"/>
                  <w:vAlign w:val="center"/>
                </w:tcPr>
                <w:p w14:paraId="06E94E6F">
                  <w:pPr>
                    <w:bidi w:val="0"/>
                    <w:jc w:val="center"/>
                    <w:rPr>
                      <w:rFonts w:hint="default" w:ascii="Times New Roman" w:hAnsi="Times New Roman" w:cs="Times New Roman"/>
                      <w:b w:val="0"/>
                      <w:bCs w:val="0"/>
                      <w:color w:val="auto"/>
                      <w:sz w:val="21"/>
                      <w:szCs w:val="21"/>
                      <w:highlight w:val="none"/>
                      <w:u w:val="none" w:color="auto"/>
                      <w:lang w:val="en-US" w:eastAsia="zh-CN"/>
                    </w:rPr>
                  </w:pPr>
                  <w:r>
                    <w:rPr>
                      <w:rFonts w:hint="default" w:ascii="Times New Roman" w:hAnsi="Times New Roman" w:cs="Times New Roman"/>
                      <w:b w:val="0"/>
                      <w:bCs w:val="0"/>
                      <w:color w:val="auto"/>
                      <w:sz w:val="21"/>
                      <w:szCs w:val="21"/>
                      <w:highlight w:val="none"/>
                      <w:u w:val="none" w:color="auto"/>
                      <w:lang w:val="en-US" w:eastAsia="zh-CN"/>
                    </w:rPr>
                    <w:t>选用低噪声设备、底座减振</w:t>
                  </w:r>
                </w:p>
              </w:tc>
              <w:tc>
                <w:tcPr>
                  <w:tcW w:w="671" w:type="pct"/>
                  <w:tcBorders>
                    <w:tl2br w:val="nil"/>
                    <w:tr2bl w:val="nil"/>
                  </w:tcBorders>
                  <w:noWrap w:val="0"/>
                  <w:vAlign w:val="center"/>
                </w:tcPr>
                <w:p w14:paraId="16D39D86">
                  <w:pPr>
                    <w:bidi w:val="0"/>
                    <w:jc w:val="center"/>
                    <w:rPr>
                      <w:rFonts w:hint="default" w:ascii="Times New Roman" w:hAnsi="Times New Roman" w:cs="Times New Roman"/>
                      <w:b w:val="0"/>
                      <w:bCs w:val="0"/>
                      <w:color w:val="auto"/>
                      <w:sz w:val="21"/>
                      <w:szCs w:val="21"/>
                      <w:highlight w:val="none"/>
                      <w:u w:val="none" w:color="auto"/>
                      <w:lang w:val="en-US" w:eastAsia="zh-CN"/>
                    </w:rPr>
                  </w:pPr>
                  <w:r>
                    <w:rPr>
                      <w:rFonts w:hint="eastAsia" w:ascii="Times New Roman" w:hAnsi="Times New Roman" w:cs="Times New Roman"/>
                      <w:b w:val="0"/>
                      <w:bCs w:val="0"/>
                      <w:color w:val="auto"/>
                      <w:sz w:val="21"/>
                      <w:szCs w:val="21"/>
                      <w:highlight w:val="none"/>
                      <w:u w:val="none" w:color="auto"/>
                      <w:lang w:val="en-US" w:eastAsia="zh-CN"/>
                    </w:rPr>
                    <w:t>65</w:t>
                  </w:r>
                </w:p>
              </w:tc>
              <w:tc>
                <w:tcPr>
                  <w:tcW w:w="408" w:type="pct"/>
                  <w:tcBorders>
                    <w:tl2br w:val="nil"/>
                    <w:tr2bl w:val="nil"/>
                  </w:tcBorders>
                  <w:noWrap w:val="0"/>
                  <w:vAlign w:val="center"/>
                </w:tcPr>
                <w:p w14:paraId="5AD6BFA1">
                  <w:pPr>
                    <w:widowControl/>
                    <w:snapToGrid w:val="0"/>
                    <w:ind w:right="-105" w:rightChars="0"/>
                    <w:jc w:val="center"/>
                    <w:rPr>
                      <w:rFonts w:hint="default"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10</w:t>
                  </w:r>
                  <w:r>
                    <w:rPr>
                      <w:rFonts w:hint="default" w:ascii="Times New Roman" w:hAnsi="Times New Roman" w:eastAsia="宋体" w:cs="Times New Roman"/>
                      <w:kern w:val="2"/>
                      <w:sz w:val="21"/>
                      <w:szCs w:val="21"/>
                      <w:u w:val="none" w:color="auto"/>
                      <w:lang w:val="en-US" w:eastAsia="zh-CN" w:bidi="ar-SA"/>
                    </w:rPr>
                    <w:t>h</w:t>
                  </w:r>
                </w:p>
              </w:tc>
            </w:tr>
            <w:tr w14:paraId="6FF96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tcBorders>
                    <w:tl2br w:val="nil"/>
                    <w:tr2bl w:val="nil"/>
                  </w:tcBorders>
                  <w:noWrap w:val="0"/>
                  <w:vAlign w:val="center"/>
                </w:tcPr>
                <w:p w14:paraId="3EE13791">
                  <w:pPr>
                    <w:widowControl/>
                    <w:snapToGrid w:val="0"/>
                    <w:ind w:right="-105" w:rightChars="0"/>
                    <w:jc w:val="center"/>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cs="Times New Roman"/>
                      <w:sz w:val="21"/>
                      <w:szCs w:val="21"/>
                      <w:u w:val="none" w:color="auto"/>
                      <w:lang w:val="en-US" w:eastAsia="zh-CN"/>
                    </w:rPr>
                    <w:t>2</w:t>
                  </w:r>
                </w:p>
              </w:tc>
              <w:tc>
                <w:tcPr>
                  <w:tcW w:w="782" w:type="pct"/>
                  <w:tcBorders>
                    <w:tl2br w:val="nil"/>
                    <w:tr2bl w:val="nil"/>
                  </w:tcBorders>
                  <w:noWrap w:val="0"/>
                  <w:vAlign w:val="center"/>
                </w:tcPr>
                <w:p w14:paraId="7AEC15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21"/>
                      <w:szCs w:val="21"/>
                      <w:highlight w:val="none"/>
                      <w:u w:val="none" w:color="auto"/>
                      <w:lang w:val="en-US" w:eastAsia="zh-CN" w:bidi="ar-SA"/>
                    </w:rPr>
                  </w:pPr>
                  <w:r>
                    <w:rPr>
                      <w:rFonts w:hint="eastAsia"/>
                      <w:szCs w:val="21"/>
                      <w:highlight w:val="none"/>
                      <w:u w:val="none" w:color="auto"/>
                      <w:lang w:val="en-US" w:eastAsia="zh-CN"/>
                    </w:rPr>
                    <w:t>输送机</w:t>
                  </w:r>
                </w:p>
              </w:tc>
              <w:tc>
                <w:tcPr>
                  <w:tcW w:w="424" w:type="pct"/>
                  <w:tcBorders>
                    <w:tl2br w:val="nil"/>
                    <w:tr2bl w:val="nil"/>
                  </w:tcBorders>
                  <w:noWrap w:val="0"/>
                  <w:vAlign w:val="center"/>
                </w:tcPr>
                <w:p w14:paraId="622A6D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sz w:val="21"/>
                      <w:szCs w:val="21"/>
                      <w:highlight w:val="none"/>
                      <w:u w:val="none" w:color="auto"/>
                      <w:lang w:val="en-US" w:eastAsia="zh-CN"/>
                    </w:rPr>
                    <w:t>2</w:t>
                  </w:r>
                </w:p>
              </w:tc>
              <w:tc>
                <w:tcPr>
                  <w:tcW w:w="355" w:type="pct"/>
                  <w:tcBorders>
                    <w:tl2br w:val="nil"/>
                    <w:tr2bl w:val="nil"/>
                  </w:tcBorders>
                  <w:noWrap w:val="0"/>
                  <w:vAlign w:val="center"/>
                </w:tcPr>
                <w:p w14:paraId="6BE9E238">
                  <w:pPr>
                    <w:pStyle w:val="73"/>
                    <w:keepNext w:val="0"/>
                    <w:keepLines w:val="0"/>
                    <w:pageBreakBefore w:val="0"/>
                    <w:widowControl w:val="0"/>
                    <w:kinsoku/>
                    <w:wordWrap/>
                    <w:overflowPunct/>
                    <w:topLinePunct w:val="0"/>
                    <w:autoSpaceDE/>
                    <w:autoSpaceDN/>
                    <w:bidi w:val="0"/>
                    <w:adjustRightInd w:val="0"/>
                    <w:snapToGrid w:val="0"/>
                    <w:ind w:left="-63" w:leftChars="-30" w:right="-63" w:rightChars="-30"/>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-33</w:t>
                  </w:r>
                </w:p>
              </w:tc>
              <w:tc>
                <w:tcPr>
                  <w:tcW w:w="355" w:type="pct"/>
                  <w:tcBorders>
                    <w:tl2br w:val="nil"/>
                    <w:tr2bl w:val="nil"/>
                  </w:tcBorders>
                  <w:noWrap w:val="0"/>
                  <w:vAlign w:val="center"/>
                </w:tcPr>
                <w:p w14:paraId="29957A4A">
                  <w:pPr>
                    <w:pStyle w:val="73"/>
                    <w:keepNext w:val="0"/>
                    <w:keepLines w:val="0"/>
                    <w:pageBreakBefore w:val="0"/>
                    <w:widowControl w:val="0"/>
                    <w:kinsoku/>
                    <w:wordWrap/>
                    <w:overflowPunct/>
                    <w:topLinePunct w:val="0"/>
                    <w:autoSpaceDE/>
                    <w:autoSpaceDN/>
                    <w:bidi w:val="0"/>
                    <w:adjustRightInd w:val="0"/>
                    <w:snapToGrid w:val="0"/>
                    <w:ind w:left="-63" w:leftChars="-30" w:right="-63" w:rightChars="-30"/>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-11</w:t>
                  </w:r>
                </w:p>
              </w:tc>
              <w:tc>
                <w:tcPr>
                  <w:tcW w:w="356" w:type="pct"/>
                  <w:tcBorders>
                    <w:tl2br w:val="nil"/>
                    <w:tr2bl w:val="nil"/>
                  </w:tcBorders>
                  <w:noWrap w:val="0"/>
                  <w:vAlign w:val="center"/>
                </w:tcPr>
                <w:p w14:paraId="52BC3088">
                  <w:pPr>
                    <w:pStyle w:val="73"/>
                    <w:keepNext w:val="0"/>
                    <w:keepLines w:val="0"/>
                    <w:pageBreakBefore w:val="0"/>
                    <w:widowControl w:val="0"/>
                    <w:kinsoku/>
                    <w:wordWrap/>
                    <w:overflowPunct/>
                    <w:topLinePunct w:val="0"/>
                    <w:autoSpaceDE/>
                    <w:autoSpaceDN/>
                    <w:bidi w:val="0"/>
                    <w:adjustRightInd w:val="0"/>
                    <w:snapToGrid w:val="0"/>
                    <w:ind w:left="-63" w:leftChars="-30" w:right="-63" w:rightChars="-30"/>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1.0</w:t>
                  </w:r>
                </w:p>
              </w:tc>
              <w:tc>
                <w:tcPr>
                  <w:tcW w:w="579" w:type="pct"/>
                  <w:tcBorders>
                    <w:tl2br w:val="nil"/>
                    <w:tr2bl w:val="nil"/>
                  </w:tcBorders>
                  <w:noWrap w:val="0"/>
                  <w:vAlign w:val="center"/>
                </w:tcPr>
                <w:p w14:paraId="2996F4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sz w:val="21"/>
                      <w:szCs w:val="21"/>
                      <w:highlight w:val="none"/>
                      <w:u w:val="none" w:color="auto"/>
                      <w:lang w:val="en-US" w:eastAsia="zh-CN"/>
                    </w:rPr>
                    <w:t>70</w:t>
                  </w:r>
                </w:p>
              </w:tc>
              <w:tc>
                <w:tcPr>
                  <w:tcW w:w="712" w:type="pct"/>
                  <w:vMerge w:val="continue"/>
                  <w:tcBorders>
                    <w:tl2br w:val="nil"/>
                    <w:tr2bl w:val="nil"/>
                  </w:tcBorders>
                  <w:noWrap w:val="0"/>
                  <w:vAlign w:val="center"/>
                </w:tcPr>
                <w:p w14:paraId="4EE19665">
                  <w:pPr>
                    <w:bidi w:val="0"/>
                    <w:jc w:val="center"/>
                    <w:rPr>
                      <w:rFonts w:hint="default" w:ascii="Times New Roman" w:hAnsi="Times New Roman" w:cs="Times New Roman"/>
                      <w:b w:val="0"/>
                      <w:bCs w:val="0"/>
                      <w:color w:val="auto"/>
                      <w:sz w:val="21"/>
                      <w:szCs w:val="21"/>
                      <w:highlight w:val="none"/>
                      <w:u w:val="none" w:color="auto"/>
                      <w:lang w:val="en-US" w:eastAsia="zh-CN"/>
                    </w:rPr>
                  </w:pPr>
                </w:p>
              </w:tc>
              <w:tc>
                <w:tcPr>
                  <w:tcW w:w="671" w:type="pct"/>
                  <w:tcBorders>
                    <w:tl2br w:val="nil"/>
                    <w:tr2bl w:val="nil"/>
                  </w:tcBorders>
                  <w:noWrap w:val="0"/>
                  <w:vAlign w:val="center"/>
                </w:tcPr>
                <w:p w14:paraId="72E1BE91">
                  <w:pPr>
                    <w:bidi w:val="0"/>
                    <w:jc w:val="center"/>
                    <w:rPr>
                      <w:rFonts w:hint="default" w:ascii="Times New Roman" w:hAnsi="Times New Roman" w:cs="Times New Roman"/>
                      <w:b w:val="0"/>
                      <w:bCs w:val="0"/>
                      <w:color w:val="auto"/>
                      <w:sz w:val="21"/>
                      <w:szCs w:val="21"/>
                      <w:highlight w:val="none"/>
                      <w:u w:val="none" w:color="auto"/>
                      <w:lang w:val="en-US" w:eastAsia="zh-CN"/>
                    </w:rPr>
                  </w:pPr>
                  <w:r>
                    <w:rPr>
                      <w:rFonts w:hint="eastAsia" w:ascii="Times New Roman" w:hAnsi="Times New Roman" w:cs="Times New Roman"/>
                      <w:b w:val="0"/>
                      <w:bCs w:val="0"/>
                      <w:color w:val="auto"/>
                      <w:sz w:val="21"/>
                      <w:szCs w:val="21"/>
                      <w:highlight w:val="none"/>
                      <w:u w:val="none" w:color="auto"/>
                      <w:lang w:val="en-US" w:eastAsia="zh-CN"/>
                    </w:rPr>
                    <w:t>55</w:t>
                  </w:r>
                </w:p>
              </w:tc>
              <w:tc>
                <w:tcPr>
                  <w:tcW w:w="408" w:type="pct"/>
                  <w:tcBorders>
                    <w:tl2br w:val="nil"/>
                    <w:tr2bl w:val="nil"/>
                  </w:tcBorders>
                  <w:noWrap w:val="0"/>
                  <w:vAlign w:val="center"/>
                </w:tcPr>
                <w:p w14:paraId="0567341B">
                  <w:pPr>
                    <w:widowControl/>
                    <w:snapToGrid w:val="0"/>
                    <w:ind w:right="-105" w:rightChars="0"/>
                    <w:jc w:val="center"/>
                    <w:rPr>
                      <w:rFonts w:hint="default" w:ascii="Times New Roman" w:hAnsi="Times New Roman" w:cs="Times New Roman"/>
                      <w:kern w:val="2"/>
                      <w:sz w:val="21"/>
                      <w:szCs w:val="21"/>
                      <w:u w:val="none" w:color="auto"/>
                      <w:lang w:val="en-US" w:eastAsia="zh-CN" w:bidi="ar-SA"/>
                    </w:rPr>
                  </w:pPr>
                  <w:r>
                    <w:rPr>
                      <w:rFonts w:hint="default" w:ascii="Times New Roman" w:hAnsi="Times New Roman" w:eastAsia="宋体" w:cs="Times New Roman"/>
                      <w:kern w:val="2"/>
                      <w:sz w:val="21"/>
                      <w:szCs w:val="21"/>
                      <w:u w:val="none" w:color="auto"/>
                      <w:lang w:val="en-US" w:eastAsia="zh-CN" w:bidi="ar-SA"/>
                    </w:rPr>
                    <w:t>8h</w:t>
                  </w:r>
                </w:p>
              </w:tc>
            </w:tr>
            <w:tr w14:paraId="0C709D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tcBorders>
                    <w:tl2br w:val="nil"/>
                    <w:tr2bl w:val="nil"/>
                  </w:tcBorders>
                  <w:shd w:val="clear" w:color="auto" w:fill="auto"/>
                  <w:noWrap w:val="0"/>
                  <w:vAlign w:val="center"/>
                </w:tcPr>
                <w:p w14:paraId="46F31878">
                  <w:pPr>
                    <w:widowControl/>
                    <w:snapToGrid w:val="0"/>
                    <w:ind w:right="-105" w:rightChars="0"/>
                    <w:jc w:val="center"/>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cs="Times New Roman"/>
                      <w:sz w:val="21"/>
                      <w:szCs w:val="21"/>
                      <w:u w:val="none" w:color="auto"/>
                      <w:lang w:val="en-US" w:eastAsia="zh-CN"/>
                    </w:rPr>
                    <w:t>3</w:t>
                  </w:r>
                </w:p>
              </w:tc>
              <w:tc>
                <w:tcPr>
                  <w:tcW w:w="782" w:type="pct"/>
                  <w:tcBorders>
                    <w:tl2br w:val="nil"/>
                    <w:tr2bl w:val="nil"/>
                  </w:tcBorders>
                  <w:shd w:val="clear" w:color="auto" w:fill="auto"/>
                  <w:noWrap w:val="0"/>
                  <w:vAlign w:val="center"/>
                </w:tcPr>
                <w:p w14:paraId="6AC35B8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000000"/>
                      <w:kern w:val="0"/>
                      <w:sz w:val="21"/>
                      <w:szCs w:val="21"/>
                      <w:highlight w:val="none"/>
                      <w:u w:val="none" w:color="auto"/>
                      <w:lang w:val="en-US" w:eastAsia="zh-CN" w:bidi="ar"/>
                    </w:rPr>
                  </w:pPr>
                  <w:r>
                    <w:rPr>
                      <w:rFonts w:hint="eastAsia" w:ascii="Times New Roman" w:hAnsi="Times New Roman" w:eastAsia="宋体" w:cs="Times New Roman"/>
                      <w:i w:val="0"/>
                      <w:iCs w:val="0"/>
                      <w:color w:val="000000"/>
                      <w:kern w:val="0"/>
                      <w:sz w:val="21"/>
                      <w:szCs w:val="21"/>
                      <w:highlight w:val="none"/>
                      <w:u w:val="none" w:color="auto"/>
                      <w:lang w:val="en-US" w:eastAsia="zh-CN" w:bidi="ar"/>
                    </w:rPr>
                    <w:t>水泵</w:t>
                  </w:r>
                </w:p>
              </w:tc>
              <w:tc>
                <w:tcPr>
                  <w:tcW w:w="424" w:type="pct"/>
                  <w:tcBorders>
                    <w:tl2br w:val="nil"/>
                    <w:tr2bl w:val="nil"/>
                  </w:tcBorders>
                  <w:shd w:val="clear" w:color="auto" w:fill="auto"/>
                  <w:noWrap w:val="0"/>
                  <w:vAlign w:val="center"/>
                </w:tcPr>
                <w:p w14:paraId="3837F35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sz w:val="21"/>
                      <w:szCs w:val="21"/>
                      <w:highlight w:val="none"/>
                      <w:u w:val="none" w:color="auto"/>
                      <w:lang w:val="en-US" w:eastAsia="zh-CN"/>
                    </w:rPr>
                    <w:t>1</w:t>
                  </w:r>
                </w:p>
              </w:tc>
              <w:tc>
                <w:tcPr>
                  <w:tcW w:w="355" w:type="pct"/>
                  <w:tcBorders>
                    <w:tl2br w:val="nil"/>
                    <w:tr2bl w:val="nil"/>
                  </w:tcBorders>
                  <w:shd w:val="clear" w:color="auto" w:fill="auto"/>
                  <w:noWrap w:val="0"/>
                  <w:vAlign w:val="center"/>
                </w:tcPr>
                <w:p w14:paraId="474CA312">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-20</w:t>
                  </w:r>
                </w:p>
              </w:tc>
              <w:tc>
                <w:tcPr>
                  <w:tcW w:w="355" w:type="pct"/>
                  <w:tcBorders>
                    <w:tl2br w:val="nil"/>
                    <w:tr2bl w:val="nil"/>
                  </w:tcBorders>
                  <w:shd w:val="clear" w:color="auto" w:fill="auto"/>
                  <w:noWrap w:val="0"/>
                  <w:vAlign w:val="center"/>
                </w:tcPr>
                <w:p w14:paraId="6949B5F4">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30</w:t>
                  </w:r>
                </w:p>
              </w:tc>
              <w:tc>
                <w:tcPr>
                  <w:tcW w:w="356" w:type="pct"/>
                  <w:tcBorders>
                    <w:tl2br w:val="nil"/>
                    <w:tr2bl w:val="nil"/>
                  </w:tcBorders>
                  <w:shd w:val="clear" w:color="auto" w:fill="auto"/>
                  <w:noWrap w:val="0"/>
                  <w:vAlign w:val="center"/>
                </w:tcPr>
                <w:p w14:paraId="76E64522">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0.3</w:t>
                  </w:r>
                </w:p>
              </w:tc>
              <w:tc>
                <w:tcPr>
                  <w:tcW w:w="579" w:type="pct"/>
                  <w:tcBorders>
                    <w:tl2br w:val="nil"/>
                    <w:tr2bl w:val="nil"/>
                  </w:tcBorders>
                  <w:shd w:val="clear" w:color="auto" w:fill="auto"/>
                  <w:noWrap w:val="0"/>
                  <w:vAlign w:val="center"/>
                </w:tcPr>
                <w:p w14:paraId="4272092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sz w:val="21"/>
                      <w:szCs w:val="21"/>
                      <w:highlight w:val="none"/>
                      <w:u w:val="none" w:color="auto"/>
                      <w:lang w:val="en-US" w:eastAsia="zh-CN"/>
                    </w:rPr>
                    <w:t>75</w:t>
                  </w:r>
                </w:p>
              </w:tc>
              <w:tc>
                <w:tcPr>
                  <w:tcW w:w="712" w:type="pct"/>
                  <w:vMerge w:val="continue"/>
                  <w:tcBorders>
                    <w:tl2br w:val="nil"/>
                    <w:tr2bl w:val="nil"/>
                  </w:tcBorders>
                  <w:noWrap w:val="0"/>
                  <w:vAlign w:val="center"/>
                </w:tcPr>
                <w:p w14:paraId="30958B87">
                  <w:pPr>
                    <w:bidi w:val="0"/>
                    <w:jc w:val="center"/>
                    <w:rPr>
                      <w:rFonts w:hint="default" w:ascii="Times New Roman" w:hAnsi="Times New Roman" w:cs="Times New Roman"/>
                      <w:b w:val="0"/>
                      <w:bCs w:val="0"/>
                      <w:color w:val="auto"/>
                      <w:sz w:val="21"/>
                      <w:szCs w:val="21"/>
                      <w:highlight w:val="none"/>
                      <w:u w:val="none" w:color="auto"/>
                      <w:lang w:val="en-US" w:eastAsia="zh-CN"/>
                    </w:rPr>
                  </w:pPr>
                </w:p>
              </w:tc>
              <w:tc>
                <w:tcPr>
                  <w:tcW w:w="671" w:type="pct"/>
                  <w:tcBorders>
                    <w:tl2br w:val="nil"/>
                    <w:tr2bl w:val="nil"/>
                  </w:tcBorders>
                  <w:shd w:val="clear" w:color="auto" w:fill="auto"/>
                  <w:noWrap w:val="0"/>
                  <w:vAlign w:val="center"/>
                </w:tcPr>
                <w:p w14:paraId="02B44B12">
                  <w:pPr>
                    <w:bidi w:val="0"/>
                    <w:jc w:val="center"/>
                    <w:rPr>
                      <w:rFonts w:hint="eastAsia" w:ascii="Times New Roman" w:hAnsi="Times New Roman" w:eastAsia="宋体" w:cs="Times New Roman"/>
                      <w:b w:val="0"/>
                      <w:bCs w:val="0"/>
                      <w:color w:val="auto"/>
                      <w:kern w:val="2"/>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60</w:t>
                  </w:r>
                </w:p>
              </w:tc>
              <w:tc>
                <w:tcPr>
                  <w:tcW w:w="408" w:type="pct"/>
                  <w:tcBorders>
                    <w:tl2br w:val="nil"/>
                    <w:tr2bl w:val="nil"/>
                  </w:tcBorders>
                  <w:shd w:val="clear" w:color="auto" w:fill="auto"/>
                  <w:noWrap w:val="0"/>
                  <w:vAlign w:val="center"/>
                </w:tcPr>
                <w:p w14:paraId="6814831E">
                  <w:pPr>
                    <w:widowControl/>
                    <w:snapToGrid w:val="0"/>
                    <w:ind w:right="-105" w:rightChars="0"/>
                    <w:jc w:val="center"/>
                    <w:rPr>
                      <w:rFonts w:hint="eastAsia"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kern w:val="2"/>
                      <w:sz w:val="21"/>
                      <w:szCs w:val="21"/>
                      <w:u w:val="none" w:color="auto"/>
                      <w:lang w:val="en-US" w:eastAsia="zh-CN" w:bidi="ar-SA"/>
                    </w:rPr>
                    <w:t>2</w:t>
                  </w:r>
                  <w:r>
                    <w:rPr>
                      <w:rFonts w:hint="default" w:ascii="Times New Roman" w:hAnsi="Times New Roman" w:eastAsia="宋体" w:cs="Times New Roman"/>
                      <w:kern w:val="2"/>
                      <w:sz w:val="21"/>
                      <w:szCs w:val="21"/>
                      <w:u w:val="none" w:color="auto"/>
                      <w:lang w:val="en-US" w:eastAsia="zh-CN" w:bidi="ar-SA"/>
                    </w:rPr>
                    <w:t>h</w:t>
                  </w:r>
                </w:p>
              </w:tc>
            </w:tr>
            <w:tr w14:paraId="0AFDA3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tcBorders>
                    <w:tl2br w:val="nil"/>
                    <w:tr2bl w:val="nil"/>
                  </w:tcBorders>
                  <w:noWrap w:val="0"/>
                  <w:vAlign w:val="center"/>
                </w:tcPr>
                <w:p w14:paraId="61D132EA">
                  <w:pPr>
                    <w:widowControl/>
                    <w:snapToGrid w:val="0"/>
                    <w:ind w:right="-105" w:rightChars="0"/>
                    <w:jc w:val="center"/>
                    <w:rPr>
                      <w:rFonts w:hint="default" w:ascii="Times New Roman" w:hAnsi="Times New Roman" w:cs="Times New Roman"/>
                      <w:sz w:val="21"/>
                      <w:szCs w:val="21"/>
                      <w:u w:val="single" w:color="auto"/>
                      <w:lang w:val="en-US" w:eastAsia="zh-CN"/>
                    </w:rPr>
                  </w:pPr>
                  <w:r>
                    <w:rPr>
                      <w:rFonts w:hint="eastAsia" w:cs="Times New Roman"/>
                      <w:sz w:val="21"/>
                      <w:szCs w:val="21"/>
                      <w:u w:val="single" w:color="auto"/>
                      <w:lang w:val="en-US" w:eastAsia="zh-CN"/>
                    </w:rPr>
                    <w:t>4</w:t>
                  </w:r>
                </w:p>
              </w:tc>
              <w:tc>
                <w:tcPr>
                  <w:tcW w:w="1349" w:type="dxa"/>
                  <w:tcBorders>
                    <w:tl2br w:val="nil"/>
                    <w:tr2bl w:val="nil"/>
                  </w:tcBorders>
                  <w:shd w:val="clear" w:color="auto" w:fill="auto"/>
                  <w:noWrap w:val="0"/>
                  <w:vAlign w:val="center"/>
                </w:tcPr>
                <w:p w14:paraId="2B008930">
                  <w:pPr>
                    <w:widowControl/>
                    <w:adjustRightInd w:val="0"/>
                    <w:snapToGrid w:val="0"/>
                    <w:jc w:val="center"/>
                    <w:rPr>
                      <w:rFonts w:hint="eastAsia" w:ascii="Times New Roman" w:hAnsi="Times New Roman" w:eastAsia="宋体" w:cs="Times New Roman"/>
                      <w:i w:val="0"/>
                      <w:iCs w:val="0"/>
                      <w:color w:val="000000"/>
                      <w:kern w:val="0"/>
                      <w:sz w:val="21"/>
                      <w:szCs w:val="21"/>
                      <w:highlight w:val="none"/>
                      <w:u w:val="single" w:color="auto"/>
                      <w:lang w:val="en-US" w:eastAsia="zh-CN" w:bidi="ar"/>
                    </w:rPr>
                  </w:pPr>
                  <w:r>
                    <w:rPr>
                      <w:rFonts w:hint="eastAsia" w:ascii="宋体" w:hAnsi="宋体" w:eastAsia="宋体" w:cs="宋体"/>
                      <w:color w:val="000000" w:themeColor="text1"/>
                      <w:kern w:val="0"/>
                      <w:sz w:val="21"/>
                      <w:szCs w:val="21"/>
                      <w:u w:val="single" w:color="auto"/>
                      <w:lang w:eastAsia="zh-CN"/>
                      <w14:textFill>
                        <w14:solidFill>
                          <w14:schemeClr w14:val="tx1"/>
                        </w14:solidFill>
                      </w14:textFill>
                    </w:rPr>
                    <w:t>集料平皮带输送机</w:t>
                  </w:r>
                </w:p>
              </w:tc>
              <w:tc>
                <w:tcPr>
                  <w:tcW w:w="424" w:type="pct"/>
                  <w:tcBorders>
                    <w:tl2br w:val="nil"/>
                    <w:tr2bl w:val="nil"/>
                  </w:tcBorders>
                  <w:shd w:val="clear" w:color="auto" w:fill="auto"/>
                  <w:noWrap w:val="0"/>
                  <w:vAlign w:val="center"/>
                </w:tcPr>
                <w:p w14:paraId="69EF801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highlight w:val="none"/>
                      <w:u w:val="single" w:color="auto"/>
                      <w:lang w:val="en-US" w:eastAsia="zh-CN"/>
                    </w:rPr>
                  </w:pPr>
                  <w:r>
                    <w:rPr>
                      <w:rFonts w:hint="eastAsia" w:cs="Times New Roman"/>
                      <w:color w:val="000000"/>
                      <w:sz w:val="21"/>
                      <w:szCs w:val="21"/>
                      <w:highlight w:val="none"/>
                      <w:u w:val="single" w:color="auto"/>
                      <w:lang w:val="en-US" w:eastAsia="zh-CN"/>
                    </w:rPr>
                    <w:t>1</w:t>
                  </w:r>
                </w:p>
              </w:tc>
              <w:tc>
                <w:tcPr>
                  <w:tcW w:w="355" w:type="pct"/>
                  <w:tcBorders>
                    <w:tl2br w:val="nil"/>
                    <w:tr2bl w:val="nil"/>
                  </w:tcBorders>
                  <w:shd w:val="clear" w:color="auto" w:fill="auto"/>
                  <w:noWrap w:val="0"/>
                  <w:vAlign w:val="center"/>
                </w:tcPr>
                <w:p w14:paraId="41A54449">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-18</w:t>
                  </w:r>
                </w:p>
              </w:tc>
              <w:tc>
                <w:tcPr>
                  <w:tcW w:w="355" w:type="pct"/>
                  <w:tcBorders>
                    <w:tl2br w:val="nil"/>
                    <w:tr2bl w:val="nil"/>
                  </w:tcBorders>
                  <w:shd w:val="clear" w:color="auto" w:fill="auto"/>
                  <w:noWrap w:val="0"/>
                  <w:vAlign w:val="center"/>
                </w:tcPr>
                <w:p w14:paraId="24E50BD4">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-6</w:t>
                  </w:r>
                </w:p>
              </w:tc>
              <w:tc>
                <w:tcPr>
                  <w:tcW w:w="356" w:type="pct"/>
                  <w:tcBorders>
                    <w:tl2br w:val="nil"/>
                    <w:tr2bl w:val="nil"/>
                  </w:tcBorders>
                  <w:shd w:val="clear" w:color="auto" w:fill="auto"/>
                  <w:noWrap w:val="0"/>
                  <w:vAlign w:val="center"/>
                </w:tcPr>
                <w:p w14:paraId="4D7A964D">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0.5</w:t>
                  </w:r>
                </w:p>
              </w:tc>
              <w:tc>
                <w:tcPr>
                  <w:tcW w:w="579" w:type="pct"/>
                  <w:tcBorders>
                    <w:tl2br w:val="nil"/>
                    <w:tr2bl w:val="nil"/>
                  </w:tcBorders>
                  <w:shd w:val="clear" w:color="auto" w:fill="auto"/>
                  <w:noWrap w:val="0"/>
                  <w:vAlign w:val="center"/>
                </w:tcPr>
                <w:p w14:paraId="3789EC8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highlight w:val="none"/>
                      <w:u w:val="single" w:color="auto"/>
                      <w:lang w:val="en-US" w:eastAsia="zh-CN"/>
                    </w:rPr>
                  </w:pPr>
                  <w:r>
                    <w:rPr>
                      <w:rFonts w:hint="eastAsia" w:cs="Times New Roman"/>
                      <w:color w:val="000000"/>
                      <w:sz w:val="21"/>
                      <w:szCs w:val="21"/>
                      <w:highlight w:val="none"/>
                      <w:u w:val="single" w:color="auto"/>
                      <w:lang w:val="en-US" w:eastAsia="zh-CN"/>
                    </w:rPr>
                    <w:t>55</w:t>
                  </w:r>
                </w:p>
              </w:tc>
              <w:tc>
                <w:tcPr>
                  <w:tcW w:w="712" w:type="pct"/>
                  <w:vMerge w:val="continue"/>
                  <w:tcBorders>
                    <w:tl2br w:val="nil"/>
                    <w:tr2bl w:val="nil"/>
                  </w:tcBorders>
                  <w:noWrap w:val="0"/>
                  <w:vAlign w:val="center"/>
                </w:tcPr>
                <w:p w14:paraId="54B462E8">
                  <w:pPr>
                    <w:bidi w:val="0"/>
                    <w:jc w:val="center"/>
                    <w:rPr>
                      <w:rFonts w:hint="default" w:ascii="Times New Roman" w:hAnsi="Times New Roman" w:cs="Times New Roman"/>
                      <w:b w:val="0"/>
                      <w:bCs w:val="0"/>
                      <w:color w:val="auto"/>
                      <w:sz w:val="21"/>
                      <w:szCs w:val="21"/>
                      <w:highlight w:val="none"/>
                      <w:u w:val="single" w:color="auto"/>
                      <w:lang w:val="en-US" w:eastAsia="zh-CN"/>
                    </w:rPr>
                  </w:pPr>
                </w:p>
              </w:tc>
              <w:tc>
                <w:tcPr>
                  <w:tcW w:w="671" w:type="pct"/>
                  <w:tcBorders>
                    <w:tl2br w:val="nil"/>
                    <w:tr2bl w:val="nil"/>
                  </w:tcBorders>
                  <w:noWrap w:val="0"/>
                  <w:vAlign w:val="center"/>
                </w:tcPr>
                <w:p w14:paraId="61688A22">
                  <w:pPr>
                    <w:bidi w:val="0"/>
                    <w:jc w:val="center"/>
                    <w:rPr>
                      <w:rFonts w:hint="default" w:ascii="Times New Roman" w:hAnsi="Times New Roman" w:cs="Times New Roman"/>
                      <w:b w:val="0"/>
                      <w:bCs w:val="0"/>
                      <w:color w:val="auto"/>
                      <w:sz w:val="21"/>
                      <w:szCs w:val="21"/>
                      <w:highlight w:val="none"/>
                      <w:u w:val="single" w:color="auto"/>
                      <w:lang w:val="en-US" w:eastAsia="zh-CN"/>
                    </w:rPr>
                  </w:pPr>
                  <w:r>
                    <w:rPr>
                      <w:rFonts w:hint="eastAsia" w:cs="Times New Roman"/>
                      <w:b w:val="0"/>
                      <w:bCs w:val="0"/>
                      <w:color w:val="auto"/>
                      <w:sz w:val="21"/>
                      <w:szCs w:val="21"/>
                      <w:highlight w:val="none"/>
                      <w:u w:val="single" w:color="auto"/>
                      <w:lang w:val="en-US" w:eastAsia="zh-CN"/>
                    </w:rPr>
                    <w:t>40</w:t>
                  </w:r>
                </w:p>
              </w:tc>
              <w:tc>
                <w:tcPr>
                  <w:tcW w:w="408" w:type="pct"/>
                  <w:tcBorders>
                    <w:tl2br w:val="nil"/>
                    <w:tr2bl w:val="nil"/>
                  </w:tcBorders>
                  <w:noWrap w:val="0"/>
                  <w:vAlign w:val="center"/>
                </w:tcPr>
                <w:p w14:paraId="7ACE0854">
                  <w:pPr>
                    <w:widowControl/>
                    <w:snapToGrid w:val="0"/>
                    <w:ind w:right="-105" w:rightChars="0"/>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kern w:val="2"/>
                      <w:sz w:val="21"/>
                      <w:szCs w:val="21"/>
                      <w:u w:val="single" w:color="auto"/>
                      <w:lang w:val="en-US" w:eastAsia="zh-CN" w:bidi="ar-SA"/>
                    </w:rPr>
                    <w:t>10</w:t>
                  </w:r>
                  <w:r>
                    <w:rPr>
                      <w:rFonts w:hint="default" w:ascii="Times New Roman" w:hAnsi="Times New Roman" w:eastAsia="宋体" w:cs="Times New Roman"/>
                      <w:kern w:val="2"/>
                      <w:sz w:val="21"/>
                      <w:szCs w:val="21"/>
                      <w:u w:val="single" w:color="auto"/>
                      <w:lang w:val="en-US" w:eastAsia="zh-CN" w:bidi="ar-SA"/>
                    </w:rPr>
                    <w:t>h</w:t>
                  </w:r>
                </w:p>
              </w:tc>
            </w:tr>
            <w:tr w14:paraId="4D37E5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tcBorders>
                    <w:tl2br w:val="nil"/>
                    <w:tr2bl w:val="nil"/>
                  </w:tcBorders>
                  <w:noWrap w:val="0"/>
                  <w:vAlign w:val="center"/>
                </w:tcPr>
                <w:p w14:paraId="3E725766">
                  <w:pPr>
                    <w:widowControl/>
                    <w:snapToGrid w:val="0"/>
                    <w:ind w:right="-105" w:rightChars="0"/>
                    <w:jc w:val="center"/>
                    <w:rPr>
                      <w:rFonts w:hint="eastAsia" w:cs="Times New Roman"/>
                      <w:kern w:val="2"/>
                      <w:sz w:val="21"/>
                      <w:szCs w:val="21"/>
                      <w:u w:val="single" w:color="auto"/>
                      <w:lang w:val="en-US" w:eastAsia="zh-CN" w:bidi="ar-SA"/>
                    </w:rPr>
                  </w:pPr>
                  <w:r>
                    <w:rPr>
                      <w:rFonts w:hint="eastAsia" w:cs="Times New Roman"/>
                      <w:kern w:val="2"/>
                      <w:sz w:val="21"/>
                      <w:szCs w:val="21"/>
                      <w:u w:val="single" w:color="auto"/>
                      <w:lang w:val="en-US" w:eastAsia="zh-CN" w:bidi="ar-SA"/>
                    </w:rPr>
                    <w:t>5</w:t>
                  </w:r>
                </w:p>
              </w:tc>
              <w:tc>
                <w:tcPr>
                  <w:tcW w:w="1349" w:type="dxa"/>
                  <w:tcBorders>
                    <w:tl2br w:val="nil"/>
                    <w:tr2bl w:val="nil"/>
                  </w:tcBorders>
                  <w:shd w:val="clear" w:color="auto" w:fill="auto"/>
                  <w:noWrap w:val="0"/>
                  <w:vAlign w:val="center"/>
                </w:tcPr>
                <w:p w14:paraId="7BE98CFC">
                  <w:pPr>
                    <w:widowControl/>
                    <w:adjustRightInd w:val="0"/>
                    <w:snapToGrid w:val="0"/>
                    <w:jc w:val="center"/>
                    <w:rPr>
                      <w:rFonts w:hint="default" w:ascii="Times New Roman" w:hAnsi="Times New Roman" w:eastAsia="宋体" w:cs="Times New Roman"/>
                      <w:i w:val="0"/>
                      <w:iCs w:val="0"/>
                      <w:color w:val="000000"/>
                      <w:kern w:val="0"/>
                      <w:sz w:val="21"/>
                      <w:szCs w:val="21"/>
                      <w:highlight w:val="none"/>
                      <w:u w:val="single" w:color="auto"/>
                      <w:lang w:val="en-US" w:eastAsia="zh-CN" w:bidi="ar"/>
                    </w:rPr>
                  </w:pPr>
                  <w:r>
                    <w:rPr>
                      <w:rFonts w:hint="eastAsia" w:ascii="宋体" w:hAnsi="宋体" w:eastAsia="宋体" w:cs="宋体"/>
                      <w:color w:val="000000" w:themeColor="text1"/>
                      <w:kern w:val="0"/>
                      <w:sz w:val="21"/>
                      <w:szCs w:val="21"/>
                      <w:u w:val="single" w:color="auto"/>
                      <w:lang w:eastAsia="zh-CN"/>
                      <w14:textFill>
                        <w14:solidFill>
                          <w14:schemeClr w14:val="tx1"/>
                        </w14:solidFill>
                      </w14:textFill>
                    </w:rPr>
                    <w:t>斜皮带输送机</w:t>
                  </w:r>
                  <w:r>
                    <w:rPr>
                      <w:rFonts w:hint="eastAsia" w:ascii="宋体" w:hAnsi="宋体" w:eastAsia="宋体" w:cs="宋体"/>
                      <w:color w:val="000000" w:themeColor="text1"/>
                      <w:kern w:val="0"/>
                      <w:sz w:val="21"/>
                      <w:szCs w:val="21"/>
                      <w:u w:val="single" w:color="auto"/>
                      <w:lang w:val="en-US" w:eastAsia="zh-CN"/>
                      <w14:textFill>
                        <w14:solidFill>
                          <w14:schemeClr w14:val="tx1"/>
                        </w14:solidFill>
                      </w14:textFill>
                    </w:rPr>
                    <w:t xml:space="preserve"> </w:t>
                  </w:r>
                </w:p>
              </w:tc>
              <w:tc>
                <w:tcPr>
                  <w:tcW w:w="424" w:type="pct"/>
                  <w:tcBorders>
                    <w:tl2br w:val="nil"/>
                    <w:tr2bl w:val="nil"/>
                  </w:tcBorders>
                  <w:shd w:val="clear" w:color="auto" w:fill="auto"/>
                  <w:noWrap w:val="0"/>
                  <w:vAlign w:val="center"/>
                </w:tcPr>
                <w:p w14:paraId="3F12579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u w:val="single" w:color="auto"/>
                      <w:lang w:val="en-US" w:eastAsia="zh-CN" w:bidi="ar-SA"/>
                    </w:rPr>
                  </w:pPr>
                  <w:r>
                    <w:rPr>
                      <w:rFonts w:hint="eastAsia" w:cs="Times New Roman"/>
                      <w:color w:val="000000"/>
                      <w:kern w:val="2"/>
                      <w:sz w:val="21"/>
                      <w:szCs w:val="21"/>
                      <w:highlight w:val="none"/>
                      <w:u w:val="single" w:color="auto"/>
                      <w:lang w:val="en-US" w:eastAsia="zh-CN" w:bidi="ar-SA"/>
                    </w:rPr>
                    <w:t>1</w:t>
                  </w:r>
                </w:p>
              </w:tc>
              <w:tc>
                <w:tcPr>
                  <w:tcW w:w="355" w:type="pct"/>
                  <w:tcBorders>
                    <w:tl2br w:val="nil"/>
                    <w:tr2bl w:val="nil"/>
                  </w:tcBorders>
                  <w:shd w:val="clear" w:color="auto" w:fill="auto"/>
                  <w:noWrap w:val="0"/>
                  <w:vAlign w:val="center"/>
                </w:tcPr>
                <w:p w14:paraId="52DBEB13">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-2</w:t>
                  </w:r>
                </w:p>
              </w:tc>
              <w:tc>
                <w:tcPr>
                  <w:tcW w:w="355" w:type="pct"/>
                  <w:tcBorders>
                    <w:tl2br w:val="nil"/>
                    <w:tr2bl w:val="nil"/>
                  </w:tcBorders>
                  <w:shd w:val="clear" w:color="auto" w:fill="auto"/>
                  <w:noWrap w:val="0"/>
                  <w:vAlign w:val="center"/>
                </w:tcPr>
                <w:p w14:paraId="5E872B7F">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-6</w:t>
                  </w:r>
                </w:p>
              </w:tc>
              <w:tc>
                <w:tcPr>
                  <w:tcW w:w="356" w:type="pct"/>
                  <w:tcBorders>
                    <w:tl2br w:val="nil"/>
                    <w:tr2bl w:val="nil"/>
                  </w:tcBorders>
                  <w:shd w:val="clear" w:color="auto" w:fill="auto"/>
                  <w:noWrap w:val="0"/>
                  <w:vAlign w:val="center"/>
                </w:tcPr>
                <w:p w14:paraId="5249268F">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0.5</w:t>
                  </w:r>
                </w:p>
              </w:tc>
              <w:tc>
                <w:tcPr>
                  <w:tcW w:w="579" w:type="pct"/>
                  <w:tcBorders>
                    <w:tl2br w:val="nil"/>
                    <w:tr2bl w:val="nil"/>
                  </w:tcBorders>
                  <w:shd w:val="clear" w:color="auto" w:fill="auto"/>
                  <w:noWrap w:val="0"/>
                  <w:vAlign w:val="center"/>
                </w:tcPr>
                <w:p w14:paraId="2318D7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u w:val="single" w:color="auto"/>
                      <w:lang w:val="en-US" w:eastAsia="zh-CN" w:bidi="ar-SA"/>
                    </w:rPr>
                  </w:pPr>
                  <w:r>
                    <w:rPr>
                      <w:rFonts w:hint="eastAsia" w:cs="Times New Roman"/>
                      <w:color w:val="000000"/>
                      <w:sz w:val="21"/>
                      <w:szCs w:val="21"/>
                      <w:highlight w:val="none"/>
                      <w:u w:val="single" w:color="auto"/>
                      <w:lang w:val="en-US" w:eastAsia="zh-CN"/>
                    </w:rPr>
                    <w:t>55</w:t>
                  </w:r>
                </w:p>
              </w:tc>
              <w:tc>
                <w:tcPr>
                  <w:tcW w:w="712" w:type="pct"/>
                  <w:vMerge w:val="continue"/>
                  <w:tcBorders>
                    <w:tl2br w:val="nil"/>
                    <w:tr2bl w:val="nil"/>
                  </w:tcBorders>
                  <w:noWrap w:val="0"/>
                  <w:vAlign w:val="center"/>
                </w:tcPr>
                <w:p w14:paraId="717A9AD8">
                  <w:pPr>
                    <w:bidi w:val="0"/>
                    <w:jc w:val="center"/>
                    <w:rPr>
                      <w:rFonts w:hint="default" w:ascii="Times New Roman" w:hAnsi="Times New Roman" w:cs="Times New Roman"/>
                      <w:b w:val="0"/>
                      <w:bCs w:val="0"/>
                      <w:color w:val="auto"/>
                      <w:sz w:val="21"/>
                      <w:szCs w:val="21"/>
                      <w:highlight w:val="none"/>
                      <w:u w:val="single" w:color="auto"/>
                      <w:lang w:val="en-US" w:eastAsia="zh-CN"/>
                    </w:rPr>
                  </w:pPr>
                </w:p>
              </w:tc>
              <w:tc>
                <w:tcPr>
                  <w:tcW w:w="671" w:type="pct"/>
                  <w:tcBorders>
                    <w:tl2br w:val="nil"/>
                    <w:tr2bl w:val="nil"/>
                  </w:tcBorders>
                  <w:noWrap w:val="0"/>
                  <w:vAlign w:val="center"/>
                </w:tcPr>
                <w:p w14:paraId="78D9520A">
                  <w:pPr>
                    <w:bidi w:val="0"/>
                    <w:jc w:val="center"/>
                    <w:rPr>
                      <w:rFonts w:hint="default" w:ascii="Times New Roman" w:hAnsi="Times New Roman" w:cs="Times New Roman"/>
                      <w:b w:val="0"/>
                      <w:bCs w:val="0"/>
                      <w:color w:val="auto"/>
                      <w:sz w:val="21"/>
                      <w:szCs w:val="21"/>
                      <w:highlight w:val="none"/>
                      <w:u w:val="single" w:color="auto"/>
                      <w:lang w:val="en-US" w:eastAsia="zh-CN"/>
                    </w:rPr>
                  </w:pPr>
                  <w:r>
                    <w:rPr>
                      <w:rFonts w:hint="eastAsia" w:cs="Times New Roman"/>
                      <w:b w:val="0"/>
                      <w:bCs w:val="0"/>
                      <w:color w:val="auto"/>
                      <w:sz w:val="21"/>
                      <w:szCs w:val="21"/>
                      <w:highlight w:val="none"/>
                      <w:u w:val="single" w:color="auto"/>
                      <w:lang w:val="en-US" w:eastAsia="zh-CN"/>
                    </w:rPr>
                    <w:t>40</w:t>
                  </w:r>
                </w:p>
              </w:tc>
              <w:tc>
                <w:tcPr>
                  <w:tcW w:w="408" w:type="pct"/>
                  <w:tcBorders>
                    <w:tl2br w:val="nil"/>
                    <w:tr2bl w:val="nil"/>
                  </w:tcBorders>
                  <w:noWrap w:val="0"/>
                  <w:vAlign w:val="center"/>
                </w:tcPr>
                <w:p w14:paraId="138F4D19">
                  <w:pPr>
                    <w:widowControl/>
                    <w:snapToGrid w:val="0"/>
                    <w:ind w:right="-105" w:rightChars="0"/>
                    <w:jc w:val="center"/>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kern w:val="2"/>
                      <w:sz w:val="21"/>
                      <w:szCs w:val="21"/>
                      <w:u w:val="single" w:color="auto"/>
                      <w:lang w:val="en-US" w:eastAsia="zh-CN" w:bidi="ar-SA"/>
                    </w:rPr>
                    <w:t>10</w:t>
                  </w:r>
                  <w:r>
                    <w:rPr>
                      <w:rFonts w:hint="default" w:ascii="Times New Roman" w:hAnsi="Times New Roman" w:eastAsia="宋体" w:cs="Times New Roman"/>
                      <w:kern w:val="2"/>
                      <w:sz w:val="21"/>
                      <w:szCs w:val="21"/>
                      <w:u w:val="single" w:color="auto"/>
                      <w:lang w:val="en-US" w:eastAsia="zh-CN" w:bidi="ar-SA"/>
                    </w:rPr>
                    <w:t>h</w:t>
                  </w:r>
                </w:p>
              </w:tc>
            </w:tr>
            <w:tr w14:paraId="2EB390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tcBorders>
                    <w:tl2br w:val="nil"/>
                    <w:tr2bl w:val="nil"/>
                  </w:tcBorders>
                  <w:noWrap w:val="0"/>
                  <w:vAlign w:val="center"/>
                </w:tcPr>
                <w:p w14:paraId="44E3EDCA">
                  <w:pPr>
                    <w:widowControl/>
                    <w:snapToGrid w:val="0"/>
                    <w:ind w:right="-105" w:rightChars="0"/>
                    <w:jc w:val="center"/>
                    <w:rPr>
                      <w:rFonts w:hint="default" w:ascii="Times New Roman" w:hAnsi="Times New Roman" w:eastAsia="宋体" w:cs="Times New Roman"/>
                      <w:kern w:val="2"/>
                      <w:sz w:val="21"/>
                      <w:szCs w:val="21"/>
                      <w:u w:val="single" w:color="auto"/>
                      <w:lang w:val="en-US" w:eastAsia="zh-CN" w:bidi="ar-SA"/>
                    </w:rPr>
                  </w:pPr>
                  <w:r>
                    <w:rPr>
                      <w:rFonts w:hint="eastAsia" w:cs="Times New Roman"/>
                      <w:kern w:val="2"/>
                      <w:sz w:val="21"/>
                      <w:szCs w:val="21"/>
                      <w:u w:val="single" w:color="auto"/>
                      <w:lang w:val="en-US" w:eastAsia="zh-CN" w:bidi="ar-SA"/>
                    </w:rPr>
                    <w:t>6</w:t>
                  </w:r>
                </w:p>
              </w:tc>
              <w:tc>
                <w:tcPr>
                  <w:tcW w:w="782" w:type="pct"/>
                  <w:tcBorders>
                    <w:tl2br w:val="nil"/>
                    <w:tr2bl w:val="nil"/>
                  </w:tcBorders>
                  <w:shd w:val="clear" w:color="auto" w:fill="auto"/>
                  <w:noWrap w:val="0"/>
                  <w:vAlign w:val="center"/>
                </w:tcPr>
                <w:p w14:paraId="4C20FD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highlight w:val="none"/>
                      <w:u w:val="single" w:color="auto"/>
                      <w:lang w:val="en-US" w:eastAsia="zh-CN" w:bidi="ar"/>
                    </w:rPr>
                  </w:pPr>
                  <w:r>
                    <w:rPr>
                      <w:rFonts w:hint="eastAsia" w:cs="Times New Roman"/>
                      <w:i w:val="0"/>
                      <w:iCs w:val="0"/>
                      <w:color w:val="000000"/>
                      <w:kern w:val="0"/>
                      <w:sz w:val="21"/>
                      <w:szCs w:val="21"/>
                      <w:highlight w:val="none"/>
                      <w:u w:val="single" w:color="auto"/>
                      <w:lang w:val="en-US" w:eastAsia="zh-CN" w:bidi="ar"/>
                    </w:rPr>
                    <w:t>风机</w:t>
                  </w:r>
                </w:p>
              </w:tc>
              <w:tc>
                <w:tcPr>
                  <w:tcW w:w="424" w:type="pct"/>
                  <w:tcBorders>
                    <w:tl2br w:val="nil"/>
                    <w:tr2bl w:val="nil"/>
                  </w:tcBorders>
                  <w:shd w:val="clear" w:color="auto" w:fill="auto"/>
                  <w:noWrap w:val="0"/>
                  <w:vAlign w:val="center"/>
                </w:tcPr>
                <w:p w14:paraId="5D8FE97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u w:val="single" w:color="auto"/>
                      <w:lang w:val="en-US" w:eastAsia="zh-CN" w:bidi="ar-SA"/>
                    </w:rPr>
                  </w:pPr>
                  <w:r>
                    <w:rPr>
                      <w:rFonts w:hint="eastAsia" w:cs="Times New Roman"/>
                      <w:color w:val="000000"/>
                      <w:kern w:val="2"/>
                      <w:sz w:val="21"/>
                      <w:szCs w:val="21"/>
                      <w:highlight w:val="none"/>
                      <w:u w:val="single" w:color="auto"/>
                      <w:lang w:val="en-US" w:eastAsia="zh-CN" w:bidi="ar-SA"/>
                    </w:rPr>
                    <w:t>4</w:t>
                  </w:r>
                </w:p>
              </w:tc>
              <w:tc>
                <w:tcPr>
                  <w:tcW w:w="355" w:type="pct"/>
                  <w:tcBorders>
                    <w:tl2br w:val="nil"/>
                    <w:tr2bl w:val="nil"/>
                  </w:tcBorders>
                  <w:shd w:val="clear" w:color="auto" w:fill="auto"/>
                  <w:noWrap w:val="0"/>
                  <w:vAlign w:val="center"/>
                </w:tcPr>
                <w:p w14:paraId="11C0E1B1">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13</w:t>
                  </w:r>
                </w:p>
              </w:tc>
              <w:tc>
                <w:tcPr>
                  <w:tcW w:w="355" w:type="pct"/>
                  <w:tcBorders>
                    <w:tl2br w:val="nil"/>
                    <w:tr2bl w:val="nil"/>
                  </w:tcBorders>
                  <w:shd w:val="clear" w:color="auto" w:fill="auto"/>
                  <w:noWrap w:val="0"/>
                  <w:vAlign w:val="center"/>
                </w:tcPr>
                <w:p w14:paraId="49F7C6F8">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12</w:t>
                  </w:r>
                </w:p>
              </w:tc>
              <w:tc>
                <w:tcPr>
                  <w:tcW w:w="356" w:type="pct"/>
                  <w:tcBorders>
                    <w:tl2br w:val="nil"/>
                    <w:tr2bl w:val="nil"/>
                  </w:tcBorders>
                  <w:shd w:val="clear" w:color="auto" w:fill="auto"/>
                  <w:noWrap w:val="0"/>
                  <w:vAlign w:val="center"/>
                </w:tcPr>
                <w:p w14:paraId="1A8D37B2">
                  <w:pPr>
                    <w:pStyle w:val="73"/>
                    <w:keepNext w:val="0"/>
                    <w:keepLines w:val="0"/>
                    <w:pageBreakBefore w:val="0"/>
                    <w:widowControl w:val="0"/>
                    <w:kinsoku/>
                    <w:wordWrap/>
                    <w:overflowPunct/>
                    <w:topLinePunct w:val="0"/>
                    <w:autoSpaceDE/>
                    <w:autoSpaceDN/>
                    <w:bidi w:val="0"/>
                    <w:adjustRightInd w:val="0"/>
                    <w:snapToGrid w:val="0"/>
                    <w:ind w:left="-63" w:leftChars="-30" w:right="-63" w:rightChars="-30" w:firstLine="0" w:firstLineChars="0"/>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1.5</w:t>
                  </w:r>
                </w:p>
              </w:tc>
              <w:tc>
                <w:tcPr>
                  <w:tcW w:w="579" w:type="pct"/>
                  <w:tcBorders>
                    <w:tl2br w:val="nil"/>
                    <w:tr2bl w:val="nil"/>
                  </w:tcBorders>
                  <w:shd w:val="clear" w:color="auto" w:fill="auto"/>
                  <w:noWrap w:val="0"/>
                  <w:vAlign w:val="center"/>
                </w:tcPr>
                <w:p w14:paraId="455FAC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u w:val="single" w:color="auto"/>
                      <w:lang w:val="en-US" w:eastAsia="zh-CN" w:bidi="ar-SA"/>
                    </w:rPr>
                  </w:pPr>
                  <w:r>
                    <w:rPr>
                      <w:rFonts w:hint="eastAsia" w:cs="Times New Roman"/>
                      <w:color w:val="000000"/>
                      <w:kern w:val="2"/>
                      <w:sz w:val="21"/>
                      <w:szCs w:val="21"/>
                      <w:highlight w:val="none"/>
                      <w:u w:val="single" w:color="auto"/>
                      <w:lang w:val="en-US" w:eastAsia="zh-CN" w:bidi="ar-SA"/>
                    </w:rPr>
                    <w:t>65</w:t>
                  </w:r>
                </w:p>
              </w:tc>
              <w:tc>
                <w:tcPr>
                  <w:tcW w:w="712" w:type="pct"/>
                  <w:vMerge w:val="continue"/>
                  <w:tcBorders>
                    <w:tl2br w:val="nil"/>
                    <w:tr2bl w:val="nil"/>
                  </w:tcBorders>
                  <w:noWrap w:val="0"/>
                  <w:vAlign w:val="center"/>
                </w:tcPr>
                <w:p w14:paraId="38483DF5">
                  <w:pPr>
                    <w:bidi w:val="0"/>
                    <w:jc w:val="center"/>
                    <w:rPr>
                      <w:rFonts w:hint="default" w:ascii="Times New Roman" w:hAnsi="Times New Roman" w:cs="Times New Roman"/>
                      <w:b w:val="0"/>
                      <w:bCs w:val="0"/>
                      <w:color w:val="auto"/>
                      <w:sz w:val="21"/>
                      <w:szCs w:val="21"/>
                      <w:highlight w:val="none"/>
                      <w:u w:val="single" w:color="auto"/>
                      <w:lang w:val="en-US" w:eastAsia="zh-CN"/>
                    </w:rPr>
                  </w:pPr>
                </w:p>
              </w:tc>
              <w:tc>
                <w:tcPr>
                  <w:tcW w:w="671" w:type="pct"/>
                  <w:tcBorders>
                    <w:tl2br w:val="nil"/>
                    <w:tr2bl w:val="nil"/>
                  </w:tcBorders>
                  <w:noWrap w:val="0"/>
                  <w:vAlign w:val="center"/>
                </w:tcPr>
                <w:p w14:paraId="07100AB4">
                  <w:pPr>
                    <w:bidi w:val="0"/>
                    <w:jc w:val="center"/>
                    <w:rPr>
                      <w:rFonts w:hint="default" w:ascii="Times New Roman" w:hAnsi="Times New Roman" w:cs="Times New Roman"/>
                      <w:b w:val="0"/>
                      <w:bCs w:val="0"/>
                      <w:color w:val="auto"/>
                      <w:sz w:val="21"/>
                      <w:szCs w:val="21"/>
                      <w:highlight w:val="none"/>
                      <w:u w:val="single" w:color="auto"/>
                      <w:lang w:val="en-US" w:eastAsia="zh-CN"/>
                    </w:rPr>
                  </w:pPr>
                  <w:r>
                    <w:rPr>
                      <w:rFonts w:hint="eastAsia" w:cs="Times New Roman"/>
                      <w:b w:val="0"/>
                      <w:bCs w:val="0"/>
                      <w:color w:val="auto"/>
                      <w:sz w:val="21"/>
                      <w:szCs w:val="21"/>
                      <w:highlight w:val="none"/>
                      <w:u w:val="single" w:color="auto"/>
                      <w:lang w:val="en-US" w:eastAsia="zh-CN"/>
                    </w:rPr>
                    <w:t>50</w:t>
                  </w:r>
                </w:p>
              </w:tc>
              <w:tc>
                <w:tcPr>
                  <w:tcW w:w="408" w:type="pct"/>
                  <w:tcBorders>
                    <w:tl2br w:val="nil"/>
                    <w:tr2bl w:val="nil"/>
                  </w:tcBorders>
                  <w:noWrap w:val="0"/>
                  <w:vAlign w:val="center"/>
                </w:tcPr>
                <w:p w14:paraId="0B043FEE">
                  <w:pPr>
                    <w:widowControl/>
                    <w:snapToGrid w:val="0"/>
                    <w:ind w:right="-105" w:rightChars="0"/>
                    <w:jc w:val="center"/>
                    <w:rPr>
                      <w:rFonts w:hint="default" w:ascii="Times New Roman" w:hAnsi="Times New Roman" w:eastAsia="宋体" w:cs="Times New Roman"/>
                      <w:kern w:val="2"/>
                      <w:sz w:val="21"/>
                      <w:szCs w:val="21"/>
                      <w:u w:val="single" w:color="auto"/>
                      <w:lang w:val="en-US" w:eastAsia="zh-CN" w:bidi="ar-SA"/>
                    </w:rPr>
                  </w:pPr>
                  <w:r>
                    <w:rPr>
                      <w:rFonts w:hint="eastAsia" w:cs="Times New Roman"/>
                      <w:kern w:val="2"/>
                      <w:sz w:val="21"/>
                      <w:szCs w:val="21"/>
                      <w:u w:val="single" w:color="auto"/>
                      <w:lang w:val="en-US" w:eastAsia="zh-CN" w:bidi="ar-SA"/>
                    </w:rPr>
                    <w:t>10h</w:t>
                  </w:r>
                </w:p>
              </w:tc>
            </w:tr>
          </w:tbl>
          <w:p w14:paraId="1E4AC2BB">
            <w:pPr>
              <w:pStyle w:val="69"/>
              <w:ind w:left="0" w:leftChars="0" w:firstLine="0" w:firstLineChars="0"/>
              <w:rPr>
                <w:rFonts w:hint="eastAsia"/>
                <w:b w:val="0"/>
                <w:bCs/>
                <w:color w:val="auto"/>
                <w:u w:val="none" w:color="auto"/>
              </w:rPr>
            </w:pPr>
            <w:r>
              <w:rPr>
                <w:rFonts w:hint="eastAsia"/>
                <w:b w:val="0"/>
                <w:bCs/>
                <w:color w:val="auto"/>
                <w:u w:val="none" w:color="auto"/>
                <w:lang w:val="en-US" w:eastAsia="zh-CN"/>
              </w:rPr>
              <w:t>注：上</w:t>
            </w:r>
            <w:r>
              <w:rPr>
                <w:rFonts w:hint="default"/>
                <w:b w:val="0"/>
                <w:bCs/>
                <w:color w:val="auto"/>
                <w:u w:val="none" w:color="auto"/>
                <w:lang w:val="en-US" w:eastAsia="zh-CN"/>
              </w:rPr>
              <w:t>表中坐标以厂界中心（</w:t>
            </w:r>
            <w:r>
              <w:rPr>
                <w:rFonts w:hint="eastAsia"/>
                <w:b w:val="0"/>
                <w:bCs/>
                <w:color w:val="auto"/>
                <w:u w:val="none" w:color="auto"/>
                <w:lang w:val="en-US" w:eastAsia="zh-CN"/>
              </w:rPr>
              <w:t>E126.967425°</w:t>
            </w:r>
            <w:r>
              <w:rPr>
                <w:rFonts w:hint="default"/>
                <w:b w:val="0"/>
                <w:bCs/>
                <w:color w:val="auto"/>
                <w:u w:val="none" w:color="auto"/>
                <w:lang w:val="en-US" w:eastAsia="zh-CN"/>
              </w:rPr>
              <w:t>，</w:t>
            </w:r>
            <w:r>
              <w:rPr>
                <w:rFonts w:hint="eastAsia"/>
                <w:b w:val="0"/>
                <w:bCs/>
                <w:color w:val="auto"/>
                <w:u w:val="none" w:color="auto"/>
                <w:lang w:val="en-US" w:eastAsia="zh-CN"/>
              </w:rPr>
              <w:t>N41.80821°</w:t>
            </w:r>
            <w:r>
              <w:rPr>
                <w:rFonts w:hint="default"/>
                <w:b w:val="0"/>
                <w:bCs/>
                <w:color w:val="auto"/>
                <w:u w:val="none" w:color="auto"/>
                <w:lang w:val="en-US" w:eastAsia="zh-CN"/>
              </w:rPr>
              <w:t>）为坐标原点，正东向为X轴正方向，正北向为Y轴正方向</w:t>
            </w:r>
            <w:r>
              <w:rPr>
                <w:rFonts w:hint="eastAsia"/>
                <w:b w:val="0"/>
                <w:bCs/>
                <w:color w:val="auto"/>
                <w:u w:val="none" w:color="auto"/>
                <w:lang w:val="en-US" w:eastAsia="zh-CN"/>
              </w:rPr>
              <w:t>。</w:t>
            </w:r>
          </w:p>
          <w:p w14:paraId="7E14CAD8">
            <w:pPr>
              <w:pStyle w:val="48"/>
              <w:keepNext w:val="0"/>
              <w:keepLines w:val="0"/>
              <w:pageBreakBefore w:val="0"/>
              <w:widowControl/>
              <w:kinsoku/>
              <w:wordWrap/>
              <w:overflowPunct/>
              <w:topLinePunct w:val="0"/>
              <w:autoSpaceDE/>
              <w:autoSpaceDN/>
              <w:bidi w:val="0"/>
              <w:adjustRightInd/>
              <w:snapToGrid/>
              <w:spacing w:beforeLines="0" w:afterLines="0" w:line="240" w:lineRule="auto"/>
              <w:textAlignment w:val="auto"/>
              <w:rPr>
                <w:rFonts w:hint="default"/>
                <w:u w:val="none" w:color="auto"/>
              </w:rPr>
            </w:pPr>
          </w:p>
          <w:p w14:paraId="1FC79268">
            <w:pPr>
              <w:pageBreakBefore w:val="0"/>
              <w:kinsoku/>
              <w:wordWrap/>
              <w:overflowPunct/>
              <w:topLinePunct w:val="0"/>
              <w:bidi w:val="0"/>
              <w:adjustRightInd w:val="0"/>
              <w:snapToGrid w:val="0"/>
              <w:spacing w:line="360" w:lineRule="auto"/>
              <w:ind w:left="0" w:leftChars="0" w:firstLine="480" w:firstLineChars="200"/>
              <w:outlineLvl w:val="0"/>
              <w:rPr>
                <w:rFonts w:hint="default" w:ascii="Times New Roman" w:hAnsi="Times New Roman" w:cs="Times New Roman"/>
                <w:sz w:val="24"/>
                <w:szCs w:val="24"/>
                <w:u w:val="none"/>
              </w:rPr>
            </w:pPr>
            <w:r>
              <w:rPr>
                <w:rFonts w:hint="default" w:ascii="Times New Roman" w:hAnsi="Times New Roman" w:cs="Times New Roman"/>
                <w:sz w:val="24"/>
                <w:szCs w:val="24"/>
                <w:u w:val="none"/>
              </w:rPr>
              <w:t>（2）预测方法</w:t>
            </w:r>
          </w:p>
          <w:p w14:paraId="233F7C6D">
            <w:pPr>
              <w:keepNext w:val="0"/>
              <w:keepLines w:val="0"/>
              <w:pageBreakBefore w:val="0"/>
              <w:widowControl w:val="0"/>
              <w:tabs>
                <w:tab w:val="left" w:pos="539"/>
                <w:tab w:val="left" w:pos="1257"/>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lang w:eastAsia="zh-CN"/>
              </w:rPr>
            </w:pPr>
            <w:r>
              <w:rPr>
                <w:rFonts w:hint="eastAsia" w:ascii="Times New Roman" w:hAnsi="Times New Roman" w:eastAsia="宋体" w:cs="Times New Roman"/>
                <w:b w:val="0"/>
                <w:bCs w:val="0"/>
                <w:i w:val="0"/>
                <w:iCs w:val="0"/>
                <w:color w:val="auto"/>
                <w:sz w:val="24"/>
                <w:szCs w:val="24"/>
                <w:u w:val="none" w:color="auto"/>
                <w:lang w:val="en-US" w:eastAsia="zh-CN"/>
              </w:rPr>
              <w:t>a.</w:t>
            </w:r>
            <w:r>
              <w:rPr>
                <w:rFonts w:hint="default" w:ascii="Times New Roman" w:hAnsi="Times New Roman" w:eastAsia="宋体" w:cs="Times New Roman"/>
                <w:b w:val="0"/>
                <w:bCs w:val="0"/>
                <w:i w:val="0"/>
                <w:iCs w:val="0"/>
                <w:color w:val="auto"/>
                <w:sz w:val="24"/>
                <w:szCs w:val="24"/>
                <w:u w:val="none" w:color="auto"/>
                <w:lang w:eastAsia="zh-CN"/>
              </w:rPr>
              <w:t>室外点声源预测模式</w:t>
            </w:r>
          </w:p>
          <w:p w14:paraId="01325AA4">
            <w:pPr>
              <w:keepNext w:val="0"/>
              <w:keepLines w:val="0"/>
              <w:pageBreakBefore w:val="0"/>
              <w:widowControl w:val="0"/>
              <w:tabs>
                <w:tab w:val="left" w:pos="539"/>
                <w:tab w:val="left" w:pos="1257"/>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lang w:eastAsia="zh-CN"/>
              </w:rPr>
            </w:pPr>
            <w:r>
              <w:rPr>
                <w:rFonts w:hint="default" w:ascii="Times New Roman" w:hAnsi="Times New Roman" w:eastAsia="宋体" w:cs="Times New Roman"/>
                <w:b w:val="0"/>
                <w:bCs w:val="0"/>
                <w:i w:val="0"/>
                <w:iCs w:val="0"/>
                <w:color w:val="auto"/>
                <w:sz w:val="24"/>
                <w:szCs w:val="24"/>
                <w:u w:val="none" w:color="auto"/>
                <w:lang w:eastAsia="zh-CN"/>
              </w:rPr>
              <w:t>各声源对预测点的贡献值按下式计算：</w:t>
            </w:r>
          </w:p>
          <w:p w14:paraId="7364DF66">
            <w:pPr>
              <w:keepNext w:val="0"/>
              <w:keepLines w:val="0"/>
              <w:pageBreakBefore w:val="0"/>
              <w:widowControl w:val="0"/>
              <w:tabs>
                <w:tab w:val="left" w:pos="539"/>
                <w:tab w:val="left" w:pos="1257"/>
              </w:tabs>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lang w:eastAsia="zh-CN"/>
              </w:rPr>
            </w:pPr>
            <w:r>
              <w:rPr>
                <w:rFonts w:hint="default" w:ascii="Times New Roman" w:hAnsi="Times New Roman" w:eastAsia="宋体" w:cs="Times New Roman"/>
                <w:b w:val="0"/>
                <w:bCs w:val="0"/>
                <w:i w:val="0"/>
                <w:iCs w:val="0"/>
                <w:color w:val="auto"/>
                <w:position w:val="-14"/>
                <w:sz w:val="24"/>
                <w:szCs w:val="24"/>
                <w:u w:val="none" w:color="auto"/>
                <w:lang w:eastAsia="zh-CN"/>
              </w:rPr>
              <w:object>
                <v:shape id="_x0000_i1027" o:spt="75" type="#_x0000_t75" style="height:19pt;width:234pt;" o:ole="t" filled="f" o:preferrelative="t" stroked="f" coordsize="21600,21600">
                  <v:path/>
                  <v:fill on="f" focussize="0,0"/>
                  <v:stroke on="f"/>
                  <v:imagedata r:id="rId16" o:title=""/>
                  <o:lock v:ext="edit" aspectratio="t"/>
                  <w10:wrap type="none"/>
                  <w10:anchorlock/>
                </v:shape>
                <o:OLEObject Type="Embed" ProgID="Equation.KSEE3" ShapeID="_x0000_i1027" DrawAspect="Content" ObjectID="_1468075727" r:id="rId15">
                  <o:LockedField>false</o:LockedField>
                </o:OLEObject>
              </w:object>
            </w:r>
          </w:p>
          <w:p w14:paraId="49F869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宋体" w:cs="Times New Roman"/>
                <w:b w:val="0"/>
                <w:bCs w:val="0"/>
                <w:i w:val="0"/>
                <w:iCs w:val="0"/>
                <w:color w:val="auto"/>
                <w:sz w:val="24"/>
                <w:szCs w:val="24"/>
                <w:u w:val="none" w:color="auto"/>
                <w:lang w:val="en-US" w:eastAsia="zh-CN"/>
              </w:rPr>
            </w:pPr>
            <w:r>
              <w:rPr>
                <w:rFonts w:hint="default" w:ascii="Times New Roman" w:hAnsi="Times New Roman" w:eastAsia="宋体" w:cs="Times New Roman"/>
                <w:b w:val="0"/>
                <w:bCs w:val="0"/>
                <w:i w:val="0"/>
                <w:iCs w:val="0"/>
                <w:color w:val="auto"/>
                <w:sz w:val="24"/>
                <w:szCs w:val="24"/>
                <w:u w:val="none" w:color="auto"/>
                <w:lang w:eastAsia="zh-CN"/>
              </w:rPr>
              <w:t>式中</w:t>
            </w:r>
            <w:r>
              <w:rPr>
                <w:rFonts w:hint="default" w:ascii="Times New Roman" w:hAnsi="Times New Roman" w:eastAsia="宋体" w:cs="Times New Roman"/>
                <w:b w:val="0"/>
                <w:bCs w:val="0"/>
                <w:i w:val="0"/>
                <w:iCs w:val="0"/>
                <w:color w:val="auto"/>
                <w:sz w:val="24"/>
                <w:szCs w:val="24"/>
                <w:u w:val="none" w:color="auto"/>
              </w:rPr>
              <w:t>：L</w:t>
            </w:r>
            <w:r>
              <w:rPr>
                <w:rFonts w:hint="eastAsia" w:ascii="Times New Roman" w:hAnsi="Times New Roman" w:eastAsia="宋体" w:cs="Times New Roman"/>
                <w:b w:val="0"/>
                <w:bCs w:val="0"/>
                <w:i w:val="0"/>
                <w:iCs w:val="0"/>
                <w:color w:val="auto"/>
                <w:sz w:val="24"/>
                <w:szCs w:val="24"/>
                <w:u w:val="none" w:color="auto"/>
                <w:vertAlign w:val="subscript"/>
                <w:lang w:val="en-US" w:eastAsia="zh-CN"/>
              </w:rPr>
              <w:t>p</w:t>
            </w:r>
            <w:r>
              <w:rPr>
                <w:rFonts w:hint="default" w:ascii="Times New Roman" w:hAnsi="Times New Roman" w:eastAsia="宋体" w:cs="Times New Roman"/>
                <w:b w:val="0"/>
                <w:bCs w:val="0"/>
                <w:i w:val="0"/>
                <w:iCs w:val="0"/>
                <w:color w:val="auto"/>
                <w:sz w:val="24"/>
                <w:szCs w:val="24"/>
                <w:u w:val="none" w:color="auto"/>
              </w:rPr>
              <w:t>(r)——</w:t>
            </w:r>
            <w:r>
              <w:rPr>
                <w:rFonts w:hint="eastAsia" w:ascii="Times New Roman" w:hAnsi="Times New Roman" w:eastAsia="宋体" w:cs="Times New Roman"/>
                <w:b w:val="0"/>
                <w:bCs w:val="0"/>
                <w:i w:val="0"/>
                <w:iCs w:val="0"/>
                <w:color w:val="auto"/>
                <w:sz w:val="24"/>
                <w:szCs w:val="24"/>
                <w:u w:val="none" w:color="auto"/>
                <w:lang w:eastAsia="zh-CN"/>
              </w:rPr>
              <w:t>预测点处声压级，</w:t>
            </w:r>
            <w:r>
              <w:rPr>
                <w:rFonts w:hint="eastAsia" w:ascii="Times New Roman" w:hAnsi="Times New Roman" w:eastAsia="宋体" w:cs="Times New Roman"/>
                <w:b w:val="0"/>
                <w:bCs w:val="0"/>
                <w:i w:val="0"/>
                <w:iCs w:val="0"/>
                <w:color w:val="auto"/>
                <w:sz w:val="24"/>
                <w:szCs w:val="24"/>
                <w:u w:val="none" w:color="auto"/>
                <w:lang w:val="en-US" w:eastAsia="zh-CN"/>
              </w:rPr>
              <w:t>dB；</w:t>
            </w:r>
          </w:p>
          <w:p w14:paraId="02DE0AE1">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eastAsia" w:ascii="Times New Roman" w:hAnsi="Times New Roman" w:eastAsia="宋体" w:cs="Times New Roman"/>
                <w:b w:val="0"/>
                <w:bCs w:val="0"/>
                <w:i w:val="0"/>
                <w:iCs w:val="0"/>
                <w:color w:val="auto"/>
                <w:sz w:val="24"/>
                <w:szCs w:val="24"/>
                <w:u w:val="none" w:color="auto"/>
                <w:lang w:val="en-US" w:eastAsia="zh-CN"/>
              </w:rPr>
            </w:pPr>
            <w:r>
              <w:rPr>
                <w:rFonts w:hint="eastAsia" w:ascii="Times New Roman" w:hAnsi="Times New Roman" w:eastAsia="宋体" w:cs="Times New Roman"/>
                <w:b w:val="0"/>
                <w:bCs w:val="0"/>
                <w:i w:val="0"/>
                <w:iCs w:val="0"/>
                <w:color w:val="auto"/>
                <w:sz w:val="24"/>
                <w:szCs w:val="24"/>
                <w:u w:val="none" w:color="auto"/>
                <w:lang w:val="en-US" w:eastAsia="zh-CN"/>
              </w:rPr>
              <w:t>L</w:t>
            </w:r>
            <w:r>
              <w:rPr>
                <w:rFonts w:hint="eastAsia" w:ascii="Times New Roman" w:hAnsi="Times New Roman" w:eastAsia="宋体" w:cs="Times New Roman"/>
                <w:b w:val="0"/>
                <w:bCs w:val="0"/>
                <w:i w:val="0"/>
                <w:iCs w:val="0"/>
                <w:color w:val="auto"/>
                <w:sz w:val="24"/>
                <w:szCs w:val="24"/>
                <w:u w:val="none" w:color="auto"/>
                <w:vertAlign w:val="subscript"/>
                <w:lang w:val="en-US" w:eastAsia="zh-CN"/>
              </w:rPr>
              <w:t>w</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由点声源产生的声功率级（</w:t>
            </w:r>
            <w:r>
              <w:rPr>
                <w:rFonts w:hint="eastAsia" w:ascii="Times New Roman" w:hAnsi="Times New Roman" w:eastAsia="宋体" w:cs="Times New Roman"/>
                <w:b w:val="0"/>
                <w:bCs w:val="0"/>
                <w:i w:val="0"/>
                <w:iCs w:val="0"/>
                <w:color w:val="auto"/>
                <w:sz w:val="24"/>
                <w:szCs w:val="24"/>
                <w:u w:val="none" w:color="auto"/>
                <w:lang w:val="en-US" w:eastAsia="zh-CN"/>
              </w:rPr>
              <w:t>A计权或倍频带</w:t>
            </w:r>
            <w:r>
              <w:rPr>
                <w:rFonts w:hint="eastAsia" w:ascii="Times New Roman" w:hAnsi="Times New Roman" w:eastAsia="宋体" w:cs="Times New Roman"/>
                <w:b w:val="0"/>
                <w:bCs w:val="0"/>
                <w:i w:val="0"/>
                <w:iCs w:val="0"/>
                <w:color w:val="auto"/>
                <w:sz w:val="24"/>
                <w:szCs w:val="24"/>
                <w:u w:val="none" w:color="auto"/>
                <w:lang w:eastAsia="zh-CN"/>
              </w:rPr>
              <w:t>），</w:t>
            </w:r>
            <w:r>
              <w:rPr>
                <w:rFonts w:hint="eastAsia" w:ascii="Times New Roman" w:hAnsi="Times New Roman" w:eastAsia="宋体" w:cs="Times New Roman"/>
                <w:b w:val="0"/>
                <w:bCs w:val="0"/>
                <w:i w:val="0"/>
                <w:iCs w:val="0"/>
                <w:color w:val="auto"/>
                <w:sz w:val="24"/>
                <w:szCs w:val="24"/>
                <w:u w:val="none" w:color="auto"/>
                <w:lang w:val="en-US" w:eastAsia="zh-CN"/>
              </w:rPr>
              <w:t>dB；</w:t>
            </w:r>
          </w:p>
          <w:p w14:paraId="269DBB19">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eastAsia" w:ascii="Times New Roman" w:hAnsi="Times New Roman" w:eastAsia="宋体" w:cs="Times New Roman"/>
                <w:b w:val="0"/>
                <w:bCs w:val="0"/>
                <w:i w:val="0"/>
                <w:iCs w:val="0"/>
                <w:color w:val="auto"/>
                <w:sz w:val="24"/>
                <w:szCs w:val="24"/>
                <w:u w:val="none" w:color="auto"/>
                <w:lang w:val="en-US" w:eastAsia="zh-CN"/>
              </w:rPr>
            </w:pPr>
            <w:r>
              <w:rPr>
                <w:rFonts w:hint="eastAsia" w:ascii="Times New Roman" w:hAnsi="Times New Roman" w:eastAsia="宋体" w:cs="Times New Roman"/>
                <w:b w:val="0"/>
                <w:bCs w:val="0"/>
                <w:i w:val="0"/>
                <w:iCs w:val="0"/>
                <w:color w:val="auto"/>
                <w:sz w:val="24"/>
                <w:szCs w:val="24"/>
                <w:u w:val="none" w:color="auto"/>
                <w:lang w:val="en-US" w:eastAsia="zh-CN"/>
              </w:rPr>
              <w:t>D</w:t>
            </w:r>
            <w:r>
              <w:rPr>
                <w:rFonts w:hint="eastAsia" w:ascii="Times New Roman" w:hAnsi="Times New Roman" w:eastAsia="宋体" w:cs="Times New Roman"/>
                <w:b w:val="0"/>
                <w:bCs w:val="0"/>
                <w:i w:val="0"/>
                <w:iCs w:val="0"/>
                <w:color w:val="auto"/>
                <w:sz w:val="24"/>
                <w:szCs w:val="24"/>
                <w:u w:val="none" w:color="auto"/>
                <w:vertAlign w:val="subscript"/>
                <w:lang w:val="en-US" w:eastAsia="zh-CN"/>
              </w:rPr>
              <w:t>c</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指向性校正，它描述点声源的等效连续声压级与产生声功率级</w:t>
            </w:r>
            <w:r>
              <w:rPr>
                <w:rFonts w:hint="eastAsia" w:ascii="Times New Roman" w:hAnsi="Times New Roman" w:eastAsia="宋体" w:cs="Times New Roman"/>
                <w:b w:val="0"/>
                <w:bCs w:val="0"/>
                <w:i w:val="0"/>
                <w:iCs w:val="0"/>
                <w:color w:val="auto"/>
                <w:sz w:val="24"/>
                <w:szCs w:val="24"/>
                <w:u w:val="none" w:color="auto"/>
                <w:lang w:val="en-US" w:eastAsia="zh-CN"/>
              </w:rPr>
              <w:t>L</w:t>
            </w:r>
            <w:r>
              <w:rPr>
                <w:rFonts w:hint="eastAsia" w:ascii="Times New Roman" w:hAnsi="Times New Roman" w:eastAsia="宋体" w:cs="Times New Roman"/>
                <w:b w:val="0"/>
                <w:bCs w:val="0"/>
                <w:i w:val="0"/>
                <w:iCs w:val="0"/>
                <w:color w:val="auto"/>
                <w:sz w:val="24"/>
                <w:szCs w:val="24"/>
                <w:u w:val="none" w:color="auto"/>
                <w:vertAlign w:val="subscript"/>
                <w:lang w:val="en-US" w:eastAsia="zh-CN"/>
              </w:rPr>
              <w:t>w</w:t>
            </w:r>
            <w:r>
              <w:rPr>
                <w:rFonts w:hint="eastAsia" w:ascii="Times New Roman" w:hAnsi="Times New Roman" w:eastAsia="宋体" w:cs="Times New Roman"/>
                <w:b w:val="0"/>
                <w:bCs w:val="0"/>
                <w:i w:val="0"/>
                <w:iCs w:val="0"/>
                <w:color w:val="auto"/>
                <w:sz w:val="24"/>
                <w:szCs w:val="24"/>
                <w:u w:val="none" w:color="auto"/>
                <w:lang w:val="en-US" w:eastAsia="zh-CN"/>
              </w:rPr>
              <w:t>的全向点声源在规定方向的声级的偏差程度，dB；</w:t>
            </w:r>
          </w:p>
          <w:p w14:paraId="415C0B0A">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A</w:t>
            </w:r>
            <w:r>
              <w:rPr>
                <w:rFonts w:hint="default" w:ascii="Times New Roman" w:hAnsi="Times New Roman" w:eastAsia="宋体" w:cs="Times New Roman"/>
                <w:b w:val="0"/>
                <w:bCs w:val="0"/>
                <w:i w:val="0"/>
                <w:iCs w:val="0"/>
                <w:color w:val="auto"/>
                <w:sz w:val="24"/>
                <w:szCs w:val="24"/>
                <w:u w:val="none" w:color="auto"/>
                <w:vertAlign w:val="subscript"/>
              </w:rPr>
              <w:t>div</w:t>
            </w:r>
            <w:r>
              <w:rPr>
                <w:rFonts w:hint="default" w:ascii="Times New Roman" w:hAnsi="Times New Roman" w:eastAsia="宋体" w:cs="Times New Roman"/>
                <w:b w:val="0"/>
                <w:bCs w:val="0"/>
                <w:i w:val="0"/>
                <w:iCs w:val="0"/>
                <w:color w:val="auto"/>
                <w:sz w:val="24"/>
                <w:szCs w:val="24"/>
                <w:u w:val="none" w:color="auto"/>
              </w:rPr>
              <w:t>——几何发散引起的</w:t>
            </w:r>
            <w:r>
              <w:rPr>
                <w:rFonts w:hint="eastAsia" w:ascii="Times New Roman" w:hAnsi="Times New Roman" w:eastAsia="宋体" w:cs="Times New Roman"/>
                <w:b w:val="0"/>
                <w:bCs w:val="0"/>
                <w:i w:val="0"/>
                <w:iCs w:val="0"/>
                <w:color w:val="auto"/>
                <w:sz w:val="24"/>
                <w:szCs w:val="24"/>
                <w:u w:val="none" w:color="auto"/>
                <w:lang w:eastAsia="zh-CN"/>
              </w:rPr>
              <w:t>衰减，</w:t>
            </w:r>
            <w:r>
              <w:rPr>
                <w:rFonts w:hint="eastAsia" w:ascii="Times New Roman" w:hAnsi="Times New Roman" w:eastAsia="宋体" w:cs="Times New Roman"/>
                <w:b w:val="0"/>
                <w:bCs w:val="0"/>
                <w:i w:val="0"/>
                <w:iCs w:val="0"/>
                <w:color w:val="auto"/>
                <w:sz w:val="24"/>
                <w:szCs w:val="24"/>
                <w:u w:val="none" w:color="auto"/>
                <w:lang w:val="en-US" w:eastAsia="zh-CN"/>
              </w:rPr>
              <w:t>dB</w:t>
            </w:r>
            <w:r>
              <w:rPr>
                <w:rFonts w:hint="default" w:ascii="Times New Roman" w:hAnsi="Times New Roman" w:eastAsia="宋体" w:cs="Times New Roman"/>
                <w:b w:val="0"/>
                <w:bCs w:val="0"/>
                <w:i w:val="0"/>
                <w:iCs w:val="0"/>
                <w:color w:val="auto"/>
                <w:sz w:val="24"/>
                <w:szCs w:val="24"/>
                <w:u w:val="none" w:color="auto"/>
              </w:rPr>
              <w:t>；</w:t>
            </w:r>
          </w:p>
          <w:p w14:paraId="219AF857">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L</w:t>
            </w:r>
            <w:r>
              <w:rPr>
                <w:rFonts w:hint="default" w:ascii="Times New Roman" w:hAnsi="Times New Roman" w:eastAsia="宋体" w:cs="Times New Roman"/>
                <w:b w:val="0"/>
                <w:bCs w:val="0"/>
                <w:i w:val="0"/>
                <w:iCs w:val="0"/>
                <w:color w:val="auto"/>
                <w:sz w:val="24"/>
                <w:szCs w:val="24"/>
                <w:u w:val="none" w:color="auto"/>
                <w:vertAlign w:val="subscript"/>
              </w:rPr>
              <w:t>atm</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大气吸收引起的衰减，</w:t>
            </w:r>
            <w:r>
              <w:rPr>
                <w:rFonts w:hint="eastAsia" w:ascii="Times New Roman" w:hAnsi="Times New Roman" w:eastAsia="宋体" w:cs="Times New Roman"/>
                <w:b w:val="0"/>
                <w:bCs w:val="0"/>
                <w:i w:val="0"/>
                <w:iCs w:val="0"/>
                <w:color w:val="auto"/>
                <w:sz w:val="24"/>
                <w:szCs w:val="24"/>
                <w:u w:val="none" w:color="auto"/>
                <w:lang w:val="en-US" w:eastAsia="zh-CN"/>
              </w:rPr>
              <w:t>dB；</w:t>
            </w:r>
          </w:p>
          <w:p w14:paraId="5A0703C9">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A</w:t>
            </w:r>
            <w:r>
              <w:rPr>
                <w:rFonts w:hint="eastAsia" w:ascii="Times New Roman" w:hAnsi="Times New Roman" w:eastAsia="宋体" w:cs="Times New Roman"/>
                <w:b w:val="0"/>
                <w:bCs w:val="0"/>
                <w:i w:val="0"/>
                <w:iCs w:val="0"/>
                <w:color w:val="auto"/>
                <w:sz w:val="24"/>
                <w:szCs w:val="24"/>
                <w:u w:val="none" w:color="auto"/>
                <w:vertAlign w:val="subscript"/>
                <w:lang w:val="en-US" w:eastAsia="zh-CN"/>
              </w:rPr>
              <w:t>gr</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地面效应引起的的衰减，</w:t>
            </w:r>
            <w:r>
              <w:rPr>
                <w:rFonts w:hint="eastAsia" w:ascii="Times New Roman" w:hAnsi="Times New Roman" w:eastAsia="宋体" w:cs="Times New Roman"/>
                <w:b w:val="0"/>
                <w:bCs w:val="0"/>
                <w:i w:val="0"/>
                <w:iCs w:val="0"/>
                <w:color w:val="auto"/>
                <w:sz w:val="24"/>
                <w:szCs w:val="24"/>
                <w:u w:val="none" w:color="auto"/>
                <w:lang w:val="en-US" w:eastAsia="zh-CN"/>
              </w:rPr>
              <w:t>dB；</w:t>
            </w:r>
          </w:p>
          <w:p w14:paraId="5E292389">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A</w:t>
            </w:r>
            <w:r>
              <w:rPr>
                <w:rFonts w:hint="default" w:ascii="Times New Roman" w:hAnsi="Times New Roman" w:eastAsia="宋体" w:cs="Times New Roman"/>
                <w:b w:val="0"/>
                <w:bCs w:val="0"/>
                <w:i w:val="0"/>
                <w:iCs w:val="0"/>
                <w:color w:val="auto"/>
                <w:sz w:val="24"/>
                <w:szCs w:val="24"/>
                <w:u w:val="none" w:color="auto"/>
                <w:vertAlign w:val="subscript"/>
              </w:rPr>
              <w:t>bar</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障碍物屏蔽引起的衰减，</w:t>
            </w:r>
            <w:r>
              <w:rPr>
                <w:rFonts w:hint="eastAsia" w:ascii="Times New Roman" w:hAnsi="Times New Roman" w:eastAsia="宋体" w:cs="Times New Roman"/>
                <w:b w:val="0"/>
                <w:bCs w:val="0"/>
                <w:i w:val="0"/>
                <w:iCs w:val="0"/>
                <w:color w:val="auto"/>
                <w:sz w:val="24"/>
                <w:szCs w:val="24"/>
                <w:u w:val="none" w:color="auto"/>
                <w:lang w:val="en-US" w:eastAsia="zh-CN"/>
              </w:rPr>
              <w:t>dB</w:t>
            </w:r>
            <w:r>
              <w:rPr>
                <w:rFonts w:hint="default" w:ascii="Times New Roman" w:hAnsi="Times New Roman" w:eastAsia="宋体" w:cs="Times New Roman"/>
                <w:b w:val="0"/>
                <w:bCs w:val="0"/>
                <w:i w:val="0"/>
                <w:iCs w:val="0"/>
                <w:color w:val="auto"/>
                <w:sz w:val="24"/>
                <w:szCs w:val="24"/>
                <w:u w:val="none" w:color="auto"/>
              </w:rPr>
              <w:t>；</w:t>
            </w:r>
          </w:p>
          <w:p w14:paraId="041CDFFE">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lang w:eastAsia="zh-CN"/>
              </w:rPr>
            </w:pPr>
            <w:r>
              <w:rPr>
                <w:rFonts w:hint="default" w:ascii="Times New Roman" w:hAnsi="Times New Roman" w:eastAsia="宋体" w:cs="Times New Roman"/>
                <w:b w:val="0"/>
                <w:bCs w:val="0"/>
                <w:i w:val="0"/>
                <w:iCs w:val="0"/>
                <w:color w:val="auto"/>
                <w:sz w:val="24"/>
                <w:szCs w:val="24"/>
                <w:u w:val="none" w:color="auto"/>
              </w:rPr>
              <w:t>A</w:t>
            </w:r>
            <w:r>
              <w:rPr>
                <w:rFonts w:hint="eastAsia" w:ascii="Times New Roman" w:hAnsi="Times New Roman" w:eastAsia="宋体" w:cs="Times New Roman"/>
                <w:b w:val="0"/>
                <w:bCs w:val="0"/>
                <w:i w:val="0"/>
                <w:iCs w:val="0"/>
                <w:color w:val="auto"/>
                <w:sz w:val="24"/>
                <w:szCs w:val="24"/>
                <w:u w:val="none" w:color="auto"/>
                <w:vertAlign w:val="subscript"/>
                <w:lang w:val="en-US" w:eastAsia="zh-CN"/>
              </w:rPr>
              <w:t>misc</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其他多方面效应引起的衰减，</w:t>
            </w:r>
            <w:r>
              <w:rPr>
                <w:rFonts w:hint="eastAsia" w:ascii="Times New Roman" w:hAnsi="Times New Roman" w:eastAsia="宋体" w:cs="Times New Roman"/>
                <w:b w:val="0"/>
                <w:bCs w:val="0"/>
                <w:i w:val="0"/>
                <w:iCs w:val="0"/>
                <w:color w:val="auto"/>
                <w:sz w:val="24"/>
                <w:szCs w:val="24"/>
                <w:u w:val="none" w:color="auto"/>
                <w:lang w:val="en-US" w:eastAsia="zh-CN"/>
              </w:rPr>
              <w:t>dB</w:t>
            </w:r>
            <w:r>
              <w:rPr>
                <w:rFonts w:hint="default" w:ascii="Times New Roman" w:hAnsi="Times New Roman" w:eastAsia="宋体" w:cs="Times New Roman"/>
                <w:b w:val="0"/>
                <w:bCs w:val="0"/>
                <w:i w:val="0"/>
                <w:iCs w:val="0"/>
                <w:color w:val="auto"/>
                <w:sz w:val="24"/>
                <w:szCs w:val="24"/>
                <w:u w:val="none" w:color="auto"/>
              </w:rPr>
              <w:t>。</w:t>
            </w:r>
          </w:p>
          <w:p w14:paraId="2EFD6E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eastAsia" w:ascii="Times New Roman" w:hAnsi="Times New Roman" w:eastAsia="宋体" w:cs="Times New Roman"/>
                <w:b w:val="0"/>
                <w:bCs w:val="0"/>
                <w:i w:val="0"/>
                <w:iCs w:val="0"/>
                <w:color w:val="auto"/>
                <w:sz w:val="24"/>
                <w:szCs w:val="24"/>
                <w:u w:val="none" w:color="auto"/>
                <w:lang w:val="en-US" w:eastAsia="zh-CN"/>
              </w:rPr>
              <w:t>b.</w:t>
            </w:r>
            <w:r>
              <w:rPr>
                <w:rFonts w:hint="default" w:ascii="Times New Roman" w:hAnsi="Times New Roman" w:eastAsia="宋体" w:cs="Times New Roman"/>
                <w:b w:val="0"/>
                <w:bCs w:val="0"/>
                <w:i w:val="0"/>
                <w:iCs w:val="0"/>
                <w:color w:val="auto"/>
                <w:sz w:val="24"/>
                <w:szCs w:val="24"/>
                <w:u w:val="none" w:color="auto"/>
              </w:rPr>
              <w:t>室内声源等效室外声源声功率级预测模式</w:t>
            </w:r>
          </w:p>
          <w:p w14:paraId="29FFC9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lang w:val="en-US" w:eastAsia="zh-CN"/>
              </w:rPr>
              <w:fldChar w:fldCharType="begin"/>
            </w:r>
            <w:r>
              <w:rPr>
                <w:rFonts w:hint="default" w:ascii="Times New Roman" w:hAnsi="Times New Roman" w:eastAsia="宋体" w:cs="Times New Roman"/>
                <w:b w:val="0"/>
                <w:bCs w:val="0"/>
                <w:i w:val="0"/>
                <w:iCs w:val="0"/>
                <w:color w:val="auto"/>
                <w:sz w:val="24"/>
                <w:szCs w:val="24"/>
                <w:u w:val="none" w:color="auto"/>
                <w:lang w:val="en-US" w:eastAsia="zh-CN"/>
              </w:rPr>
              <w:instrText xml:space="preserve"> = 1 \* GB3 \* MERGEFORMAT </w:instrText>
            </w:r>
            <w:r>
              <w:rPr>
                <w:rFonts w:hint="default" w:ascii="Times New Roman" w:hAnsi="Times New Roman" w:eastAsia="宋体" w:cs="Times New Roman"/>
                <w:b w:val="0"/>
                <w:bCs w:val="0"/>
                <w:i w:val="0"/>
                <w:iCs w:val="0"/>
                <w:color w:val="auto"/>
                <w:sz w:val="24"/>
                <w:szCs w:val="24"/>
                <w:u w:val="none" w:color="auto"/>
                <w:lang w:val="en-US" w:eastAsia="zh-CN"/>
              </w:rPr>
              <w:fldChar w:fldCharType="separate"/>
            </w:r>
            <w:r>
              <w:rPr>
                <w:rFonts w:hint="default" w:ascii="Times New Roman" w:hAnsi="Times New Roman" w:cs="Times New Roman"/>
                <w:sz w:val="24"/>
                <w:szCs w:val="24"/>
              </w:rPr>
              <w:t>①</w:t>
            </w:r>
            <w:r>
              <w:rPr>
                <w:rFonts w:hint="default" w:ascii="Times New Roman" w:hAnsi="Times New Roman" w:eastAsia="宋体" w:cs="Times New Roman"/>
                <w:b w:val="0"/>
                <w:bCs w:val="0"/>
                <w:i w:val="0"/>
                <w:iCs w:val="0"/>
                <w:color w:val="auto"/>
                <w:sz w:val="24"/>
                <w:szCs w:val="24"/>
                <w:u w:val="none" w:color="auto"/>
                <w:lang w:val="en-US" w:eastAsia="zh-CN"/>
              </w:rPr>
              <w:fldChar w:fldCharType="end"/>
            </w:r>
            <w:r>
              <w:rPr>
                <w:rFonts w:hint="default" w:ascii="Times New Roman" w:hAnsi="Times New Roman" w:eastAsia="宋体" w:cs="Times New Roman"/>
                <w:b w:val="0"/>
                <w:bCs w:val="0"/>
                <w:i w:val="0"/>
                <w:iCs w:val="0"/>
                <w:color w:val="auto"/>
                <w:sz w:val="24"/>
                <w:szCs w:val="24"/>
                <w:u w:val="none" w:color="auto"/>
              </w:rPr>
              <w:t>在室内近似为扩散声场时，靠近室外围护结构处的声压级计算如下：</w:t>
            </w:r>
          </w:p>
          <w:p w14:paraId="2737EBFC">
            <w:pPr>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position w:val="-12"/>
                <w:sz w:val="24"/>
                <w:szCs w:val="24"/>
                <w:u w:val="none" w:color="auto"/>
              </w:rPr>
            </w:pPr>
            <w:r>
              <w:rPr>
                <w:rFonts w:hint="default" w:ascii="Times New Roman" w:hAnsi="Times New Roman" w:eastAsia="宋体" w:cs="Times New Roman"/>
                <w:b w:val="0"/>
                <w:bCs w:val="0"/>
                <w:i w:val="0"/>
                <w:iCs w:val="0"/>
                <w:color w:val="auto"/>
                <w:position w:val="-14"/>
                <w:sz w:val="24"/>
                <w:szCs w:val="24"/>
                <w:u w:val="none" w:color="auto"/>
                <w:lang w:eastAsia="zh-CN"/>
              </w:rPr>
              <w:object>
                <v:shape id="_x0000_i1028" o:spt="75" type="#_x0000_t75" style="height:19pt;width:96pt;" o:ole="t" filled="f" o:preferrelative="t" stroked="f" coordsize="21600,21600">
                  <v:path/>
                  <v:fill on="f" focussize="0,0"/>
                  <v:stroke on="f"/>
                  <v:imagedata r:id="rId18" o:title=""/>
                  <o:lock v:ext="edit" aspectratio="t"/>
                  <w10:wrap type="none"/>
                  <w10:anchorlock/>
                </v:shape>
                <o:OLEObject Type="Embed" ProgID="Equation.KSEE3" ShapeID="_x0000_i1028" DrawAspect="Content" ObjectID="_1468075728" r:id="rId17">
                  <o:LockedField>false</o:LockedField>
                </o:OLEObject>
              </w:object>
            </w:r>
          </w:p>
          <w:p w14:paraId="41C5CE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式中：L</w:t>
            </w:r>
            <w:r>
              <w:rPr>
                <w:rFonts w:hint="default" w:ascii="Times New Roman" w:hAnsi="Times New Roman" w:eastAsia="宋体" w:cs="Times New Roman"/>
                <w:b w:val="0"/>
                <w:bCs w:val="0"/>
                <w:i w:val="0"/>
                <w:iCs w:val="0"/>
                <w:color w:val="auto"/>
                <w:sz w:val="24"/>
                <w:szCs w:val="24"/>
                <w:u w:val="none" w:color="auto"/>
                <w:vertAlign w:val="subscript"/>
              </w:rPr>
              <w:t>P</w:t>
            </w:r>
            <w:r>
              <w:rPr>
                <w:rFonts w:hint="eastAsia" w:ascii="Times New Roman" w:hAnsi="Times New Roman" w:eastAsia="宋体" w:cs="Times New Roman"/>
                <w:b w:val="0"/>
                <w:bCs w:val="0"/>
                <w:i w:val="0"/>
                <w:iCs w:val="0"/>
                <w:color w:val="auto"/>
                <w:sz w:val="24"/>
                <w:szCs w:val="24"/>
                <w:u w:val="none" w:color="auto"/>
                <w:vertAlign w:val="subscript"/>
                <w:lang w:val="en-US" w:eastAsia="zh-CN"/>
              </w:rPr>
              <w:t>1</w:t>
            </w:r>
            <w:r>
              <w:rPr>
                <w:rFonts w:hint="default" w:ascii="Times New Roman" w:hAnsi="Times New Roman" w:eastAsia="宋体" w:cs="Times New Roman"/>
                <w:b w:val="0"/>
                <w:bCs w:val="0"/>
                <w:i w:val="0"/>
                <w:iCs w:val="0"/>
                <w:color w:val="auto"/>
                <w:sz w:val="24"/>
                <w:szCs w:val="24"/>
                <w:u w:val="none" w:color="auto"/>
              </w:rPr>
              <w:t>—靠近</w:t>
            </w:r>
            <w:r>
              <w:rPr>
                <w:rFonts w:hint="eastAsia" w:ascii="Times New Roman" w:hAnsi="Times New Roman" w:eastAsia="宋体" w:cs="Times New Roman"/>
                <w:b w:val="0"/>
                <w:bCs w:val="0"/>
                <w:i w:val="0"/>
                <w:iCs w:val="0"/>
                <w:color w:val="auto"/>
                <w:sz w:val="24"/>
                <w:szCs w:val="24"/>
                <w:u w:val="none" w:color="auto"/>
                <w:lang w:eastAsia="zh-CN"/>
              </w:rPr>
              <w:t>开口处（或窗户）室内某倍频带的声压级或</w:t>
            </w:r>
            <w:r>
              <w:rPr>
                <w:rFonts w:hint="eastAsia" w:ascii="Times New Roman" w:hAnsi="Times New Roman" w:eastAsia="宋体" w:cs="Times New Roman"/>
                <w:b w:val="0"/>
                <w:bCs w:val="0"/>
                <w:i w:val="0"/>
                <w:iCs w:val="0"/>
                <w:color w:val="auto"/>
                <w:sz w:val="24"/>
                <w:szCs w:val="24"/>
                <w:u w:val="none" w:color="auto"/>
                <w:lang w:val="en-US" w:eastAsia="zh-CN"/>
              </w:rPr>
              <w:t>A声级，dB</w:t>
            </w:r>
            <w:r>
              <w:rPr>
                <w:rFonts w:hint="default" w:ascii="Times New Roman" w:hAnsi="Times New Roman" w:eastAsia="宋体" w:cs="Times New Roman"/>
                <w:b w:val="0"/>
                <w:bCs w:val="0"/>
                <w:i w:val="0"/>
                <w:iCs w:val="0"/>
                <w:color w:val="auto"/>
                <w:sz w:val="24"/>
                <w:szCs w:val="24"/>
                <w:u w:val="none" w:color="auto"/>
              </w:rPr>
              <w:t>；</w:t>
            </w:r>
          </w:p>
          <w:p w14:paraId="3DAADF5B">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L</w:t>
            </w:r>
            <w:r>
              <w:rPr>
                <w:rFonts w:hint="default" w:ascii="Times New Roman" w:hAnsi="Times New Roman" w:eastAsia="宋体" w:cs="Times New Roman"/>
                <w:b w:val="0"/>
                <w:bCs w:val="0"/>
                <w:i w:val="0"/>
                <w:iCs w:val="0"/>
                <w:color w:val="auto"/>
                <w:sz w:val="24"/>
                <w:szCs w:val="24"/>
                <w:u w:val="none" w:color="auto"/>
                <w:vertAlign w:val="subscript"/>
              </w:rPr>
              <w:t>P2</w:t>
            </w:r>
            <w:r>
              <w:rPr>
                <w:rFonts w:hint="default" w:ascii="Times New Roman" w:hAnsi="Times New Roman" w:eastAsia="宋体" w:cs="Times New Roman"/>
                <w:b w:val="0"/>
                <w:bCs w:val="0"/>
                <w:i w:val="0"/>
                <w:iCs w:val="0"/>
                <w:color w:val="auto"/>
                <w:sz w:val="24"/>
                <w:szCs w:val="24"/>
                <w:u w:val="none" w:color="auto"/>
              </w:rPr>
              <w:t>—靠近</w:t>
            </w:r>
            <w:r>
              <w:rPr>
                <w:rFonts w:hint="eastAsia" w:ascii="Times New Roman" w:hAnsi="Times New Roman" w:eastAsia="宋体" w:cs="Times New Roman"/>
                <w:b w:val="0"/>
                <w:bCs w:val="0"/>
                <w:i w:val="0"/>
                <w:iCs w:val="0"/>
                <w:color w:val="auto"/>
                <w:sz w:val="24"/>
                <w:szCs w:val="24"/>
                <w:u w:val="none" w:color="auto"/>
                <w:lang w:eastAsia="zh-CN"/>
              </w:rPr>
              <w:t>开口处（或窗户）室外某倍频带的声压级或</w:t>
            </w:r>
            <w:r>
              <w:rPr>
                <w:rFonts w:hint="eastAsia" w:ascii="Times New Roman" w:hAnsi="Times New Roman" w:eastAsia="宋体" w:cs="Times New Roman"/>
                <w:b w:val="0"/>
                <w:bCs w:val="0"/>
                <w:i w:val="0"/>
                <w:iCs w:val="0"/>
                <w:color w:val="auto"/>
                <w:sz w:val="24"/>
                <w:szCs w:val="24"/>
                <w:u w:val="none" w:color="auto"/>
                <w:lang w:val="en-US" w:eastAsia="zh-CN"/>
              </w:rPr>
              <w:t>A声级，dB</w:t>
            </w:r>
            <w:r>
              <w:rPr>
                <w:rFonts w:hint="default" w:ascii="Times New Roman" w:hAnsi="Times New Roman" w:eastAsia="宋体" w:cs="Times New Roman"/>
                <w:b w:val="0"/>
                <w:bCs w:val="0"/>
                <w:i w:val="0"/>
                <w:iCs w:val="0"/>
                <w:color w:val="auto"/>
                <w:sz w:val="24"/>
                <w:szCs w:val="24"/>
                <w:u w:val="none" w:color="auto"/>
              </w:rPr>
              <w:t>；</w:t>
            </w:r>
          </w:p>
          <w:p w14:paraId="6F3B48F3">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TL—</w:t>
            </w:r>
            <w:r>
              <w:rPr>
                <w:rFonts w:hint="eastAsia" w:ascii="Times New Roman" w:hAnsi="Times New Roman" w:eastAsia="宋体" w:cs="Times New Roman"/>
                <w:b w:val="0"/>
                <w:bCs w:val="0"/>
                <w:i w:val="0"/>
                <w:iCs w:val="0"/>
                <w:color w:val="auto"/>
                <w:sz w:val="24"/>
                <w:szCs w:val="24"/>
                <w:u w:val="none" w:color="auto"/>
                <w:lang w:eastAsia="zh-CN"/>
              </w:rPr>
              <w:t>隔墙（或窗户）倍频带或</w:t>
            </w:r>
            <w:r>
              <w:rPr>
                <w:rFonts w:hint="eastAsia" w:ascii="Times New Roman" w:hAnsi="Times New Roman" w:eastAsia="宋体" w:cs="Times New Roman"/>
                <w:b w:val="0"/>
                <w:bCs w:val="0"/>
                <w:i w:val="0"/>
                <w:iCs w:val="0"/>
                <w:color w:val="auto"/>
                <w:sz w:val="24"/>
                <w:szCs w:val="24"/>
                <w:u w:val="none" w:color="auto"/>
                <w:lang w:val="en-US" w:eastAsia="zh-CN"/>
              </w:rPr>
              <w:t>A声级的</w:t>
            </w:r>
            <w:r>
              <w:rPr>
                <w:rFonts w:hint="default" w:ascii="Times New Roman" w:hAnsi="Times New Roman" w:eastAsia="宋体" w:cs="Times New Roman"/>
                <w:b w:val="0"/>
                <w:bCs w:val="0"/>
                <w:i w:val="0"/>
                <w:iCs w:val="0"/>
                <w:color w:val="auto"/>
                <w:sz w:val="24"/>
                <w:szCs w:val="24"/>
                <w:u w:val="none" w:color="auto"/>
              </w:rPr>
              <w:t>隔声量，dB。</w:t>
            </w:r>
          </w:p>
          <w:p w14:paraId="0B8CD3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lang w:val="en-US" w:eastAsia="zh-CN"/>
              </w:rPr>
              <w:fldChar w:fldCharType="begin"/>
            </w:r>
            <w:r>
              <w:rPr>
                <w:rFonts w:hint="default" w:ascii="Times New Roman" w:hAnsi="Times New Roman" w:eastAsia="宋体" w:cs="Times New Roman"/>
                <w:b w:val="0"/>
                <w:bCs w:val="0"/>
                <w:i w:val="0"/>
                <w:iCs w:val="0"/>
                <w:color w:val="auto"/>
                <w:sz w:val="24"/>
                <w:szCs w:val="24"/>
                <w:u w:val="none" w:color="auto"/>
                <w:lang w:val="en-US" w:eastAsia="zh-CN"/>
              </w:rPr>
              <w:instrText xml:space="preserve"> = 2 \* GB3 \* MERGEFORMAT </w:instrText>
            </w:r>
            <w:r>
              <w:rPr>
                <w:rFonts w:hint="default" w:ascii="Times New Roman" w:hAnsi="Times New Roman" w:eastAsia="宋体" w:cs="Times New Roman"/>
                <w:b w:val="0"/>
                <w:bCs w:val="0"/>
                <w:i w:val="0"/>
                <w:iCs w:val="0"/>
                <w:color w:val="auto"/>
                <w:sz w:val="24"/>
                <w:szCs w:val="24"/>
                <w:u w:val="none" w:color="auto"/>
                <w:lang w:val="en-US" w:eastAsia="zh-CN"/>
              </w:rPr>
              <w:fldChar w:fldCharType="separate"/>
            </w:r>
            <w:r>
              <w:rPr>
                <w:rFonts w:hint="default" w:ascii="Times New Roman" w:hAnsi="Times New Roman" w:cs="Times New Roman"/>
                <w:sz w:val="24"/>
                <w:szCs w:val="24"/>
              </w:rPr>
              <w:t>②</w:t>
            </w:r>
            <w:r>
              <w:rPr>
                <w:rFonts w:hint="default" w:ascii="Times New Roman" w:hAnsi="Times New Roman" w:eastAsia="宋体" w:cs="Times New Roman"/>
                <w:b w:val="0"/>
                <w:bCs w:val="0"/>
                <w:i w:val="0"/>
                <w:iCs w:val="0"/>
                <w:color w:val="auto"/>
                <w:sz w:val="24"/>
                <w:szCs w:val="24"/>
                <w:u w:val="none" w:color="auto"/>
                <w:lang w:val="en-US" w:eastAsia="zh-CN"/>
              </w:rPr>
              <w:fldChar w:fldCharType="end"/>
            </w:r>
            <w:r>
              <w:rPr>
                <w:rFonts w:hint="default" w:ascii="Times New Roman" w:hAnsi="Times New Roman" w:eastAsia="宋体" w:cs="Times New Roman"/>
                <w:b w:val="0"/>
                <w:bCs w:val="0"/>
                <w:i w:val="0"/>
                <w:iCs w:val="0"/>
                <w:color w:val="auto"/>
                <w:sz w:val="24"/>
                <w:szCs w:val="24"/>
                <w:u w:val="none" w:color="auto"/>
              </w:rPr>
              <w:t>计算出所有室内声源在围护结构处产生的i倍频带叠加声压级：</w:t>
            </w:r>
          </w:p>
          <w:p w14:paraId="59884E47">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position w:val="-32"/>
                <w:sz w:val="24"/>
                <w:szCs w:val="24"/>
                <w:u w:val="none" w:color="auto"/>
                <w:lang w:eastAsia="zh-CN"/>
              </w:rPr>
              <w:object>
                <v:shape id="_x0000_i1029" o:spt="75" type="#_x0000_t75" style="height:38pt;width:129pt;" o:ole="t" filled="f" o:preferrelative="t" stroked="f" coordsize="21600,21600">
                  <v:path/>
                  <v:fill on="f" focussize="0,0"/>
                  <v:stroke on="f"/>
                  <v:imagedata r:id="rId20" o:title=""/>
                  <o:lock v:ext="edit" aspectratio="t"/>
                  <w10:wrap type="none"/>
                  <w10:anchorlock/>
                </v:shape>
                <o:OLEObject Type="Embed" ProgID="Equation.KSEE3" ShapeID="_x0000_i1029" DrawAspect="Content" ObjectID="_1468075729" r:id="rId19">
                  <o:LockedField>false</o:LockedField>
                </o:OLEObject>
              </w:object>
            </w:r>
          </w:p>
          <w:p w14:paraId="7E0C64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式中：L</w:t>
            </w:r>
            <w:r>
              <w:rPr>
                <w:rFonts w:hint="eastAsia" w:ascii="Times New Roman" w:hAnsi="Times New Roman" w:eastAsia="宋体" w:cs="Times New Roman"/>
                <w:b w:val="0"/>
                <w:bCs w:val="0"/>
                <w:i w:val="0"/>
                <w:iCs w:val="0"/>
                <w:color w:val="auto"/>
                <w:sz w:val="24"/>
                <w:szCs w:val="24"/>
                <w:u w:val="none" w:color="auto"/>
                <w:vertAlign w:val="subscript"/>
                <w:lang w:val="en-US" w:eastAsia="zh-CN"/>
              </w:rPr>
              <w:t>pli</w:t>
            </w:r>
            <w:r>
              <w:rPr>
                <w:rFonts w:hint="default" w:ascii="Times New Roman" w:hAnsi="Times New Roman" w:eastAsia="宋体" w:cs="Times New Roman"/>
                <w:b w:val="0"/>
                <w:bCs w:val="0"/>
                <w:i w:val="0"/>
                <w:iCs w:val="0"/>
                <w:color w:val="auto"/>
                <w:sz w:val="24"/>
                <w:szCs w:val="24"/>
                <w:u w:val="none" w:color="auto"/>
              </w:rPr>
              <w:t>(T)—靠近围护结构处室内N个声源i倍频带的叠加声压级，dB；</w:t>
            </w:r>
          </w:p>
          <w:p w14:paraId="54D81530">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L</w:t>
            </w:r>
            <w:r>
              <w:rPr>
                <w:rFonts w:hint="default" w:ascii="Times New Roman" w:hAnsi="Times New Roman" w:eastAsia="宋体" w:cs="Times New Roman"/>
                <w:b w:val="0"/>
                <w:bCs w:val="0"/>
                <w:i w:val="0"/>
                <w:iCs w:val="0"/>
                <w:color w:val="auto"/>
                <w:sz w:val="24"/>
                <w:szCs w:val="24"/>
                <w:u w:val="none" w:color="auto"/>
                <w:vertAlign w:val="subscript"/>
              </w:rPr>
              <w:t>P1ij</w:t>
            </w:r>
            <w:r>
              <w:rPr>
                <w:rFonts w:hint="default" w:ascii="Times New Roman" w:hAnsi="Times New Roman" w:eastAsia="宋体" w:cs="Times New Roman"/>
                <w:b w:val="0"/>
                <w:bCs w:val="0"/>
                <w:i w:val="0"/>
                <w:iCs w:val="0"/>
                <w:color w:val="auto"/>
                <w:sz w:val="24"/>
                <w:szCs w:val="24"/>
                <w:u w:val="none" w:color="auto"/>
              </w:rPr>
              <w:t xml:space="preserve">—室内 j声源i倍频带的声压级，dB； </w:t>
            </w:r>
          </w:p>
          <w:p w14:paraId="705F8851">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N—室内声源总数。</w:t>
            </w:r>
          </w:p>
          <w:p w14:paraId="6DE82B2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lang w:val="en-US" w:eastAsia="zh-CN"/>
              </w:rPr>
              <w:fldChar w:fldCharType="begin"/>
            </w:r>
            <w:r>
              <w:rPr>
                <w:rFonts w:hint="default" w:ascii="Times New Roman" w:hAnsi="Times New Roman" w:eastAsia="宋体" w:cs="Times New Roman"/>
                <w:b w:val="0"/>
                <w:bCs w:val="0"/>
                <w:i w:val="0"/>
                <w:iCs w:val="0"/>
                <w:color w:val="auto"/>
                <w:sz w:val="24"/>
                <w:szCs w:val="24"/>
                <w:u w:val="none" w:color="auto"/>
                <w:lang w:val="en-US" w:eastAsia="zh-CN"/>
              </w:rPr>
              <w:instrText xml:space="preserve"> = 3 \* GB3 \* MERGEFORMAT </w:instrText>
            </w:r>
            <w:r>
              <w:rPr>
                <w:rFonts w:hint="default" w:ascii="Times New Roman" w:hAnsi="Times New Roman" w:eastAsia="宋体" w:cs="Times New Roman"/>
                <w:b w:val="0"/>
                <w:bCs w:val="0"/>
                <w:i w:val="0"/>
                <w:iCs w:val="0"/>
                <w:color w:val="auto"/>
                <w:sz w:val="24"/>
                <w:szCs w:val="24"/>
                <w:u w:val="none" w:color="auto"/>
                <w:lang w:val="en-US" w:eastAsia="zh-CN"/>
              </w:rPr>
              <w:fldChar w:fldCharType="separate"/>
            </w:r>
            <w:r>
              <w:rPr>
                <w:rFonts w:hint="default" w:ascii="Times New Roman" w:hAnsi="Times New Roman" w:cs="Times New Roman"/>
                <w:sz w:val="24"/>
                <w:szCs w:val="24"/>
              </w:rPr>
              <w:t>③</w:t>
            </w:r>
            <w:r>
              <w:rPr>
                <w:rFonts w:hint="default" w:ascii="Times New Roman" w:hAnsi="Times New Roman" w:eastAsia="宋体" w:cs="Times New Roman"/>
                <w:b w:val="0"/>
                <w:bCs w:val="0"/>
                <w:i w:val="0"/>
                <w:iCs w:val="0"/>
                <w:color w:val="auto"/>
                <w:sz w:val="24"/>
                <w:szCs w:val="24"/>
                <w:u w:val="none" w:color="auto"/>
                <w:lang w:val="en-US" w:eastAsia="zh-CN"/>
              </w:rPr>
              <w:fldChar w:fldCharType="end"/>
            </w:r>
            <w:r>
              <w:rPr>
                <w:rFonts w:hint="default" w:ascii="Times New Roman" w:hAnsi="Times New Roman" w:eastAsia="宋体" w:cs="Times New Roman"/>
                <w:b w:val="0"/>
                <w:bCs w:val="0"/>
                <w:i w:val="0"/>
                <w:iCs w:val="0"/>
                <w:color w:val="auto"/>
                <w:sz w:val="24"/>
                <w:szCs w:val="24"/>
                <w:u w:val="none" w:color="auto"/>
              </w:rPr>
              <w:t>将室</w:t>
            </w:r>
            <w:r>
              <w:rPr>
                <w:rFonts w:hint="eastAsia" w:ascii="Times New Roman" w:hAnsi="Times New Roman" w:eastAsia="宋体" w:cs="Times New Roman"/>
                <w:b w:val="0"/>
                <w:bCs w:val="0"/>
                <w:i w:val="0"/>
                <w:iCs w:val="0"/>
                <w:color w:val="auto"/>
                <w:sz w:val="24"/>
                <w:szCs w:val="24"/>
                <w:u w:val="none" w:color="auto"/>
                <w:lang w:eastAsia="zh-CN"/>
              </w:rPr>
              <w:t>外</w:t>
            </w:r>
            <w:r>
              <w:rPr>
                <w:rFonts w:hint="default" w:ascii="Times New Roman" w:hAnsi="Times New Roman" w:eastAsia="宋体" w:cs="Times New Roman"/>
                <w:b w:val="0"/>
                <w:bCs w:val="0"/>
                <w:i w:val="0"/>
                <w:iCs w:val="0"/>
                <w:color w:val="auto"/>
                <w:sz w:val="24"/>
                <w:szCs w:val="24"/>
                <w:u w:val="none" w:color="auto"/>
              </w:rPr>
              <w:t>声源的声压级和透过面积换算成等效的室外声源，计算出中心位置位于透声面积（S）处的等效声源的倍频带声功率级：</w:t>
            </w:r>
          </w:p>
          <w:p w14:paraId="62449DE0">
            <w:pPr>
              <w:keepNext w:val="0"/>
              <w:keepLines w:val="0"/>
              <w:pageBreakBefore w:val="0"/>
              <w:widowControl w:val="0"/>
              <w:tabs>
                <w:tab w:val="left" w:pos="6093"/>
              </w:tabs>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eastAsia" w:ascii="Times New Roman" w:hAnsi="Times New Roman" w:eastAsia="宋体" w:cs="Times New Roman"/>
                <w:b w:val="0"/>
                <w:bCs w:val="0"/>
                <w:i w:val="0"/>
                <w:iCs w:val="0"/>
                <w:color w:val="auto"/>
                <w:sz w:val="24"/>
                <w:szCs w:val="24"/>
                <w:u w:val="none" w:color="auto"/>
                <w:lang w:eastAsia="zh-CN"/>
              </w:rPr>
            </w:pPr>
            <w:r>
              <w:rPr>
                <w:rFonts w:hint="default" w:ascii="Times New Roman" w:hAnsi="Times New Roman" w:eastAsia="宋体" w:cs="Times New Roman"/>
                <w:b w:val="0"/>
                <w:bCs w:val="0"/>
                <w:i w:val="0"/>
                <w:iCs w:val="0"/>
                <w:color w:val="auto"/>
                <w:position w:val="-12"/>
                <w:sz w:val="24"/>
                <w:szCs w:val="24"/>
                <w:u w:val="none" w:color="auto"/>
              </w:rPr>
              <w:object>
                <v:shape id="_x0000_i1030" o:spt="75" type="#_x0000_t75" style="height:18pt;width:103pt;" o:ole="t" filled="f" o:preferrelative="t" stroked="f" coordsize="21600,21600">
                  <v:path/>
                  <v:fill on="f" focussize="0,0"/>
                  <v:stroke on="f"/>
                  <v:imagedata r:id="rId22" o:title=""/>
                  <o:lock v:ext="edit" aspectratio="t"/>
                  <w10:wrap type="none"/>
                  <w10:anchorlock/>
                </v:shape>
                <o:OLEObject Type="Embed" ProgID="Equation.KSEE3" ShapeID="_x0000_i1030" DrawAspect="Content" ObjectID="_1468075730" r:id="rId21">
                  <o:LockedField>false</o:LockedField>
                </o:OLEObject>
              </w:object>
            </w:r>
            <w:r>
              <w:rPr>
                <w:rFonts w:hint="eastAsia" w:ascii="Times New Roman" w:hAnsi="Times New Roman" w:eastAsia="宋体" w:cs="Times New Roman"/>
                <w:b w:val="0"/>
                <w:bCs w:val="0"/>
                <w:i w:val="0"/>
                <w:iCs w:val="0"/>
                <w:color w:val="auto"/>
                <w:position w:val="-12"/>
                <w:sz w:val="24"/>
                <w:szCs w:val="24"/>
                <w:u w:val="none" w:color="auto"/>
                <w:lang w:eastAsia="zh-CN"/>
              </w:rPr>
              <w:tab/>
            </w:r>
          </w:p>
          <w:p w14:paraId="19E268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式中：L</w:t>
            </w:r>
            <w:r>
              <w:rPr>
                <w:rFonts w:hint="eastAsia" w:ascii="Times New Roman" w:hAnsi="Times New Roman" w:eastAsia="宋体" w:cs="Times New Roman"/>
                <w:b w:val="0"/>
                <w:bCs w:val="0"/>
                <w:i w:val="0"/>
                <w:iCs w:val="0"/>
                <w:color w:val="auto"/>
                <w:sz w:val="24"/>
                <w:szCs w:val="24"/>
                <w:u w:val="none" w:color="auto"/>
                <w:vertAlign w:val="subscript"/>
                <w:lang w:val="en-US" w:eastAsia="zh-CN"/>
              </w:rPr>
              <w:t>W</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中心位置位于透声面积（</w:t>
            </w:r>
            <w:r>
              <w:rPr>
                <w:rFonts w:hint="eastAsia" w:ascii="Times New Roman" w:hAnsi="Times New Roman" w:eastAsia="宋体" w:cs="Times New Roman"/>
                <w:b w:val="0"/>
                <w:bCs w:val="0"/>
                <w:i w:val="0"/>
                <w:iCs w:val="0"/>
                <w:color w:val="auto"/>
                <w:sz w:val="24"/>
                <w:szCs w:val="24"/>
                <w:u w:val="none" w:color="auto"/>
                <w:lang w:val="en-US" w:eastAsia="zh-CN"/>
              </w:rPr>
              <w:t>S</w:t>
            </w:r>
            <w:r>
              <w:rPr>
                <w:rFonts w:hint="eastAsia" w:ascii="Times New Roman" w:hAnsi="Times New Roman" w:eastAsia="宋体" w:cs="Times New Roman"/>
                <w:b w:val="0"/>
                <w:bCs w:val="0"/>
                <w:i w:val="0"/>
                <w:iCs w:val="0"/>
                <w:color w:val="auto"/>
                <w:sz w:val="24"/>
                <w:szCs w:val="24"/>
                <w:u w:val="none" w:color="auto"/>
                <w:lang w:eastAsia="zh-CN"/>
              </w:rPr>
              <w:t>）处</w:t>
            </w:r>
            <w:r>
              <w:rPr>
                <w:rFonts w:hint="default" w:ascii="Times New Roman" w:hAnsi="Times New Roman" w:eastAsia="宋体" w:cs="Times New Roman"/>
                <w:b w:val="0"/>
                <w:bCs w:val="0"/>
                <w:i w:val="0"/>
                <w:iCs w:val="0"/>
                <w:color w:val="auto"/>
                <w:sz w:val="24"/>
                <w:szCs w:val="24"/>
                <w:u w:val="none" w:color="auto"/>
              </w:rPr>
              <w:t>的</w:t>
            </w:r>
            <w:r>
              <w:rPr>
                <w:rFonts w:hint="eastAsia" w:ascii="Times New Roman" w:hAnsi="Times New Roman" w:eastAsia="宋体" w:cs="Times New Roman"/>
                <w:b w:val="0"/>
                <w:bCs w:val="0"/>
                <w:i w:val="0"/>
                <w:iCs w:val="0"/>
                <w:color w:val="auto"/>
                <w:sz w:val="24"/>
                <w:szCs w:val="24"/>
                <w:u w:val="none" w:color="auto"/>
                <w:lang w:eastAsia="zh-CN"/>
              </w:rPr>
              <w:t>等效声源的倍频带声功率级，</w:t>
            </w:r>
            <w:r>
              <w:rPr>
                <w:rFonts w:hint="default" w:ascii="Times New Roman" w:hAnsi="Times New Roman" w:eastAsia="宋体" w:cs="Times New Roman"/>
                <w:b w:val="0"/>
                <w:bCs w:val="0"/>
                <w:i w:val="0"/>
                <w:iCs w:val="0"/>
                <w:color w:val="auto"/>
                <w:sz w:val="24"/>
                <w:szCs w:val="24"/>
                <w:u w:val="none" w:color="auto"/>
              </w:rPr>
              <w:t>dB；</w:t>
            </w:r>
          </w:p>
          <w:p w14:paraId="6FB939F7">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L</w:t>
            </w:r>
            <w:r>
              <w:rPr>
                <w:rFonts w:hint="default" w:ascii="Times New Roman" w:hAnsi="Times New Roman" w:eastAsia="宋体" w:cs="Times New Roman"/>
                <w:b w:val="0"/>
                <w:bCs w:val="0"/>
                <w:i w:val="0"/>
                <w:iCs w:val="0"/>
                <w:color w:val="auto"/>
                <w:sz w:val="24"/>
                <w:szCs w:val="24"/>
                <w:u w:val="none" w:color="auto"/>
                <w:vertAlign w:val="subscript"/>
              </w:rPr>
              <w:t>P</w:t>
            </w:r>
            <w:r>
              <w:rPr>
                <w:rFonts w:hint="eastAsia" w:ascii="Times New Roman" w:hAnsi="Times New Roman" w:eastAsia="宋体" w:cs="Times New Roman"/>
                <w:b w:val="0"/>
                <w:bCs w:val="0"/>
                <w:i w:val="0"/>
                <w:iCs w:val="0"/>
                <w:color w:val="auto"/>
                <w:sz w:val="24"/>
                <w:szCs w:val="24"/>
                <w:u w:val="none" w:color="auto"/>
                <w:vertAlign w:val="subscript"/>
                <w:lang w:val="en-US" w:eastAsia="zh-CN"/>
              </w:rPr>
              <w:t>2</w:t>
            </w:r>
            <w:r>
              <w:rPr>
                <w:rFonts w:hint="eastAsia" w:ascii="Times New Roman" w:hAnsi="Times New Roman" w:eastAsia="宋体" w:cs="Times New Roman"/>
                <w:b w:val="0"/>
                <w:bCs w:val="0"/>
                <w:i w:val="0"/>
                <w:iCs w:val="0"/>
                <w:color w:val="auto"/>
                <w:sz w:val="24"/>
                <w:szCs w:val="24"/>
                <w:u w:val="none" w:color="auto"/>
                <w:lang w:eastAsia="zh-CN"/>
              </w:rPr>
              <w:t>（</w:t>
            </w:r>
            <w:r>
              <w:rPr>
                <w:rFonts w:hint="eastAsia" w:ascii="Times New Roman" w:hAnsi="Times New Roman" w:eastAsia="宋体" w:cs="Times New Roman"/>
                <w:b w:val="0"/>
                <w:bCs w:val="0"/>
                <w:i w:val="0"/>
                <w:iCs w:val="0"/>
                <w:color w:val="auto"/>
                <w:sz w:val="24"/>
                <w:szCs w:val="24"/>
                <w:u w:val="none" w:color="auto"/>
                <w:lang w:val="en-US" w:eastAsia="zh-CN"/>
              </w:rPr>
              <w:t>T</w:t>
            </w:r>
            <w:r>
              <w:rPr>
                <w:rFonts w:hint="eastAsia" w:ascii="Times New Roman" w:hAnsi="Times New Roman" w:eastAsia="宋体" w:cs="Times New Roman"/>
                <w:b w:val="0"/>
                <w:bCs w:val="0"/>
                <w:i w:val="0"/>
                <w:iCs w:val="0"/>
                <w:color w:val="auto"/>
                <w:sz w:val="24"/>
                <w:szCs w:val="24"/>
                <w:u w:val="none" w:color="auto"/>
                <w:lang w:eastAsia="zh-CN"/>
              </w:rPr>
              <w:t>）</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靠近围护结构处室外声源的声压级</w:t>
            </w:r>
            <w:r>
              <w:rPr>
                <w:rFonts w:hint="default" w:ascii="Times New Roman" w:hAnsi="Times New Roman" w:eastAsia="宋体" w:cs="Times New Roman"/>
                <w:b w:val="0"/>
                <w:bCs w:val="0"/>
                <w:i w:val="0"/>
                <w:iCs w:val="0"/>
                <w:color w:val="auto"/>
                <w:sz w:val="24"/>
                <w:szCs w:val="24"/>
                <w:u w:val="none" w:color="auto"/>
              </w:rPr>
              <w:t xml:space="preserve">，dB； </w:t>
            </w:r>
          </w:p>
          <w:p w14:paraId="4EAE1253">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eastAsia" w:ascii="Times New Roman" w:hAnsi="Times New Roman" w:eastAsia="宋体" w:cs="Times New Roman"/>
                <w:b w:val="0"/>
                <w:bCs w:val="0"/>
                <w:i w:val="0"/>
                <w:iCs w:val="0"/>
                <w:color w:val="auto"/>
                <w:sz w:val="24"/>
                <w:szCs w:val="24"/>
                <w:u w:val="none" w:color="auto"/>
                <w:lang w:val="en-US" w:eastAsia="zh-CN"/>
              </w:rPr>
            </w:pPr>
            <w:r>
              <w:rPr>
                <w:rFonts w:hint="eastAsia" w:ascii="Times New Roman" w:hAnsi="Times New Roman" w:eastAsia="宋体" w:cs="Times New Roman"/>
                <w:b w:val="0"/>
                <w:bCs w:val="0"/>
                <w:i w:val="0"/>
                <w:iCs w:val="0"/>
                <w:color w:val="auto"/>
                <w:sz w:val="24"/>
                <w:szCs w:val="24"/>
                <w:u w:val="none" w:color="auto"/>
                <w:lang w:val="en-US" w:eastAsia="zh-CN"/>
              </w:rPr>
              <w:t>S</w:t>
            </w:r>
            <w:r>
              <w:rPr>
                <w:rFonts w:hint="default" w:ascii="Times New Roman" w:hAnsi="Times New Roman" w:eastAsia="宋体" w:cs="Times New Roman"/>
                <w:b w:val="0"/>
                <w:bCs w:val="0"/>
                <w:i w:val="0"/>
                <w:iCs w:val="0"/>
                <w:color w:val="auto"/>
                <w:sz w:val="24"/>
                <w:szCs w:val="24"/>
                <w:u w:val="none" w:color="auto"/>
              </w:rPr>
              <w:t>—</w:t>
            </w:r>
            <w:r>
              <w:rPr>
                <w:rFonts w:hint="eastAsia" w:ascii="Times New Roman" w:hAnsi="Times New Roman" w:eastAsia="宋体" w:cs="Times New Roman"/>
                <w:b w:val="0"/>
                <w:bCs w:val="0"/>
                <w:i w:val="0"/>
                <w:iCs w:val="0"/>
                <w:color w:val="auto"/>
                <w:sz w:val="24"/>
                <w:szCs w:val="24"/>
                <w:u w:val="none" w:color="auto"/>
                <w:lang w:eastAsia="zh-CN"/>
              </w:rPr>
              <w:t>透声面积，</w:t>
            </w:r>
            <w:r>
              <w:rPr>
                <w:rFonts w:hint="eastAsia" w:ascii="Times New Roman" w:hAnsi="Times New Roman" w:eastAsia="宋体" w:cs="Times New Roman"/>
                <w:b w:val="0"/>
                <w:bCs w:val="0"/>
                <w:i w:val="0"/>
                <w:iCs w:val="0"/>
                <w:color w:val="auto"/>
                <w:sz w:val="24"/>
                <w:szCs w:val="24"/>
                <w:u w:val="none" w:color="auto"/>
                <w:lang w:val="en-US" w:eastAsia="zh-CN"/>
              </w:rPr>
              <w:t>m</w:t>
            </w:r>
            <w:r>
              <w:rPr>
                <w:rFonts w:hint="eastAsia" w:ascii="Times New Roman" w:hAnsi="Times New Roman" w:eastAsia="宋体" w:cs="Times New Roman"/>
                <w:b w:val="0"/>
                <w:bCs w:val="0"/>
                <w:i w:val="0"/>
                <w:iCs w:val="0"/>
                <w:color w:val="auto"/>
                <w:sz w:val="24"/>
                <w:szCs w:val="24"/>
                <w:u w:val="none" w:color="auto"/>
                <w:vertAlign w:val="superscript"/>
                <w:lang w:val="en-US" w:eastAsia="zh-CN"/>
              </w:rPr>
              <w:t>2</w:t>
            </w:r>
            <w:r>
              <w:rPr>
                <w:rFonts w:hint="default" w:ascii="Times New Roman" w:hAnsi="Times New Roman" w:eastAsia="宋体" w:cs="Times New Roman"/>
                <w:b w:val="0"/>
                <w:bCs w:val="0"/>
                <w:i w:val="0"/>
                <w:iCs w:val="0"/>
                <w:color w:val="auto"/>
                <w:sz w:val="24"/>
                <w:szCs w:val="24"/>
                <w:u w:val="none" w:color="auto"/>
              </w:rPr>
              <w:t>。</w:t>
            </w:r>
          </w:p>
          <w:p w14:paraId="0C41F2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eastAsia" w:ascii="Times New Roman" w:hAnsi="Times New Roman" w:eastAsia="宋体" w:cs="Times New Roman"/>
                <w:b w:val="0"/>
                <w:bCs w:val="0"/>
                <w:i w:val="0"/>
                <w:iCs w:val="0"/>
                <w:color w:val="auto"/>
                <w:sz w:val="24"/>
                <w:szCs w:val="24"/>
                <w:u w:val="none" w:color="auto"/>
                <w:lang w:val="en-US" w:eastAsia="zh-CN"/>
              </w:rPr>
              <w:t>c.</w:t>
            </w:r>
            <w:r>
              <w:rPr>
                <w:rFonts w:hint="default" w:ascii="Times New Roman" w:hAnsi="Times New Roman" w:eastAsia="宋体" w:cs="Times New Roman"/>
                <w:b w:val="0"/>
                <w:bCs w:val="0"/>
                <w:i w:val="0"/>
                <w:iCs w:val="0"/>
                <w:color w:val="auto"/>
                <w:sz w:val="24"/>
                <w:szCs w:val="24"/>
                <w:u w:val="none" w:color="auto"/>
                <w:lang w:eastAsia="zh-CN"/>
              </w:rPr>
              <w:t>总声压级</w:t>
            </w:r>
          </w:p>
          <w:p w14:paraId="7AE5DE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室外多声源在某一点的声压级叠加模式：</w:t>
            </w:r>
          </w:p>
          <w:p w14:paraId="298D219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宋体" w:cs="Times New Roman"/>
                <w:b w:val="0"/>
                <w:bCs w:val="0"/>
                <w:i w:val="0"/>
                <w:iCs w:val="0"/>
                <w:color w:val="auto"/>
                <w:sz w:val="24"/>
                <w:szCs w:val="24"/>
                <w:u w:val="none" w:color="auto"/>
                <w:lang w:eastAsia="zh-CN"/>
              </w:rPr>
            </w:pPr>
            <w:r>
              <w:rPr>
                <w:rFonts w:hint="default" w:ascii="Times New Roman" w:hAnsi="Times New Roman" w:eastAsia="宋体" w:cs="Times New Roman"/>
                <w:b w:val="0"/>
                <w:bCs w:val="0"/>
                <w:i w:val="0"/>
                <w:iCs w:val="0"/>
                <w:color w:val="auto"/>
                <w:sz w:val="24"/>
                <w:szCs w:val="24"/>
                <w:u w:val="none" w:color="auto"/>
                <w:lang w:val="en-US" w:eastAsia="zh-CN"/>
              </w:rPr>
              <w:t xml:space="preserve">      </w:t>
            </w:r>
            <w:r>
              <w:rPr>
                <w:rFonts w:hint="default" w:ascii="Times New Roman" w:hAnsi="Times New Roman" w:eastAsia="宋体" w:cs="Times New Roman"/>
                <w:b w:val="0"/>
                <w:bCs w:val="0"/>
                <w:i w:val="0"/>
                <w:iCs w:val="0"/>
                <w:color w:val="auto"/>
                <w:position w:val="-34"/>
                <w:sz w:val="24"/>
                <w:szCs w:val="24"/>
                <w:u w:val="none" w:color="auto"/>
              </w:rPr>
              <w:object>
                <v:shape id="_x0000_i1031" o:spt="75" type="#_x0000_t75" style="height:40pt;width:204.95pt;" o:ole="t" filled="f" o:preferrelative="t" stroked="f" coordsize="21600,21600">
                  <v:path/>
                  <v:fill on="f" focussize="0,0"/>
                  <v:stroke on="f"/>
                  <v:imagedata r:id="rId24" o:title=""/>
                  <o:lock v:ext="edit" aspectratio="t"/>
                  <w10:wrap type="none"/>
                  <w10:anchorlock/>
                </v:shape>
                <o:OLEObject Type="Embed" ProgID="Equation.KSEE3" ShapeID="_x0000_i1031" DrawAspect="Content" ObjectID="_1468075731" r:id="rId23">
                  <o:LockedField>false</o:LockedField>
                </o:OLEObject>
              </w:object>
            </w:r>
          </w:p>
          <w:p w14:paraId="3BBCB9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式中：L</w:t>
            </w:r>
            <w:r>
              <w:rPr>
                <w:rFonts w:hint="default" w:ascii="Times New Roman" w:hAnsi="Times New Roman" w:eastAsia="宋体" w:cs="Times New Roman"/>
                <w:b w:val="0"/>
                <w:bCs w:val="0"/>
                <w:i w:val="0"/>
                <w:iCs w:val="0"/>
                <w:color w:val="auto"/>
                <w:sz w:val="24"/>
                <w:szCs w:val="24"/>
                <w:u w:val="none" w:color="auto"/>
                <w:vertAlign w:val="subscript"/>
              </w:rPr>
              <w:t>eqg</w:t>
            </w:r>
            <w:r>
              <w:rPr>
                <w:rFonts w:hint="default" w:ascii="Times New Roman" w:hAnsi="Times New Roman" w:eastAsia="宋体" w:cs="Times New Roman"/>
                <w:b w:val="0"/>
                <w:bCs w:val="0"/>
                <w:i w:val="0"/>
                <w:iCs w:val="0"/>
                <w:color w:val="auto"/>
                <w:sz w:val="24"/>
                <w:szCs w:val="24"/>
                <w:u w:val="none" w:color="auto"/>
              </w:rPr>
              <w:t>—在预测点的等效声级贡献值，dB(A)；</w:t>
            </w:r>
          </w:p>
          <w:p w14:paraId="78B29462">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L</w:t>
            </w:r>
            <w:r>
              <w:rPr>
                <w:rFonts w:hint="default" w:ascii="Times New Roman" w:hAnsi="Times New Roman" w:eastAsia="宋体" w:cs="Times New Roman"/>
                <w:b w:val="0"/>
                <w:bCs w:val="0"/>
                <w:i w:val="0"/>
                <w:iCs w:val="0"/>
                <w:color w:val="auto"/>
                <w:sz w:val="24"/>
                <w:szCs w:val="24"/>
                <w:u w:val="none" w:color="auto"/>
                <w:vertAlign w:val="subscript"/>
              </w:rPr>
              <w:t>Ai</w:t>
            </w:r>
            <w:r>
              <w:rPr>
                <w:rFonts w:hint="default" w:ascii="Times New Roman" w:hAnsi="Times New Roman" w:eastAsia="宋体" w:cs="Times New Roman"/>
                <w:b w:val="0"/>
                <w:bCs w:val="0"/>
                <w:i w:val="0"/>
                <w:iCs w:val="0"/>
                <w:color w:val="auto"/>
                <w:sz w:val="24"/>
                <w:szCs w:val="24"/>
                <w:u w:val="none" w:color="auto"/>
              </w:rPr>
              <w:t>—i声源在预测点产生的A声级，dB(A)；</w:t>
            </w:r>
          </w:p>
          <w:p w14:paraId="0C0462BB">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L</w:t>
            </w:r>
            <w:r>
              <w:rPr>
                <w:rFonts w:hint="default" w:ascii="Times New Roman" w:hAnsi="Times New Roman" w:eastAsia="宋体" w:cs="Times New Roman"/>
                <w:b w:val="0"/>
                <w:bCs w:val="0"/>
                <w:i w:val="0"/>
                <w:iCs w:val="0"/>
                <w:color w:val="auto"/>
                <w:sz w:val="24"/>
                <w:szCs w:val="24"/>
                <w:u w:val="none" w:color="auto"/>
                <w:vertAlign w:val="subscript"/>
              </w:rPr>
              <w:t>Aj</w:t>
            </w:r>
            <w:r>
              <w:rPr>
                <w:rFonts w:hint="default" w:ascii="Times New Roman" w:hAnsi="Times New Roman" w:eastAsia="宋体" w:cs="Times New Roman"/>
                <w:b w:val="0"/>
                <w:bCs w:val="0"/>
                <w:i w:val="0"/>
                <w:iCs w:val="0"/>
                <w:color w:val="auto"/>
                <w:sz w:val="24"/>
                <w:szCs w:val="24"/>
                <w:u w:val="none" w:color="auto"/>
              </w:rPr>
              <w:t>—j声源在预测点产生的A声级，dB(A)；</w:t>
            </w:r>
          </w:p>
          <w:p w14:paraId="229490AC">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T—用于计算等效声级的时间，s；</w:t>
            </w:r>
          </w:p>
          <w:p w14:paraId="64F6F0F6">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t</w:t>
            </w:r>
            <w:r>
              <w:rPr>
                <w:rFonts w:hint="default" w:ascii="Times New Roman" w:hAnsi="Times New Roman" w:eastAsia="宋体" w:cs="Times New Roman"/>
                <w:b w:val="0"/>
                <w:bCs w:val="0"/>
                <w:i w:val="0"/>
                <w:iCs w:val="0"/>
                <w:color w:val="auto"/>
                <w:sz w:val="24"/>
                <w:szCs w:val="24"/>
                <w:u w:val="none" w:color="auto"/>
                <w:vertAlign w:val="subscript"/>
              </w:rPr>
              <w:t>i</w:t>
            </w:r>
            <w:r>
              <w:rPr>
                <w:rFonts w:hint="default" w:ascii="Times New Roman" w:hAnsi="Times New Roman" w:eastAsia="宋体" w:cs="Times New Roman"/>
                <w:b w:val="0"/>
                <w:bCs w:val="0"/>
                <w:i w:val="0"/>
                <w:iCs w:val="0"/>
                <w:color w:val="auto"/>
                <w:sz w:val="24"/>
                <w:szCs w:val="24"/>
                <w:u w:val="none" w:color="auto"/>
              </w:rPr>
              <w:t>—在T时间段内i声源工作时间，s；</w:t>
            </w:r>
          </w:p>
          <w:p w14:paraId="1D5C7155">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t</w:t>
            </w:r>
            <w:r>
              <w:rPr>
                <w:rFonts w:hint="default" w:ascii="Times New Roman" w:hAnsi="Times New Roman" w:eastAsia="宋体" w:cs="Times New Roman"/>
                <w:b w:val="0"/>
                <w:bCs w:val="0"/>
                <w:i w:val="0"/>
                <w:iCs w:val="0"/>
                <w:color w:val="auto"/>
                <w:sz w:val="24"/>
                <w:szCs w:val="24"/>
                <w:u w:val="none" w:color="auto"/>
                <w:vertAlign w:val="subscript"/>
              </w:rPr>
              <w:t>j</w:t>
            </w:r>
            <w:r>
              <w:rPr>
                <w:rFonts w:hint="default" w:ascii="Times New Roman" w:hAnsi="Times New Roman" w:eastAsia="宋体" w:cs="Times New Roman"/>
                <w:b w:val="0"/>
                <w:bCs w:val="0"/>
                <w:i w:val="0"/>
                <w:iCs w:val="0"/>
                <w:color w:val="auto"/>
                <w:sz w:val="24"/>
                <w:szCs w:val="24"/>
                <w:u w:val="none" w:color="auto"/>
              </w:rPr>
              <w:t>—在T时间段内j声源工作时间，s；</w:t>
            </w:r>
          </w:p>
          <w:p w14:paraId="4325C1A9">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N—室外声源个数；</w:t>
            </w:r>
          </w:p>
          <w:p w14:paraId="0079FEEC">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u w:val="none" w:color="auto"/>
              </w:rPr>
              <w:t>M—等效室外声源个数。</w:t>
            </w:r>
          </w:p>
          <w:p w14:paraId="437437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lang w:eastAsia="zh-CN"/>
              </w:rPr>
            </w:pPr>
            <w:r>
              <w:rPr>
                <w:rFonts w:hint="eastAsia" w:ascii="Times New Roman" w:hAnsi="Times New Roman" w:eastAsia="宋体" w:cs="Times New Roman"/>
                <w:b w:val="0"/>
                <w:bCs w:val="0"/>
                <w:i w:val="0"/>
                <w:iCs w:val="0"/>
                <w:color w:val="auto"/>
                <w:sz w:val="24"/>
                <w:szCs w:val="24"/>
                <w:u w:val="none" w:color="auto"/>
                <w:lang w:val="en-US" w:eastAsia="zh-CN"/>
              </w:rPr>
              <w:t>d.</w:t>
            </w:r>
            <w:r>
              <w:rPr>
                <w:rFonts w:hint="default" w:ascii="Times New Roman" w:hAnsi="Times New Roman" w:eastAsia="宋体" w:cs="Times New Roman"/>
                <w:b w:val="0"/>
                <w:bCs w:val="0"/>
                <w:i w:val="0"/>
                <w:iCs w:val="0"/>
                <w:color w:val="auto"/>
                <w:sz w:val="24"/>
                <w:szCs w:val="24"/>
                <w:u w:val="none" w:color="auto"/>
                <w:lang w:eastAsia="zh-CN"/>
              </w:rPr>
              <w:t>噪声预测值</w:t>
            </w:r>
          </w:p>
          <w:p w14:paraId="29EE6887">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lang w:eastAsia="zh-CN"/>
              </w:rPr>
            </w:pPr>
            <w:r>
              <w:rPr>
                <w:rFonts w:hint="default" w:ascii="Times New Roman" w:hAnsi="Times New Roman" w:eastAsia="宋体" w:cs="Times New Roman"/>
                <w:b w:val="0"/>
                <w:bCs w:val="0"/>
                <w:i w:val="0"/>
                <w:iCs w:val="0"/>
                <w:color w:val="auto"/>
                <w:position w:val="-10"/>
                <w:sz w:val="24"/>
                <w:szCs w:val="24"/>
                <w:u w:val="none" w:color="auto"/>
                <w:lang w:eastAsia="zh-CN"/>
              </w:rPr>
              <w:object>
                <v:shape id="_x0000_i1032" o:spt="75" type="#_x0000_t75" style="height:18pt;width:139pt;" o:ole="t" filled="f" o:preferrelative="t" stroked="f" coordsize="21600,21600">
                  <v:path/>
                  <v:fill on="f" focussize="0,0"/>
                  <v:stroke on="f"/>
                  <v:imagedata r:id="rId26" o:title=""/>
                  <o:lock v:ext="edit" aspectratio="t"/>
                  <w10:wrap type="none"/>
                  <w10:anchorlock/>
                </v:shape>
                <o:OLEObject Type="Embed" ProgID="Equation.KSEE3" ShapeID="_x0000_i1032" DrawAspect="Content" ObjectID="_1468075732" r:id="rId25">
                  <o:LockedField>false</o:LockedField>
                </o:OLEObject>
              </w:object>
            </w:r>
          </w:p>
          <w:p w14:paraId="7CBEAC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b w:val="0"/>
                <w:bCs w:val="0"/>
                <w:i w:val="0"/>
                <w:iCs w:val="0"/>
                <w:color w:val="auto"/>
                <w:sz w:val="24"/>
                <w:szCs w:val="24"/>
                <w:u w:val="none" w:color="auto"/>
                <w:lang w:val="en-US" w:eastAsia="zh-CN"/>
              </w:rPr>
            </w:pPr>
            <w:r>
              <w:rPr>
                <w:rFonts w:hint="default" w:ascii="Times New Roman" w:hAnsi="Times New Roman" w:eastAsia="宋体" w:cs="Times New Roman"/>
                <w:b w:val="0"/>
                <w:bCs w:val="0"/>
                <w:i w:val="0"/>
                <w:iCs w:val="0"/>
                <w:color w:val="auto"/>
                <w:sz w:val="24"/>
                <w:szCs w:val="24"/>
                <w:u w:val="none" w:color="auto"/>
                <w:lang w:eastAsia="zh-CN"/>
              </w:rPr>
              <w:t>式中：</w:t>
            </w:r>
            <w:r>
              <w:rPr>
                <w:rFonts w:hint="default" w:ascii="Times New Roman" w:hAnsi="Times New Roman" w:eastAsia="宋体" w:cs="Times New Roman"/>
                <w:b w:val="0"/>
                <w:bCs w:val="0"/>
                <w:i w:val="0"/>
                <w:iCs w:val="0"/>
                <w:color w:val="auto"/>
                <w:sz w:val="24"/>
                <w:szCs w:val="24"/>
                <w:u w:val="none" w:color="auto"/>
                <w:lang w:val="en-US" w:eastAsia="zh-CN"/>
              </w:rPr>
              <w:t>L</w:t>
            </w:r>
            <w:r>
              <w:rPr>
                <w:rFonts w:hint="default" w:ascii="Times New Roman" w:hAnsi="Times New Roman" w:eastAsia="宋体" w:cs="Times New Roman"/>
                <w:b w:val="0"/>
                <w:bCs w:val="0"/>
                <w:i w:val="0"/>
                <w:iCs w:val="0"/>
                <w:color w:val="auto"/>
                <w:sz w:val="24"/>
                <w:szCs w:val="24"/>
                <w:u w:val="none" w:color="auto"/>
                <w:vertAlign w:val="subscript"/>
                <w:lang w:val="en-US" w:eastAsia="zh-CN"/>
              </w:rPr>
              <w:t>eq</w:t>
            </w:r>
            <w:r>
              <w:rPr>
                <w:rFonts w:hint="default" w:ascii="Times New Roman" w:hAnsi="Times New Roman" w:eastAsia="宋体" w:cs="Times New Roman"/>
                <w:b w:val="0"/>
                <w:bCs w:val="0"/>
                <w:i w:val="0"/>
                <w:iCs w:val="0"/>
                <w:color w:val="auto"/>
                <w:sz w:val="24"/>
                <w:szCs w:val="24"/>
                <w:u w:val="none" w:color="auto"/>
                <w:lang w:val="en-US" w:eastAsia="zh-CN"/>
              </w:rPr>
              <w:t>—预测点的</w:t>
            </w:r>
            <w:r>
              <w:rPr>
                <w:rFonts w:hint="eastAsia" w:ascii="Times New Roman" w:hAnsi="Times New Roman" w:eastAsia="宋体" w:cs="Times New Roman"/>
                <w:b w:val="0"/>
                <w:bCs w:val="0"/>
                <w:i w:val="0"/>
                <w:iCs w:val="0"/>
                <w:color w:val="auto"/>
                <w:sz w:val="24"/>
                <w:szCs w:val="24"/>
                <w:u w:val="none" w:color="auto"/>
                <w:lang w:val="en-US" w:eastAsia="zh-CN"/>
              </w:rPr>
              <w:t>噪声</w:t>
            </w:r>
            <w:r>
              <w:rPr>
                <w:rFonts w:hint="default" w:ascii="Times New Roman" w:hAnsi="Times New Roman" w:eastAsia="宋体" w:cs="Times New Roman"/>
                <w:b w:val="0"/>
                <w:bCs w:val="0"/>
                <w:i w:val="0"/>
                <w:iCs w:val="0"/>
                <w:color w:val="auto"/>
                <w:sz w:val="24"/>
                <w:szCs w:val="24"/>
                <w:u w:val="none" w:color="auto"/>
                <w:lang w:val="en-US" w:eastAsia="zh-CN"/>
              </w:rPr>
              <w:t>预测值</w:t>
            </w:r>
            <w:r>
              <w:rPr>
                <w:rFonts w:hint="eastAsia" w:ascii="Times New Roman" w:hAnsi="Times New Roman" w:eastAsia="宋体" w:cs="Times New Roman"/>
                <w:b w:val="0"/>
                <w:bCs w:val="0"/>
                <w:i w:val="0"/>
                <w:iCs w:val="0"/>
                <w:color w:val="auto"/>
                <w:sz w:val="24"/>
                <w:szCs w:val="24"/>
                <w:u w:val="none" w:color="auto"/>
                <w:lang w:val="en-US" w:eastAsia="zh-CN"/>
              </w:rPr>
              <w:t>，dB</w:t>
            </w:r>
            <w:r>
              <w:rPr>
                <w:rFonts w:hint="default" w:ascii="Times New Roman" w:hAnsi="Times New Roman" w:eastAsia="宋体" w:cs="Times New Roman"/>
                <w:b w:val="0"/>
                <w:bCs w:val="0"/>
                <w:i w:val="0"/>
                <w:iCs w:val="0"/>
                <w:color w:val="auto"/>
                <w:sz w:val="24"/>
                <w:szCs w:val="24"/>
                <w:u w:val="none" w:color="auto"/>
                <w:lang w:val="en-US" w:eastAsia="zh-CN"/>
              </w:rPr>
              <w:t>；</w:t>
            </w:r>
          </w:p>
          <w:p w14:paraId="4B973657">
            <w:pPr>
              <w:keepNext w:val="0"/>
              <w:keepLines w:val="0"/>
              <w:pageBreakBefore w:val="0"/>
              <w:widowControl w:val="0"/>
              <w:kinsoku/>
              <w:wordWrap/>
              <w:overflowPunct/>
              <w:topLinePunct w:val="0"/>
              <w:autoSpaceDE/>
              <w:autoSpaceDN/>
              <w:bidi w:val="0"/>
              <w:adjustRightInd/>
              <w:snapToGrid/>
              <w:spacing w:line="360" w:lineRule="auto"/>
              <w:ind w:left="0" w:leftChars="0" w:firstLine="1200" w:firstLineChars="500"/>
              <w:jc w:val="both"/>
              <w:textAlignment w:val="auto"/>
              <w:outlineLvl w:val="9"/>
              <w:rPr>
                <w:rFonts w:hint="default" w:ascii="Times New Roman" w:hAnsi="Times New Roman" w:eastAsia="宋体" w:cs="Times New Roman"/>
                <w:b w:val="0"/>
                <w:bCs w:val="0"/>
                <w:i w:val="0"/>
                <w:iCs w:val="0"/>
                <w:color w:val="auto"/>
                <w:sz w:val="24"/>
                <w:szCs w:val="24"/>
                <w:u w:val="none" w:color="auto"/>
                <w:lang w:val="en-US" w:eastAsia="zh-CN"/>
              </w:rPr>
            </w:pPr>
            <w:r>
              <w:rPr>
                <w:rFonts w:hint="default" w:ascii="Times New Roman" w:hAnsi="Times New Roman" w:eastAsia="宋体" w:cs="Times New Roman"/>
                <w:b w:val="0"/>
                <w:bCs w:val="0"/>
                <w:i w:val="0"/>
                <w:iCs w:val="0"/>
                <w:color w:val="auto"/>
                <w:sz w:val="24"/>
                <w:szCs w:val="24"/>
                <w:u w:val="none" w:color="auto"/>
                <w:lang w:val="en-US" w:eastAsia="zh-CN"/>
              </w:rPr>
              <w:t>L</w:t>
            </w:r>
            <w:r>
              <w:rPr>
                <w:rFonts w:hint="default" w:ascii="Times New Roman" w:hAnsi="Times New Roman" w:eastAsia="宋体" w:cs="Times New Roman"/>
                <w:b w:val="0"/>
                <w:bCs w:val="0"/>
                <w:i w:val="0"/>
                <w:iCs w:val="0"/>
                <w:color w:val="auto"/>
                <w:sz w:val="24"/>
                <w:szCs w:val="24"/>
                <w:u w:val="none" w:color="auto"/>
                <w:vertAlign w:val="subscript"/>
                <w:lang w:val="en-US" w:eastAsia="zh-CN"/>
              </w:rPr>
              <w:t>eqg</w:t>
            </w:r>
            <w:r>
              <w:rPr>
                <w:rFonts w:hint="default" w:ascii="Times New Roman" w:hAnsi="Times New Roman" w:eastAsia="宋体" w:cs="Times New Roman"/>
                <w:b w:val="0"/>
                <w:bCs w:val="0"/>
                <w:i w:val="0"/>
                <w:iCs w:val="0"/>
                <w:color w:val="auto"/>
                <w:sz w:val="24"/>
                <w:szCs w:val="24"/>
                <w:u w:val="none" w:color="auto"/>
                <w:lang w:val="en-US" w:eastAsia="zh-CN"/>
              </w:rPr>
              <w:t>—</w:t>
            </w:r>
            <w:r>
              <w:rPr>
                <w:rFonts w:hint="eastAsia" w:ascii="Times New Roman" w:hAnsi="Times New Roman" w:eastAsia="宋体" w:cs="Times New Roman"/>
                <w:b w:val="0"/>
                <w:bCs w:val="0"/>
                <w:i w:val="0"/>
                <w:iCs w:val="0"/>
                <w:color w:val="auto"/>
                <w:sz w:val="24"/>
                <w:szCs w:val="24"/>
                <w:u w:val="none" w:color="auto"/>
                <w:lang w:val="en-US" w:eastAsia="zh-CN"/>
              </w:rPr>
              <w:t>建设项目</w:t>
            </w:r>
            <w:r>
              <w:rPr>
                <w:rFonts w:hint="default" w:ascii="Times New Roman" w:hAnsi="Times New Roman" w:eastAsia="宋体" w:cs="Times New Roman"/>
                <w:b w:val="0"/>
                <w:bCs w:val="0"/>
                <w:i w:val="0"/>
                <w:iCs w:val="0"/>
                <w:color w:val="auto"/>
                <w:sz w:val="24"/>
                <w:szCs w:val="24"/>
                <w:u w:val="none" w:color="auto"/>
                <w:lang w:val="en-US" w:eastAsia="zh-CN"/>
              </w:rPr>
              <w:t>声源在预测点</w:t>
            </w:r>
            <w:r>
              <w:rPr>
                <w:rFonts w:hint="eastAsia" w:ascii="Times New Roman" w:hAnsi="Times New Roman" w:eastAsia="宋体" w:cs="Times New Roman"/>
                <w:b w:val="0"/>
                <w:bCs w:val="0"/>
                <w:i w:val="0"/>
                <w:iCs w:val="0"/>
                <w:color w:val="auto"/>
                <w:sz w:val="24"/>
                <w:szCs w:val="24"/>
                <w:u w:val="none" w:color="auto"/>
                <w:lang w:val="en-US" w:eastAsia="zh-CN"/>
              </w:rPr>
              <w:t>产生</w:t>
            </w:r>
            <w:r>
              <w:rPr>
                <w:rFonts w:hint="default" w:ascii="Times New Roman" w:hAnsi="Times New Roman" w:eastAsia="宋体" w:cs="Times New Roman"/>
                <w:b w:val="0"/>
                <w:bCs w:val="0"/>
                <w:i w:val="0"/>
                <w:iCs w:val="0"/>
                <w:color w:val="auto"/>
                <w:sz w:val="24"/>
                <w:szCs w:val="24"/>
                <w:u w:val="none" w:color="auto"/>
                <w:lang w:val="en-US" w:eastAsia="zh-CN"/>
              </w:rPr>
              <w:t>的</w:t>
            </w:r>
            <w:r>
              <w:rPr>
                <w:rFonts w:hint="eastAsia" w:ascii="Times New Roman" w:hAnsi="Times New Roman" w:eastAsia="宋体" w:cs="Times New Roman"/>
                <w:b w:val="0"/>
                <w:bCs w:val="0"/>
                <w:i w:val="0"/>
                <w:iCs w:val="0"/>
                <w:color w:val="auto"/>
                <w:sz w:val="24"/>
                <w:szCs w:val="24"/>
                <w:u w:val="none" w:color="auto"/>
                <w:lang w:val="en-US" w:eastAsia="zh-CN"/>
              </w:rPr>
              <w:t>噪声</w:t>
            </w:r>
            <w:r>
              <w:rPr>
                <w:rFonts w:hint="default" w:ascii="Times New Roman" w:hAnsi="Times New Roman" w:eastAsia="宋体" w:cs="Times New Roman"/>
                <w:b w:val="0"/>
                <w:bCs w:val="0"/>
                <w:i w:val="0"/>
                <w:iCs w:val="0"/>
                <w:color w:val="auto"/>
                <w:sz w:val="24"/>
                <w:szCs w:val="24"/>
                <w:u w:val="none" w:color="auto"/>
                <w:lang w:val="en-US" w:eastAsia="zh-CN"/>
              </w:rPr>
              <w:t>贡献值</w:t>
            </w:r>
            <w:r>
              <w:rPr>
                <w:rFonts w:hint="eastAsia" w:ascii="Times New Roman" w:hAnsi="Times New Roman" w:eastAsia="宋体" w:cs="Times New Roman"/>
                <w:b w:val="0"/>
                <w:bCs w:val="0"/>
                <w:i w:val="0"/>
                <w:iCs w:val="0"/>
                <w:color w:val="auto"/>
                <w:sz w:val="24"/>
                <w:szCs w:val="24"/>
                <w:u w:val="none" w:color="auto"/>
                <w:lang w:val="en-US" w:eastAsia="zh-CN"/>
              </w:rPr>
              <w:t>，dB</w:t>
            </w:r>
            <w:r>
              <w:rPr>
                <w:rFonts w:hint="default" w:ascii="Times New Roman" w:hAnsi="Times New Roman" w:eastAsia="宋体" w:cs="Times New Roman"/>
                <w:b w:val="0"/>
                <w:bCs w:val="0"/>
                <w:i w:val="0"/>
                <w:iCs w:val="0"/>
                <w:color w:val="auto"/>
                <w:sz w:val="24"/>
                <w:szCs w:val="24"/>
                <w:u w:val="none" w:color="auto"/>
                <w:lang w:val="en-US" w:eastAsia="zh-CN"/>
              </w:rPr>
              <w:t>；</w:t>
            </w:r>
          </w:p>
          <w:p w14:paraId="04C1C8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200" w:firstLineChars="500"/>
              <w:jc w:val="both"/>
              <w:textAlignment w:val="auto"/>
              <w:outlineLvl w:val="9"/>
              <w:rPr>
                <w:rFonts w:hint="default"/>
                <w:color w:val="auto"/>
                <w:u w:val="none" w:color="auto"/>
                <w:lang w:val="en-US" w:eastAsia="zh-CN"/>
              </w:rPr>
            </w:pPr>
            <w:r>
              <w:rPr>
                <w:rFonts w:hint="default" w:ascii="Times New Roman" w:hAnsi="Times New Roman" w:eastAsia="宋体" w:cs="Times New Roman"/>
                <w:b w:val="0"/>
                <w:bCs w:val="0"/>
                <w:i w:val="0"/>
                <w:iCs w:val="0"/>
                <w:color w:val="auto"/>
                <w:sz w:val="24"/>
                <w:szCs w:val="24"/>
                <w:u w:val="none" w:color="auto"/>
                <w:lang w:val="en-US" w:eastAsia="zh-CN"/>
              </w:rPr>
              <w:t>L</w:t>
            </w:r>
            <w:r>
              <w:rPr>
                <w:rFonts w:hint="default" w:ascii="Times New Roman" w:hAnsi="Times New Roman" w:eastAsia="宋体" w:cs="Times New Roman"/>
                <w:b w:val="0"/>
                <w:bCs w:val="0"/>
                <w:i w:val="0"/>
                <w:iCs w:val="0"/>
                <w:color w:val="auto"/>
                <w:sz w:val="24"/>
                <w:szCs w:val="24"/>
                <w:u w:val="none" w:color="auto"/>
                <w:vertAlign w:val="subscript"/>
                <w:lang w:val="en-US" w:eastAsia="zh-CN"/>
              </w:rPr>
              <w:t>eq</w:t>
            </w:r>
            <w:r>
              <w:rPr>
                <w:rFonts w:hint="eastAsia" w:ascii="Times New Roman" w:hAnsi="Times New Roman" w:eastAsia="宋体" w:cs="Times New Roman"/>
                <w:b w:val="0"/>
                <w:bCs w:val="0"/>
                <w:i w:val="0"/>
                <w:iCs w:val="0"/>
                <w:color w:val="auto"/>
                <w:sz w:val="24"/>
                <w:szCs w:val="24"/>
                <w:u w:val="none" w:color="auto"/>
                <w:vertAlign w:val="subscript"/>
                <w:lang w:val="en-US" w:eastAsia="zh-CN"/>
              </w:rPr>
              <w:t>b</w:t>
            </w:r>
            <w:r>
              <w:rPr>
                <w:rFonts w:hint="default" w:ascii="Times New Roman" w:hAnsi="Times New Roman" w:eastAsia="宋体" w:cs="Times New Roman"/>
                <w:b w:val="0"/>
                <w:bCs w:val="0"/>
                <w:i w:val="0"/>
                <w:iCs w:val="0"/>
                <w:color w:val="auto"/>
                <w:sz w:val="24"/>
                <w:szCs w:val="24"/>
                <w:u w:val="none" w:color="auto"/>
                <w:lang w:val="en-US" w:eastAsia="zh-CN"/>
              </w:rPr>
              <w:t>—预测点的</w:t>
            </w:r>
            <w:r>
              <w:rPr>
                <w:rFonts w:hint="eastAsia" w:ascii="Times New Roman" w:hAnsi="Times New Roman" w:eastAsia="宋体" w:cs="Times New Roman"/>
                <w:b w:val="0"/>
                <w:bCs w:val="0"/>
                <w:i w:val="0"/>
                <w:iCs w:val="0"/>
                <w:color w:val="auto"/>
                <w:sz w:val="24"/>
                <w:szCs w:val="24"/>
                <w:u w:val="none" w:color="auto"/>
                <w:lang w:val="en-US" w:eastAsia="zh-CN"/>
              </w:rPr>
              <w:t>背景噪声值，dB</w:t>
            </w:r>
            <w:r>
              <w:rPr>
                <w:rFonts w:hint="default"/>
                <w:color w:val="auto"/>
                <w:u w:val="none" w:color="auto"/>
                <w:lang w:val="en-US" w:eastAsia="zh-CN"/>
              </w:rPr>
              <w:t>。</w:t>
            </w:r>
          </w:p>
          <w:p w14:paraId="78AEC29A">
            <w:pPr>
              <w:pageBreakBefore w:val="0"/>
              <w:kinsoku/>
              <w:wordWrap/>
              <w:overflowPunct/>
              <w:topLinePunct w:val="0"/>
              <w:bidi w:val="0"/>
              <w:spacing w:line="360" w:lineRule="auto"/>
              <w:ind w:left="0" w:leftChars="0" w:firstLine="480" w:firstLineChars="200"/>
              <w:rPr>
                <w:rFonts w:hint="default" w:ascii="Times New Roman" w:hAnsi="Times New Roman" w:cs="Times New Roman"/>
                <w:sz w:val="24"/>
                <w:szCs w:val="24"/>
                <w:highlight w:val="none"/>
                <w:u w:val="single" w:color="auto"/>
              </w:rPr>
            </w:pPr>
            <w:r>
              <w:rPr>
                <w:rFonts w:hint="eastAsia" w:ascii="Times New Roman" w:hAnsi="Times New Roman" w:cs="Times New Roman"/>
                <w:sz w:val="24"/>
                <w:szCs w:val="24"/>
                <w:highlight w:val="none"/>
                <w:u w:val="none" w:color="auto"/>
                <w:lang w:val="en-US" w:eastAsia="zh-CN"/>
              </w:rPr>
              <w:t>本项目对厂界噪声</w:t>
            </w:r>
            <w:r>
              <w:rPr>
                <w:rFonts w:hint="eastAsia" w:ascii="Times New Roman" w:hAnsi="Times New Roman" w:cs="Times New Roman"/>
                <w:sz w:val="24"/>
                <w:szCs w:val="24"/>
                <w:highlight w:val="none"/>
                <w:u w:val="single" w:color="auto"/>
                <w:lang w:val="en-US" w:eastAsia="zh-CN"/>
              </w:rPr>
              <w:t>进行预测，</w:t>
            </w:r>
            <w:r>
              <w:rPr>
                <w:rFonts w:hint="default" w:ascii="Times New Roman" w:hAnsi="Times New Roman" w:cs="Times New Roman"/>
                <w:sz w:val="24"/>
                <w:szCs w:val="24"/>
                <w:highlight w:val="none"/>
                <w:u w:val="single" w:color="auto"/>
              </w:rPr>
              <w:t>预测结果见</w:t>
            </w:r>
            <w:r>
              <w:rPr>
                <w:rFonts w:hint="eastAsia" w:ascii="Times New Roman" w:hAnsi="Times New Roman" w:cs="Times New Roman"/>
                <w:sz w:val="24"/>
                <w:szCs w:val="24"/>
                <w:highlight w:val="none"/>
                <w:u w:val="single" w:color="auto"/>
                <w:lang w:val="en-US" w:eastAsia="zh-CN"/>
              </w:rPr>
              <w:t>下表</w:t>
            </w:r>
            <w:r>
              <w:rPr>
                <w:rFonts w:hint="default" w:ascii="Times New Roman" w:hAnsi="Times New Roman" w:cs="Times New Roman"/>
                <w:sz w:val="24"/>
                <w:szCs w:val="24"/>
                <w:highlight w:val="none"/>
                <w:u w:val="single" w:color="auto"/>
              </w:rPr>
              <w:t>。</w:t>
            </w:r>
          </w:p>
          <w:p w14:paraId="663CC331">
            <w:pPr>
              <w:pStyle w:val="48"/>
              <w:keepNext w:val="0"/>
              <w:keepLines w:val="0"/>
              <w:pageBreakBefore w:val="0"/>
              <w:widowControl/>
              <w:kinsoku/>
              <w:wordWrap/>
              <w:overflowPunct/>
              <w:topLinePunct w:val="0"/>
              <w:autoSpaceDE/>
              <w:autoSpaceDN/>
              <w:bidi w:val="0"/>
              <w:adjustRightInd/>
              <w:snapToGrid/>
              <w:spacing w:beforeLines="0" w:afterLines="0" w:line="240" w:lineRule="auto"/>
              <w:textAlignment w:val="auto"/>
              <w:rPr>
                <w:rFonts w:hint="default"/>
                <w:highlight w:val="none"/>
                <w:u w:val="single" w:color="auto"/>
              </w:rPr>
            </w:pPr>
            <w:r>
              <w:rPr>
                <w:rFonts w:hint="default"/>
                <w:highlight w:val="none"/>
                <w:u w:val="single" w:color="auto"/>
              </w:rPr>
              <w:t>表</w:t>
            </w:r>
            <w:r>
              <w:rPr>
                <w:rFonts w:hint="eastAsia"/>
                <w:highlight w:val="none"/>
                <w:u w:val="single" w:color="auto"/>
                <w:lang w:val="en-US" w:eastAsia="zh-CN"/>
              </w:rPr>
              <w:t>4-9</w:t>
            </w:r>
            <w:r>
              <w:rPr>
                <w:rFonts w:hint="default"/>
                <w:highlight w:val="none"/>
                <w:u w:val="single" w:color="auto"/>
              </w:rPr>
              <w:t xml:space="preserve">  环境噪声预测评价结果表</w:t>
            </w:r>
          </w:p>
          <w:tbl>
            <w:tblPr>
              <w:tblStyle w:val="21"/>
              <w:tblW w:w="4998"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Layout w:type="fixed"/>
              <w:tblCellMar>
                <w:top w:w="0" w:type="dxa"/>
                <w:left w:w="108" w:type="dxa"/>
                <w:bottom w:w="0" w:type="dxa"/>
                <w:right w:w="108" w:type="dxa"/>
              </w:tblCellMar>
            </w:tblPr>
            <w:tblGrid>
              <w:gridCol w:w="1546"/>
              <w:gridCol w:w="1483"/>
              <w:gridCol w:w="1816"/>
              <w:gridCol w:w="2188"/>
              <w:gridCol w:w="1444"/>
            </w:tblGrid>
            <w:tr w14:paraId="039CDC74">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108" w:type="dxa"/>
                  <w:bottom w:w="0" w:type="dxa"/>
                  <w:right w:w="108" w:type="dxa"/>
                </w:tblCellMar>
              </w:tblPrEx>
              <w:trPr>
                <w:trHeight w:val="269" w:hRule="atLeast"/>
                <w:jc w:val="center"/>
              </w:trPr>
              <w:tc>
                <w:tcPr>
                  <w:tcW w:w="911" w:type="pct"/>
                  <w:vMerge w:val="restart"/>
                  <w:tcBorders>
                    <w:tl2br w:val="nil"/>
                    <w:tr2bl w:val="nil"/>
                  </w:tcBorders>
                  <w:noWrap w:val="0"/>
                  <w:vAlign w:val="center"/>
                </w:tcPr>
                <w:p w14:paraId="2E86565D">
                  <w:pPr>
                    <w:widowControl/>
                    <w:snapToGrid w:val="0"/>
                    <w:jc w:val="center"/>
                    <w:rPr>
                      <w:rFonts w:hint="default" w:ascii="Times New Roman" w:hAnsi="Times New Roman" w:cs="Times New Roman"/>
                      <w:u w:val="single" w:color="auto"/>
                    </w:rPr>
                  </w:pPr>
                  <w:r>
                    <w:rPr>
                      <w:rFonts w:hint="default" w:ascii="Times New Roman" w:hAnsi="Times New Roman" w:cs="Times New Roman"/>
                      <w:u w:val="single" w:color="auto"/>
                    </w:rPr>
                    <w:t>预测点位</w:t>
                  </w:r>
                </w:p>
              </w:tc>
              <w:tc>
                <w:tcPr>
                  <w:tcW w:w="874" w:type="pct"/>
                  <w:vMerge w:val="restart"/>
                  <w:tcBorders>
                    <w:tl2br w:val="nil"/>
                    <w:tr2bl w:val="nil"/>
                  </w:tcBorders>
                  <w:noWrap w:val="0"/>
                  <w:vAlign w:val="center"/>
                </w:tcPr>
                <w:p w14:paraId="1806FC89">
                  <w:pPr>
                    <w:widowControl/>
                    <w:snapToGrid w:val="0"/>
                    <w:jc w:val="center"/>
                    <w:rPr>
                      <w:rFonts w:hint="default" w:ascii="Times New Roman" w:hAnsi="Times New Roman" w:cs="Times New Roman"/>
                      <w:u w:val="single" w:color="auto"/>
                    </w:rPr>
                  </w:pPr>
                  <w:r>
                    <w:rPr>
                      <w:rFonts w:hint="eastAsia" w:cs="Times New Roman"/>
                      <w:u w:val="single" w:color="auto"/>
                      <w:lang w:eastAsia="zh-CN"/>
                    </w:rPr>
                    <w:t>噪声</w:t>
                  </w:r>
                  <w:r>
                    <w:rPr>
                      <w:rFonts w:hint="default" w:ascii="Times New Roman" w:hAnsi="Times New Roman" w:cs="Times New Roman"/>
                      <w:u w:val="single" w:color="auto"/>
                    </w:rPr>
                    <w:t>源强dB(A)</w:t>
                  </w:r>
                </w:p>
              </w:tc>
              <w:tc>
                <w:tcPr>
                  <w:tcW w:w="1071" w:type="pct"/>
                  <w:vMerge w:val="restart"/>
                  <w:tcBorders>
                    <w:tl2br w:val="nil"/>
                    <w:tr2bl w:val="nil"/>
                  </w:tcBorders>
                  <w:noWrap w:val="0"/>
                  <w:vAlign w:val="center"/>
                </w:tcPr>
                <w:p w14:paraId="16605304">
                  <w:pPr>
                    <w:widowControl/>
                    <w:snapToGrid w:val="0"/>
                    <w:jc w:val="center"/>
                    <w:rPr>
                      <w:rFonts w:hint="default" w:ascii="Times New Roman" w:hAnsi="Times New Roman" w:cs="Times New Roman"/>
                      <w:u w:val="single" w:color="auto"/>
                    </w:rPr>
                  </w:pPr>
                  <w:r>
                    <w:rPr>
                      <w:rFonts w:hint="default" w:ascii="Times New Roman" w:hAnsi="Times New Roman" w:cs="Times New Roman"/>
                      <w:u w:val="single" w:color="auto"/>
                    </w:rPr>
                    <w:t>与</w:t>
                  </w:r>
                  <w:r>
                    <w:rPr>
                      <w:rFonts w:hint="eastAsia" w:ascii="Times New Roman" w:hAnsi="Times New Roman" w:cs="Times New Roman"/>
                      <w:u w:val="single" w:color="auto"/>
                      <w:lang w:val="en-US" w:eastAsia="zh-CN"/>
                    </w:rPr>
                    <w:t>本项目</w:t>
                  </w:r>
                  <w:r>
                    <w:rPr>
                      <w:rFonts w:hint="default" w:ascii="Times New Roman" w:hAnsi="Times New Roman" w:cs="Times New Roman"/>
                      <w:u w:val="single" w:color="auto"/>
                    </w:rPr>
                    <w:t>厂界距离（m）</w:t>
                  </w:r>
                </w:p>
              </w:tc>
              <w:tc>
                <w:tcPr>
                  <w:tcW w:w="1290" w:type="pct"/>
                  <w:tcBorders>
                    <w:tl2br w:val="nil"/>
                    <w:tr2bl w:val="nil"/>
                  </w:tcBorders>
                  <w:noWrap w:val="0"/>
                  <w:vAlign w:val="center"/>
                </w:tcPr>
                <w:p w14:paraId="181BF84F">
                  <w:pPr>
                    <w:widowControl/>
                    <w:snapToGrid w:val="0"/>
                    <w:jc w:val="center"/>
                    <w:rPr>
                      <w:rFonts w:hint="default" w:ascii="Times New Roman" w:hAnsi="Times New Roman" w:cs="Times New Roman"/>
                      <w:u w:val="single" w:color="auto"/>
                    </w:rPr>
                  </w:pPr>
                  <w:r>
                    <w:rPr>
                      <w:rFonts w:hint="default" w:ascii="Times New Roman" w:hAnsi="Times New Roman" w:cs="Times New Roman"/>
                      <w:u w:val="single" w:color="auto"/>
                    </w:rPr>
                    <w:t>贡献值/dB(A)</w:t>
                  </w:r>
                </w:p>
              </w:tc>
              <w:tc>
                <w:tcPr>
                  <w:tcW w:w="851" w:type="pct"/>
                  <w:tcBorders>
                    <w:tl2br w:val="nil"/>
                    <w:tr2bl w:val="nil"/>
                  </w:tcBorders>
                  <w:noWrap w:val="0"/>
                  <w:vAlign w:val="center"/>
                </w:tcPr>
                <w:p w14:paraId="143A831E">
                  <w:pPr>
                    <w:widowControl/>
                    <w:snapToGrid w:val="0"/>
                    <w:jc w:val="center"/>
                    <w:rPr>
                      <w:rFonts w:hint="default" w:ascii="Times New Roman" w:hAnsi="Times New Roman" w:cs="Times New Roman"/>
                      <w:u w:val="single" w:color="auto"/>
                    </w:rPr>
                  </w:pPr>
                  <w:r>
                    <w:rPr>
                      <w:rFonts w:hint="default" w:ascii="Times New Roman" w:hAnsi="Times New Roman" w:cs="Times New Roman"/>
                      <w:u w:val="single" w:color="auto"/>
                    </w:rPr>
                    <w:t>标准值/dB(A)</w:t>
                  </w:r>
                </w:p>
              </w:tc>
            </w:tr>
            <w:tr w14:paraId="64A677EF">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108" w:type="dxa"/>
                  <w:bottom w:w="0" w:type="dxa"/>
                  <w:right w:w="108" w:type="dxa"/>
                </w:tblCellMar>
              </w:tblPrEx>
              <w:trPr>
                <w:trHeight w:val="269" w:hRule="atLeast"/>
                <w:jc w:val="center"/>
              </w:trPr>
              <w:tc>
                <w:tcPr>
                  <w:tcW w:w="911" w:type="pct"/>
                  <w:vMerge w:val="continue"/>
                  <w:tcBorders>
                    <w:tl2br w:val="nil"/>
                    <w:tr2bl w:val="nil"/>
                  </w:tcBorders>
                  <w:noWrap w:val="0"/>
                  <w:vAlign w:val="center"/>
                </w:tcPr>
                <w:p w14:paraId="2CF0A501">
                  <w:pPr>
                    <w:widowControl/>
                    <w:snapToGrid w:val="0"/>
                    <w:jc w:val="center"/>
                    <w:rPr>
                      <w:u w:val="single" w:color="auto"/>
                    </w:rPr>
                  </w:pPr>
                </w:p>
              </w:tc>
              <w:tc>
                <w:tcPr>
                  <w:tcW w:w="874" w:type="pct"/>
                  <w:vMerge w:val="continue"/>
                  <w:tcBorders>
                    <w:tl2br w:val="nil"/>
                    <w:tr2bl w:val="nil"/>
                  </w:tcBorders>
                  <w:noWrap w:val="0"/>
                  <w:vAlign w:val="center"/>
                </w:tcPr>
                <w:p w14:paraId="27491E32">
                  <w:pPr>
                    <w:widowControl/>
                    <w:snapToGrid w:val="0"/>
                    <w:jc w:val="center"/>
                    <w:rPr>
                      <w:u w:val="single" w:color="auto"/>
                    </w:rPr>
                  </w:pPr>
                </w:p>
              </w:tc>
              <w:tc>
                <w:tcPr>
                  <w:tcW w:w="1071" w:type="pct"/>
                  <w:vMerge w:val="continue"/>
                  <w:tcBorders>
                    <w:tl2br w:val="nil"/>
                    <w:tr2bl w:val="nil"/>
                  </w:tcBorders>
                  <w:noWrap w:val="0"/>
                  <w:vAlign w:val="center"/>
                </w:tcPr>
                <w:p w14:paraId="0C68491B">
                  <w:pPr>
                    <w:widowControl/>
                    <w:snapToGrid w:val="0"/>
                    <w:jc w:val="center"/>
                    <w:rPr>
                      <w:u w:val="single" w:color="auto"/>
                    </w:rPr>
                  </w:pPr>
                </w:p>
              </w:tc>
              <w:tc>
                <w:tcPr>
                  <w:tcW w:w="1290" w:type="pct"/>
                  <w:tcBorders>
                    <w:tl2br w:val="nil"/>
                    <w:tr2bl w:val="nil"/>
                  </w:tcBorders>
                  <w:noWrap w:val="0"/>
                  <w:vAlign w:val="center"/>
                </w:tcPr>
                <w:p w14:paraId="05AC21B9">
                  <w:pPr>
                    <w:widowControl/>
                    <w:snapToGrid w:val="0"/>
                    <w:jc w:val="center"/>
                    <w:rPr>
                      <w:rFonts w:hint="eastAsia" w:cs="Times New Roman"/>
                      <w:u w:val="single" w:color="auto"/>
                      <w:lang w:val="en-US" w:eastAsia="zh-CN"/>
                    </w:rPr>
                  </w:pPr>
                  <w:r>
                    <w:rPr>
                      <w:rFonts w:hint="eastAsia" w:cs="Times New Roman"/>
                      <w:u w:val="single" w:color="auto"/>
                      <w:lang w:val="en-US" w:eastAsia="zh-CN"/>
                    </w:rPr>
                    <w:t>昼间</w:t>
                  </w:r>
                </w:p>
              </w:tc>
              <w:tc>
                <w:tcPr>
                  <w:tcW w:w="851" w:type="pct"/>
                  <w:tcBorders>
                    <w:tl2br w:val="nil"/>
                    <w:tr2bl w:val="nil"/>
                  </w:tcBorders>
                  <w:noWrap w:val="0"/>
                  <w:vAlign w:val="center"/>
                </w:tcPr>
                <w:p w14:paraId="5EBB2CFF">
                  <w:pPr>
                    <w:widowControl/>
                    <w:snapToGrid w:val="0"/>
                    <w:jc w:val="center"/>
                    <w:rPr>
                      <w:rFonts w:hint="eastAsia" w:ascii="Times New Roman" w:hAnsi="Times New Roman" w:eastAsia="宋体" w:cs="Times New Roman"/>
                      <w:u w:val="single" w:color="auto"/>
                      <w:lang w:val="en-US" w:eastAsia="zh-CN"/>
                    </w:rPr>
                  </w:pPr>
                  <w:r>
                    <w:rPr>
                      <w:rFonts w:hint="eastAsia" w:cs="Times New Roman"/>
                      <w:u w:val="single" w:color="auto"/>
                      <w:lang w:val="en-US" w:eastAsia="zh-CN"/>
                    </w:rPr>
                    <w:t>昼间</w:t>
                  </w:r>
                </w:p>
              </w:tc>
            </w:tr>
            <w:tr w14:paraId="6A895F8E">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108" w:type="dxa"/>
                  <w:bottom w:w="0" w:type="dxa"/>
                  <w:right w:w="108" w:type="dxa"/>
                </w:tblCellMar>
              </w:tblPrEx>
              <w:trPr>
                <w:trHeight w:val="273" w:hRule="atLeast"/>
                <w:jc w:val="center"/>
              </w:trPr>
              <w:tc>
                <w:tcPr>
                  <w:tcW w:w="1546" w:type="dxa"/>
                  <w:tcBorders>
                    <w:tl2br w:val="nil"/>
                    <w:tr2bl w:val="nil"/>
                  </w:tcBorders>
                  <w:noWrap w:val="0"/>
                  <w:vAlign w:val="center"/>
                </w:tcPr>
                <w:p w14:paraId="062B405A">
                  <w:pPr>
                    <w:widowControl/>
                    <w:snapToGrid w:val="0"/>
                    <w:jc w:val="center"/>
                    <w:rPr>
                      <w:rFonts w:hint="default" w:ascii="Times New Roman" w:hAnsi="Times New Roman" w:cs="Times New Roman"/>
                      <w:color w:val="auto"/>
                      <w:u w:val="single" w:color="auto"/>
                    </w:rPr>
                  </w:pPr>
                  <w:r>
                    <w:rPr>
                      <w:rFonts w:hint="default" w:ascii="Times New Roman" w:hAnsi="Times New Roman" w:cs="Times New Roman"/>
                      <w:color w:val="auto"/>
                      <w:highlight w:val="none"/>
                      <w:u w:val="single" w:color="auto"/>
                    </w:rPr>
                    <w:t>厂界</w:t>
                  </w:r>
                  <w:r>
                    <w:rPr>
                      <w:rFonts w:hint="eastAsia" w:ascii="Times New Roman" w:hAnsi="Times New Roman" w:cs="Times New Roman"/>
                      <w:color w:val="auto"/>
                      <w:highlight w:val="none"/>
                      <w:u w:val="single" w:color="auto"/>
                      <w:lang w:eastAsia="zh-CN"/>
                    </w:rPr>
                    <w:t>外东侧</w:t>
                  </w:r>
                </w:p>
              </w:tc>
              <w:tc>
                <w:tcPr>
                  <w:tcW w:w="874" w:type="pct"/>
                  <w:vMerge w:val="restart"/>
                  <w:tcBorders>
                    <w:tl2br w:val="nil"/>
                    <w:tr2bl w:val="nil"/>
                  </w:tcBorders>
                  <w:noWrap w:val="0"/>
                  <w:vAlign w:val="center"/>
                </w:tcPr>
                <w:p w14:paraId="699A5D19">
                  <w:pPr>
                    <w:widowControl/>
                    <w:snapToGrid w:val="0"/>
                    <w:jc w:val="center"/>
                    <w:rPr>
                      <w:rFonts w:hint="default" w:ascii="Times New Roman" w:hAnsi="Times New Roman" w:eastAsia="宋体" w:cs="Times New Roman"/>
                      <w:color w:val="auto"/>
                      <w:highlight w:val="none"/>
                      <w:u w:val="single" w:color="auto"/>
                      <w:lang w:val="en-US" w:eastAsia="zh-CN"/>
                    </w:rPr>
                  </w:pPr>
                  <w:r>
                    <w:rPr>
                      <w:rFonts w:hint="eastAsia" w:cs="Times New Roman"/>
                      <w:color w:val="auto"/>
                      <w:highlight w:val="none"/>
                      <w:u w:val="single" w:color="auto"/>
                      <w:lang w:val="en-US" w:eastAsia="zh-CN"/>
                    </w:rPr>
                    <w:t>67.18</w:t>
                  </w:r>
                </w:p>
              </w:tc>
              <w:tc>
                <w:tcPr>
                  <w:tcW w:w="1071" w:type="pct"/>
                  <w:tcBorders>
                    <w:tl2br w:val="nil"/>
                    <w:tr2bl w:val="nil"/>
                  </w:tcBorders>
                  <w:noWrap w:val="0"/>
                  <w:vAlign w:val="center"/>
                </w:tcPr>
                <w:p w14:paraId="29D61622">
                  <w:pPr>
                    <w:widowControl/>
                    <w:snapToGrid w:val="0"/>
                    <w:jc w:val="center"/>
                    <w:rPr>
                      <w:rFonts w:hint="default" w:ascii="Times New Roman" w:hAnsi="Times New Roman" w:eastAsia="宋体" w:cs="Times New Roman"/>
                      <w:color w:val="auto"/>
                      <w:highlight w:val="none"/>
                      <w:u w:val="single" w:color="auto"/>
                      <w:lang w:val="en-US" w:eastAsia="zh-CN"/>
                    </w:rPr>
                  </w:pPr>
                  <w:r>
                    <w:rPr>
                      <w:rFonts w:hint="eastAsia" w:cs="Times New Roman"/>
                      <w:color w:val="auto"/>
                      <w:highlight w:val="none"/>
                      <w:u w:val="single" w:color="auto"/>
                      <w:lang w:val="en-US" w:eastAsia="zh-CN"/>
                    </w:rPr>
                    <w:t>40</w:t>
                  </w:r>
                </w:p>
              </w:tc>
              <w:tc>
                <w:tcPr>
                  <w:tcW w:w="1290" w:type="pct"/>
                  <w:tcBorders>
                    <w:tl2br w:val="nil"/>
                    <w:tr2bl w:val="nil"/>
                  </w:tcBorders>
                  <w:shd w:val="clear" w:color="auto" w:fill="auto"/>
                  <w:noWrap w:val="0"/>
                  <w:vAlign w:val="center"/>
                </w:tcPr>
                <w:p w14:paraId="34EEB29E">
                  <w:pPr>
                    <w:widowControl/>
                    <w:snapToGrid w:val="0"/>
                    <w:jc w:val="center"/>
                    <w:rPr>
                      <w:rFonts w:hint="default" w:ascii="Times New Roman" w:hAnsi="Times New Roman" w:eastAsia="宋体" w:cs="Times New Roman"/>
                      <w:color w:val="auto"/>
                      <w:kern w:val="2"/>
                      <w:sz w:val="21"/>
                      <w:szCs w:val="24"/>
                      <w:highlight w:val="none"/>
                      <w:u w:val="single" w:color="auto"/>
                      <w:lang w:val="en-US" w:eastAsia="zh-CN" w:bidi="ar-SA"/>
                    </w:rPr>
                  </w:pPr>
                  <w:r>
                    <w:rPr>
                      <w:rFonts w:hint="eastAsia" w:cs="Times New Roman"/>
                      <w:color w:val="auto"/>
                      <w:kern w:val="2"/>
                      <w:sz w:val="21"/>
                      <w:szCs w:val="24"/>
                      <w:highlight w:val="none"/>
                      <w:u w:val="single" w:color="auto"/>
                      <w:lang w:val="en-US" w:eastAsia="zh-CN" w:bidi="ar-SA"/>
                    </w:rPr>
                    <w:t>35.14</w:t>
                  </w:r>
                </w:p>
              </w:tc>
              <w:tc>
                <w:tcPr>
                  <w:tcW w:w="851" w:type="pct"/>
                  <w:vMerge w:val="restart"/>
                  <w:tcBorders>
                    <w:tl2br w:val="nil"/>
                    <w:tr2bl w:val="nil"/>
                  </w:tcBorders>
                  <w:shd w:val="clear" w:color="auto" w:fill="auto"/>
                  <w:noWrap w:val="0"/>
                  <w:vAlign w:val="center"/>
                </w:tcPr>
                <w:p w14:paraId="6097CE19">
                  <w:pPr>
                    <w:jc w:val="center"/>
                    <w:rPr>
                      <w:rFonts w:hint="default" w:ascii="Times New Roman" w:hAnsi="Times New Roman" w:eastAsia="宋体" w:cs="Times New Roman"/>
                      <w:color w:val="auto"/>
                      <w:kern w:val="2"/>
                      <w:sz w:val="21"/>
                      <w:szCs w:val="24"/>
                      <w:u w:val="single" w:color="auto"/>
                      <w:lang w:val="en-US" w:eastAsia="zh-CN" w:bidi="ar-SA"/>
                    </w:rPr>
                  </w:pPr>
                  <w:r>
                    <w:rPr>
                      <w:rFonts w:hint="eastAsia" w:cs="Times New Roman"/>
                      <w:color w:val="auto"/>
                      <w:u w:val="single" w:color="auto"/>
                      <w:lang w:val="en-US" w:eastAsia="zh-CN"/>
                    </w:rPr>
                    <w:t>65</w:t>
                  </w:r>
                </w:p>
              </w:tc>
            </w:tr>
            <w:tr w14:paraId="4B87859B">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108" w:type="dxa"/>
                  <w:bottom w:w="0" w:type="dxa"/>
                  <w:right w:w="108" w:type="dxa"/>
                </w:tblCellMar>
              </w:tblPrEx>
              <w:trPr>
                <w:jc w:val="center"/>
              </w:trPr>
              <w:tc>
                <w:tcPr>
                  <w:tcW w:w="1546" w:type="dxa"/>
                  <w:tcBorders>
                    <w:tl2br w:val="nil"/>
                    <w:tr2bl w:val="nil"/>
                  </w:tcBorders>
                  <w:noWrap w:val="0"/>
                  <w:vAlign w:val="center"/>
                </w:tcPr>
                <w:p w14:paraId="3A45B8B6">
                  <w:pPr>
                    <w:widowControl/>
                    <w:snapToGrid w:val="0"/>
                    <w:jc w:val="center"/>
                    <w:rPr>
                      <w:rFonts w:hint="default" w:ascii="Times New Roman" w:hAnsi="Times New Roman" w:cs="Times New Roman"/>
                      <w:color w:val="auto"/>
                      <w:u w:val="single" w:color="auto"/>
                    </w:rPr>
                  </w:pPr>
                  <w:r>
                    <w:rPr>
                      <w:rFonts w:hint="default" w:ascii="Times New Roman" w:hAnsi="Times New Roman" w:cs="Times New Roman"/>
                      <w:color w:val="auto"/>
                      <w:highlight w:val="none"/>
                      <w:u w:val="single" w:color="auto"/>
                    </w:rPr>
                    <w:t>厂界</w:t>
                  </w:r>
                  <w:r>
                    <w:rPr>
                      <w:rFonts w:hint="eastAsia" w:ascii="Times New Roman" w:hAnsi="Times New Roman" w:cs="Times New Roman"/>
                      <w:color w:val="auto"/>
                      <w:highlight w:val="none"/>
                      <w:u w:val="single" w:color="auto"/>
                      <w:lang w:eastAsia="zh-CN"/>
                    </w:rPr>
                    <w:t>外南侧</w:t>
                  </w:r>
                </w:p>
              </w:tc>
              <w:tc>
                <w:tcPr>
                  <w:tcW w:w="874" w:type="pct"/>
                  <w:vMerge w:val="continue"/>
                  <w:tcBorders>
                    <w:tl2br w:val="nil"/>
                    <w:tr2bl w:val="nil"/>
                  </w:tcBorders>
                  <w:noWrap w:val="0"/>
                  <w:vAlign w:val="center"/>
                </w:tcPr>
                <w:p w14:paraId="38228695">
                  <w:pPr>
                    <w:rPr>
                      <w:rFonts w:hint="default" w:ascii="Times New Roman" w:hAnsi="Times New Roman" w:cs="Times New Roman"/>
                      <w:color w:val="auto"/>
                      <w:highlight w:val="none"/>
                      <w:u w:val="single" w:color="auto"/>
                    </w:rPr>
                  </w:pPr>
                </w:p>
              </w:tc>
              <w:tc>
                <w:tcPr>
                  <w:tcW w:w="1071" w:type="pct"/>
                  <w:tcBorders>
                    <w:tl2br w:val="nil"/>
                    <w:tr2bl w:val="nil"/>
                  </w:tcBorders>
                  <w:noWrap w:val="0"/>
                  <w:vAlign w:val="center"/>
                </w:tcPr>
                <w:p w14:paraId="14A3A50C">
                  <w:pPr>
                    <w:widowControl/>
                    <w:snapToGrid w:val="0"/>
                    <w:jc w:val="center"/>
                    <w:rPr>
                      <w:rFonts w:hint="default" w:ascii="Times New Roman" w:hAnsi="Times New Roman" w:eastAsia="宋体" w:cs="Times New Roman"/>
                      <w:color w:val="auto"/>
                      <w:highlight w:val="none"/>
                      <w:u w:val="single" w:color="auto"/>
                      <w:lang w:val="en-US" w:eastAsia="zh-CN"/>
                    </w:rPr>
                  </w:pPr>
                  <w:r>
                    <w:rPr>
                      <w:rFonts w:hint="eastAsia" w:cs="Times New Roman"/>
                      <w:color w:val="auto"/>
                      <w:highlight w:val="none"/>
                      <w:u w:val="single" w:color="auto"/>
                      <w:lang w:val="en-US" w:eastAsia="zh-CN"/>
                    </w:rPr>
                    <w:t>21</w:t>
                  </w:r>
                </w:p>
              </w:tc>
              <w:tc>
                <w:tcPr>
                  <w:tcW w:w="1290" w:type="pct"/>
                  <w:tcBorders>
                    <w:tl2br w:val="nil"/>
                    <w:tr2bl w:val="nil"/>
                  </w:tcBorders>
                  <w:shd w:val="clear" w:color="auto" w:fill="auto"/>
                  <w:noWrap w:val="0"/>
                  <w:vAlign w:val="center"/>
                </w:tcPr>
                <w:p w14:paraId="3B6EBAEF">
                  <w:pPr>
                    <w:widowControl/>
                    <w:snapToGrid w:val="0"/>
                    <w:jc w:val="center"/>
                    <w:rPr>
                      <w:rFonts w:hint="default" w:ascii="Times New Roman" w:hAnsi="Times New Roman" w:eastAsia="宋体" w:cs="Times New Roman"/>
                      <w:color w:val="auto"/>
                      <w:kern w:val="2"/>
                      <w:sz w:val="21"/>
                      <w:szCs w:val="24"/>
                      <w:highlight w:val="none"/>
                      <w:u w:val="single" w:color="auto"/>
                      <w:lang w:val="en-US" w:eastAsia="zh-CN" w:bidi="ar-SA"/>
                    </w:rPr>
                  </w:pPr>
                  <w:r>
                    <w:rPr>
                      <w:rFonts w:hint="eastAsia" w:cs="Times New Roman"/>
                      <w:color w:val="auto"/>
                      <w:kern w:val="2"/>
                      <w:sz w:val="21"/>
                      <w:szCs w:val="24"/>
                      <w:highlight w:val="none"/>
                      <w:u w:val="single" w:color="auto"/>
                      <w:lang w:val="en-US" w:eastAsia="zh-CN" w:bidi="ar-SA"/>
                    </w:rPr>
                    <w:t>40.73</w:t>
                  </w:r>
                </w:p>
              </w:tc>
              <w:tc>
                <w:tcPr>
                  <w:tcW w:w="851" w:type="pct"/>
                  <w:vMerge w:val="continue"/>
                  <w:tcBorders>
                    <w:tl2br w:val="nil"/>
                    <w:tr2bl w:val="nil"/>
                  </w:tcBorders>
                  <w:noWrap w:val="0"/>
                  <w:vAlign w:val="center"/>
                </w:tcPr>
                <w:p w14:paraId="7E88BE2B">
                  <w:pPr>
                    <w:jc w:val="center"/>
                    <w:rPr>
                      <w:rFonts w:hint="default" w:ascii="Times New Roman" w:hAnsi="Times New Roman" w:cs="Times New Roman"/>
                      <w:color w:val="auto"/>
                      <w:u w:val="single" w:color="auto"/>
                      <w:lang w:val="en-US" w:eastAsia="zh-CN"/>
                    </w:rPr>
                  </w:pPr>
                </w:p>
              </w:tc>
            </w:tr>
            <w:tr w14:paraId="749966C5">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108" w:type="dxa"/>
                  <w:bottom w:w="0" w:type="dxa"/>
                  <w:right w:w="108" w:type="dxa"/>
                </w:tblCellMar>
              </w:tblPrEx>
              <w:trPr>
                <w:jc w:val="center"/>
              </w:trPr>
              <w:tc>
                <w:tcPr>
                  <w:tcW w:w="1546" w:type="dxa"/>
                  <w:tcBorders>
                    <w:tl2br w:val="nil"/>
                    <w:tr2bl w:val="nil"/>
                  </w:tcBorders>
                  <w:noWrap w:val="0"/>
                  <w:vAlign w:val="center"/>
                </w:tcPr>
                <w:p w14:paraId="58324D79">
                  <w:pPr>
                    <w:widowControl/>
                    <w:snapToGrid w:val="0"/>
                    <w:jc w:val="center"/>
                    <w:rPr>
                      <w:rFonts w:hint="default" w:ascii="Times New Roman" w:hAnsi="Times New Roman" w:cs="Times New Roman"/>
                      <w:color w:val="auto"/>
                      <w:u w:val="single" w:color="auto"/>
                    </w:rPr>
                  </w:pPr>
                  <w:r>
                    <w:rPr>
                      <w:rFonts w:hint="default" w:ascii="Times New Roman" w:hAnsi="Times New Roman" w:cs="Times New Roman"/>
                      <w:color w:val="auto"/>
                      <w:highlight w:val="none"/>
                      <w:u w:val="single" w:color="auto"/>
                    </w:rPr>
                    <w:t>厂界</w:t>
                  </w:r>
                  <w:r>
                    <w:rPr>
                      <w:rFonts w:hint="eastAsia" w:ascii="Times New Roman" w:hAnsi="Times New Roman" w:cs="Times New Roman"/>
                      <w:color w:val="auto"/>
                      <w:highlight w:val="none"/>
                      <w:u w:val="single" w:color="auto"/>
                      <w:lang w:eastAsia="zh-CN"/>
                    </w:rPr>
                    <w:t>外西侧</w:t>
                  </w:r>
                </w:p>
              </w:tc>
              <w:tc>
                <w:tcPr>
                  <w:tcW w:w="874" w:type="pct"/>
                  <w:vMerge w:val="continue"/>
                  <w:tcBorders>
                    <w:tl2br w:val="nil"/>
                    <w:tr2bl w:val="nil"/>
                  </w:tcBorders>
                  <w:noWrap w:val="0"/>
                  <w:vAlign w:val="center"/>
                </w:tcPr>
                <w:p w14:paraId="08599D7E">
                  <w:pPr>
                    <w:rPr>
                      <w:rFonts w:hint="default" w:ascii="Times New Roman" w:hAnsi="Times New Roman" w:cs="Times New Roman"/>
                      <w:color w:val="auto"/>
                      <w:highlight w:val="none"/>
                      <w:u w:val="single" w:color="auto"/>
                    </w:rPr>
                  </w:pPr>
                </w:p>
              </w:tc>
              <w:tc>
                <w:tcPr>
                  <w:tcW w:w="1071" w:type="pct"/>
                  <w:tcBorders>
                    <w:tl2br w:val="nil"/>
                    <w:tr2bl w:val="nil"/>
                  </w:tcBorders>
                  <w:noWrap w:val="0"/>
                  <w:vAlign w:val="center"/>
                </w:tcPr>
                <w:p w14:paraId="1ACCBA62">
                  <w:pPr>
                    <w:widowControl/>
                    <w:snapToGrid w:val="0"/>
                    <w:jc w:val="center"/>
                    <w:rPr>
                      <w:rFonts w:hint="default" w:ascii="Times New Roman" w:hAnsi="Times New Roman" w:eastAsia="宋体" w:cs="Times New Roman"/>
                      <w:color w:val="auto"/>
                      <w:highlight w:val="none"/>
                      <w:u w:val="single" w:color="auto"/>
                      <w:lang w:val="en-US" w:eastAsia="zh-CN"/>
                    </w:rPr>
                  </w:pPr>
                  <w:r>
                    <w:rPr>
                      <w:rFonts w:hint="eastAsia" w:cs="Times New Roman"/>
                      <w:color w:val="auto"/>
                      <w:highlight w:val="none"/>
                      <w:u w:val="single" w:color="auto"/>
                      <w:lang w:val="en-US" w:eastAsia="zh-CN"/>
                    </w:rPr>
                    <w:t>72</w:t>
                  </w:r>
                </w:p>
              </w:tc>
              <w:tc>
                <w:tcPr>
                  <w:tcW w:w="1290" w:type="pct"/>
                  <w:tcBorders>
                    <w:tl2br w:val="nil"/>
                    <w:tr2bl w:val="nil"/>
                  </w:tcBorders>
                  <w:shd w:val="clear" w:color="auto" w:fill="auto"/>
                  <w:noWrap w:val="0"/>
                  <w:vAlign w:val="center"/>
                </w:tcPr>
                <w:p w14:paraId="1325D618">
                  <w:pPr>
                    <w:widowControl/>
                    <w:snapToGrid w:val="0"/>
                    <w:jc w:val="center"/>
                    <w:rPr>
                      <w:rFonts w:hint="default" w:ascii="Times New Roman" w:hAnsi="Times New Roman" w:eastAsia="宋体" w:cs="Times New Roman"/>
                      <w:color w:val="auto"/>
                      <w:kern w:val="2"/>
                      <w:sz w:val="21"/>
                      <w:szCs w:val="24"/>
                      <w:highlight w:val="none"/>
                      <w:u w:val="single" w:color="auto"/>
                      <w:lang w:val="en-US" w:eastAsia="zh-CN" w:bidi="ar-SA"/>
                    </w:rPr>
                  </w:pPr>
                  <w:r>
                    <w:rPr>
                      <w:rFonts w:hint="eastAsia" w:cs="Times New Roman"/>
                      <w:color w:val="auto"/>
                      <w:kern w:val="2"/>
                      <w:sz w:val="21"/>
                      <w:szCs w:val="24"/>
                      <w:highlight w:val="none"/>
                      <w:u w:val="single" w:color="auto"/>
                      <w:lang w:val="en-US" w:eastAsia="zh-CN" w:bidi="ar-SA"/>
                    </w:rPr>
                    <w:t>30.03</w:t>
                  </w:r>
                </w:p>
              </w:tc>
              <w:tc>
                <w:tcPr>
                  <w:tcW w:w="851" w:type="pct"/>
                  <w:vMerge w:val="continue"/>
                  <w:tcBorders>
                    <w:tl2br w:val="nil"/>
                    <w:tr2bl w:val="nil"/>
                  </w:tcBorders>
                  <w:noWrap w:val="0"/>
                  <w:vAlign w:val="center"/>
                </w:tcPr>
                <w:p w14:paraId="08FA511A">
                  <w:pPr>
                    <w:jc w:val="center"/>
                    <w:rPr>
                      <w:rFonts w:hint="default" w:ascii="Times New Roman" w:hAnsi="Times New Roman" w:cs="Times New Roman"/>
                      <w:color w:val="auto"/>
                      <w:u w:val="single" w:color="auto"/>
                      <w:lang w:val="en-US" w:eastAsia="zh-CN"/>
                    </w:rPr>
                  </w:pPr>
                </w:p>
              </w:tc>
            </w:tr>
            <w:tr w14:paraId="1B62F1A6">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108" w:type="dxa"/>
                  <w:bottom w:w="0" w:type="dxa"/>
                  <w:right w:w="108" w:type="dxa"/>
                </w:tblCellMar>
              </w:tblPrEx>
              <w:trPr>
                <w:trHeight w:val="252" w:hRule="atLeast"/>
                <w:jc w:val="center"/>
              </w:trPr>
              <w:tc>
                <w:tcPr>
                  <w:tcW w:w="1546" w:type="dxa"/>
                  <w:tcBorders>
                    <w:tl2br w:val="nil"/>
                    <w:tr2bl w:val="nil"/>
                  </w:tcBorders>
                  <w:noWrap w:val="0"/>
                  <w:vAlign w:val="center"/>
                </w:tcPr>
                <w:p w14:paraId="295D0186">
                  <w:pPr>
                    <w:widowControl/>
                    <w:snapToGrid w:val="0"/>
                    <w:jc w:val="center"/>
                    <w:rPr>
                      <w:rFonts w:hint="default" w:ascii="Times New Roman" w:hAnsi="Times New Roman" w:cs="Times New Roman"/>
                      <w:color w:val="auto"/>
                      <w:u w:val="single" w:color="auto"/>
                    </w:rPr>
                  </w:pPr>
                  <w:r>
                    <w:rPr>
                      <w:rFonts w:hint="default" w:ascii="Times New Roman" w:hAnsi="Times New Roman" w:cs="Times New Roman"/>
                      <w:color w:val="auto"/>
                      <w:highlight w:val="none"/>
                      <w:u w:val="single" w:color="auto"/>
                    </w:rPr>
                    <w:t>厂界</w:t>
                  </w:r>
                  <w:r>
                    <w:rPr>
                      <w:rFonts w:hint="eastAsia" w:ascii="Times New Roman" w:hAnsi="Times New Roman" w:cs="Times New Roman"/>
                      <w:color w:val="auto"/>
                      <w:highlight w:val="none"/>
                      <w:u w:val="single" w:color="auto"/>
                      <w:lang w:eastAsia="zh-CN"/>
                    </w:rPr>
                    <w:t>外北侧</w:t>
                  </w:r>
                </w:p>
              </w:tc>
              <w:tc>
                <w:tcPr>
                  <w:tcW w:w="874" w:type="pct"/>
                  <w:vMerge w:val="continue"/>
                  <w:tcBorders>
                    <w:tl2br w:val="nil"/>
                    <w:tr2bl w:val="nil"/>
                  </w:tcBorders>
                  <w:noWrap w:val="0"/>
                  <w:vAlign w:val="center"/>
                </w:tcPr>
                <w:p w14:paraId="31981A78">
                  <w:pPr>
                    <w:rPr>
                      <w:rFonts w:hint="default" w:ascii="Times New Roman" w:hAnsi="Times New Roman" w:cs="Times New Roman"/>
                      <w:color w:val="auto"/>
                      <w:highlight w:val="none"/>
                      <w:u w:val="single" w:color="auto"/>
                    </w:rPr>
                  </w:pPr>
                </w:p>
              </w:tc>
              <w:tc>
                <w:tcPr>
                  <w:tcW w:w="1071" w:type="pct"/>
                  <w:tcBorders>
                    <w:tl2br w:val="nil"/>
                    <w:tr2bl w:val="nil"/>
                  </w:tcBorders>
                  <w:noWrap w:val="0"/>
                  <w:vAlign w:val="center"/>
                </w:tcPr>
                <w:p w14:paraId="74728789">
                  <w:pPr>
                    <w:widowControl/>
                    <w:snapToGrid w:val="0"/>
                    <w:jc w:val="center"/>
                    <w:rPr>
                      <w:rFonts w:hint="default" w:ascii="Times New Roman" w:hAnsi="Times New Roman" w:eastAsia="宋体" w:cs="Times New Roman"/>
                      <w:color w:val="auto"/>
                      <w:highlight w:val="none"/>
                      <w:u w:val="single" w:color="auto"/>
                      <w:lang w:val="en-US" w:eastAsia="zh-CN"/>
                    </w:rPr>
                  </w:pPr>
                  <w:r>
                    <w:rPr>
                      <w:rFonts w:hint="eastAsia" w:cs="Times New Roman"/>
                      <w:color w:val="auto"/>
                      <w:highlight w:val="none"/>
                      <w:u w:val="single" w:color="auto"/>
                      <w:lang w:val="en-US" w:eastAsia="zh-CN"/>
                    </w:rPr>
                    <w:t>33</w:t>
                  </w:r>
                </w:p>
              </w:tc>
              <w:tc>
                <w:tcPr>
                  <w:tcW w:w="1290" w:type="pct"/>
                  <w:tcBorders>
                    <w:tl2br w:val="nil"/>
                    <w:tr2bl w:val="nil"/>
                  </w:tcBorders>
                  <w:shd w:val="clear" w:color="auto" w:fill="auto"/>
                  <w:noWrap w:val="0"/>
                  <w:vAlign w:val="center"/>
                </w:tcPr>
                <w:p w14:paraId="12F03F5A">
                  <w:pPr>
                    <w:widowControl/>
                    <w:snapToGrid w:val="0"/>
                    <w:jc w:val="center"/>
                    <w:rPr>
                      <w:rFonts w:hint="default" w:ascii="Times New Roman" w:hAnsi="Times New Roman" w:eastAsia="宋体" w:cs="Times New Roman"/>
                      <w:color w:val="auto"/>
                      <w:kern w:val="2"/>
                      <w:sz w:val="21"/>
                      <w:szCs w:val="24"/>
                      <w:highlight w:val="none"/>
                      <w:u w:val="single" w:color="auto"/>
                      <w:lang w:val="en-US" w:eastAsia="zh-CN" w:bidi="ar-SA"/>
                    </w:rPr>
                  </w:pPr>
                  <w:r>
                    <w:rPr>
                      <w:rFonts w:hint="eastAsia" w:cs="Times New Roman"/>
                      <w:color w:val="auto"/>
                      <w:kern w:val="2"/>
                      <w:sz w:val="21"/>
                      <w:szCs w:val="24"/>
                      <w:highlight w:val="none"/>
                      <w:u w:val="single" w:color="auto"/>
                      <w:lang w:val="en-US" w:eastAsia="zh-CN" w:bidi="ar-SA"/>
                    </w:rPr>
                    <w:t>36.81</w:t>
                  </w:r>
                </w:p>
              </w:tc>
              <w:tc>
                <w:tcPr>
                  <w:tcW w:w="851" w:type="pct"/>
                  <w:vMerge w:val="continue"/>
                  <w:tcBorders>
                    <w:tl2br w:val="nil"/>
                    <w:tr2bl w:val="nil"/>
                  </w:tcBorders>
                  <w:noWrap w:val="0"/>
                  <w:vAlign w:val="center"/>
                </w:tcPr>
                <w:p w14:paraId="49B6761D">
                  <w:pPr>
                    <w:jc w:val="center"/>
                    <w:rPr>
                      <w:rFonts w:hint="default" w:ascii="Times New Roman" w:hAnsi="Times New Roman" w:cs="Times New Roman"/>
                      <w:color w:val="auto"/>
                      <w:u w:val="single" w:color="auto"/>
                      <w:lang w:val="en-US" w:eastAsia="zh-CN"/>
                    </w:rPr>
                  </w:pPr>
                </w:p>
              </w:tc>
            </w:tr>
          </w:tbl>
          <w:p w14:paraId="36B317EC">
            <w:pPr>
              <w:adjustRightInd w:val="0"/>
              <w:snapToGrid w:val="0"/>
              <w:spacing w:line="360" w:lineRule="auto"/>
              <w:ind w:firstLine="480" w:firstLineChars="200"/>
              <w:rPr>
                <w:i w:val="0"/>
                <w:iCs w:val="0"/>
                <w:sz w:val="24"/>
                <w:szCs w:val="24"/>
                <w:u w:val="none" w:color="auto"/>
              </w:rPr>
            </w:pPr>
            <w:r>
              <w:rPr>
                <w:sz w:val="24"/>
                <w:szCs w:val="24"/>
                <w:u w:val="single" w:color="auto"/>
              </w:rPr>
              <w:t>由</w:t>
            </w:r>
            <w:r>
              <w:rPr>
                <w:i w:val="0"/>
                <w:iCs w:val="0"/>
                <w:sz w:val="24"/>
                <w:szCs w:val="24"/>
                <w:u w:val="single" w:color="auto"/>
              </w:rPr>
              <w:t>上表可以看出，在</w:t>
            </w:r>
            <w:r>
              <w:rPr>
                <w:rFonts w:hint="eastAsia"/>
                <w:i w:val="0"/>
                <w:iCs w:val="0"/>
                <w:sz w:val="24"/>
                <w:szCs w:val="24"/>
                <w:u w:val="single" w:color="auto"/>
                <w:lang w:val="en-US" w:eastAsia="zh-CN"/>
              </w:rPr>
              <w:t>选用低噪声设备，</w:t>
            </w:r>
            <w:r>
              <w:rPr>
                <w:i w:val="0"/>
                <w:iCs w:val="0"/>
                <w:sz w:val="24"/>
                <w:szCs w:val="24"/>
                <w:u w:val="single" w:color="auto"/>
              </w:rPr>
              <w:t>对噪声源采取</w:t>
            </w:r>
            <w:r>
              <w:rPr>
                <w:rFonts w:hint="eastAsia"/>
                <w:i w:val="0"/>
                <w:iCs w:val="0"/>
                <w:sz w:val="24"/>
                <w:szCs w:val="24"/>
                <w:u w:val="single" w:color="auto"/>
                <w:lang w:val="en-US" w:eastAsia="zh-CN"/>
              </w:rPr>
              <w:t>消</w:t>
            </w:r>
            <w:r>
              <w:rPr>
                <w:i w:val="0"/>
                <w:iCs w:val="0"/>
                <w:sz w:val="24"/>
                <w:szCs w:val="24"/>
                <w:u w:val="single" w:color="auto"/>
              </w:rPr>
              <w:t>声、减振等综合防噪措施后，</w:t>
            </w:r>
            <w:r>
              <w:rPr>
                <w:rFonts w:hint="eastAsia"/>
                <w:i w:val="0"/>
                <w:iCs w:val="0"/>
                <w:sz w:val="24"/>
                <w:szCs w:val="24"/>
                <w:u w:val="single" w:color="auto"/>
                <w:lang w:val="en-US" w:eastAsia="zh-CN"/>
              </w:rPr>
              <w:t>厂界四周噪声均</w:t>
            </w:r>
            <w:r>
              <w:rPr>
                <w:i w:val="0"/>
                <w:iCs w:val="0"/>
                <w:sz w:val="24"/>
                <w:szCs w:val="24"/>
                <w:u w:val="single" w:color="auto"/>
              </w:rPr>
              <w:t>可满足</w:t>
            </w:r>
            <w:r>
              <w:rPr>
                <w:rFonts w:hint="eastAsia"/>
                <w:i w:val="0"/>
                <w:iCs w:val="0"/>
                <w:sz w:val="24"/>
                <w:szCs w:val="24"/>
                <w:u w:val="single" w:color="auto"/>
                <w:lang w:eastAsia="zh-CN"/>
              </w:rPr>
              <w:t>《工业企业厂界环境噪声排放标准》（GB12348-2008）中3类</w:t>
            </w:r>
            <w:r>
              <w:rPr>
                <w:i w:val="0"/>
                <w:iCs w:val="0"/>
                <w:sz w:val="24"/>
                <w:szCs w:val="24"/>
                <w:u w:val="single" w:color="auto"/>
              </w:rPr>
              <w:t>标准要求</w:t>
            </w:r>
            <w:r>
              <w:rPr>
                <w:rFonts w:hint="eastAsia"/>
                <w:i w:val="0"/>
                <w:iCs w:val="0"/>
                <w:sz w:val="24"/>
                <w:szCs w:val="24"/>
                <w:u w:val="single" w:color="auto"/>
                <w:lang w:eastAsia="zh-CN"/>
              </w:rPr>
              <w:t>，</w:t>
            </w:r>
            <w:r>
              <w:rPr>
                <w:i w:val="0"/>
                <w:iCs w:val="0"/>
                <w:sz w:val="24"/>
                <w:szCs w:val="24"/>
                <w:u w:val="single" w:color="auto"/>
              </w:rPr>
              <w:t>噪声对外环境影响较小，对区域声环境的影响是可接受的。</w:t>
            </w:r>
          </w:p>
          <w:p w14:paraId="696B687E">
            <w:pPr>
              <w:adjustRightInd w:val="0"/>
              <w:snapToGrid w:val="0"/>
              <w:spacing w:line="360" w:lineRule="auto"/>
              <w:ind w:firstLine="480" w:firstLineChars="200"/>
              <w:rPr>
                <w:sz w:val="24"/>
                <w:szCs w:val="24"/>
              </w:rPr>
            </w:pPr>
            <w:r>
              <w:rPr>
                <w:rFonts w:hint="eastAsia"/>
                <w:sz w:val="24"/>
                <w:szCs w:val="24"/>
                <w:lang w:val="en-US" w:eastAsia="zh-CN"/>
              </w:rPr>
              <w:t>3.2</w:t>
            </w:r>
            <w:r>
              <w:rPr>
                <w:sz w:val="24"/>
                <w:szCs w:val="24"/>
              </w:rPr>
              <w:t>噪声污染防治措施</w:t>
            </w:r>
          </w:p>
          <w:p w14:paraId="7B681B93">
            <w:pPr>
              <w:adjustRightInd w:val="0"/>
              <w:snapToGrid w:val="0"/>
              <w:spacing w:line="360" w:lineRule="auto"/>
              <w:ind w:firstLine="480" w:firstLineChars="200"/>
              <w:rPr>
                <w:sz w:val="24"/>
                <w:szCs w:val="24"/>
              </w:rPr>
            </w:pPr>
            <w:bookmarkStart w:id="15" w:name="_Hlk132272084"/>
            <w:r>
              <w:rPr>
                <w:sz w:val="24"/>
                <w:szCs w:val="24"/>
              </w:rPr>
              <w:t>厂区</w:t>
            </w:r>
            <w:r>
              <w:rPr>
                <w:rFonts w:hint="eastAsia"/>
                <w:sz w:val="24"/>
                <w:szCs w:val="24"/>
                <w:lang w:val="en-US" w:eastAsia="zh-CN"/>
              </w:rPr>
              <w:t>拟</w:t>
            </w:r>
            <w:r>
              <w:rPr>
                <w:sz w:val="24"/>
                <w:szCs w:val="24"/>
              </w:rPr>
              <w:t>采取如下噪声污染防治措施：</w:t>
            </w:r>
          </w:p>
          <w:p w14:paraId="15EF5650">
            <w:pPr>
              <w:adjustRightInd w:val="0"/>
              <w:snapToGrid w:val="0"/>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选用低噪声设备</w:t>
            </w:r>
            <w:r>
              <w:rPr>
                <w:rFonts w:hint="eastAsia"/>
                <w:sz w:val="24"/>
                <w:szCs w:val="24"/>
              </w:rPr>
              <w:t>：</w:t>
            </w:r>
            <w:r>
              <w:rPr>
                <w:sz w:val="24"/>
                <w:szCs w:val="24"/>
              </w:rPr>
              <w:t>在满足项目生产工艺的前提下，尽可能选择</w:t>
            </w:r>
            <w:r>
              <w:rPr>
                <w:rFonts w:hint="eastAsia"/>
                <w:sz w:val="24"/>
                <w:szCs w:val="24"/>
              </w:rPr>
              <w:t>了</w:t>
            </w:r>
            <w:r>
              <w:rPr>
                <w:sz w:val="24"/>
                <w:szCs w:val="24"/>
              </w:rPr>
              <w:t>先进、噪声低的生产设备，从源头降低噪声；</w:t>
            </w:r>
          </w:p>
          <w:p w14:paraId="097100F4">
            <w:pPr>
              <w:adjustRightInd w:val="0"/>
              <w:snapToGrid w:val="0"/>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消声、减振</w:t>
            </w:r>
            <w:r>
              <w:rPr>
                <w:rFonts w:hint="eastAsia"/>
                <w:sz w:val="24"/>
                <w:szCs w:val="24"/>
              </w:rPr>
              <w:t>：</w:t>
            </w:r>
            <w:r>
              <w:rPr>
                <w:rFonts w:hint="eastAsia"/>
                <w:sz w:val="24"/>
                <w:szCs w:val="24"/>
                <w:lang w:val="en-US" w:eastAsia="zh-CN"/>
              </w:rPr>
              <w:t>对产噪较大的生产设备安装消声装置、减振垫等</w:t>
            </w:r>
            <w:r>
              <w:rPr>
                <w:rFonts w:hint="eastAsia"/>
                <w:sz w:val="24"/>
                <w:szCs w:val="24"/>
              </w:rPr>
              <w:t>，</w:t>
            </w:r>
            <w:r>
              <w:rPr>
                <w:sz w:val="24"/>
                <w:szCs w:val="24"/>
              </w:rPr>
              <w:t>进一步降低噪声</w:t>
            </w:r>
            <w:r>
              <w:rPr>
                <w:rFonts w:hint="eastAsia"/>
                <w:sz w:val="24"/>
                <w:szCs w:val="24"/>
                <w:lang w:val="en-US" w:eastAsia="zh-CN"/>
              </w:rPr>
              <w:t>源强</w:t>
            </w:r>
            <w:r>
              <w:rPr>
                <w:sz w:val="24"/>
                <w:szCs w:val="24"/>
              </w:rPr>
              <w:t>；</w:t>
            </w:r>
          </w:p>
          <w:p w14:paraId="6D6C8DB3">
            <w:pPr>
              <w:adjustRightInd w:val="0"/>
              <w:snapToGrid w:val="0"/>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加强设备维护</w:t>
            </w:r>
            <w:r>
              <w:rPr>
                <w:rFonts w:hint="eastAsia"/>
                <w:sz w:val="24"/>
                <w:szCs w:val="24"/>
              </w:rPr>
              <w:t>：</w:t>
            </w:r>
            <w:r>
              <w:rPr>
                <w:sz w:val="24"/>
                <w:szCs w:val="24"/>
              </w:rPr>
              <w:t>加强设备的维护，确保设备处于良好的运转状态，杜绝因设备不正常运转时产生的高噪声现象；</w:t>
            </w:r>
          </w:p>
          <w:p w14:paraId="11A662A9">
            <w:pPr>
              <w:adjustRightInd w:val="0"/>
              <w:snapToGrid w:val="0"/>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车辆</w:t>
            </w:r>
            <w:r>
              <w:rPr>
                <w:sz w:val="24"/>
                <w:szCs w:val="24"/>
              </w:rPr>
              <w:t>进出口通道设置禁鸣标志，禁止进出车辆鸣笛，防止汽车运行产生的噪声对周围敏感区产生影响。通过加强车辆管理措施，汽车噪声可以达标。</w:t>
            </w:r>
          </w:p>
          <w:p w14:paraId="79AEA32F">
            <w:pPr>
              <w:adjustRightInd w:val="0"/>
              <w:snapToGrid w:val="0"/>
              <w:spacing w:line="360" w:lineRule="auto"/>
              <w:ind w:firstLine="480" w:firstLineChars="200"/>
              <w:rPr>
                <w:rFonts w:hint="eastAsia"/>
                <w:sz w:val="24"/>
                <w:szCs w:val="24"/>
              </w:rPr>
            </w:pPr>
            <w:r>
              <w:rPr>
                <w:sz w:val="24"/>
                <w:szCs w:val="24"/>
              </w:rPr>
              <w:t>经采取上述措施后，再经距离衰减</w:t>
            </w:r>
            <w:r>
              <w:rPr>
                <w:kern w:val="0"/>
                <w:sz w:val="24"/>
                <w:szCs w:val="24"/>
              </w:rPr>
              <w:t>，</w:t>
            </w:r>
            <w:r>
              <w:rPr>
                <w:rFonts w:hint="eastAsia"/>
                <w:kern w:val="0"/>
                <w:sz w:val="24"/>
                <w:szCs w:val="24"/>
                <w:lang w:eastAsia="zh-CN"/>
              </w:rPr>
              <w:t>东、</w:t>
            </w:r>
            <w:r>
              <w:rPr>
                <w:rFonts w:hint="eastAsia"/>
                <w:i w:val="0"/>
                <w:iCs w:val="0"/>
                <w:sz w:val="24"/>
                <w:szCs w:val="24"/>
                <w:u w:val="none"/>
                <w:lang w:val="en-US" w:eastAsia="zh-CN"/>
              </w:rPr>
              <w:t>南、西、北侧厂界噪声均</w:t>
            </w:r>
            <w:r>
              <w:rPr>
                <w:i w:val="0"/>
                <w:iCs w:val="0"/>
                <w:sz w:val="24"/>
                <w:szCs w:val="24"/>
                <w:u w:val="none"/>
              </w:rPr>
              <w:t>可满足</w:t>
            </w:r>
            <w:r>
              <w:rPr>
                <w:rFonts w:hint="eastAsia"/>
                <w:i w:val="0"/>
                <w:iCs w:val="0"/>
                <w:sz w:val="24"/>
                <w:szCs w:val="24"/>
                <w:u w:val="none"/>
                <w:lang w:eastAsia="zh-CN"/>
              </w:rPr>
              <w:t>《工业企业厂界环境噪声排放标准》（GB12348-2008）中3类</w:t>
            </w:r>
            <w:r>
              <w:rPr>
                <w:i w:val="0"/>
                <w:iCs w:val="0"/>
                <w:sz w:val="24"/>
                <w:szCs w:val="24"/>
                <w:u w:val="none"/>
              </w:rPr>
              <w:t>标准要求</w:t>
            </w:r>
            <w:r>
              <w:rPr>
                <w:kern w:val="0"/>
                <w:sz w:val="24"/>
                <w:szCs w:val="24"/>
              </w:rPr>
              <w:t>。因</w:t>
            </w:r>
            <w:r>
              <w:rPr>
                <w:sz w:val="24"/>
                <w:szCs w:val="24"/>
              </w:rPr>
              <w:t>此，本项目做好</w:t>
            </w:r>
            <w:r>
              <w:rPr>
                <w:rFonts w:hint="eastAsia"/>
                <w:sz w:val="24"/>
                <w:szCs w:val="24"/>
              </w:rPr>
              <w:t>了</w:t>
            </w:r>
            <w:r>
              <w:rPr>
                <w:sz w:val="24"/>
                <w:szCs w:val="24"/>
              </w:rPr>
              <w:t>噪声治理措施后，</w:t>
            </w:r>
            <w:r>
              <w:rPr>
                <w:rFonts w:hint="eastAsia"/>
                <w:sz w:val="24"/>
                <w:szCs w:val="24"/>
                <w:lang w:eastAsia="zh-CN"/>
              </w:rPr>
              <w:t>将对周围环境影响降至最低，</w:t>
            </w:r>
            <w:r>
              <w:rPr>
                <w:sz w:val="24"/>
                <w:szCs w:val="24"/>
              </w:rPr>
              <w:t>对周围环境不会造成太大影响</w:t>
            </w:r>
            <w:r>
              <w:rPr>
                <w:rFonts w:hint="eastAsia"/>
                <w:sz w:val="24"/>
                <w:szCs w:val="24"/>
              </w:rPr>
              <w:t>。</w:t>
            </w:r>
            <w:bookmarkEnd w:id="15"/>
          </w:p>
          <w:p w14:paraId="569183A4">
            <w:pPr>
              <w:adjustRightInd w:val="0"/>
              <w:snapToGrid w:val="0"/>
              <w:spacing w:line="360" w:lineRule="auto"/>
              <w:ind w:firstLine="480" w:firstLineChars="200"/>
              <w:rPr>
                <w:rFonts w:hint="eastAsia"/>
                <w:sz w:val="24"/>
                <w:szCs w:val="24"/>
              </w:rPr>
            </w:pPr>
            <w:r>
              <w:rPr>
                <w:rFonts w:hint="eastAsia"/>
                <w:sz w:val="24"/>
                <w:szCs w:val="24"/>
                <w:lang w:val="en-US" w:eastAsia="zh-CN"/>
              </w:rPr>
              <w:t>3.3</w:t>
            </w:r>
            <w:r>
              <w:rPr>
                <w:rFonts w:hint="eastAsia"/>
                <w:sz w:val="24"/>
                <w:szCs w:val="24"/>
              </w:rPr>
              <w:t>声环境监测计划</w:t>
            </w:r>
          </w:p>
          <w:p w14:paraId="30E792DF">
            <w:pPr>
              <w:adjustRightInd w:val="0"/>
              <w:spacing w:line="360" w:lineRule="auto"/>
              <w:ind w:firstLine="600" w:firstLineChars="250"/>
              <w:rPr>
                <w:rFonts w:hint="eastAsia"/>
                <w:sz w:val="24"/>
                <w:szCs w:val="24"/>
                <w:lang w:val="zh-CN"/>
              </w:rPr>
            </w:pPr>
            <w:r>
              <w:rPr>
                <w:rFonts w:hint="eastAsia"/>
                <w:sz w:val="24"/>
                <w:szCs w:val="24"/>
              </w:rPr>
              <w:t>参照</w:t>
            </w:r>
            <w:r>
              <w:rPr>
                <w:rFonts w:hint="eastAsia"/>
                <w:sz w:val="24"/>
                <w:szCs w:val="24"/>
                <w:u w:val="single"/>
                <w:lang w:val="en-US" w:eastAsia="zh-CN"/>
              </w:rPr>
              <w:t>《排污单位自行监测技术指南 水泥工业》（HJ848-2017）</w:t>
            </w:r>
            <w:r>
              <w:rPr>
                <w:rFonts w:hint="eastAsia"/>
                <w:sz w:val="24"/>
                <w:szCs w:val="24"/>
              </w:rPr>
              <w:t>和《工业企业厂界环境噪声排放标准》（GB12348-2008）中的相关内容进行监测，监测计划</w:t>
            </w:r>
            <w:r>
              <w:rPr>
                <w:rFonts w:hint="eastAsia"/>
                <w:sz w:val="24"/>
                <w:szCs w:val="24"/>
                <w:lang w:val="zh-CN"/>
              </w:rPr>
              <w:t>详见</w:t>
            </w:r>
            <w:r>
              <w:rPr>
                <w:rFonts w:hint="eastAsia"/>
                <w:sz w:val="24"/>
                <w:szCs w:val="24"/>
              </w:rPr>
              <w:t>下</w:t>
            </w:r>
            <w:r>
              <w:rPr>
                <w:rFonts w:hint="eastAsia"/>
                <w:sz w:val="24"/>
                <w:szCs w:val="24"/>
                <w:lang w:val="zh-CN"/>
              </w:rPr>
              <w:t>表。</w:t>
            </w:r>
          </w:p>
          <w:p w14:paraId="01D6203D">
            <w:pPr>
              <w:pStyle w:val="2"/>
              <w:rPr>
                <w:rFonts w:hint="eastAsia"/>
                <w:lang w:val="zh-CN"/>
              </w:rPr>
            </w:pPr>
          </w:p>
          <w:p w14:paraId="65F470FC">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u w:val="single"/>
                <w:lang w:val="zh-CN"/>
              </w:rPr>
            </w:pPr>
            <w:r>
              <w:rPr>
                <w:rFonts w:hint="eastAsia"/>
                <w:b/>
                <w:sz w:val="24"/>
                <w:szCs w:val="24"/>
                <w:u w:val="single"/>
                <w:lang w:val="zh-CN"/>
              </w:rPr>
              <w:t>表</w:t>
            </w:r>
            <w:r>
              <w:rPr>
                <w:rFonts w:hint="eastAsia"/>
                <w:b/>
                <w:sz w:val="24"/>
                <w:szCs w:val="24"/>
                <w:u w:val="single"/>
                <w:lang w:val="en-US" w:eastAsia="zh-CN"/>
              </w:rPr>
              <w:t>4-10</w:t>
            </w:r>
            <w:r>
              <w:rPr>
                <w:rFonts w:hint="eastAsia"/>
                <w:b/>
                <w:sz w:val="24"/>
                <w:szCs w:val="24"/>
                <w:u w:val="single"/>
                <w:lang w:val="zh-CN"/>
              </w:rPr>
              <w:t xml:space="preserve"> </w:t>
            </w:r>
            <w:r>
              <w:rPr>
                <w:rFonts w:hint="eastAsia"/>
                <w:b/>
                <w:sz w:val="24"/>
                <w:szCs w:val="24"/>
                <w:u w:val="single"/>
              </w:rPr>
              <w:t xml:space="preserve"> 噪声</w:t>
            </w:r>
            <w:r>
              <w:rPr>
                <w:rFonts w:hint="eastAsia"/>
                <w:b/>
                <w:sz w:val="24"/>
                <w:szCs w:val="24"/>
                <w:u w:val="single"/>
                <w:lang w:val="zh-CN"/>
              </w:rPr>
              <w:t>监测计划</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336"/>
              <w:gridCol w:w="2066"/>
              <w:gridCol w:w="3333"/>
            </w:tblGrid>
            <w:tr w14:paraId="2323DA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027" w:type="pct"/>
                  <w:noWrap w:val="0"/>
                  <w:vAlign w:val="center"/>
                </w:tcPr>
                <w:p w14:paraId="57520A5A">
                  <w:pPr>
                    <w:pStyle w:val="42"/>
                    <w:numPr>
                      <w:ilvl w:val="0"/>
                      <w:numId w:val="0"/>
                    </w:numPr>
                    <w:spacing w:beforeLines="0" w:afterLines="0" w:line="240" w:lineRule="auto"/>
                    <w:ind w:leftChars="0"/>
                    <w:jc w:val="center"/>
                    <w:rPr>
                      <w:rFonts w:hint="default" w:ascii="Times New Roman" w:hAnsi="Times New Roman" w:eastAsia="宋体" w:cs="Times New Roman"/>
                      <w:b w:val="0"/>
                      <w:bCs w:val="0"/>
                      <w:sz w:val="21"/>
                      <w:szCs w:val="21"/>
                      <w:highlight w:val="none"/>
                      <w:u w:val="single"/>
                      <w:lang w:val="en-US" w:eastAsia="zh-CN"/>
                    </w:rPr>
                  </w:pPr>
                  <w:r>
                    <w:rPr>
                      <w:rFonts w:hint="default" w:ascii="Times New Roman" w:hAnsi="Times New Roman" w:eastAsia="宋体" w:cs="Times New Roman"/>
                      <w:b w:val="0"/>
                      <w:bCs w:val="0"/>
                      <w:sz w:val="21"/>
                      <w:szCs w:val="21"/>
                      <w:highlight w:val="none"/>
                      <w:u w:val="single"/>
                      <w:lang w:val="zh-CN" w:eastAsia="zh-CN"/>
                    </w:rPr>
                    <w:t>监测点位</w:t>
                  </w:r>
                </w:p>
              </w:tc>
              <w:tc>
                <w:tcPr>
                  <w:tcW w:w="788" w:type="pct"/>
                  <w:noWrap w:val="0"/>
                  <w:vAlign w:val="center"/>
                </w:tcPr>
                <w:p w14:paraId="2E4A293E">
                  <w:pPr>
                    <w:pStyle w:val="42"/>
                    <w:numPr>
                      <w:ilvl w:val="0"/>
                      <w:numId w:val="0"/>
                    </w:numPr>
                    <w:spacing w:beforeLines="0" w:afterLines="0" w:line="240" w:lineRule="auto"/>
                    <w:ind w:leftChars="0"/>
                    <w:jc w:val="center"/>
                    <w:rPr>
                      <w:rFonts w:hint="default" w:ascii="Times New Roman" w:hAnsi="Times New Roman" w:eastAsia="宋体" w:cs="Times New Roman"/>
                      <w:b w:val="0"/>
                      <w:bCs w:val="0"/>
                      <w:sz w:val="21"/>
                      <w:szCs w:val="21"/>
                      <w:highlight w:val="none"/>
                      <w:u w:val="single"/>
                      <w:lang w:val="zh-CN" w:eastAsia="zh-CN"/>
                    </w:rPr>
                  </w:pPr>
                  <w:r>
                    <w:rPr>
                      <w:rFonts w:hint="default" w:ascii="Times New Roman" w:hAnsi="Times New Roman" w:eastAsia="宋体" w:cs="Times New Roman"/>
                      <w:b w:val="0"/>
                      <w:bCs w:val="0"/>
                      <w:sz w:val="21"/>
                      <w:szCs w:val="21"/>
                      <w:highlight w:val="none"/>
                      <w:u w:val="single"/>
                      <w:lang w:val="zh-CN" w:eastAsia="zh-CN"/>
                    </w:rPr>
                    <w:t>监测</w:t>
                  </w:r>
                  <w:r>
                    <w:rPr>
                      <w:rFonts w:hint="default" w:ascii="Times New Roman" w:hAnsi="Times New Roman" w:eastAsia="宋体" w:cs="Times New Roman"/>
                      <w:b w:val="0"/>
                      <w:bCs w:val="0"/>
                      <w:sz w:val="21"/>
                      <w:szCs w:val="21"/>
                      <w:highlight w:val="none"/>
                      <w:u w:val="single"/>
                      <w:lang w:val="en-US" w:eastAsia="zh-CN"/>
                    </w:rPr>
                    <w:t>指标</w:t>
                  </w:r>
                </w:p>
              </w:tc>
              <w:tc>
                <w:tcPr>
                  <w:tcW w:w="1218" w:type="pct"/>
                  <w:noWrap w:val="0"/>
                  <w:vAlign w:val="center"/>
                </w:tcPr>
                <w:p w14:paraId="6DADF804">
                  <w:pPr>
                    <w:pStyle w:val="42"/>
                    <w:numPr>
                      <w:ilvl w:val="0"/>
                      <w:numId w:val="0"/>
                    </w:numPr>
                    <w:spacing w:beforeLines="0" w:afterLines="0" w:line="240" w:lineRule="auto"/>
                    <w:ind w:leftChars="0"/>
                    <w:jc w:val="center"/>
                    <w:rPr>
                      <w:rFonts w:hint="default" w:ascii="Times New Roman" w:hAnsi="Times New Roman" w:eastAsia="宋体" w:cs="Times New Roman"/>
                      <w:b w:val="0"/>
                      <w:bCs w:val="0"/>
                      <w:sz w:val="21"/>
                      <w:szCs w:val="21"/>
                      <w:highlight w:val="none"/>
                      <w:u w:val="single"/>
                      <w:lang w:val="en-US" w:eastAsia="zh-CN"/>
                    </w:rPr>
                  </w:pPr>
                  <w:r>
                    <w:rPr>
                      <w:rFonts w:hint="default" w:ascii="Times New Roman" w:hAnsi="Times New Roman" w:eastAsia="宋体" w:cs="Times New Roman"/>
                      <w:b w:val="0"/>
                      <w:bCs w:val="0"/>
                      <w:sz w:val="21"/>
                      <w:szCs w:val="21"/>
                      <w:highlight w:val="none"/>
                      <w:u w:val="single"/>
                      <w:lang w:val="en-US" w:eastAsia="zh-CN"/>
                    </w:rPr>
                    <w:t>监测频次</w:t>
                  </w:r>
                </w:p>
              </w:tc>
              <w:tc>
                <w:tcPr>
                  <w:tcW w:w="1965" w:type="pct"/>
                  <w:noWrap w:val="0"/>
                  <w:vAlign w:val="center"/>
                </w:tcPr>
                <w:p w14:paraId="296C7DBD">
                  <w:pPr>
                    <w:pStyle w:val="42"/>
                    <w:numPr>
                      <w:ilvl w:val="0"/>
                      <w:numId w:val="0"/>
                    </w:numPr>
                    <w:spacing w:beforeLines="0" w:afterLines="0" w:line="240" w:lineRule="auto"/>
                    <w:ind w:leftChars="0"/>
                    <w:jc w:val="center"/>
                    <w:rPr>
                      <w:rFonts w:hint="default" w:ascii="Times New Roman" w:hAnsi="Times New Roman" w:eastAsia="宋体" w:cs="Times New Roman"/>
                      <w:b w:val="0"/>
                      <w:bCs w:val="0"/>
                      <w:sz w:val="21"/>
                      <w:szCs w:val="21"/>
                      <w:highlight w:val="none"/>
                      <w:u w:val="single"/>
                      <w:lang w:val="en-US" w:eastAsia="zh-CN"/>
                    </w:rPr>
                  </w:pPr>
                  <w:r>
                    <w:rPr>
                      <w:rFonts w:hint="default" w:ascii="Times New Roman" w:hAnsi="Times New Roman" w:eastAsia="宋体" w:cs="Times New Roman"/>
                      <w:b w:val="0"/>
                      <w:bCs w:val="0"/>
                      <w:sz w:val="21"/>
                      <w:szCs w:val="21"/>
                      <w:highlight w:val="none"/>
                      <w:u w:val="single"/>
                      <w:lang w:val="en-US" w:eastAsia="zh-CN"/>
                    </w:rPr>
                    <w:t>执行排放标准</w:t>
                  </w:r>
                </w:p>
              </w:tc>
            </w:tr>
            <w:tr w14:paraId="60450F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27" w:type="pct"/>
                  <w:noWrap w:val="0"/>
                  <w:vAlign w:val="center"/>
                </w:tcPr>
                <w:p w14:paraId="712F94B0">
                  <w:pPr>
                    <w:pStyle w:val="42"/>
                    <w:numPr>
                      <w:ilvl w:val="0"/>
                      <w:numId w:val="0"/>
                    </w:numPr>
                    <w:spacing w:beforeLines="0" w:afterLines="0" w:line="240" w:lineRule="auto"/>
                    <w:ind w:leftChars="0"/>
                    <w:jc w:val="center"/>
                    <w:rPr>
                      <w:rFonts w:hint="default" w:ascii="Times New Roman" w:hAnsi="Times New Roman" w:eastAsia="宋体" w:cs="Times New Roman"/>
                      <w:b w:val="0"/>
                      <w:bCs w:val="0"/>
                      <w:sz w:val="21"/>
                      <w:szCs w:val="21"/>
                      <w:highlight w:val="none"/>
                      <w:u w:val="single"/>
                      <w:lang w:val="en-US" w:eastAsia="zh-CN"/>
                    </w:rPr>
                  </w:pPr>
                  <w:r>
                    <w:rPr>
                      <w:rFonts w:hint="default" w:ascii="Times New Roman" w:hAnsi="Times New Roman" w:eastAsia="宋体" w:cs="Times New Roman"/>
                      <w:b w:val="0"/>
                      <w:bCs w:val="0"/>
                      <w:sz w:val="21"/>
                      <w:szCs w:val="21"/>
                      <w:highlight w:val="none"/>
                      <w:u w:val="single"/>
                      <w:lang w:val="en-US" w:eastAsia="zh-CN"/>
                    </w:rPr>
                    <w:t>厂</w:t>
                  </w:r>
                  <w:r>
                    <w:rPr>
                      <w:rFonts w:hint="eastAsia" w:ascii="Times New Roman" w:eastAsia="宋体" w:cs="Times New Roman"/>
                      <w:b w:val="0"/>
                      <w:bCs w:val="0"/>
                      <w:sz w:val="21"/>
                      <w:szCs w:val="21"/>
                      <w:highlight w:val="none"/>
                      <w:u w:val="single"/>
                      <w:lang w:val="en-US" w:eastAsia="zh-CN"/>
                    </w:rPr>
                    <w:t>界</w:t>
                  </w:r>
                  <w:r>
                    <w:rPr>
                      <w:rFonts w:hint="default" w:ascii="Times New Roman" w:hAnsi="Times New Roman" w:eastAsia="宋体" w:cs="Times New Roman"/>
                      <w:b w:val="0"/>
                      <w:bCs w:val="0"/>
                      <w:sz w:val="21"/>
                      <w:szCs w:val="21"/>
                      <w:highlight w:val="none"/>
                      <w:u w:val="single"/>
                      <w:lang w:val="en-US" w:eastAsia="zh-CN"/>
                    </w:rPr>
                    <w:t>四周</w:t>
                  </w:r>
                </w:p>
              </w:tc>
              <w:tc>
                <w:tcPr>
                  <w:tcW w:w="788" w:type="pct"/>
                  <w:noWrap w:val="0"/>
                  <w:vAlign w:val="center"/>
                </w:tcPr>
                <w:p w14:paraId="66E1915A">
                  <w:pPr>
                    <w:pStyle w:val="42"/>
                    <w:numPr>
                      <w:ilvl w:val="0"/>
                      <w:numId w:val="0"/>
                    </w:numPr>
                    <w:spacing w:beforeLines="0" w:afterLines="0" w:line="240" w:lineRule="auto"/>
                    <w:ind w:leftChars="0"/>
                    <w:jc w:val="center"/>
                    <w:rPr>
                      <w:rFonts w:hint="default" w:ascii="Times New Roman" w:hAnsi="Times New Roman" w:eastAsia="宋体" w:cs="Times New Roman"/>
                      <w:b w:val="0"/>
                      <w:bCs w:val="0"/>
                      <w:sz w:val="21"/>
                      <w:szCs w:val="21"/>
                      <w:highlight w:val="none"/>
                      <w:u w:val="single"/>
                      <w:lang w:val="en-US" w:eastAsia="zh-CN"/>
                    </w:rPr>
                  </w:pPr>
                  <w:r>
                    <w:rPr>
                      <w:rFonts w:hint="default" w:ascii="Times New Roman" w:hAnsi="Times New Roman" w:eastAsia="宋体" w:cs="Times New Roman"/>
                      <w:b w:val="0"/>
                      <w:bCs w:val="0"/>
                      <w:sz w:val="21"/>
                      <w:szCs w:val="21"/>
                      <w:highlight w:val="none"/>
                      <w:u w:val="single"/>
                      <w:lang w:val="zh-CN" w:eastAsia="zh-CN"/>
                    </w:rPr>
                    <w:t>等效连续A声级</w:t>
                  </w:r>
                </w:p>
              </w:tc>
              <w:tc>
                <w:tcPr>
                  <w:tcW w:w="1218" w:type="pct"/>
                  <w:noWrap w:val="0"/>
                  <w:vAlign w:val="center"/>
                </w:tcPr>
                <w:p w14:paraId="26C1D059">
                  <w:pPr>
                    <w:pStyle w:val="42"/>
                    <w:numPr>
                      <w:ilvl w:val="0"/>
                      <w:numId w:val="0"/>
                    </w:numPr>
                    <w:spacing w:beforeLines="0" w:afterLines="0" w:line="240" w:lineRule="auto"/>
                    <w:ind w:leftChars="0"/>
                    <w:jc w:val="center"/>
                    <w:rPr>
                      <w:rFonts w:hint="default" w:ascii="Times New Roman" w:hAnsi="Times New Roman" w:eastAsia="宋体" w:cs="Times New Roman"/>
                      <w:b w:val="0"/>
                      <w:bCs w:val="0"/>
                      <w:sz w:val="21"/>
                      <w:szCs w:val="21"/>
                      <w:highlight w:val="none"/>
                      <w:u w:val="single"/>
                      <w:lang w:val="zh-CN" w:eastAsia="zh-CN"/>
                    </w:rPr>
                  </w:pPr>
                  <w:r>
                    <w:rPr>
                      <w:rFonts w:hint="default" w:ascii="Times New Roman" w:hAnsi="Times New Roman" w:eastAsia="宋体" w:cs="Times New Roman"/>
                      <w:b w:val="0"/>
                      <w:bCs w:val="0"/>
                      <w:sz w:val="21"/>
                      <w:szCs w:val="21"/>
                      <w:highlight w:val="none"/>
                      <w:u w:val="single"/>
                      <w:lang w:val="en-US" w:eastAsia="zh-CN"/>
                    </w:rPr>
                    <w:t>每季度一次，昼间监测1次</w:t>
                  </w:r>
                  <w:r>
                    <w:rPr>
                      <w:rFonts w:hint="default" w:ascii="Times New Roman" w:hAnsi="Times New Roman" w:eastAsia="宋体" w:cs="Times New Roman"/>
                      <w:b w:val="0"/>
                      <w:bCs w:val="0"/>
                      <w:sz w:val="21"/>
                      <w:szCs w:val="21"/>
                      <w:highlight w:val="none"/>
                      <w:u w:val="single"/>
                      <w:lang w:val="zh-CN" w:eastAsia="zh-CN"/>
                    </w:rPr>
                    <w:t>。</w:t>
                  </w:r>
                </w:p>
              </w:tc>
              <w:tc>
                <w:tcPr>
                  <w:tcW w:w="1965" w:type="pct"/>
                  <w:noWrap w:val="0"/>
                  <w:vAlign w:val="center"/>
                </w:tcPr>
                <w:p w14:paraId="25B1F494">
                  <w:pPr>
                    <w:pStyle w:val="42"/>
                    <w:numPr>
                      <w:ilvl w:val="0"/>
                      <w:numId w:val="0"/>
                    </w:numPr>
                    <w:spacing w:beforeLines="0" w:afterLines="0" w:line="240" w:lineRule="auto"/>
                    <w:ind w:leftChars="0"/>
                    <w:jc w:val="center"/>
                    <w:rPr>
                      <w:rFonts w:hint="default" w:ascii="Times New Roman" w:hAnsi="Times New Roman" w:eastAsia="宋体" w:cs="Times New Roman"/>
                      <w:b w:val="0"/>
                      <w:bCs w:val="0"/>
                      <w:sz w:val="21"/>
                      <w:szCs w:val="21"/>
                      <w:highlight w:val="none"/>
                      <w:u w:val="single"/>
                      <w:lang w:val="zh-CN" w:eastAsia="zh-CN"/>
                    </w:rPr>
                  </w:pPr>
                  <w:r>
                    <w:rPr>
                      <w:rFonts w:hint="eastAsia" w:ascii="Times New Roman" w:eastAsia="宋体" w:cs="Times New Roman"/>
                      <w:b w:val="0"/>
                      <w:bCs w:val="0"/>
                      <w:sz w:val="21"/>
                      <w:szCs w:val="21"/>
                      <w:highlight w:val="none"/>
                      <w:u w:val="single"/>
                      <w:lang w:val="zh-CN" w:eastAsia="zh-CN"/>
                    </w:rPr>
                    <w:t>《工业企业厂界环境噪声排放标准》（GB12348-2008）中3类</w:t>
                  </w:r>
                  <w:r>
                    <w:rPr>
                      <w:rFonts w:hint="default" w:ascii="Times New Roman" w:hAnsi="Times New Roman" w:eastAsia="宋体" w:cs="Times New Roman"/>
                      <w:b w:val="0"/>
                      <w:bCs w:val="0"/>
                      <w:sz w:val="21"/>
                      <w:szCs w:val="21"/>
                      <w:highlight w:val="none"/>
                      <w:u w:val="single"/>
                      <w:lang w:val="zh-CN" w:eastAsia="zh-CN"/>
                    </w:rPr>
                    <w:t>标准</w:t>
                  </w:r>
                </w:p>
              </w:tc>
            </w:tr>
          </w:tbl>
          <w:p w14:paraId="2E9EF436">
            <w:pPr>
              <w:adjustRightInd w:val="0"/>
              <w:snapToGrid w:val="0"/>
              <w:spacing w:line="360" w:lineRule="auto"/>
              <w:ind w:firstLine="482" w:firstLineChars="200"/>
              <w:rPr>
                <w:b/>
                <w:bCs/>
                <w:sz w:val="24"/>
                <w:szCs w:val="24"/>
              </w:rPr>
            </w:pPr>
            <w:r>
              <w:rPr>
                <w:b/>
                <w:bCs/>
                <w:sz w:val="24"/>
                <w:szCs w:val="24"/>
              </w:rPr>
              <w:t>4、固体废物</w:t>
            </w:r>
          </w:p>
          <w:p w14:paraId="1B88A089">
            <w:pPr>
              <w:pStyle w:val="16"/>
              <w:adjustRightInd w:val="0"/>
              <w:spacing w:line="360" w:lineRule="auto"/>
              <w:ind w:left="0" w:firstLine="480" w:firstLineChars="200"/>
              <w:rPr>
                <w:rFonts w:hint="eastAsia" w:eastAsia="宋体"/>
                <w:i w:val="0"/>
                <w:iCs w:val="0"/>
                <w:sz w:val="24"/>
                <w:szCs w:val="24"/>
                <w:u w:val="none" w:color="auto"/>
                <w:lang w:eastAsia="zh-CN"/>
              </w:rPr>
            </w:pPr>
            <w:r>
              <w:rPr>
                <w:rFonts w:hint="eastAsia"/>
                <w:i w:val="0"/>
                <w:iCs w:val="0"/>
                <w:sz w:val="24"/>
                <w:szCs w:val="24"/>
                <w:u w:val="none" w:color="auto"/>
                <w:lang w:eastAsia="zh-CN"/>
              </w:rPr>
              <w:t>（</w:t>
            </w:r>
            <w:r>
              <w:rPr>
                <w:rFonts w:hint="eastAsia"/>
                <w:i w:val="0"/>
                <w:iCs w:val="0"/>
                <w:sz w:val="24"/>
                <w:szCs w:val="24"/>
                <w:u w:val="none" w:color="auto"/>
                <w:lang w:val="en-US" w:eastAsia="zh-CN"/>
              </w:rPr>
              <w:t>1</w:t>
            </w:r>
            <w:r>
              <w:rPr>
                <w:rFonts w:hint="eastAsia"/>
                <w:i w:val="0"/>
                <w:iCs w:val="0"/>
                <w:sz w:val="24"/>
                <w:szCs w:val="24"/>
                <w:u w:val="none" w:color="auto"/>
                <w:lang w:eastAsia="zh-CN"/>
              </w:rPr>
              <w:t>）固体废物产生情况</w:t>
            </w:r>
          </w:p>
          <w:p w14:paraId="3B119427">
            <w:pPr>
              <w:pStyle w:val="16"/>
              <w:adjustRightInd w:val="0"/>
              <w:spacing w:line="360" w:lineRule="auto"/>
              <w:ind w:left="0" w:firstLine="480" w:firstLineChars="200"/>
              <w:jc w:val="both"/>
              <w:rPr>
                <w:rFonts w:hint="eastAsia" w:eastAsia="宋体"/>
                <w:i w:val="0"/>
                <w:iCs w:val="0"/>
                <w:sz w:val="24"/>
                <w:szCs w:val="24"/>
                <w:u w:val="none" w:color="auto"/>
                <w:lang w:eastAsia="zh-CN"/>
              </w:rPr>
            </w:pPr>
            <w:r>
              <w:rPr>
                <w:i w:val="0"/>
                <w:iCs w:val="0"/>
                <w:sz w:val="24"/>
                <w:szCs w:val="24"/>
                <w:u w:val="none" w:color="auto"/>
              </w:rPr>
              <w:t>本项目产生的固体废物主要是</w:t>
            </w:r>
            <w:r>
              <w:rPr>
                <w:rFonts w:hint="eastAsia"/>
                <w:i w:val="0"/>
                <w:iCs w:val="0"/>
                <w:sz w:val="24"/>
                <w:szCs w:val="24"/>
                <w:u w:val="none" w:color="auto"/>
                <w:lang w:val="en-US" w:eastAsia="zh-CN"/>
              </w:rPr>
              <w:t>生活垃圾、</w:t>
            </w:r>
            <w:r>
              <w:rPr>
                <w:rFonts w:hint="eastAsia"/>
                <w:i w:val="0"/>
                <w:iCs w:val="0"/>
                <w:sz w:val="24"/>
                <w:szCs w:val="24"/>
                <w:u w:val="none" w:color="auto"/>
              </w:rPr>
              <w:t>除尘器</w:t>
            </w:r>
            <w:r>
              <w:rPr>
                <w:rFonts w:hint="eastAsia"/>
                <w:i w:val="0"/>
                <w:iCs w:val="0"/>
                <w:sz w:val="24"/>
                <w:szCs w:val="24"/>
                <w:u w:val="none" w:color="auto"/>
                <w:lang w:eastAsia="zh-CN"/>
              </w:rPr>
              <w:t>收集</w:t>
            </w:r>
            <w:r>
              <w:rPr>
                <w:rFonts w:hint="eastAsia"/>
                <w:i w:val="0"/>
                <w:iCs w:val="0"/>
                <w:sz w:val="24"/>
                <w:szCs w:val="24"/>
                <w:u w:val="none" w:color="auto"/>
              </w:rPr>
              <w:t>粉尘</w:t>
            </w:r>
            <w:r>
              <w:rPr>
                <w:rFonts w:hint="eastAsia"/>
                <w:i w:val="0"/>
                <w:iCs w:val="0"/>
                <w:sz w:val="24"/>
                <w:szCs w:val="24"/>
                <w:u w:val="none" w:color="auto"/>
                <w:lang w:eastAsia="zh-CN"/>
              </w:rPr>
              <w:t>、废布袋、沉淀池沉淀物、化验室废试样</w:t>
            </w:r>
            <w:r>
              <w:rPr>
                <w:rFonts w:hint="eastAsia"/>
                <w:i w:val="0"/>
                <w:iCs w:val="0"/>
                <w:sz w:val="24"/>
                <w:szCs w:val="24"/>
                <w:u w:val="none" w:color="auto"/>
              </w:rPr>
              <w:t>等</w:t>
            </w:r>
            <w:r>
              <w:rPr>
                <w:i w:val="0"/>
                <w:iCs w:val="0"/>
                <w:sz w:val="24"/>
                <w:szCs w:val="24"/>
                <w:u w:val="none" w:color="auto"/>
              </w:rPr>
              <w:t>。</w:t>
            </w:r>
            <w:r>
              <w:rPr>
                <w:rFonts w:hint="eastAsia"/>
                <w:i w:val="0"/>
                <w:iCs w:val="0"/>
                <w:sz w:val="24"/>
                <w:szCs w:val="24"/>
                <w:u w:val="single" w:color="auto"/>
                <w:lang w:eastAsia="zh-CN"/>
              </w:rPr>
              <w:t>本项目运输车辆和机械设备等维修保养均委托</w:t>
            </w:r>
            <w:r>
              <w:rPr>
                <w:rFonts w:hint="eastAsia"/>
                <w:i w:val="0"/>
                <w:iCs w:val="0"/>
                <w:sz w:val="24"/>
                <w:szCs w:val="24"/>
                <w:u w:val="single" w:color="auto"/>
                <w:lang w:val="en-US" w:eastAsia="zh-CN"/>
              </w:rPr>
              <w:t>临江市内</w:t>
            </w:r>
            <w:r>
              <w:rPr>
                <w:rFonts w:hint="eastAsia"/>
                <w:i w:val="0"/>
                <w:iCs w:val="0"/>
                <w:sz w:val="24"/>
                <w:szCs w:val="24"/>
                <w:u w:val="single" w:color="auto"/>
                <w:lang w:eastAsia="zh-CN"/>
              </w:rPr>
              <w:t>汽车修理部，厂区内不产生废机油，厂内传送带采用黄油润滑，定期补给，不产生废油。</w:t>
            </w:r>
          </w:p>
          <w:p w14:paraId="655ABB5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i w:val="0"/>
                <w:iCs w:val="0"/>
                <w:smallCaps/>
                <w:kern w:val="2"/>
                <w:sz w:val="24"/>
                <w:szCs w:val="24"/>
                <w:u w:val="none" w:color="auto"/>
                <w:lang w:val="en-US" w:eastAsia="zh-CN" w:bidi="ar-SA"/>
              </w:rPr>
            </w:pPr>
            <w:r>
              <w:rPr>
                <w:rFonts w:hint="default" w:ascii="Times New Roman" w:hAnsi="Times New Roman" w:eastAsia="宋体" w:cs="Times New Roman"/>
                <w:sz w:val="24"/>
                <w:szCs w:val="24"/>
                <w:highlight w:val="none"/>
                <w:u w:val="none" w:color="auto"/>
              </w:rPr>
              <w:t>①</w:t>
            </w:r>
            <w:r>
              <w:rPr>
                <w:rFonts w:ascii="Times New Roman" w:hAnsi="Times New Roman" w:eastAsia="宋体" w:cs="Times New Roman"/>
                <w:i w:val="0"/>
                <w:iCs w:val="0"/>
                <w:smallCaps/>
                <w:kern w:val="2"/>
                <w:sz w:val="24"/>
                <w:szCs w:val="24"/>
                <w:u w:val="none" w:color="auto"/>
                <w:lang w:val="en-US" w:eastAsia="zh-CN" w:bidi="ar-SA"/>
              </w:rPr>
              <w:t>生活垃圾</w:t>
            </w:r>
          </w:p>
          <w:p w14:paraId="323785C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i w:val="0"/>
                <w:iCs w:val="0"/>
                <w:smallCaps/>
                <w:kern w:val="2"/>
                <w:sz w:val="24"/>
                <w:szCs w:val="24"/>
                <w:u w:val="none" w:color="auto"/>
                <w:lang w:val="en-US" w:eastAsia="zh-CN" w:bidi="ar-SA"/>
              </w:rPr>
            </w:pPr>
            <w:r>
              <w:rPr>
                <w:rFonts w:ascii="Times New Roman" w:hAnsi="Times New Roman" w:eastAsia="宋体" w:cs="Times New Roman"/>
                <w:i w:val="0"/>
                <w:iCs w:val="0"/>
                <w:smallCaps/>
                <w:kern w:val="2"/>
                <w:sz w:val="24"/>
                <w:szCs w:val="24"/>
                <w:u w:val="none" w:color="auto"/>
                <w:lang w:val="en-US" w:eastAsia="zh-CN" w:bidi="ar-SA"/>
              </w:rPr>
              <w:t>项目劳动定员</w:t>
            </w:r>
            <w:r>
              <w:rPr>
                <w:rFonts w:hint="eastAsia" w:cs="Times New Roman"/>
                <w:i w:val="0"/>
                <w:iCs w:val="0"/>
                <w:smallCaps/>
                <w:kern w:val="2"/>
                <w:sz w:val="24"/>
                <w:szCs w:val="24"/>
                <w:u w:val="none" w:color="auto"/>
                <w:lang w:val="en-US" w:eastAsia="zh-CN" w:bidi="ar-SA"/>
              </w:rPr>
              <w:t>20</w:t>
            </w:r>
            <w:r>
              <w:rPr>
                <w:rFonts w:ascii="Times New Roman" w:hAnsi="Times New Roman" w:eastAsia="宋体" w:cs="Times New Roman"/>
                <w:i w:val="0"/>
                <w:iCs w:val="0"/>
                <w:smallCaps/>
                <w:kern w:val="2"/>
                <w:sz w:val="24"/>
                <w:szCs w:val="24"/>
                <w:u w:val="none" w:color="auto"/>
                <w:lang w:val="en-US" w:eastAsia="zh-CN" w:bidi="ar-SA"/>
              </w:rPr>
              <w:t>人，项目的员工生活垃圾产生量人均</w:t>
            </w:r>
            <w:r>
              <w:rPr>
                <w:rFonts w:hint="eastAsia"/>
                <w:sz w:val="24"/>
                <w:szCs w:val="24"/>
                <w:u w:val="none" w:color="auto"/>
              </w:rPr>
              <w:t>0.5kg/d</w:t>
            </w:r>
            <w:r>
              <w:rPr>
                <w:rFonts w:ascii="Times New Roman" w:hAnsi="Times New Roman" w:eastAsia="宋体" w:cs="Times New Roman"/>
                <w:i w:val="0"/>
                <w:iCs w:val="0"/>
                <w:smallCaps/>
                <w:kern w:val="2"/>
                <w:sz w:val="24"/>
                <w:szCs w:val="24"/>
                <w:u w:val="none" w:color="auto"/>
                <w:lang w:val="en-US" w:eastAsia="zh-CN" w:bidi="ar-SA"/>
              </w:rPr>
              <w:t>计，</w:t>
            </w:r>
            <w:r>
              <w:rPr>
                <w:rFonts w:hint="eastAsia" w:ascii="Times New Roman" w:hAnsi="Times New Roman" w:eastAsia="宋体" w:cs="Times New Roman"/>
                <w:i w:val="0"/>
                <w:iCs w:val="0"/>
                <w:smallCaps/>
                <w:kern w:val="2"/>
                <w:sz w:val="24"/>
                <w:szCs w:val="24"/>
                <w:u w:val="none" w:color="auto"/>
                <w:lang w:val="en-US" w:eastAsia="zh-CN" w:bidi="ar-SA"/>
              </w:rPr>
              <w:t>生产天数</w:t>
            </w:r>
            <w:r>
              <w:rPr>
                <w:rFonts w:hint="eastAsia" w:cs="Times New Roman"/>
                <w:i w:val="0"/>
                <w:iCs w:val="0"/>
                <w:smallCaps/>
                <w:kern w:val="2"/>
                <w:sz w:val="24"/>
                <w:szCs w:val="24"/>
                <w:u w:val="none" w:color="auto"/>
                <w:lang w:val="en-US" w:eastAsia="zh-CN" w:bidi="ar-SA"/>
              </w:rPr>
              <w:t>240</w:t>
            </w:r>
            <w:r>
              <w:rPr>
                <w:rFonts w:hint="eastAsia" w:ascii="Times New Roman" w:hAnsi="Times New Roman" w:eastAsia="宋体" w:cs="Times New Roman"/>
                <w:i w:val="0"/>
                <w:iCs w:val="0"/>
                <w:smallCaps/>
                <w:kern w:val="2"/>
                <w:sz w:val="24"/>
                <w:szCs w:val="24"/>
                <w:u w:val="none" w:color="auto"/>
                <w:lang w:val="en-US" w:eastAsia="zh-CN" w:bidi="ar-SA"/>
              </w:rPr>
              <w:t>天，生活垃圾产生量约</w:t>
            </w:r>
            <w:r>
              <w:rPr>
                <w:rFonts w:hint="eastAsia" w:cs="Times New Roman"/>
                <w:i w:val="0"/>
                <w:iCs w:val="0"/>
                <w:smallCaps/>
                <w:kern w:val="2"/>
                <w:sz w:val="24"/>
                <w:szCs w:val="24"/>
                <w:u w:val="none" w:color="auto"/>
                <w:lang w:val="en-US" w:eastAsia="zh-CN" w:bidi="ar-SA"/>
              </w:rPr>
              <w:t>2.4</w:t>
            </w:r>
            <w:r>
              <w:rPr>
                <w:rFonts w:hint="eastAsia" w:ascii="Times New Roman" w:hAnsi="Times New Roman" w:cs="Times New Roman"/>
                <w:i w:val="0"/>
                <w:iCs w:val="0"/>
                <w:sz w:val="24"/>
                <w:szCs w:val="24"/>
                <w:u w:val="none" w:color="auto"/>
                <w:lang w:val="en-US" w:eastAsia="zh-CN"/>
              </w:rPr>
              <w:t>t</w:t>
            </w:r>
            <w:r>
              <w:rPr>
                <w:rFonts w:hint="default" w:ascii="Times New Roman" w:hAnsi="Times New Roman" w:cs="Times New Roman"/>
                <w:i w:val="0"/>
                <w:iCs w:val="0"/>
                <w:sz w:val="24"/>
                <w:szCs w:val="24"/>
                <w:u w:val="none" w:color="auto"/>
                <w:lang w:val="en-US" w:eastAsia="zh-CN"/>
              </w:rPr>
              <w:t>/a</w:t>
            </w:r>
            <w:r>
              <w:rPr>
                <w:rFonts w:hint="eastAsia" w:ascii="Times New Roman" w:hAnsi="Times New Roman" w:eastAsia="宋体" w:cs="Times New Roman"/>
                <w:i w:val="0"/>
                <w:iCs w:val="0"/>
                <w:smallCaps/>
                <w:kern w:val="2"/>
                <w:sz w:val="24"/>
                <w:szCs w:val="24"/>
                <w:u w:val="none" w:color="auto"/>
                <w:lang w:val="en-US" w:eastAsia="zh-CN" w:bidi="ar-SA"/>
              </w:rPr>
              <w:t>，</w:t>
            </w:r>
            <w:r>
              <w:rPr>
                <w:rFonts w:hint="eastAsia" w:cs="Times New Roman"/>
                <w:i w:val="0"/>
                <w:iCs w:val="0"/>
                <w:smallCaps/>
                <w:kern w:val="2"/>
                <w:sz w:val="24"/>
                <w:szCs w:val="24"/>
                <w:u w:val="none" w:color="auto"/>
                <w:lang w:val="en-US" w:eastAsia="zh-CN" w:bidi="ar-SA"/>
              </w:rPr>
              <w:t>收集后交</w:t>
            </w:r>
            <w:r>
              <w:rPr>
                <w:rFonts w:hint="eastAsia" w:ascii="Times New Roman" w:hAnsi="Times New Roman" w:eastAsia="宋体" w:cs="Times New Roman"/>
                <w:i w:val="0"/>
                <w:iCs w:val="0"/>
                <w:smallCaps/>
                <w:kern w:val="2"/>
                <w:sz w:val="24"/>
                <w:szCs w:val="24"/>
                <w:u w:val="none" w:color="auto"/>
                <w:lang w:val="en-US" w:eastAsia="zh-CN" w:bidi="ar-SA"/>
              </w:rPr>
              <w:t>由环卫部门统一处理。</w:t>
            </w:r>
          </w:p>
          <w:p w14:paraId="2A3D7A1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i w:val="0"/>
                <w:iCs w:val="0"/>
                <w:sz w:val="24"/>
                <w:szCs w:val="24"/>
                <w:u w:val="none" w:color="auto"/>
                <w:lang w:val="en-US" w:eastAsia="zh-CN"/>
              </w:rPr>
            </w:pPr>
            <w:r>
              <w:rPr>
                <w:rFonts w:hint="default" w:ascii="Times New Roman" w:hAnsi="Times New Roman" w:eastAsia="宋体" w:cs="Times New Roman"/>
                <w:sz w:val="24"/>
                <w:szCs w:val="24"/>
                <w:highlight w:val="none"/>
                <w:u w:val="none" w:color="auto"/>
              </w:rPr>
              <w:t>②</w:t>
            </w:r>
            <w:r>
              <w:rPr>
                <w:rFonts w:hint="eastAsia" w:ascii="Times New Roman" w:hAnsi="Times New Roman" w:eastAsia="宋体" w:cs="Times New Roman"/>
                <w:i w:val="0"/>
                <w:iCs w:val="0"/>
                <w:sz w:val="24"/>
                <w:szCs w:val="24"/>
                <w:u w:val="none" w:color="auto"/>
                <w:lang w:val="en-US" w:eastAsia="zh-CN"/>
              </w:rPr>
              <w:t>除尘器</w:t>
            </w:r>
            <w:r>
              <w:rPr>
                <w:rFonts w:hint="eastAsia" w:cs="Times New Roman"/>
                <w:i w:val="0"/>
                <w:iCs w:val="0"/>
                <w:sz w:val="24"/>
                <w:szCs w:val="24"/>
                <w:u w:val="none" w:color="auto"/>
                <w:lang w:val="en-US" w:eastAsia="zh-CN"/>
              </w:rPr>
              <w:t>收集</w:t>
            </w:r>
            <w:r>
              <w:rPr>
                <w:rFonts w:hint="eastAsia" w:ascii="Times New Roman" w:hAnsi="Times New Roman" w:eastAsia="宋体" w:cs="Times New Roman"/>
                <w:i w:val="0"/>
                <w:iCs w:val="0"/>
                <w:sz w:val="24"/>
                <w:szCs w:val="24"/>
                <w:u w:val="none" w:color="auto"/>
                <w:lang w:val="en-US" w:eastAsia="zh-CN"/>
              </w:rPr>
              <w:t>粉尘</w:t>
            </w:r>
          </w:p>
          <w:p w14:paraId="74E96F3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i w:val="0"/>
                <w:iCs w:val="0"/>
                <w:sz w:val="24"/>
                <w:szCs w:val="24"/>
                <w:u w:val="none" w:color="auto"/>
                <w:lang w:val="en-US" w:eastAsia="zh-CN"/>
              </w:rPr>
            </w:pPr>
            <w:r>
              <w:rPr>
                <w:rFonts w:hint="eastAsia" w:cs="Times New Roman"/>
                <w:i w:val="0"/>
                <w:iCs w:val="0"/>
                <w:sz w:val="24"/>
                <w:szCs w:val="24"/>
                <w:u w:val="none" w:color="auto"/>
                <w:lang w:val="en-US" w:eastAsia="zh-CN"/>
              </w:rPr>
              <w:t>筒仓</w:t>
            </w:r>
            <w:r>
              <w:rPr>
                <w:rFonts w:hint="eastAsia" w:ascii="Times New Roman" w:hAnsi="Times New Roman" w:eastAsia="宋体" w:cs="Times New Roman"/>
                <w:i w:val="0"/>
                <w:iCs w:val="0"/>
                <w:sz w:val="24"/>
                <w:szCs w:val="24"/>
                <w:u w:val="none" w:color="auto"/>
                <w:lang w:val="en-US" w:eastAsia="zh-CN"/>
              </w:rPr>
              <w:t>除尘器和搅拌机除尘器收集的粉尘的量约为</w:t>
            </w:r>
            <w:r>
              <w:rPr>
                <w:rFonts w:hint="eastAsia" w:cs="Times New Roman"/>
                <w:i w:val="0"/>
                <w:iCs w:val="0"/>
                <w:sz w:val="24"/>
                <w:szCs w:val="24"/>
                <w:u w:val="none" w:color="auto"/>
                <w:lang w:val="en-US" w:eastAsia="zh-CN"/>
              </w:rPr>
              <w:t>26.1772</w:t>
            </w:r>
            <w:r>
              <w:rPr>
                <w:rFonts w:hint="default" w:ascii="Times New Roman" w:hAnsi="Times New Roman" w:eastAsia="宋体" w:cs="Times New Roman"/>
                <w:i w:val="0"/>
                <w:iCs w:val="0"/>
                <w:sz w:val="24"/>
                <w:szCs w:val="24"/>
                <w:u w:val="none" w:color="auto"/>
                <w:lang w:val="en-US" w:eastAsia="zh-CN"/>
              </w:rPr>
              <w:t>t/a</w:t>
            </w:r>
            <w:r>
              <w:rPr>
                <w:rFonts w:hint="eastAsia" w:ascii="Times New Roman" w:hAnsi="Times New Roman" w:eastAsia="宋体" w:cs="Times New Roman"/>
                <w:i w:val="0"/>
                <w:iCs w:val="0"/>
                <w:sz w:val="24"/>
                <w:szCs w:val="24"/>
                <w:u w:val="none" w:color="auto"/>
                <w:lang w:val="en-US" w:eastAsia="zh-CN"/>
              </w:rPr>
              <w:t>，</w:t>
            </w:r>
            <w:r>
              <w:rPr>
                <w:rFonts w:hint="eastAsia" w:cs="Times New Roman"/>
                <w:i w:val="0"/>
                <w:iCs w:val="0"/>
                <w:sz w:val="24"/>
                <w:szCs w:val="24"/>
                <w:u w:val="none" w:color="auto"/>
                <w:lang w:val="en-US" w:eastAsia="zh-CN"/>
              </w:rPr>
              <w:t>其</w:t>
            </w:r>
            <w:r>
              <w:rPr>
                <w:rFonts w:hint="eastAsia" w:ascii="Times New Roman" w:hAnsi="Times New Roman" w:eastAsia="宋体" w:cs="Times New Roman"/>
                <w:i w:val="0"/>
                <w:iCs w:val="0"/>
                <w:sz w:val="24"/>
                <w:szCs w:val="24"/>
                <w:u w:val="none" w:color="auto"/>
                <w:lang w:val="en-US" w:eastAsia="zh-CN"/>
              </w:rPr>
              <w:t>成分与项目原材料成分一致，可作为粉状回用于生产。</w:t>
            </w:r>
          </w:p>
          <w:p w14:paraId="4B97607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i w:val="0"/>
                <w:iCs w:val="0"/>
                <w:sz w:val="24"/>
                <w:szCs w:val="24"/>
                <w:u w:val="none" w:color="auto"/>
                <w:lang w:val="en-US" w:eastAsia="zh-CN"/>
              </w:rPr>
            </w:pPr>
            <w:r>
              <w:rPr>
                <w:rFonts w:hint="eastAsia" w:ascii="Times New Roman" w:hAnsi="Times New Roman" w:eastAsia="宋体" w:cs="Times New Roman"/>
                <w:i w:val="0"/>
                <w:iCs w:val="0"/>
                <w:sz w:val="24"/>
                <w:szCs w:val="24"/>
                <w:u w:val="none" w:color="auto"/>
                <w:lang w:val="en-US" w:eastAsia="zh-CN"/>
              </w:rPr>
              <w:t>③</w:t>
            </w:r>
            <w:r>
              <w:rPr>
                <w:rFonts w:hint="eastAsia" w:cs="Times New Roman"/>
                <w:i w:val="0"/>
                <w:iCs w:val="0"/>
                <w:sz w:val="24"/>
                <w:szCs w:val="24"/>
                <w:u w:val="none" w:color="auto"/>
                <w:lang w:val="en-US" w:eastAsia="zh-CN"/>
              </w:rPr>
              <w:t>废布袋</w:t>
            </w:r>
          </w:p>
          <w:p w14:paraId="02D5D0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u w:val="none" w:color="auto"/>
              </w:rPr>
            </w:pPr>
            <w:r>
              <w:rPr>
                <w:rFonts w:hint="eastAsia" w:ascii="宋体" w:hAnsi="宋体" w:eastAsia="宋体" w:cs="宋体"/>
                <w:color w:val="000000"/>
                <w:kern w:val="0"/>
                <w:sz w:val="24"/>
                <w:szCs w:val="24"/>
                <w:u w:val="none" w:color="auto"/>
                <w:lang w:val="en-US" w:eastAsia="zh-CN" w:bidi="ar"/>
              </w:rPr>
              <w:t>本项目脉冲袋式除尘器的布袋逐步磨损后需要定期更换，每年更换一次，产生量约为</w:t>
            </w:r>
            <w:r>
              <w:rPr>
                <w:rFonts w:hint="default" w:ascii="Times New Roman" w:hAnsi="Times New Roman" w:eastAsia="宋体" w:cs="Times New Roman"/>
                <w:color w:val="000000"/>
                <w:kern w:val="0"/>
                <w:sz w:val="24"/>
                <w:szCs w:val="24"/>
                <w:u w:val="none" w:color="auto"/>
                <w:lang w:val="en-US" w:eastAsia="zh-CN" w:bidi="ar"/>
              </w:rPr>
              <w:t>0.0</w:t>
            </w:r>
            <w:r>
              <w:rPr>
                <w:rFonts w:hint="eastAsia" w:cs="Times New Roman"/>
                <w:color w:val="000000"/>
                <w:kern w:val="0"/>
                <w:sz w:val="24"/>
                <w:szCs w:val="24"/>
                <w:u w:val="none" w:color="auto"/>
                <w:lang w:val="en-US" w:eastAsia="zh-CN" w:bidi="ar"/>
              </w:rPr>
              <w:t>5</w:t>
            </w:r>
            <w:r>
              <w:rPr>
                <w:rFonts w:hint="default" w:ascii="Times New Roman" w:hAnsi="Times New Roman" w:eastAsia="宋体" w:cs="Times New Roman"/>
                <w:color w:val="000000"/>
                <w:kern w:val="0"/>
                <w:sz w:val="24"/>
                <w:szCs w:val="24"/>
                <w:u w:val="none" w:color="auto"/>
                <w:lang w:val="en-US" w:eastAsia="zh-CN" w:bidi="ar"/>
              </w:rPr>
              <w:t>t/a</w:t>
            </w:r>
            <w:r>
              <w:rPr>
                <w:rFonts w:hint="eastAsia" w:ascii="宋体" w:hAnsi="宋体" w:eastAsia="宋体" w:cs="宋体"/>
                <w:color w:val="000000"/>
                <w:kern w:val="0"/>
                <w:sz w:val="24"/>
                <w:szCs w:val="24"/>
                <w:u w:val="none" w:color="auto"/>
                <w:lang w:val="en-US" w:eastAsia="zh-CN" w:bidi="ar"/>
              </w:rPr>
              <w:t>，收集后交由厂家回收利用。</w:t>
            </w:r>
          </w:p>
          <w:p w14:paraId="7B5A595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i w:val="0"/>
                <w:iCs w:val="0"/>
                <w:smallCaps/>
                <w:kern w:val="2"/>
                <w:sz w:val="24"/>
                <w:szCs w:val="24"/>
                <w:highlight w:val="none"/>
                <w:u w:val="none" w:color="auto"/>
                <w:lang w:val="en-US" w:eastAsia="zh-CN" w:bidi="ar-SA"/>
              </w:rPr>
            </w:pPr>
            <w:r>
              <w:rPr>
                <w:rFonts w:hint="eastAsia" w:cs="Times New Roman"/>
                <w:i w:val="0"/>
                <w:iCs w:val="0"/>
                <w:kern w:val="2"/>
                <w:sz w:val="24"/>
                <w:szCs w:val="24"/>
                <w:u w:val="none" w:color="auto"/>
                <w:lang w:val="en-US" w:eastAsia="zh-CN" w:bidi="ar-SA"/>
              </w:rPr>
              <w:t>④沉淀池沉淀物</w:t>
            </w:r>
          </w:p>
          <w:p w14:paraId="1E2B0E7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i w:val="0"/>
                <w:iCs w:val="0"/>
                <w:sz w:val="24"/>
                <w:szCs w:val="24"/>
                <w:highlight w:val="none"/>
                <w:u w:val="none" w:color="auto"/>
                <w:lang w:val="en-US" w:eastAsia="zh-CN"/>
              </w:rPr>
            </w:pPr>
            <w:r>
              <w:rPr>
                <w:rFonts w:hint="eastAsia"/>
                <w:i w:val="0"/>
                <w:iCs w:val="0"/>
                <w:sz w:val="24"/>
                <w:szCs w:val="24"/>
                <w:highlight w:val="none"/>
                <w:u w:val="none" w:color="auto"/>
              </w:rPr>
              <w:t>项目厂区设置</w:t>
            </w:r>
            <w:r>
              <w:rPr>
                <w:rFonts w:hint="eastAsia"/>
                <w:i w:val="0"/>
                <w:iCs w:val="0"/>
                <w:sz w:val="24"/>
                <w:szCs w:val="24"/>
                <w:highlight w:val="none"/>
                <w:u w:val="none" w:color="auto"/>
                <w:lang w:val="en-US" w:eastAsia="zh-CN"/>
              </w:rPr>
              <w:t>三级沉淀池。</w:t>
            </w:r>
            <w:r>
              <w:rPr>
                <w:rFonts w:hint="eastAsia"/>
                <w:i w:val="0"/>
                <w:iCs w:val="0"/>
                <w:sz w:val="24"/>
                <w:szCs w:val="24"/>
                <w:highlight w:val="none"/>
                <w:u w:val="none" w:color="auto"/>
                <w:lang w:eastAsia="zh-CN"/>
              </w:rPr>
              <w:t>沉淀池沉淀物</w:t>
            </w:r>
            <w:r>
              <w:rPr>
                <w:rFonts w:hint="eastAsia"/>
                <w:i w:val="0"/>
                <w:iCs w:val="0"/>
                <w:sz w:val="24"/>
                <w:szCs w:val="24"/>
                <w:highlight w:val="none"/>
                <w:u w:val="none" w:color="auto"/>
                <w:lang w:val="en-US" w:eastAsia="zh-CN"/>
              </w:rPr>
              <w:t>的主要成分为原料砂石料、水泥等</w:t>
            </w:r>
            <w:r>
              <w:rPr>
                <w:rFonts w:hint="eastAsia"/>
                <w:i w:val="0"/>
                <w:iCs w:val="0"/>
                <w:sz w:val="24"/>
                <w:szCs w:val="24"/>
                <w:highlight w:val="none"/>
                <w:u w:val="none" w:color="auto"/>
              </w:rPr>
              <w:t>，</w:t>
            </w:r>
            <w:r>
              <w:rPr>
                <w:rFonts w:hint="default" w:ascii="Times New Roman" w:hAnsi="Times New Roman" w:cs="Times New Roman"/>
                <w:i w:val="0"/>
                <w:iCs w:val="0"/>
                <w:sz w:val="24"/>
                <w:szCs w:val="24"/>
                <w:highlight w:val="none"/>
                <w:u w:val="none" w:color="auto"/>
                <w:lang w:val="en-US" w:eastAsia="zh-CN"/>
              </w:rPr>
              <w:t>为一般</w:t>
            </w:r>
            <w:r>
              <w:rPr>
                <w:rFonts w:hint="default" w:ascii="Times New Roman" w:hAnsi="Times New Roman" w:eastAsia="宋体" w:cs="Times New Roman"/>
                <w:i w:val="0"/>
                <w:iCs w:val="0"/>
                <w:smallCaps/>
                <w:kern w:val="2"/>
                <w:sz w:val="24"/>
                <w:szCs w:val="24"/>
                <w:highlight w:val="none"/>
                <w:u w:val="none" w:color="auto"/>
                <w:lang w:val="en-US" w:eastAsia="zh-CN" w:bidi="ar-SA"/>
              </w:rPr>
              <w:t>固体废物，</w:t>
            </w:r>
            <w:r>
              <w:rPr>
                <w:rFonts w:hint="eastAsia" w:cs="Times New Roman"/>
                <w:i w:val="0"/>
                <w:iCs w:val="0"/>
                <w:smallCaps/>
                <w:kern w:val="2"/>
                <w:sz w:val="24"/>
                <w:szCs w:val="24"/>
                <w:highlight w:val="none"/>
                <w:u w:val="none" w:color="auto"/>
                <w:lang w:val="en-US" w:eastAsia="zh-CN" w:bidi="ar-SA"/>
              </w:rPr>
              <w:t>沉淀池沉淀物含水率约为90%，</w:t>
            </w:r>
            <w:r>
              <w:rPr>
                <w:rFonts w:hint="eastAsia" w:cs="Times New Roman"/>
                <w:i w:val="0"/>
                <w:iCs w:val="0"/>
                <w:sz w:val="24"/>
                <w:szCs w:val="24"/>
                <w:highlight w:val="none"/>
                <w:u w:val="none" w:color="auto"/>
                <w:lang w:val="en-US" w:eastAsia="zh-CN"/>
              </w:rPr>
              <w:t>定期清掏，</w:t>
            </w:r>
            <w:r>
              <w:rPr>
                <w:rFonts w:hint="eastAsia" w:cs="Times New Roman"/>
                <w:i w:val="0"/>
                <w:iCs w:val="0"/>
                <w:smallCaps/>
                <w:kern w:val="2"/>
                <w:sz w:val="24"/>
                <w:szCs w:val="24"/>
                <w:highlight w:val="none"/>
                <w:u w:val="none" w:color="auto"/>
                <w:lang w:val="en-US" w:eastAsia="zh-CN" w:bidi="ar-SA"/>
              </w:rPr>
              <w:t>捞出沥干后全部回用于生产。</w:t>
            </w:r>
            <w:r>
              <w:rPr>
                <w:rFonts w:hint="eastAsia" w:cs="Times New Roman"/>
                <w:i w:val="0"/>
                <w:iCs w:val="0"/>
                <w:sz w:val="24"/>
                <w:szCs w:val="24"/>
                <w:highlight w:val="none"/>
                <w:u w:val="none" w:color="auto"/>
                <w:lang w:val="en-US" w:eastAsia="zh-CN"/>
              </w:rPr>
              <w:t>沥干后的沉淀物</w:t>
            </w:r>
            <w:r>
              <w:rPr>
                <w:rFonts w:hint="eastAsia" w:ascii="Times New Roman" w:hAnsi="Times New Roman" w:eastAsia="宋体" w:cs="Times New Roman"/>
                <w:i w:val="0"/>
                <w:iCs w:val="0"/>
                <w:sz w:val="24"/>
                <w:szCs w:val="24"/>
                <w:highlight w:val="none"/>
                <w:u w:val="none" w:color="auto"/>
                <w:lang w:val="en-US" w:eastAsia="zh-CN"/>
              </w:rPr>
              <w:t>产生量约为</w:t>
            </w:r>
            <w:r>
              <w:rPr>
                <w:rFonts w:hint="eastAsia" w:cs="Times New Roman"/>
                <w:i w:val="0"/>
                <w:iCs w:val="0"/>
                <w:sz w:val="24"/>
                <w:szCs w:val="24"/>
                <w:highlight w:val="none"/>
                <w:u w:val="none" w:color="auto"/>
                <w:lang w:val="en-US" w:eastAsia="zh-CN"/>
              </w:rPr>
              <w:t>5</w:t>
            </w:r>
            <w:r>
              <w:rPr>
                <w:rFonts w:hint="eastAsia" w:ascii="Times New Roman" w:hAnsi="Times New Roman" w:eastAsia="宋体" w:cs="Times New Roman"/>
                <w:i w:val="0"/>
                <w:iCs w:val="0"/>
                <w:sz w:val="24"/>
                <w:szCs w:val="24"/>
                <w:highlight w:val="none"/>
                <w:u w:val="none" w:color="auto"/>
                <w:lang w:val="en-US" w:eastAsia="zh-CN"/>
              </w:rPr>
              <w:t>t</w:t>
            </w:r>
            <w:r>
              <w:rPr>
                <w:rFonts w:hint="default" w:ascii="Times New Roman" w:hAnsi="Times New Roman" w:eastAsia="宋体" w:cs="Times New Roman"/>
                <w:i w:val="0"/>
                <w:iCs w:val="0"/>
                <w:sz w:val="24"/>
                <w:szCs w:val="24"/>
                <w:highlight w:val="none"/>
                <w:u w:val="none" w:color="auto"/>
                <w:lang w:val="en-US" w:eastAsia="zh-CN"/>
              </w:rPr>
              <w:t>/a</w:t>
            </w:r>
            <w:r>
              <w:rPr>
                <w:rFonts w:hint="eastAsia" w:cs="Times New Roman"/>
                <w:i w:val="0"/>
                <w:iCs w:val="0"/>
                <w:sz w:val="24"/>
                <w:szCs w:val="24"/>
                <w:highlight w:val="none"/>
                <w:u w:val="none" w:color="auto"/>
                <w:lang w:val="en-US" w:eastAsia="zh-CN"/>
              </w:rPr>
              <w:t>，全部</w:t>
            </w:r>
            <w:r>
              <w:rPr>
                <w:rFonts w:hint="eastAsia" w:ascii="Times New Roman" w:hAnsi="Times New Roman" w:eastAsia="宋体" w:cs="Times New Roman"/>
                <w:i w:val="0"/>
                <w:iCs w:val="0"/>
                <w:sz w:val="24"/>
                <w:szCs w:val="24"/>
                <w:highlight w:val="none"/>
                <w:u w:val="none" w:color="auto"/>
                <w:lang w:val="en-US" w:eastAsia="zh-CN"/>
              </w:rPr>
              <w:t>回用于生产。</w:t>
            </w:r>
          </w:p>
          <w:p w14:paraId="4CAF554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i w:val="0"/>
                <w:iCs w:val="0"/>
                <w:kern w:val="2"/>
                <w:sz w:val="24"/>
                <w:szCs w:val="24"/>
                <w:u w:val="none" w:color="auto"/>
                <w:lang w:val="en-US" w:eastAsia="zh-CN" w:bidi="ar-SA"/>
              </w:rPr>
            </w:pPr>
            <w:r>
              <w:rPr>
                <w:rFonts w:hint="default" w:ascii="Times New Roman" w:hAnsi="Times New Roman" w:eastAsia="宋体" w:cs="Times New Roman"/>
                <w:sz w:val="24"/>
                <w:szCs w:val="24"/>
                <w:highlight w:val="none"/>
                <w:u w:val="none" w:color="auto"/>
              </w:rPr>
              <w:t>⑤</w:t>
            </w:r>
            <w:r>
              <w:rPr>
                <w:rFonts w:hint="eastAsia" w:cs="Times New Roman"/>
                <w:i w:val="0"/>
                <w:iCs w:val="0"/>
                <w:kern w:val="2"/>
                <w:sz w:val="24"/>
                <w:szCs w:val="24"/>
                <w:u w:val="none" w:color="auto"/>
                <w:lang w:val="en-US" w:eastAsia="zh-CN" w:bidi="ar-SA"/>
              </w:rPr>
              <w:t>化验室废试样</w:t>
            </w:r>
          </w:p>
          <w:p w14:paraId="559F857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i w:val="0"/>
                <w:iCs w:val="0"/>
                <w:sz w:val="24"/>
                <w:szCs w:val="24"/>
                <w:highlight w:val="none"/>
                <w:u w:val="none" w:color="auto"/>
                <w:lang w:val="en-US" w:eastAsia="zh-CN"/>
              </w:rPr>
            </w:pPr>
            <w:r>
              <w:rPr>
                <w:rFonts w:hint="eastAsia" w:cs="Times New Roman"/>
                <w:i w:val="0"/>
                <w:iCs w:val="0"/>
                <w:kern w:val="2"/>
                <w:sz w:val="24"/>
                <w:szCs w:val="24"/>
                <w:u w:val="none" w:color="auto"/>
                <w:lang w:val="en-US" w:eastAsia="zh-CN" w:bidi="ar-SA"/>
              </w:rPr>
              <w:t>本项目化验室过程中会产生废试样，产生量约为3t/a，收集后</w:t>
            </w:r>
            <w:r>
              <w:rPr>
                <w:rFonts w:hint="eastAsia"/>
                <w:b w:val="0"/>
                <w:bCs w:val="0"/>
                <w:i w:val="0"/>
                <w:iCs w:val="0"/>
                <w:sz w:val="24"/>
                <w:szCs w:val="24"/>
                <w:highlight w:val="none"/>
                <w:u w:val="none" w:color="auto"/>
                <w:lang w:val="en-US" w:eastAsia="zh-CN"/>
              </w:rPr>
              <w:t>交由建材厂综合利用</w:t>
            </w:r>
            <w:r>
              <w:rPr>
                <w:rFonts w:hint="eastAsia" w:cs="Times New Roman"/>
                <w:i w:val="0"/>
                <w:iCs w:val="0"/>
                <w:kern w:val="2"/>
                <w:sz w:val="24"/>
                <w:szCs w:val="24"/>
                <w:u w:val="none" w:color="auto"/>
                <w:lang w:val="en-US" w:eastAsia="zh-CN" w:bidi="ar-SA"/>
              </w:rPr>
              <w:t>。</w:t>
            </w:r>
          </w:p>
          <w:p w14:paraId="5A412CF3">
            <w:pPr>
              <w:adjustRightInd w:val="0"/>
              <w:spacing w:line="360" w:lineRule="auto"/>
              <w:ind w:firstLine="480" w:firstLineChars="200"/>
              <w:rPr>
                <w:sz w:val="24"/>
                <w:szCs w:val="24"/>
              </w:rPr>
            </w:pPr>
            <w:r>
              <w:rPr>
                <w:rFonts w:hint="eastAsia"/>
                <w:sz w:val="24"/>
                <w:szCs w:val="24"/>
                <w:lang w:eastAsia="zh-CN"/>
              </w:rPr>
              <w:t>本项目</w:t>
            </w:r>
            <w:r>
              <w:rPr>
                <w:sz w:val="24"/>
                <w:szCs w:val="24"/>
              </w:rPr>
              <w:t>固体废物产排情况见下表。</w:t>
            </w:r>
          </w:p>
          <w:p w14:paraId="69F74A41">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表</w:t>
            </w:r>
            <w:r>
              <w:rPr>
                <w:rFonts w:hint="eastAsia" w:cs="Times New Roman"/>
                <w:b/>
                <w:bCs/>
                <w:sz w:val="24"/>
                <w:szCs w:val="24"/>
                <w:u w:val="none"/>
                <w:lang w:val="en-US" w:eastAsia="zh-CN"/>
              </w:rPr>
              <w:t>4-11</w:t>
            </w:r>
            <w:r>
              <w:rPr>
                <w:rFonts w:hint="default" w:ascii="Times New Roman" w:hAnsi="Times New Roman" w:cs="Times New Roman"/>
                <w:b/>
                <w:bCs/>
                <w:sz w:val="24"/>
                <w:szCs w:val="24"/>
                <w:u w:val="none"/>
              </w:rPr>
              <w:t xml:space="preserve">  固废产排情况一览表       单位：t/a</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6"/>
              <w:gridCol w:w="930"/>
              <w:gridCol w:w="1150"/>
              <w:gridCol w:w="892"/>
              <w:gridCol w:w="1047"/>
              <w:gridCol w:w="755"/>
              <w:gridCol w:w="755"/>
              <w:gridCol w:w="772"/>
              <w:gridCol w:w="687"/>
              <w:gridCol w:w="1121"/>
            </w:tblGrid>
            <w:tr w14:paraId="2F9C70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6" w:type="pct"/>
                  <w:noWrap w:val="0"/>
                  <w:vAlign w:val="center"/>
                </w:tcPr>
                <w:p w14:paraId="5BC8A96A">
                  <w:pPr>
                    <w:pStyle w:val="66"/>
                    <w:adjustRightInd w:val="0"/>
                    <w:ind w:left="-63" w:leftChars="-30" w:right="-63" w:rightChars="-30"/>
                    <w:jc w:val="center"/>
                    <w:rPr>
                      <w:b w:val="0"/>
                      <w:bCs w:val="0"/>
                      <w:color w:val="auto"/>
                      <w:sz w:val="18"/>
                      <w:szCs w:val="18"/>
                      <w:u w:val="none"/>
                    </w:rPr>
                  </w:pPr>
                  <w:r>
                    <w:rPr>
                      <w:b w:val="0"/>
                      <w:bCs w:val="0"/>
                      <w:color w:val="auto"/>
                      <w:sz w:val="18"/>
                      <w:szCs w:val="18"/>
                      <w:u w:val="none"/>
                    </w:rPr>
                    <w:t>序号</w:t>
                  </w:r>
                </w:p>
              </w:tc>
              <w:tc>
                <w:tcPr>
                  <w:tcW w:w="548" w:type="pct"/>
                  <w:noWrap w:val="0"/>
                  <w:vAlign w:val="center"/>
                </w:tcPr>
                <w:p w14:paraId="398DEF21">
                  <w:pPr>
                    <w:pStyle w:val="66"/>
                    <w:adjustRightInd w:val="0"/>
                    <w:ind w:left="-63" w:leftChars="-30" w:right="-63" w:rightChars="-30"/>
                    <w:jc w:val="center"/>
                    <w:rPr>
                      <w:b w:val="0"/>
                      <w:bCs w:val="0"/>
                      <w:color w:val="auto"/>
                      <w:sz w:val="18"/>
                      <w:szCs w:val="18"/>
                      <w:u w:val="none"/>
                    </w:rPr>
                  </w:pPr>
                  <w:r>
                    <w:rPr>
                      <w:b w:val="0"/>
                      <w:bCs w:val="0"/>
                      <w:color w:val="auto"/>
                      <w:sz w:val="18"/>
                      <w:szCs w:val="18"/>
                      <w:u w:val="none"/>
                    </w:rPr>
                    <w:t>名称</w:t>
                  </w:r>
                </w:p>
              </w:tc>
              <w:tc>
                <w:tcPr>
                  <w:tcW w:w="678" w:type="pct"/>
                  <w:noWrap w:val="0"/>
                  <w:vAlign w:val="center"/>
                </w:tcPr>
                <w:p w14:paraId="668987CF">
                  <w:pPr>
                    <w:pStyle w:val="66"/>
                    <w:adjustRightInd w:val="0"/>
                    <w:ind w:left="-63" w:leftChars="-30" w:right="-63" w:rightChars="-30"/>
                    <w:jc w:val="center"/>
                    <w:rPr>
                      <w:b w:val="0"/>
                      <w:bCs w:val="0"/>
                      <w:color w:val="auto"/>
                      <w:sz w:val="18"/>
                      <w:szCs w:val="18"/>
                      <w:u w:val="none"/>
                    </w:rPr>
                  </w:pPr>
                  <w:r>
                    <w:rPr>
                      <w:b w:val="0"/>
                      <w:bCs w:val="0"/>
                      <w:color w:val="auto"/>
                      <w:sz w:val="18"/>
                      <w:szCs w:val="18"/>
                      <w:u w:val="none"/>
                    </w:rPr>
                    <w:t>产生工序</w:t>
                  </w:r>
                </w:p>
              </w:tc>
              <w:tc>
                <w:tcPr>
                  <w:tcW w:w="526" w:type="pct"/>
                  <w:noWrap w:val="0"/>
                  <w:vAlign w:val="center"/>
                </w:tcPr>
                <w:p w14:paraId="2D3BB575">
                  <w:pPr>
                    <w:pStyle w:val="66"/>
                    <w:adjustRightInd w:val="0"/>
                    <w:ind w:left="-63" w:leftChars="-30" w:right="-63" w:rightChars="-30"/>
                    <w:jc w:val="center"/>
                    <w:rPr>
                      <w:b w:val="0"/>
                      <w:bCs w:val="0"/>
                      <w:color w:val="auto"/>
                      <w:sz w:val="18"/>
                      <w:szCs w:val="18"/>
                      <w:u w:val="none"/>
                    </w:rPr>
                  </w:pPr>
                  <w:r>
                    <w:rPr>
                      <w:rFonts w:hint="eastAsia"/>
                      <w:b w:val="0"/>
                      <w:bCs w:val="0"/>
                      <w:color w:val="auto"/>
                      <w:sz w:val="18"/>
                      <w:szCs w:val="18"/>
                      <w:u w:val="none"/>
                    </w:rPr>
                    <w:t>分类</w:t>
                  </w:r>
                </w:p>
              </w:tc>
              <w:tc>
                <w:tcPr>
                  <w:tcW w:w="617" w:type="pct"/>
                  <w:noWrap w:val="0"/>
                  <w:vAlign w:val="center"/>
                </w:tcPr>
                <w:p w14:paraId="190DF6D8">
                  <w:pPr>
                    <w:pStyle w:val="66"/>
                    <w:adjustRightInd w:val="0"/>
                    <w:ind w:left="-63" w:leftChars="-30" w:right="-63" w:rightChars="-30"/>
                    <w:jc w:val="center"/>
                    <w:rPr>
                      <w:rFonts w:hint="default" w:eastAsia="宋体"/>
                      <w:b w:val="0"/>
                      <w:bCs w:val="0"/>
                      <w:color w:val="auto"/>
                      <w:sz w:val="18"/>
                      <w:szCs w:val="18"/>
                      <w:u w:val="none"/>
                      <w:lang w:val="en-US" w:eastAsia="zh-CN"/>
                    </w:rPr>
                  </w:pPr>
                  <w:r>
                    <w:rPr>
                      <w:rFonts w:hint="eastAsia"/>
                      <w:b w:val="0"/>
                      <w:bCs w:val="0"/>
                      <w:color w:val="auto"/>
                      <w:sz w:val="18"/>
                      <w:szCs w:val="18"/>
                      <w:u w:val="none"/>
                      <w:lang w:val="en-US" w:eastAsia="zh-CN"/>
                    </w:rPr>
                    <w:t>废物类别及代码</w:t>
                  </w:r>
                </w:p>
              </w:tc>
              <w:tc>
                <w:tcPr>
                  <w:tcW w:w="445" w:type="pct"/>
                  <w:noWrap w:val="0"/>
                  <w:vAlign w:val="center"/>
                </w:tcPr>
                <w:p w14:paraId="2BFD0BD7">
                  <w:pPr>
                    <w:pStyle w:val="66"/>
                    <w:adjustRightInd w:val="0"/>
                    <w:ind w:left="-63" w:leftChars="-30" w:right="-63" w:rightChars="-30"/>
                    <w:jc w:val="center"/>
                    <w:rPr>
                      <w:rFonts w:hint="default" w:eastAsia="宋体"/>
                      <w:b w:val="0"/>
                      <w:bCs w:val="0"/>
                      <w:color w:val="auto"/>
                      <w:sz w:val="18"/>
                      <w:szCs w:val="18"/>
                      <w:u w:val="none"/>
                      <w:lang w:val="en-US" w:eastAsia="zh-CN"/>
                    </w:rPr>
                  </w:pPr>
                  <w:r>
                    <w:rPr>
                      <w:rFonts w:hint="eastAsia"/>
                      <w:b w:val="0"/>
                      <w:bCs w:val="0"/>
                      <w:color w:val="auto"/>
                      <w:sz w:val="18"/>
                      <w:szCs w:val="18"/>
                      <w:u w:val="none"/>
                      <w:lang w:val="en-US" w:eastAsia="zh-CN"/>
                    </w:rPr>
                    <w:t>危险特性</w:t>
                  </w:r>
                </w:p>
              </w:tc>
              <w:tc>
                <w:tcPr>
                  <w:tcW w:w="445" w:type="pct"/>
                  <w:noWrap w:val="0"/>
                  <w:vAlign w:val="center"/>
                </w:tcPr>
                <w:p w14:paraId="7AFBAB69">
                  <w:pPr>
                    <w:pStyle w:val="66"/>
                    <w:adjustRightInd w:val="0"/>
                    <w:ind w:left="-63" w:leftChars="-30" w:right="-63" w:rightChars="-30"/>
                    <w:jc w:val="center"/>
                    <w:rPr>
                      <w:b w:val="0"/>
                      <w:bCs w:val="0"/>
                      <w:color w:val="auto"/>
                      <w:sz w:val="18"/>
                      <w:szCs w:val="18"/>
                      <w:u w:val="none"/>
                    </w:rPr>
                  </w:pPr>
                  <w:r>
                    <w:rPr>
                      <w:b w:val="0"/>
                      <w:bCs w:val="0"/>
                      <w:color w:val="auto"/>
                      <w:sz w:val="18"/>
                      <w:szCs w:val="18"/>
                      <w:u w:val="none"/>
                    </w:rPr>
                    <w:t>产生量</w:t>
                  </w:r>
                </w:p>
              </w:tc>
              <w:tc>
                <w:tcPr>
                  <w:tcW w:w="455" w:type="pct"/>
                  <w:noWrap w:val="0"/>
                  <w:vAlign w:val="center"/>
                </w:tcPr>
                <w:p w14:paraId="3691E2B7">
                  <w:pPr>
                    <w:pStyle w:val="66"/>
                    <w:adjustRightInd w:val="0"/>
                    <w:ind w:left="-63" w:leftChars="-30" w:right="-63" w:rightChars="-30"/>
                    <w:jc w:val="center"/>
                    <w:rPr>
                      <w:rFonts w:hint="eastAsia" w:eastAsia="宋体"/>
                      <w:b w:val="0"/>
                      <w:bCs w:val="0"/>
                      <w:color w:val="auto"/>
                      <w:sz w:val="18"/>
                      <w:szCs w:val="18"/>
                      <w:u w:val="none"/>
                      <w:lang w:val="en-US" w:eastAsia="zh-CN"/>
                    </w:rPr>
                  </w:pPr>
                  <w:r>
                    <w:rPr>
                      <w:rFonts w:hint="eastAsia"/>
                      <w:b w:val="0"/>
                      <w:bCs w:val="0"/>
                      <w:color w:val="auto"/>
                      <w:sz w:val="18"/>
                      <w:szCs w:val="18"/>
                      <w:u w:val="none"/>
                      <w:lang w:val="en-US" w:eastAsia="zh-CN"/>
                    </w:rPr>
                    <w:t>利用量</w:t>
                  </w:r>
                </w:p>
              </w:tc>
              <w:tc>
                <w:tcPr>
                  <w:tcW w:w="405" w:type="pct"/>
                  <w:noWrap w:val="0"/>
                  <w:vAlign w:val="center"/>
                </w:tcPr>
                <w:p w14:paraId="6DE9B5BD">
                  <w:pPr>
                    <w:pStyle w:val="66"/>
                    <w:adjustRightInd w:val="0"/>
                    <w:ind w:left="-63" w:leftChars="-30" w:right="-63" w:rightChars="-30"/>
                    <w:jc w:val="center"/>
                    <w:rPr>
                      <w:rFonts w:hint="eastAsia" w:eastAsia="宋体"/>
                      <w:b w:val="0"/>
                      <w:bCs w:val="0"/>
                      <w:color w:val="auto"/>
                      <w:sz w:val="18"/>
                      <w:szCs w:val="18"/>
                      <w:u w:val="none"/>
                      <w:lang w:val="en-US" w:eastAsia="zh-CN"/>
                    </w:rPr>
                  </w:pPr>
                  <w:r>
                    <w:rPr>
                      <w:rFonts w:hint="eastAsia"/>
                      <w:b w:val="0"/>
                      <w:bCs w:val="0"/>
                      <w:color w:val="auto"/>
                      <w:sz w:val="18"/>
                      <w:szCs w:val="18"/>
                      <w:u w:val="none"/>
                      <w:lang w:val="en-US" w:eastAsia="zh-CN"/>
                    </w:rPr>
                    <w:t>处置量</w:t>
                  </w:r>
                </w:p>
              </w:tc>
              <w:tc>
                <w:tcPr>
                  <w:tcW w:w="660" w:type="pct"/>
                  <w:noWrap w:val="0"/>
                  <w:vAlign w:val="center"/>
                </w:tcPr>
                <w:p w14:paraId="63D471F2">
                  <w:pPr>
                    <w:pStyle w:val="66"/>
                    <w:adjustRightInd w:val="0"/>
                    <w:ind w:left="-63" w:leftChars="-30" w:right="-63" w:rightChars="-30"/>
                    <w:jc w:val="center"/>
                    <w:rPr>
                      <w:rFonts w:hint="eastAsia"/>
                      <w:b w:val="0"/>
                      <w:bCs w:val="0"/>
                      <w:color w:val="auto"/>
                      <w:sz w:val="18"/>
                      <w:szCs w:val="18"/>
                      <w:u w:val="none"/>
                      <w:lang w:val="en-US" w:eastAsia="zh-CN"/>
                    </w:rPr>
                  </w:pPr>
                  <w:r>
                    <w:rPr>
                      <w:rFonts w:hint="eastAsia"/>
                      <w:b w:val="0"/>
                      <w:bCs w:val="0"/>
                      <w:color w:val="auto"/>
                      <w:sz w:val="18"/>
                      <w:szCs w:val="18"/>
                      <w:u w:val="none"/>
                      <w:lang w:val="en-US" w:eastAsia="zh-CN"/>
                    </w:rPr>
                    <w:t>处理方式</w:t>
                  </w:r>
                </w:p>
              </w:tc>
            </w:tr>
            <w:tr w14:paraId="34B61E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6" w:type="pct"/>
                  <w:noWrap w:val="0"/>
                  <w:vAlign w:val="center"/>
                </w:tcPr>
                <w:p w14:paraId="1FF58C4A">
                  <w:pPr>
                    <w:pStyle w:val="66"/>
                    <w:adjustRightInd w:val="0"/>
                    <w:ind w:left="-63" w:leftChars="-30" w:right="-63" w:rightChars="-30"/>
                    <w:jc w:val="center"/>
                    <w:rPr>
                      <w:rFonts w:hint="eastAsia" w:eastAsia="宋体"/>
                      <w:b w:val="0"/>
                      <w:bCs w:val="0"/>
                      <w:color w:val="auto"/>
                      <w:sz w:val="18"/>
                      <w:szCs w:val="18"/>
                      <w:u w:val="none"/>
                      <w:lang w:val="en-US" w:eastAsia="zh-CN"/>
                    </w:rPr>
                  </w:pPr>
                  <w:r>
                    <w:rPr>
                      <w:rFonts w:hint="eastAsia"/>
                      <w:b w:val="0"/>
                      <w:bCs w:val="0"/>
                      <w:color w:val="auto"/>
                      <w:sz w:val="18"/>
                      <w:szCs w:val="18"/>
                      <w:u w:val="none"/>
                      <w:lang w:val="en-US" w:eastAsia="zh-CN"/>
                    </w:rPr>
                    <w:t>1</w:t>
                  </w:r>
                </w:p>
              </w:tc>
              <w:tc>
                <w:tcPr>
                  <w:tcW w:w="548" w:type="pct"/>
                  <w:shd w:val="clear" w:color="auto" w:fill="auto"/>
                  <w:noWrap w:val="0"/>
                  <w:vAlign w:val="center"/>
                </w:tcPr>
                <w:p w14:paraId="613221EE">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rPr>
                    <w:t>生活垃圾</w:t>
                  </w:r>
                </w:p>
              </w:tc>
              <w:tc>
                <w:tcPr>
                  <w:tcW w:w="678" w:type="pct"/>
                  <w:shd w:val="clear" w:color="auto" w:fill="auto"/>
                  <w:noWrap w:val="0"/>
                  <w:vAlign w:val="center"/>
                </w:tcPr>
                <w:p w14:paraId="251851E9">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rPr>
                    <w:t>厂区职工日常生活</w:t>
                  </w:r>
                </w:p>
              </w:tc>
              <w:tc>
                <w:tcPr>
                  <w:tcW w:w="526" w:type="pct"/>
                  <w:shd w:val="clear" w:color="auto" w:fill="auto"/>
                  <w:noWrap w:val="0"/>
                  <w:vAlign w:val="center"/>
                </w:tcPr>
                <w:p w14:paraId="44813FB9">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rPr>
                    <w:t>一般固废</w:t>
                  </w:r>
                </w:p>
              </w:tc>
              <w:tc>
                <w:tcPr>
                  <w:tcW w:w="617" w:type="pct"/>
                  <w:shd w:val="clear" w:color="auto" w:fill="auto"/>
                  <w:noWrap w:val="0"/>
                  <w:vAlign w:val="center"/>
                </w:tcPr>
                <w:p w14:paraId="6AAEA7AB">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ascii="Times New Roman" w:hAnsi="Times New Roman" w:eastAsia="宋体" w:cs="Times New Roman"/>
                      <w:b w:val="0"/>
                      <w:bCs w:val="0"/>
                      <w:color w:val="auto"/>
                      <w:kern w:val="2"/>
                      <w:sz w:val="18"/>
                      <w:szCs w:val="18"/>
                      <w:u w:val="none"/>
                      <w:lang w:val="en-US" w:eastAsia="zh-CN" w:bidi="ar-SA"/>
                    </w:rPr>
                    <w:t>900-099-S64</w:t>
                  </w:r>
                </w:p>
              </w:tc>
              <w:tc>
                <w:tcPr>
                  <w:tcW w:w="445" w:type="pct"/>
                  <w:shd w:val="clear" w:color="auto" w:fill="auto"/>
                  <w:noWrap w:val="0"/>
                  <w:vAlign w:val="center"/>
                </w:tcPr>
                <w:p w14:paraId="3FC240BD">
                  <w:pPr>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w:t>
                  </w:r>
                </w:p>
              </w:tc>
              <w:tc>
                <w:tcPr>
                  <w:tcW w:w="445" w:type="pct"/>
                  <w:shd w:val="clear" w:color="auto" w:fill="auto"/>
                  <w:noWrap w:val="0"/>
                  <w:vAlign w:val="center"/>
                </w:tcPr>
                <w:p w14:paraId="52CE841A">
                  <w:pPr>
                    <w:pStyle w:val="66"/>
                    <w:adjustRightInd w:val="0"/>
                    <w:ind w:left="-63" w:leftChars="-30" w:right="-63" w:rightChars="-30"/>
                    <w:jc w:val="center"/>
                    <w:rPr>
                      <w:rFonts w:hint="default"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2.4</w:t>
                  </w:r>
                </w:p>
              </w:tc>
              <w:tc>
                <w:tcPr>
                  <w:tcW w:w="455" w:type="pct"/>
                  <w:shd w:val="clear" w:color="auto" w:fill="auto"/>
                  <w:noWrap w:val="0"/>
                  <w:vAlign w:val="center"/>
                </w:tcPr>
                <w:p w14:paraId="1A175E9B">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w:t>
                  </w:r>
                </w:p>
              </w:tc>
              <w:tc>
                <w:tcPr>
                  <w:tcW w:w="405" w:type="pct"/>
                  <w:shd w:val="clear" w:color="auto" w:fill="auto"/>
                  <w:noWrap w:val="0"/>
                  <w:vAlign w:val="center"/>
                </w:tcPr>
                <w:p w14:paraId="03F3D085">
                  <w:pPr>
                    <w:pStyle w:val="66"/>
                    <w:adjustRightInd w:val="0"/>
                    <w:ind w:left="-63" w:leftChars="-30" w:right="-63" w:rightChars="-30"/>
                    <w:jc w:val="center"/>
                    <w:rPr>
                      <w:rFonts w:hint="default"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2.4</w:t>
                  </w:r>
                </w:p>
              </w:tc>
              <w:tc>
                <w:tcPr>
                  <w:tcW w:w="660" w:type="pct"/>
                  <w:shd w:val="clear" w:color="auto" w:fill="auto"/>
                  <w:noWrap w:val="0"/>
                  <w:vAlign w:val="center"/>
                </w:tcPr>
                <w:p w14:paraId="282CB57D">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收集后</w:t>
                  </w:r>
                  <w:r>
                    <w:rPr>
                      <w:rFonts w:hint="eastAsia"/>
                      <w:b w:val="0"/>
                      <w:bCs w:val="0"/>
                      <w:color w:val="auto"/>
                      <w:sz w:val="18"/>
                      <w:szCs w:val="18"/>
                      <w:u w:val="none"/>
                    </w:rPr>
                    <w:t>交由环卫部门统一处</w:t>
                  </w:r>
                  <w:r>
                    <w:rPr>
                      <w:rFonts w:hint="eastAsia"/>
                      <w:b w:val="0"/>
                      <w:bCs w:val="0"/>
                      <w:color w:val="auto"/>
                      <w:sz w:val="18"/>
                      <w:szCs w:val="18"/>
                      <w:u w:val="none"/>
                      <w:lang w:val="en-US" w:eastAsia="zh-CN"/>
                    </w:rPr>
                    <w:t>理</w:t>
                  </w:r>
                </w:p>
              </w:tc>
            </w:tr>
            <w:tr w14:paraId="12D08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6" w:type="pct"/>
                  <w:noWrap w:val="0"/>
                  <w:vAlign w:val="center"/>
                </w:tcPr>
                <w:p w14:paraId="36AFEED1">
                  <w:pPr>
                    <w:pStyle w:val="66"/>
                    <w:adjustRightInd w:val="0"/>
                    <w:ind w:left="-63" w:leftChars="-30" w:right="-63" w:rightChars="-30"/>
                    <w:jc w:val="center"/>
                    <w:rPr>
                      <w:rFonts w:hint="default"/>
                      <w:b w:val="0"/>
                      <w:bCs w:val="0"/>
                      <w:color w:val="auto"/>
                      <w:sz w:val="18"/>
                      <w:szCs w:val="18"/>
                      <w:u w:val="none"/>
                      <w:lang w:val="en-US" w:eastAsia="zh-CN"/>
                    </w:rPr>
                  </w:pPr>
                  <w:r>
                    <w:rPr>
                      <w:rFonts w:hint="eastAsia"/>
                      <w:b w:val="0"/>
                      <w:bCs w:val="0"/>
                      <w:color w:val="auto"/>
                      <w:sz w:val="18"/>
                      <w:szCs w:val="18"/>
                      <w:u w:val="none"/>
                      <w:lang w:val="en-US" w:eastAsia="zh-CN"/>
                    </w:rPr>
                    <w:t>2</w:t>
                  </w:r>
                </w:p>
              </w:tc>
              <w:tc>
                <w:tcPr>
                  <w:tcW w:w="548" w:type="pct"/>
                  <w:shd w:val="clear" w:color="auto" w:fill="auto"/>
                  <w:noWrap w:val="0"/>
                  <w:vAlign w:val="center"/>
                </w:tcPr>
                <w:p w14:paraId="6FF8A269">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eastAsia="zh-CN"/>
                    </w:rPr>
                    <w:t>除尘器收集粉尘</w:t>
                  </w:r>
                </w:p>
              </w:tc>
              <w:tc>
                <w:tcPr>
                  <w:tcW w:w="678" w:type="pct"/>
                  <w:shd w:val="clear" w:color="auto" w:fill="auto"/>
                  <w:noWrap w:val="0"/>
                  <w:vAlign w:val="center"/>
                </w:tcPr>
                <w:p w14:paraId="3B897D6E">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rPr>
                    <w:t>废气除尘</w:t>
                  </w:r>
                </w:p>
              </w:tc>
              <w:tc>
                <w:tcPr>
                  <w:tcW w:w="526" w:type="pct"/>
                  <w:shd w:val="clear" w:color="auto" w:fill="auto"/>
                  <w:noWrap w:val="0"/>
                  <w:vAlign w:val="center"/>
                </w:tcPr>
                <w:p w14:paraId="06614FB4">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rPr>
                    <w:t>一般固废</w:t>
                  </w:r>
                </w:p>
              </w:tc>
              <w:tc>
                <w:tcPr>
                  <w:tcW w:w="617" w:type="pct"/>
                  <w:shd w:val="clear" w:color="auto" w:fill="auto"/>
                  <w:noWrap w:val="0"/>
                  <w:vAlign w:val="center"/>
                </w:tcPr>
                <w:p w14:paraId="59CBD4C7">
                  <w:pPr>
                    <w:adjustRightInd w:val="0"/>
                    <w:ind w:left="-63" w:leftChars="-30" w:right="-63" w:rightChars="-30"/>
                    <w:jc w:val="center"/>
                    <w:rPr>
                      <w:rFonts w:ascii="Times New Roman" w:hAnsi="Times New Roman" w:eastAsia="宋体" w:cs="Times New Roman"/>
                      <w:b w:val="0"/>
                      <w:bCs w:val="0"/>
                      <w:color w:val="auto"/>
                      <w:kern w:val="2"/>
                      <w:sz w:val="18"/>
                      <w:szCs w:val="18"/>
                      <w:u w:val="none"/>
                      <w:lang w:val="en-US" w:eastAsia="zh-CN" w:bidi="ar-SA"/>
                    </w:rPr>
                  </w:pPr>
                  <w:r>
                    <w:rPr>
                      <w:rFonts w:hint="eastAsia" w:ascii="Times New Roman" w:hAnsi="Times New Roman" w:eastAsia="宋体" w:cs="Times New Roman"/>
                      <w:b w:val="0"/>
                      <w:bCs w:val="0"/>
                      <w:color w:val="auto"/>
                      <w:kern w:val="2"/>
                      <w:sz w:val="18"/>
                      <w:szCs w:val="18"/>
                      <w:u w:val="none"/>
                      <w:lang w:val="en-US" w:eastAsia="zh-CN" w:bidi="ar-SA"/>
                    </w:rPr>
                    <w:t>900-099-S59</w:t>
                  </w:r>
                </w:p>
              </w:tc>
              <w:tc>
                <w:tcPr>
                  <w:tcW w:w="445" w:type="pct"/>
                  <w:shd w:val="clear" w:color="auto" w:fill="auto"/>
                  <w:noWrap w:val="0"/>
                  <w:vAlign w:val="center"/>
                </w:tcPr>
                <w:p w14:paraId="125AFEE1">
                  <w:pPr>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w:t>
                  </w:r>
                </w:p>
              </w:tc>
              <w:tc>
                <w:tcPr>
                  <w:tcW w:w="445" w:type="pct"/>
                  <w:shd w:val="clear" w:color="auto" w:fill="auto"/>
                  <w:noWrap w:val="0"/>
                  <w:vAlign w:val="center"/>
                </w:tcPr>
                <w:p w14:paraId="26876832">
                  <w:pPr>
                    <w:pStyle w:val="66"/>
                    <w:adjustRightInd w:val="0"/>
                    <w:ind w:left="-63" w:leftChars="-30" w:right="-63" w:rightChars="-30"/>
                    <w:jc w:val="center"/>
                    <w:rPr>
                      <w:rFonts w:hint="default"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26.1772</w:t>
                  </w:r>
                </w:p>
              </w:tc>
              <w:tc>
                <w:tcPr>
                  <w:tcW w:w="455" w:type="pct"/>
                  <w:shd w:val="clear" w:color="auto" w:fill="auto"/>
                  <w:noWrap w:val="0"/>
                  <w:vAlign w:val="center"/>
                </w:tcPr>
                <w:p w14:paraId="1C1ED49F">
                  <w:pPr>
                    <w:pStyle w:val="66"/>
                    <w:adjustRightInd w:val="0"/>
                    <w:ind w:left="-63" w:leftChars="-30" w:right="-63" w:rightChars="-30"/>
                    <w:jc w:val="center"/>
                    <w:rPr>
                      <w:rFonts w:hint="default"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26.1772</w:t>
                  </w:r>
                </w:p>
              </w:tc>
              <w:tc>
                <w:tcPr>
                  <w:tcW w:w="405" w:type="pct"/>
                  <w:shd w:val="clear" w:color="auto" w:fill="auto"/>
                  <w:noWrap w:val="0"/>
                  <w:vAlign w:val="center"/>
                </w:tcPr>
                <w:p w14:paraId="0D8D5EE8">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w:t>
                  </w:r>
                </w:p>
              </w:tc>
              <w:tc>
                <w:tcPr>
                  <w:tcW w:w="660" w:type="pct"/>
                  <w:shd w:val="clear" w:color="auto" w:fill="auto"/>
                  <w:noWrap w:val="0"/>
                  <w:vAlign w:val="center"/>
                </w:tcPr>
                <w:p w14:paraId="79FA6501">
                  <w:pPr>
                    <w:pStyle w:val="66"/>
                    <w:adjustRightInd w:val="0"/>
                    <w:ind w:left="-63" w:leftChars="-30" w:right="-63" w:rightChars="-30"/>
                    <w:jc w:val="center"/>
                    <w:rPr>
                      <w:rFonts w:hint="eastAsia"/>
                      <w:b w:val="0"/>
                      <w:bCs w:val="0"/>
                      <w:color w:val="auto"/>
                      <w:sz w:val="18"/>
                      <w:szCs w:val="18"/>
                      <w:u w:val="none"/>
                      <w:lang w:val="en-US" w:eastAsia="zh-CN"/>
                    </w:rPr>
                  </w:pPr>
                  <w:r>
                    <w:rPr>
                      <w:rFonts w:hint="eastAsia"/>
                      <w:b w:val="0"/>
                      <w:bCs w:val="0"/>
                      <w:color w:val="auto"/>
                      <w:sz w:val="18"/>
                      <w:szCs w:val="18"/>
                      <w:u w:val="none"/>
                      <w:lang w:val="en-US" w:eastAsia="zh-CN"/>
                    </w:rPr>
                    <w:t>收集后回用于混凝土生产</w:t>
                  </w:r>
                </w:p>
              </w:tc>
            </w:tr>
            <w:tr w14:paraId="0D84AE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6" w:type="pct"/>
                  <w:noWrap w:val="0"/>
                  <w:vAlign w:val="center"/>
                </w:tcPr>
                <w:p w14:paraId="37AFDCCA">
                  <w:pPr>
                    <w:pStyle w:val="66"/>
                    <w:adjustRightInd w:val="0"/>
                    <w:ind w:left="-63" w:leftChars="-30" w:right="-63" w:rightChars="-30"/>
                    <w:jc w:val="center"/>
                    <w:rPr>
                      <w:rFonts w:hint="default"/>
                      <w:b w:val="0"/>
                      <w:bCs w:val="0"/>
                      <w:color w:val="auto"/>
                      <w:sz w:val="18"/>
                      <w:szCs w:val="18"/>
                      <w:u w:val="none"/>
                      <w:lang w:val="en-US" w:eastAsia="zh-CN"/>
                    </w:rPr>
                  </w:pPr>
                  <w:r>
                    <w:rPr>
                      <w:rFonts w:hint="eastAsia"/>
                      <w:b w:val="0"/>
                      <w:bCs w:val="0"/>
                      <w:color w:val="auto"/>
                      <w:sz w:val="18"/>
                      <w:szCs w:val="18"/>
                      <w:u w:val="none"/>
                      <w:lang w:val="en-US" w:eastAsia="zh-CN"/>
                    </w:rPr>
                    <w:t>3</w:t>
                  </w:r>
                </w:p>
              </w:tc>
              <w:tc>
                <w:tcPr>
                  <w:tcW w:w="548" w:type="pct"/>
                  <w:shd w:val="clear" w:color="auto" w:fill="auto"/>
                  <w:noWrap w:val="0"/>
                  <w:vAlign w:val="center"/>
                </w:tcPr>
                <w:p w14:paraId="7384A69D">
                  <w:pPr>
                    <w:pStyle w:val="66"/>
                    <w:adjustRightInd w:val="0"/>
                    <w:ind w:left="-63" w:leftChars="-30" w:right="-63" w:rightChars="-30"/>
                    <w:jc w:val="center"/>
                    <w:rPr>
                      <w:rFonts w:hint="eastAsia" w:eastAsia="宋体"/>
                      <w:b w:val="0"/>
                      <w:bCs w:val="0"/>
                      <w:color w:val="auto"/>
                      <w:sz w:val="18"/>
                      <w:szCs w:val="18"/>
                      <w:u w:val="none"/>
                      <w:lang w:eastAsia="zh-CN"/>
                    </w:rPr>
                  </w:pPr>
                  <w:r>
                    <w:rPr>
                      <w:rFonts w:hint="eastAsia"/>
                      <w:b w:val="0"/>
                      <w:bCs w:val="0"/>
                      <w:color w:val="auto"/>
                      <w:sz w:val="18"/>
                      <w:szCs w:val="18"/>
                      <w:u w:val="none"/>
                      <w:lang w:eastAsia="zh-CN"/>
                    </w:rPr>
                    <w:t>废布袋</w:t>
                  </w:r>
                </w:p>
              </w:tc>
              <w:tc>
                <w:tcPr>
                  <w:tcW w:w="678" w:type="pct"/>
                  <w:shd w:val="clear" w:color="auto" w:fill="auto"/>
                  <w:noWrap w:val="0"/>
                  <w:vAlign w:val="center"/>
                </w:tcPr>
                <w:p w14:paraId="63297A38">
                  <w:pPr>
                    <w:pStyle w:val="66"/>
                    <w:adjustRightInd w:val="0"/>
                    <w:ind w:left="-63" w:leftChars="-30" w:right="-63" w:rightChars="-30"/>
                    <w:jc w:val="center"/>
                    <w:rPr>
                      <w:rFonts w:hint="eastAsia" w:eastAsia="宋体"/>
                      <w:b w:val="0"/>
                      <w:bCs w:val="0"/>
                      <w:color w:val="auto"/>
                      <w:sz w:val="18"/>
                      <w:szCs w:val="18"/>
                      <w:u w:val="none"/>
                      <w:lang w:eastAsia="zh-CN"/>
                    </w:rPr>
                  </w:pPr>
                  <w:r>
                    <w:rPr>
                      <w:rFonts w:hint="eastAsia"/>
                      <w:b w:val="0"/>
                      <w:bCs w:val="0"/>
                      <w:color w:val="auto"/>
                      <w:sz w:val="18"/>
                      <w:szCs w:val="18"/>
                      <w:u w:val="none"/>
                      <w:lang w:eastAsia="zh-CN"/>
                    </w:rPr>
                    <w:t>除尘器</w:t>
                  </w:r>
                </w:p>
              </w:tc>
              <w:tc>
                <w:tcPr>
                  <w:tcW w:w="526" w:type="pct"/>
                  <w:shd w:val="clear" w:color="auto" w:fill="auto"/>
                  <w:noWrap w:val="0"/>
                  <w:vAlign w:val="center"/>
                </w:tcPr>
                <w:p w14:paraId="30B2007A">
                  <w:pPr>
                    <w:pStyle w:val="66"/>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rPr>
                    <w:t>一般固废</w:t>
                  </w:r>
                </w:p>
              </w:tc>
              <w:tc>
                <w:tcPr>
                  <w:tcW w:w="617" w:type="pct"/>
                  <w:shd w:val="clear" w:color="auto" w:fill="auto"/>
                  <w:noWrap w:val="0"/>
                  <w:vAlign w:val="center"/>
                </w:tcPr>
                <w:p w14:paraId="2AAD5DCF">
                  <w:pPr>
                    <w:adjustRightInd w:val="0"/>
                    <w:ind w:left="-63" w:leftChars="-30" w:right="-63" w:rightChars="-30"/>
                    <w:jc w:val="center"/>
                    <w:rPr>
                      <w:rFonts w:ascii="Times New Roman" w:hAnsi="Times New Roman" w:eastAsia="宋体" w:cs="Times New Roman"/>
                      <w:b w:val="0"/>
                      <w:bCs w:val="0"/>
                      <w:color w:val="auto"/>
                      <w:kern w:val="2"/>
                      <w:sz w:val="18"/>
                      <w:szCs w:val="18"/>
                      <w:u w:val="none"/>
                      <w:lang w:val="en-US" w:eastAsia="zh-CN" w:bidi="ar-SA"/>
                    </w:rPr>
                  </w:pPr>
                  <w:r>
                    <w:rPr>
                      <w:rFonts w:hint="eastAsia" w:ascii="Times New Roman" w:hAnsi="Times New Roman" w:eastAsia="宋体" w:cs="Times New Roman"/>
                      <w:b w:val="0"/>
                      <w:bCs w:val="0"/>
                      <w:color w:val="auto"/>
                      <w:kern w:val="2"/>
                      <w:sz w:val="18"/>
                      <w:szCs w:val="18"/>
                      <w:u w:val="none"/>
                      <w:lang w:val="en-US" w:eastAsia="zh-CN" w:bidi="ar-SA"/>
                    </w:rPr>
                    <w:t>900-009-S59</w:t>
                  </w:r>
                </w:p>
              </w:tc>
              <w:tc>
                <w:tcPr>
                  <w:tcW w:w="445" w:type="pct"/>
                  <w:shd w:val="clear" w:color="auto" w:fill="auto"/>
                  <w:noWrap w:val="0"/>
                  <w:vAlign w:val="center"/>
                </w:tcPr>
                <w:p w14:paraId="024D2C7A">
                  <w:pPr>
                    <w:adjustRightInd w:val="0"/>
                    <w:ind w:left="-63" w:leftChars="-30" w:right="-63" w:rightChars="-30"/>
                    <w:jc w:val="center"/>
                    <w:rPr>
                      <w:rFonts w:hint="eastAsia" w:ascii="Times New Roman" w:hAnsi="Times New Roman" w:eastAsia="宋体" w:cs="Times New Roman"/>
                      <w:b w:val="0"/>
                      <w:bCs w:val="0"/>
                      <w:color w:val="auto"/>
                      <w:kern w:val="2"/>
                      <w:sz w:val="18"/>
                      <w:szCs w:val="18"/>
                      <w:u w:val="none"/>
                      <w:lang w:val="en-US" w:eastAsia="zh-CN" w:bidi="ar-SA"/>
                    </w:rPr>
                  </w:pPr>
                  <w:r>
                    <w:rPr>
                      <w:rFonts w:hint="eastAsia"/>
                      <w:b w:val="0"/>
                      <w:bCs w:val="0"/>
                      <w:color w:val="auto"/>
                      <w:sz w:val="18"/>
                      <w:szCs w:val="18"/>
                      <w:u w:val="none"/>
                      <w:lang w:val="en-US" w:eastAsia="zh-CN"/>
                    </w:rPr>
                    <w:t>/</w:t>
                  </w:r>
                </w:p>
              </w:tc>
              <w:tc>
                <w:tcPr>
                  <w:tcW w:w="445" w:type="pct"/>
                  <w:shd w:val="clear" w:color="auto" w:fill="auto"/>
                  <w:noWrap w:val="0"/>
                  <w:vAlign w:val="center"/>
                </w:tcPr>
                <w:p w14:paraId="68901D2E">
                  <w:pPr>
                    <w:pStyle w:val="66"/>
                    <w:adjustRightInd w:val="0"/>
                    <w:ind w:left="-63" w:leftChars="-30" w:right="-63" w:rightChars="-30"/>
                    <w:jc w:val="center"/>
                    <w:rPr>
                      <w:rFonts w:hint="default"/>
                      <w:b w:val="0"/>
                      <w:bCs w:val="0"/>
                      <w:color w:val="auto"/>
                      <w:sz w:val="18"/>
                      <w:szCs w:val="18"/>
                      <w:u w:val="none"/>
                      <w:lang w:val="en-US" w:eastAsia="zh-CN"/>
                    </w:rPr>
                  </w:pPr>
                  <w:r>
                    <w:rPr>
                      <w:rFonts w:hint="eastAsia"/>
                      <w:b w:val="0"/>
                      <w:bCs w:val="0"/>
                      <w:color w:val="auto"/>
                      <w:sz w:val="18"/>
                      <w:szCs w:val="18"/>
                      <w:u w:val="none"/>
                      <w:lang w:val="en-US" w:eastAsia="zh-CN"/>
                    </w:rPr>
                    <w:t>0.05</w:t>
                  </w:r>
                </w:p>
              </w:tc>
              <w:tc>
                <w:tcPr>
                  <w:tcW w:w="455" w:type="pct"/>
                  <w:shd w:val="clear" w:color="auto" w:fill="auto"/>
                  <w:noWrap w:val="0"/>
                  <w:vAlign w:val="center"/>
                </w:tcPr>
                <w:p w14:paraId="2D84654D">
                  <w:pPr>
                    <w:pStyle w:val="66"/>
                    <w:adjustRightInd w:val="0"/>
                    <w:ind w:left="-63" w:leftChars="-30" w:right="-63" w:rightChars="-30"/>
                    <w:jc w:val="center"/>
                    <w:rPr>
                      <w:rFonts w:hint="default"/>
                      <w:b w:val="0"/>
                      <w:bCs w:val="0"/>
                      <w:color w:val="auto"/>
                      <w:sz w:val="18"/>
                      <w:szCs w:val="18"/>
                      <w:u w:val="none"/>
                      <w:lang w:val="en-US" w:eastAsia="zh-CN"/>
                    </w:rPr>
                  </w:pPr>
                  <w:r>
                    <w:rPr>
                      <w:rFonts w:hint="eastAsia"/>
                      <w:b w:val="0"/>
                      <w:bCs w:val="0"/>
                      <w:color w:val="auto"/>
                      <w:sz w:val="18"/>
                      <w:szCs w:val="18"/>
                      <w:u w:val="none"/>
                      <w:lang w:val="en-US" w:eastAsia="zh-CN"/>
                    </w:rPr>
                    <w:t>0.05</w:t>
                  </w:r>
                </w:p>
              </w:tc>
              <w:tc>
                <w:tcPr>
                  <w:tcW w:w="405" w:type="pct"/>
                  <w:shd w:val="clear" w:color="auto" w:fill="auto"/>
                  <w:noWrap w:val="0"/>
                  <w:vAlign w:val="center"/>
                </w:tcPr>
                <w:p w14:paraId="61276DE8">
                  <w:pPr>
                    <w:pStyle w:val="66"/>
                    <w:adjustRightInd w:val="0"/>
                    <w:ind w:left="-63" w:leftChars="-30" w:right="-63" w:rightChars="-30"/>
                    <w:jc w:val="center"/>
                    <w:rPr>
                      <w:rFonts w:hint="default"/>
                      <w:b w:val="0"/>
                      <w:bCs w:val="0"/>
                      <w:color w:val="auto"/>
                      <w:sz w:val="18"/>
                      <w:szCs w:val="18"/>
                      <w:u w:val="none"/>
                      <w:lang w:val="en-US" w:eastAsia="zh-CN"/>
                    </w:rPr>
                  </w:pPr>
                  <w:r>
                    <w:rPr>
                      <w:rFonts w:hint="eastAsia"/>
                      <w:b w:val="0"/>
                      <w:bCs w:val="0"/>
                      <w:color w:val="auto"/>
                      <w:sz w:val="18"/>
                      <w:szCs w:val="18"/>
                      <w:u w:val="none"/>
                      <w:lang w:val="en-US" w:eastAsia="zh-CN"/>
                    </w:rPr>
                    <w:t>/</w:t>
                  </w:r>
                </w:p>
              </w:tc>
              <w:tc>
                <w:tcPr>
                  <w:tcW w:w="660" w:type="pct"/>
                  <w:shd w:val="clear" w:color="auto" w:fill="auto"/>
                  <w:noWrap w:val="0"/>
                  <w:vAlign w:val="center"/>
                </w:tcPr>
                <w:p w14:paraId="1F66D6BB">
                  <w:pPr>
                    <w:pStyle w:val="66"/>
                    <w:adjustRightInd w:val="0"/>
                    <w:ind w:left="-63" w:leftChars="-30" w:right="-63" w:rightChars="-30"/>
                    <w:jc w:val="center"/>
                    <w:rPr>
                      <w:rFonts w:hint="eastAsia"/>
                      <w:b w:val="0"/>
                      <w:bCs w:val="0"/>
                      <w:color w:val="auto"/>
                      <w:sz w:val="18"/>
                      <w:szCs w:val="18"/>
                      <w:u w:val="none"/>
                      <w:lang w:val="en-US" w:eastAsia="zh-CN"/>
                    </w:rPr>
                  </w:pPr>
                  <w:r>
                    <w:rPr>
                      <w:rFonts w:hint="eastAsia"/>
                      <w:b w:val="0"/>
                      <w:bCs w:val="0"/>
                      <w:color w:val="auto"/>
                      <w:sz w:val="18"/>
                      <w:szCs w:val="18"/>
                      <w:u w:val="none"/>
                      <w:lang w:val="en-US" w:eastAsia="zh-CN"/>
                    </w:rPr>
                    <w:t>交由厂家回收利用</w:t>
                  </w:r>
                </w:p>
              </w:tc>
            </w:tr>
            <w:tr w14:paraId="6AD5FA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6" w:type="pct"/>
                  <w:noWrap w:val="0"/>
                  <w:vAlign w:val="center"/>
                </w:tcPr>
                <w:p w14:paraId="65626737">
                  <w:pPr>
                    <w:pStyle w:val="66"/>
                    <w:adjustRightInd w:val="0"/>
                    <w:ind w:left="-63" w:leftChars="-30" w:right="-63" w:rightChars="-30"/>
                    <w:jc w:val="center"/>
                    <w:rPr>
                      <w:rFonts w:hint="eastAsia" w:eastAsia="宋体"/>
                      <w:b w:val="0"/>
                      <w:bCs w:val="0"/>
                      <w:color w:val="auto"/>
                      <w:sz w:val="18"/>
                      <w:szCs w:val="18"/>
                      <w:u w:val="none"/>
                      <w:lang w:eastAsia="zh-CN"/>
                    </w:rPr>
                  </w:pPr>
                  <w:r>
                    <w:rPr>
                      <w:rFonts w:hint="eastAsia"/>
                      <w:b w:val="0"/>
                      <w:bCs w:val="0"/>
                      <w:color w:val="auto"/>
                      <w:sz w:val="18"/>
                      <w:szCs w:val="18"/>
                      <w:u w:val="none"/>
                      <w:lang w:val="en-US" w:eastAsia="zh-CN"/>
                    </w:rPr>
                    <w:t>4</w:t>
                  </w:r>
                </w:p>
              </w:tc>
              <w:tc>
                <w:tcPr>
                  <w:tcW w:w="548" w:type="pct"/>
                  <w:noWrap w:val="0"/>
                  <w:vAlign w:val="center"/>
                </w:tcPr>
                <w:p w14:paraId="03553ABB">
                  <w:pPr>
                    <w:pStyle w:val="66"/>
                    <w:adjustRightInd w:val="0"/>
                    <w:ind w:left="-63" w:leftChars="-30" w:right="-63" w:rightChars="-30"/>
                    <w:jc w:val="center"/>
                    <w:rPr>
                      <w:rFonts w:hint="eastAsia"/>
                      <w:b w:val="0"/>
                      <w:bCs w:val="0"/>
                      <w:color w:val="auto"/>
                      <w:sz w:val="18"/>
                      <w:szCs w:val="18"/>
                      <w:u w:val="none"/>
                    </w:rPr>
                  </w:pPr>
                  <w:r>
                    <w:rPr>
                      <w:rFonts w:hint="eastAsia"/>
                      <w:b w:val="0"/>
                      <w:bCs w:val="0"/>
                      <w:color w:val="auto"/>
                      <w:sz w:val="18"/>
                      <w:szCs w:val="18"/>
                      <w:u w:val="none"/>
                      <w:lang w:val="en-US" w:eastAsia="zh-CN"/>
                    </w:rPr>
                    <w:t>沉淀池沉淀物</w:t>
                  </w:r>
                </w:p>
              </w:tc>
              <w:tc>
                <w:tcPr>
                  <w:tcW w:w="678" w:type="pct"/>
                  <w:noWrap w:val="0"/>
                  <w:vAlign w:val="center"/>
                </w:tcPr>
                <w:p w14:paraId="2E1D6256">
                  <w:pPr>
                    <w:pStyle w:val="66"/>
                    <w:adjustRightInd w:val="0"/>
                    <w:ind w:left="-63" w:leftChars="-30" w:right="-63" w:rightChars="-30"/>
                    <w:jc w:val="center"/>
                    <w:rPr>
                      <w:rFonts w:hint="default" w:eastAsia="宋体"/>
                      <w:b w:val="0"/>
                      <w:bCs w:val="0"/>
                      <w:color w:val="auto"/>
                      <w:sz w:val="18"/>
                      <w:szCs w:val="18"/>
                      <w:u w:val="none"/>
                      <w:lang w:val="en-US" w:eastAsia="zh-CN"/>
                    </w:rPr>
                  </w:pPr>
                  <w:r>
                    <w:rPr>
                      <w:rFonts w:hint="eastAsia"/>
                      <w:b w:val="0"/>
                      <w:bCs w:val="0"/>
                      <w:color w:val="auto"/>
                      <w:sz w:val="18"/>
                      <w:szCs w:val="18"/>
                      <w:u w:val="none"/>
                      <w:lang w:val="en-US" w:eastAsia="zh-CN"/>
                    </w:rPr>
                    <w:t>沉淀池</w:t>
                  </w:r>
                </w:p>
              </w:tc>
              <w:tc>
                <w:tcPr>
                  <w:tcW w:w="526" w:type="pct"/>
                  <w:noWrap w:val="0"/>
                  <w:vAlign w:val="center"/>
                </w:tcPr>
                <w:p w14:paraId="45BCA411">
                  <w:pPr>
                    <w:pStyle w:val="66"/>
                    <w:adjustRightInd w:val="0"/>
                    <w:ind w:left="-63" w:leftChars="-30" w:right="-63" w:rightChars="-30"/>
                    <w:jc w:val="center"/>
                    <w:rPr>
                      <w:b w:val="0"/>
                      <w:bCs w:val="0"/>
                      <w:color w:val="auto"/>
                      <w:sz w:val="18"/>
                      <w:szCs w:val="18"/>
                      <w:u w:val="none"/>
                    </w:rPr>
                  </w:pPr>
                  <w:r>
                    <w:rPr>
                      <w:rFonts w:hint="eastAsia"/>
                      <w:b w:val="0"/>
                      <w:bCs w:val="0"/>
                      <w:color w:val="auto"/>
                      <w:sz w:val="18"/>
                      <w:szCs w:val="18"/>
                      <w:u w:val="none"/>
                    </w:rPr>
                    <w:t>一般固废</w:t>
                  </w:r>
                </w:p>
              </w:tc>
              <w:tc>
                <w:tcPr>
                  <w:tcW w:w="617" w:type="pct"/>
                  <w:noWrap w:val="0"/>
                  <w:vAlign w:val="center"/>
                </w:tcPr>
                <w:p w14:paraId="5D63875D">
                  <w:pPr>
                    <w:adjustRightInd w:val="0"/>
                    <w:ind w:left="-63" w:leftChars="-30" w:right="-63" w:rightChars="-30"/>
                    <w:jc w:val="center"/>
                    <w:rPr>
                      <w:b w:val="0"/>
                      <w:bCs w:val="0"/>
                      <w:color w:val="auto"/>
                      <w:sz w:val="18"/>
                      <w:szCs w:val="18"/>
                      <w:u w:val="none"/>
                    </w:rPr>
                  </w:pPr>
                  <w:r>
                    <w:rPr>
                      <w:rFonts w:hint="eastAsia"/>
                      <w:b w:val="0"/>
                      <w:bCs w:val="0"/>
                      <w:color w:val="auto"/>
                      <w:sz w:val="18"/>
                      <w:szCs w:val="18"/>
                      <w:u w:val="none"/>
                    </w:rPr>
                    <w:t>900-099-S07</w:t>
                  </w:r>
                </w:p>
              </w:tc>
              <w:tc>
                <w:tcPr>
                  <w:tcW w:w="445" w:type="pct"/>
                  <w:noWrap w:val="0"/>
                  <w:vAlign w:val="center"/>
                </w:tcPr>
                <w:p w14:paraId="1FE57F7D">
                  <w:pPr>
                    <w:pStyle w:val="66"/>
                    <w:adjustRightInd w:val="0"/>
                    <w:ind w:left="-63" w:leftChars="-30" w:right="-63" w:rightChars="-30"/>
                    <w:jc w:val="center"/>
                    <w:rPr>
                      <w:rFonts w:hint="default"/>
                      <w:b w:val="0"/>
                      <w:bCs w:val="0"/>
                      <w:color w:val="auto"/>
                      <w:sz w:val="18"/>
                      <w:szCs w:val="18"/>
                      <w:u w:val="none"/>
                      <w:lang w:val="en-US" w:eastAsia="zh-CN"/>
                    </w:rPr>
                  </w:pPr>
                  <w:r>
                    <w:rPr>
                      <w:rFonts w:hint="eastAsia"/>
                      <w:b w:val="0"/>
                      <w:bCs w:val="0"/>
                      <w:color w:val="auto"/>
                      <w:sz w:val="18"/>
                      <w:szCs w:val="18"/>
                      <w:u w:val="none"/>
                      <w:lang w:val="en-US" w:eastAsia="zh-CN"/>
                    </w:rPr>
                    <w:t>/</w:t>
                  </w:r>
                </w:p>
              </w:tc>
              <w:tc>
                <w:tcPr>
                  <w:tcW w:w="445" w:type="pct"/>
                  <w:noWrap w:val="0"/>
                  <w:vAlign w:val="center"/>
                </w:tcPr>
                <w:p w14:paraId="6BED3145">
                  <w:pPr>
                    <w:pStyle w:val="66"/>
                    <w:adjustRightInd w:val="0"/>
                    <w:ind w:left="-63" w:leftChars="-30" w:right="-63" w:rightChars="-30"/>
                    <w:jc w:val="center"/>
                    <w:rPr>
                      <w:rFonts w:hint="default" w:eastAsia="宋体"/>
                      <w:b w:val="0"/>
                      <w:bCs w:val="0"/>
                      <w:color w:val="auto"/>
                      <w:sz w:val="18"/>
                      <w:szCs w:val="18"/>
                      <w:u w:val="none"/>
                      <w:lang w:val="en-US" w:eastAsia="zh-CN"/>
                    </w:rPr>
                  </w:pPr>
                  <w:r>
                    <w:rPr>
                      <w:rFonts w:hint="eastAsia"/>
                      <w:b w:val="0"/>
                      <w:bCs w:val="0"/>
                      <w:color w:val="auto"/>
                      <w:sz w:val="18"/>
                      <w:szCs w:val="18"/>
                      <w:u w:val="none"/>
                      <w:lang w:val="en-US" w:eastAsia="zh-CN"/>
                    </w:rPr>
                    <w:t>5</w:t>
                  </w:r>
                </w:p>
              </w:tc>
              <w:tc>
                <w:tcPr>
                  <w:tcW w:w="455" w:type="pct"/>
                  <w:noWrap w:val="0"/>
                  <w:vAlign w:val="center"/>
                </w:tcPr>
                <w:p w14:paraId="49323AD7">
                  <w:pPr>
                    <w:pStyle w:val="66"/>
                    <w:adjustRightInd w:val="0"/>
                    <w:ind w:left="-63" w:leftChars="-30" w:right="-63" w:rightChars="-30"/>
                    <w:jc w:val="center"/>
                    <w:rPr>
                      <w:rFonts w:hint="default" w:ascii="Times New Roman" w:hAnsi="Times New Roman" w:eastAsia="宋体" w:cs="Times New Roman"/>
                      <w:b w:val="0"/>
                      <w:bCs w:val="0"/>
                      <w:color w:val="auto"/>
                      <w:kern w:val="2"/>
                      <w:sz w:val="18"/>
                      <w:szCs w:val="18"/>
                      <w:u w:val="none"/>
                      <w:lang w:val="en-US" w:eastAsia="zh-CN" w:bidi="ar-SA"/>
                    </w:rPr>
                  </w:pPr>
                  <w:r>
                    <w:rPr>
                      <w:rFonts w:hint="eastAsia" w:cs="Times New Roman"/>
                      <w:b w:val="0"/>
                      <w:bCs w:val="0"/>
                      <w:color w:val="auto"/>
                      <w:kern w:val="2"/>
                      <w:sz w:val="18"/>
                      <w:szCs w:val="18"/>
                      <w:u w:val="none"/>
                      <w:lang w:val="en-US" w:eastAsia="zh-CN" w:bidi="ar-SA"/>
                    </w:rPr>
                    <w:t>5</w:t>
                  </w:r>
                </w:p>
              </w:tc>
              <w:tc>
                <w:tcPr>
                  <w:tcW w:w="405" w:type="pct"/>
                  <w:noWrap w:val="0"/>
                  <w:vAlign w:val="center"/>
                </w:tcPr>
                <w:p w14:paraId="09FC78CE">
                  <w:pPr>
                    <w:pStyle w:val="66"/>
                    <w:adjustRightInd w:val="0"/>
                    <w:ind w:left="-63" w:leftChars="-30" w:right="-63" w:rightChars="-30"/>
                    <w:jc w:val="center"/>
                    <w:rPr>
                      <w:rFonts w:hint="eastAsia" w:eastAsia="宋体"/>
                      <w:b w:val="0"/>
                      <w:bCs w:val="0"/>
                      <w:color w:val="auto"/>
                      <w:sz w:val="18"/>
                      <w:szCs w:val="18"/>
                      <w:u w:val="none"/>
                      <w:lang w:val="en-US" w:eastAsia="zh-CN"/>
                    </w:rPr>
                  </w:pPr>
                  <w:r>
                    <w:rPr>
                      <w:rFonts w:hint="eastAsia"/>
                      <w:b w:val="0"/>
                      <w:bCs w:val="0"/>
                      <w:color w:val="auto"/>
                      <w:sz w:val="18"/>
                      <w:szCs w:val="18"/>
                      <w:u w:val="none"/>
                      <w:lang w:val="en-US" w:eastAsia="zh-CN"/>
                    </w:rPr>
                    <w:t>/</w:t>
                  </w:r>
                </w:p>
              </w:tc>
              <w:tc>
                <w:tcPr>
                  <w:tcW w:w="660" w:type="pct"/>
                  <w:noWrap w:val="0"/>
                  <w:vAlign w:val="center"/>
                </w:tcPr>
                <w:p w14:paraId="562DB04B">
                  <w:pPr>
                    <w:pStyle w:val="66"/>
                    <w:adjustRightInd w:val="0"/>
                    <w:ind w:left="-63" w:leftChars="-30" w:right="-63" w:rightChars="-30"/>
                    <w:jc w:val="center"/>
                    <w:rPr>
                      <w:rFonts w:hint="default" w:eastAsia="宋体"/>
                      <w:b w:val="0"/>
                      <w:bCs w:val="0"/>
                      <w:color w:val="auto"/>
                      <w:sz w:val="18"/>
                      <w:szCs w:val="18"/>
                      <w:u w:val="none"/>
                      <w:lang w:val="en-US" w:eastAsia="zh-CN"/>
                    </w:rPr>
                  </w:pPr>
                  <w:r>
                    <w:rPr>
                      <w:rFonts w:hint="eastAsia"/>
                      <w:b w:val="0"/>
                      <w:bCs w:val="0"/>
                      <w:color w:val="auto"/>
                      <w:sz w:val="18"/>
                      <w:szCs w:val="18"/>
                      <w:u w:val="none"/>
                      <w:lang w:val="en-US" w:eastAsia="zh-CN"/>
                    </w:rPr>
                    <w:t>收集后回用于混凝土生产</w:t>
                  </w:r>
                </w:p>
              </w:tc>
            </w:tr>
            <w:tr w14:paraId="1E7A3B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6" w:type="pct"/>
                  <w:noWrap w:val="0"/>
                  <w:vAlign w:val="center"/>
                </w:tcPr>
                <w:p w14:paraId="16A13D19">
                  <w:pPr>
                    <w:pStyle w:val="66"/>
                    <w:adjustRightInd w:val="0"/>
                    <w:ind w:left="-63" w:leftChars="-30" w:right="-63" w:rightChars="-30"/>
                    <w:jc w:val="center"/>
                    <w:rPr>
                      <w:rFonts w:hint="default"/>
                      <w:b w:val="0"/>
                      <w:bCs w:val="0"/>
                      <w:color w:val="auto"/>
                      <w:sz w:val="18"/>
                      <w:szCs w:val="18"/>
                      <w:u w:val="none"/>
                      <w:lang w:val="en-US" w:eastAsia="zh-CN"/>
                    </w:rPr>
                  </w:pPr>
                  <w:r>
                    <w:rPr>
                      <w:rFonts w:hint="eastAsia"/>
                      <w:b w:val="0"/>
                      <w:bCs w:val="0"/>
                      <w:color w:val="auto"/>
                      <w:sz w:val="18"/>
                      <w:szCs w:val="18"/>
                      <w:u w:val="none"/>
                      <w:lang w:val="en-US" w:eastAsia="zh-CN"/>
                    </w:rPr>
                    <w:t>5</w:t>
                  </w:r>
                </w:p>
              </w:tc>
              <w:tc>
                <w:tcPr>
                  <w:tcW w:w="548" w:type="pct"/>
                  <w:noWrap w:val="0"/>
                  <w:vAlign w:val="center"/>
                </w:tcPr>
                <w:p w14:paraId="7924973E">
                  <w:pPr>
                    <w:pStyle w:val="66"/>
                    <w:adjustRightInd w:val="0"/>
                    <w:ind w:left="-63" w:leftChars="-30" w:right="-63" w:rightChars="-30"/>
                    <w:jc w:val="center"/>
                    <w:rPr>
                      <w:rFonts w:hint="default" w:eastAsia="宋体"/>
                      <w:b w:val="0"/>
                      <w:bCs w:val="0"/>
                      <w:color w:val="auto"/>
                      <w:sz w:val="18"/>
                      <w:szCs w:val="18"/>
                      <w:u w:val="none"/>
                      <w:lang w:val="en-US" w:eastAsia="zh-CN"/>
                    </w:rPr>
                  </w:pPr>
                  <w:r>
                    <w:rPr>
                      <w:rFonts w:hint="eastAsia"/>
                      <w:b w:val="0"/>
                      <w:bCs w:val="0"/>
                      <w:color w:val="auto"/>
                      <w:sz w:val="18"/>
                      <w:szCs w:val="18"/>
                      <w:u w:val="none"/>
                      <w:lang w:val="en-US" w:eastAsia="zh-CN"/>
                    </w:rPr>
                    <w:t>化验室废试样</w:t>
                  </w:r>
                </w:p>
              </w:tc>
              <w:tc>
                <w:tcPr>
                  <w:tcW w:w="678" w:type="pct"/>
                  <w:noWrap w:val="0"/>
                  <w:vAlign w:val="center"/>
                </w:tcPr>
                <w:p w14:paraId="330F505A">
                  <w:pPr>
                    <w:pStyle w:val="66"/>
                    <w:adjustRightInd w:val="0"/>
                    <w:ind w:left="-63" w:leftChars="-30" w:right="-63" w:rightChars="-30"/>
                    <w:jc w:val="center"/>
                    <w:rPr>
                      <w:rFonts w:hint="eastAsia" w:eastAsia="宋体"/>
                      <w:b w:val="0"/>
                      <w:bCs w:val="0"/>
                      <w:color w:val="auto"/>
                      <w:sz w:val="18"/>
                      <w:szCs w:val="18"/>
                      <w:u w:val="none"/>
                      <w:lang w:val="en-US" w:eastAsia="zh-CN"/>
                    </w:rPr>
                  </w:pPr>
                  <w:r>
                    <w:rPr>
                      <w:rFonts w:hint="eastAsia"/>
                      <w:b w:val="0"/>
                      <w:bCs w:val="0"/>
                      <w:color w:val="auto"/>
                      <w:sz w:val="18"/>
                      <w:szCs w:val="18"/>
                      <w:u w:val="none"/>
                      <w:lang w:val="en-US" w:eastAsia="zh-CN"/>
                    </w:rPr>
                    <w:t>化验室</w:t>
                  </w:r>
                </w:p>
              </w:tc>
              <w:tc>
                <w:tcPr>
                  <w:tcW w:w="526" w:type="pct"/>
                  <w:noWrap w:val="0"/>
                  <w:vAlign w:val="center"/>
                </w:tcPr>
                <w:p w14:paraId="6EC9399A">
                  <w:pPr>
                    <w:pStyle w:val="66"/>
                    <w:adjustRightInd w:val="0"/>
                    <w:ind w:left="-63" w:leftChars="-30" w:right="-63" w:rightChars="-30"/>
                    <w:jc w:val="center"/>
                    <w:rPr>
                      <w:rFonts w:hint="eastAsia"/>
                      <w:b w:val="0"/>
                      <w:bCs w:val="0"/>
                      <w:color w:val="auto"/>
                      <w:sz w:val="18"/>
                      <w:szCs w:val="18"/>
                      <w:u w:val="none"/>
                    </w:rPr>
                  </w:pPr>
                  <w:r>
                    <w:rPr>
                      <w:rFonts w:hint="eastAsia"/>
                      <w:b w:val="0"/>
                      <w:bCs w:val="0"/>
                      <w:color w:val="auto"/>
                      <w:sz w:val="18"/>
                      <w:szCs w:val="18"/>
                      <w:u w:val="none"/>
                    </w:rPr>
                    <w:t>一般固废</w:t>
                  </w:r>
                </w:p>
              </w:tc>
              <w:tc>
                <w:tcPr>
                  <w:tcW w:w="617" w:type="pct"/>
                  <w:noWrap w:val="0"/>
                  <w:vAlign w:val="center"/>
                </w:tcPr>
                <w:p w14:paraId="3161DD61">
                  <w:pPr>
                    <w:keepNext w:val="0"/>
                    <w:keepLines w:val="0"/>
                    <w:widowControl/>
                    <w:suppressLineNumbers w:val="0"/>
                    <w:jc w:val="left"/>
                    <w:rPr>
                      <w:b w:val="0"/>
                      <w:bCs w:val="0"/>
                      <w:color w:val="auto"/>
                      <w:sz w:val="18"/>
                      <w:szCs w:val="18"/>
                      <w:u w:val="none"/>
                    </w:rPr>
                  </w:pPr>
                  <w:r>
                    <w:rPr>
                      <w:rFonts w:hint="default" w:ascii="Times New Roman" w:hAnsi="Times New Roman" w:eastAsia="宋体" w:cs="Times New Roman"/>
                      <w:color w:val="000000"/>
                      <w:kern w:val="0"/>
                      <w:sz w:val="18"/>
                      <w:szCs w:val="18"/>
                      <w:u w:val="none"/>
                      <w:lang w:val="en-US" w:eastAsia="zh-CN" w:bidi="ar"/>
                    </w:rPr>
                    <w:t>900-099-S59</w:t>
                  </w:r>
                </w:p>
              </w:tc>
              <w:tc>
                <w:tcPr>
                  <w:tcW w:w="445" w:type="pct"/>
                  <w:noWrap w:val="0"/>
                  <w:vAlign w:val="center"/>
                </w:tcPr>
                <w:p w14:paraId="1E29242E">
                  <w:pPr>
                    <w:adjustRightInd w:val="0"/>
                    <w:ind w:left="-63" w:leftChars="-30" w:right="-63" w:rightChars="-30"/>
                    <w:jc w:val="center"/>
                    <w:rPr>
                      <w:rFonts w:hint="eastAsia"/>
                      <w:b w:val="0"/>
                      <w:bCs w:val="0"/>
                      <w:color w:val="auto"/>
                      <w:sz w:val="18"/>
                      <w:szCs w:val="18"/>
                      <w:u w:val="none"/>
                      <w:lang w:val="en-US" w:eastAsia="zh-CN"/>
                    </w:rPr>
                  </w:pPr>
                  <w:r>
                    <w:rPr>
                      <w:rFonts w:hint="eastAsia"/>
                      <w:b w:val="0"/>
                      <w:bCs w:val="0"/>
                      <w:color w:val="auto"/>
                      <w:sz w:val="18"/>
                      <w:szCs w:val="18"/>
                      <w:u w:val="none"/>
                      <w:lang w:val="en-US" w:eastAsia="zh-CN"/>
                    </w:rPr>
                    <w:t>/</w:t>
                  </w:r>
                </w:p>
              </w:tc>
              <w:tc>
                <w:tcPr>
                  <w:tcW w:w="445" w:type="pct"/>
                  <w:noWrap w:val="0"/>
                  <w:vAlign w:val="center"/>
                </w:tcPr>
                <w:p w14:paraId="1A620811">
                  <w:pPr>
                    <w:pStyle w:val="66"/>
                    <w:adjustRightInd w:val="0"/>
                    <w:ind w:left="-63" w:leftChars="-30" w:right="-63" w:rightChars="-30"/>
                    <w:jc w:val="center"/>
                    <w:rPr>
                      <w:rFonts w:hint="default"/>
                      <w:b w:val="0"/>
                      <w:bCs w:val="0"/>
                      <w:color w:val="auto"/>
                      <w:sz w:val="18"/>
                      <w:szCs w:val="18"/>
                      <w:u w:val="none"/>
                      <w:lang w:val="en-US" w:eastAsia="zh-CN"/>
                    </w:rPr>
                  </w:pPr>
                  <w:r>
                    <w:rPr>
                      <w:rFonts w:hint="eastAsia"/>
                      <w:b w:val="0"/>
                      <w:bCs w:val="0"/>
                      <w:color w:val="auto"/>
                      <w:sz w:val="18"/>
                      <w:szCs w:val="18"/>
                      <w:u w:val="none"/>
                      <w:lang w:val="en-US" w:eastAsia="zh-CN"/>
                    </w:rPr>
                    <w:t>3</w:t>
                  </w:r>
                </w:p>
              </w:tc>
              <w:tc>
                <w:tcPr>
                  <w:tcW w:w="455" w:type="pct"/>
                  <w:noWrap w:val="0"/>
                  <w:vAlign w:val="center"/>
                </w:tcPr>
                <w:p w14:paraId="4825E72D">
                  <w:pPr>
                    <w:adjustRightInd w:val="0"/>
                    <w:ind w:left="-63" w:leftChars="-30" w:right="-63" w:rightChars="-30"/>
                    <w:jc w:val="center"/>
                    <w:rPr>
                      <w:rFonts w:hint="eastAsia"/>
                      <w:b w:val="0"/>
                      <w:bCs w:val="0"/>
                      <w:color w:val="auto"/>
                      <w:sz w:val="18"/>
                      <w:szCs w:val="18"/>
                      <w:u w:val="none"/>
                      <w:lang w:val="en-US" w:eastAsia="zh-CN"/>
                    </w:rPr>
                  </w:pPr>
                  <w:r>
                    <w:rPr>
                      <w:rFonts w:hint="eastAsia"/>
                      <w:b w:val="0"/>
                      <w:bCs w:val="0"/>
                      <w:color w:val="auto"/>
                      <w:sz w:val="18"/>
                      <w:szCs w:val="18"/>
                      <w:u w:val="none"/>
                      <w:lang w:val="en-US" w:eastAsia="zh-CN"/>
                    </w:rPr>
                    <w:t>/</w:t>
                  </w:r>
                </w:p>
              </w:tc>
              <w:tc>
                <w:tcPr>
                  <w:tcW w:w="405" w:type="pct"/>
                  <w:noWrap w:val="0"/>
                  <w:vAlign w:val="center"/>
                </w:tcPr>
                <w:p w14:paraId="11F4A329">
                  <w:pPr>
                    <w:adjustRightInd w:val="0"/>
                    <w:ind w:left="-63" w:leftChars="-30" w:right="-63" w:rightChars="-30"/>
                    <w:jc w:val="center"/>
                    <w:rPr>
                      <w:rFonts w:hint="eastAsia"/>
                      <w:b w:val="0"/>
                      <w:bCs w:val="0"/>
                      <w:color w:val="auto"/>
                      <w:sz w:val="18"/>
                      <w:szCs w:val="18"/>
                      <w:u w:val="none"/>
                      <w:lang w:val="en-US" w:eastAsia="zh-CN"/>
                    </w:rPr>
                  </w:pPr>
                  <w:r>
                    <w:rPr>
                      <w:rFonts w:hint="eastAsia"/>
                      <w:b w:val="0"/>
                      <w:bCs w:val="0"/>
                      <w:color w:val="auto"/>
                      <w:sz w:val="18"/>
                      <w:szCs w:val="18"/>
                      <w:u w:val="none"/>
                      <w:lang w:val="en-US" w:eastAsia="zh-CN"/>
                    </w:rPr>
                    <w:t>3</w:t>
                  </w:r>
                </w:p>
              </w:tc>
              <w:tc>
                <w:tcPr>
                  <w:tcW w:w="660" w:type="pct"/>
                  <w:noWrap w:val="0"/>
                  <w:vAlign w:val="center"/>
                </w:tcPr>
                <w:p w14:paraId="6185B009">
                  <w:pPr>
                    <w:pStyle w:val="66"/>
                    <w:adjustRightInd w:val="0"/>
                    <w:ind w:left="-63" w:leftChars="-30" w:right="-63" w:rightChars="-30"/>
                    <w:jc w:val="center"/>
                    <w:rPr>
                      <w:rFonts w:hint="default" w:eastAsia="宋体"/>
                      <w:b w:val="0"/>
                      <w:bCs w:val="0"/>
                      <w:color w:val="auto"/>
                      <w:sz w:val="18"/>
                      <w:szCs w:val="18"/>
                      <w:u w:val="none"/>
                      <w:lang w:val="en-US" w:eastAsia="zh-CN"/>
                    </w:rPr>
                  </w:pPr>
                  <w:r>
                    <w:rPr>
                      <w:rFonts w:hint="default" w:eastAsia="宋体"/>
                      <w:b w:val="0"/>
                      <w:bCs w:val="0"/>
                      <w:color w:val="auto"/>
                      <w:sz w:val="18"/>
                      <w:szCs w:val="18"/>
                      <w:u w:val="none"/>
                      <w:lang w:val="en-US" w:eastAsia="zh-CN"/>
                    </w:rPr>
                    <w:t>交由建材厂综合利用</w:t>
                  </w:r>
                </w:p>
              </w:tc>
            </w:tr>
          </w:tbl>
          <w:p w14:paraId="4439A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eastAsia="zh-CN"/>
              </w:rPr>
              <w:t>以上固体废物均有合理去向，因此不会对周围环境产生明显影响。</w:t>
            </w:r>
          </w:p>
          <w:p w14:paraId="0320C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val="en-US" w:eastAsia="zh-CN"/>
              </w:rPr>
              <w:t>（2）固体废物环境管理要求</w:t>
            </w:r>
          </w:p>
          <w:p w14:paraId="74720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u w:val="none" w:color="auto"/>
              </w:rPr>
            </w:pPr>
            <w:r>
              <w:rPr>
                <w:rFonts w:hint="default" w:ascii="Times New Roman" w:hAnsi="Times New Roman" w:eastAsia="宋体" w:cs="Times New Roman"/>
                <w:sz w:val="24"/>
                <w:szCs w:val="24"/>
                <w:highlight w:val="none"/>
                <w:u w:val="none" w:color="auto"/>
              </w:rPr>
              <w:t>①</w:t>
            </w:r>
            <w:r>
              <w:rPr>
                <w:rFonts w:hint="default" w:ascii="Times New Roman" w:hAnsi="Times New Roman" w:eastAsia="宋体" w:cs="Times New Roman"/>
                <w:sz w:val="24"/>
                <w:szCs w:val="24"/>
                <w:highlight w:val="none"/>
                <w:u w:val="none" w:color="auto"/>
                <w:lang w:eastAsia="zh-CN"/>
              </w:rPr>
              <w:t>一般固体废物</w:t>
            </w:r>
            <w:r>
              <w:rPr>
                <w:rFonts w:hint="default" w:ascii="Times New Roman" w:hAnsi="Times New Roman" w:eastAsia="宋体" w:cs="Times New Roman"/>
                <w:sz w:val="24"/>
                <w:szCs w:val="24"/>
                <w:highlight w:val="none"/>
                <w:u w:val="none" w:color="auto"/>
              </w:rPr>
              <w:t>安全贮存要求</w:t>
            </w:r>
          </w:p>
          <w:p w14:paraId="03635F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u w:val="none" w:color="auto"/>
              </w:rPr>
            </w:pPr>
            <w:r>
              <w:rPr>
                <w:rFonts w:hint="default" w:ascii="Times New Roman" w:hAnsi="Times New Roman" w:eastAsia="宋体" w:cs="Times New Roman"/>
                <w:sz w:val="24"/>
                <w:szCs w:val="24"/>
                <w:highlight w:val="none"/>
                <w:u w:val="none" w:color="auto"/>
                <w:lang w:val="en-US" w:eastAsia="zh-CN"/>
              </w:rPr>
              <w:t>a.</w:t>
            </w:r>
            <w:r>
              <w:rPr>
                <w:rFonts w:hint="default" w:ascii="Times New Roman" w:hAnsi="Times New Roman" w:eastAsia="宋体" w:cs="Times New Roman"/>
                <w:sz w:val="24"/>
                <w:szCs w:val="24"/>
                <w:highlight w:val="none"/>
                <w:u w:val="none" w:color="auto"/>
              </w:rPr>
              <w:t>要按照</w:t>
            </w:r>
            <w:r>
              <w:rPr>
                <w:rFonts w:hint="default" w:ascii="Times New Roman" w:hAnsi="Times New Roman" w:eastAsia="宋体" w:cs="Times New Roman"/>
                <w:color w:val="auto"/>
                <w:sz w:val="24"/>
                <w:szCs w:val="24"/>
                <w:highlight w:val="none"/>
                <w:u w:val="none" w:color="auto"/>
              </w:rPr>
              <w:t>《一般工业固体废物贮存</w:t>
            </w:r>
            <w:r>
              <w:rPr>
                <w:rFonts w:hint="default" w:ascii="Times New Roman" w:hAnsi="Times New Roman" w:eastAsia="宋体" w:cs="Times New Roman"/>
                <w:color w:val="auto"/>
                <w:sz w:val="24"/>
                <w:szCs w:val="24"/>
                <w:highlight w:val="none"/>
                <w:u w:val="none" w:color="auto"/>
                <w:lang w:eastAsia="zh-CN"/>
              </w:rPr>
              <w:t>和填埋</w:t>
            </w:r>
            <w:r>
              <w:rPr>
                <w:rFonts w:hint="default" w:ascii="Times New Roman" w:hAnsi="Times New Roman" w:eastAsia="宋体" w:cs="Times New Roman"/>
                <w:color w:val="auto"/>
                <w:sz w:val="24"/>
                <w:szCs w:val="24"/>
                <w:highlight w:val="none"/>
                <w:u w:val="none" w:color="auto"/>
              </w:rPr>
              <w:t>污染控制标准》</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GB18599-20</w:t>
            </w:r>
            <w:r>
              <w:rPr>
                <w:rFonts w:hint="default" w:ascii="Times New Roman" w:hAnsi="Times New Roman" w:eastAsia="宋体" w:cs="Times New Roman"/>
                <w:color w:val="auto"/>
                <w:sz w:val="24"/>
                <w:szCs w:val="24"/>
                <w:highlight w:val="none"/>
                <w:u w:val="none" w:color="auto"/>
                <w:lang w:val="en-US" w:eastAsia="zh-CN"/>
              </w:rPr>
              <w:t>20</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sz w:val="24"/>
                <w:szCs w:val="24"/>
                <w:highlight w:val="none"/>
                <w:u w:val="none" w:color="auto"/>
              </w:rPr>
              <w:t>的要求设置暂存场所。</w:t>
            </w:r>
          </w:p>
          <w:p w14:paraId="67150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u w:val="none" w:color="auto"/>
              </w:rPr>
            </w:pPr>
            <w:r>
              <w:rPr>
                <w:rFonts w:hint="default" w:ascii="Times New Roman" w:hAnsi="Times New Roman" w:eastAsia="宋体" w:cs="Times New Roman"/>
                <w:sz w:val="24"/>
                <w:szCs w:val="24"/>
                <w:highlight w:val="none"/>
                <w:u w:val="none" w:color="auto"/>
                <w:lang w:val="en-US" w:eastAsia="zh-CN"/>
              </w:rPr>
              <w:t>b.</w:t>
            </w:r>
            <w:r>
              <w:rPr>
                <w:rFonts w:hint="default" w:ascii="Times New Roman" w:hAnsi="Times New Roman" w:eastAsia="宋体" w:cs="Times New Roman"/>
                <w:sz w:val="24"/>
                <w:szCs w:val="24"/>
                <w:highlight w:val="none"/>
                <w:u w:val="none" w:color="auto"/>
              </w:rPr>
              <w:t>贮存、处置场的设置必须与将要堆放的一般工业固体废物的类别一致。</w:t>
            </w:r>
          </w:p>
          <w:p w14:paraId="6F70FB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u w:val="none" w:color="auto"/>
              </w:rPr>
            </w:pPr>
            <w:r>
              <w:rPr>
                <w:rFonts w:hint="default" w:ascii="Times New Roman" w:hAnsi="Times New Roman" w:eastAsia="宋体" w:cs="Times New Roman"/>
                <w:sz w:val="24"/>
                <w:szCs w:val="24"/>
                <w:highlight w:val="none"/>
                <w:u w:val="none" w:color="auto"/>
                <w:lang w:val="en-US" w:eastAsia="zh-CN"/>
              </w:rPr>
              <w:t>c.</w:t>
            </w:r>
            <w:r>
              <w:rPr>
                <w:rFonts w:hint="default" w:ascii="Times New Roman" w:hAnsi="Times New Roman" w:eastAsia="宋体" w:cs="Times New Roman"/>
                <w:sz w:val="24"/>
                <w:szCs w:val="24"/>
                <w:highlight w:val="none"/>
                <w:u w:val="none" w:color="auto"/>
              </w:rPr>
              <w:t>不得露天堆放，防止雨水进入产生二次污染。</w:t>
            </w:r>
          </w:p>
          <w:p w14:paraId="44153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u w:val="none" w:color="auto"/>
                <w:lang w:eastAsia="zh-CN"/>
              </w:rPr>
            </w:pPr>
            <w:r>
              <w:rPr>
                <w:rFonts w:hint="default" w:ascii="Times New Roman" w:hAnsi="Times New Roman" w:eastAsia="宋体" w:cs="Times New Roman"/>
                <w:sz w:val="24"/>
                <w:szCs w:val="24"/>
                <w:highlight w:val="none"/>
                <w:u w:val="none" w:color="auto"/>
                <w:lang w:val="en-US" w:eastAsia="zh-CN"/>
              </w:rPr>
              <w:t>d.</w:t>
            </w:r>
            <w:r>
              <w:rPr>
                <w:rFonts w:hint="default" w:ascii="Times New Roman" w:hAnsi="Times New Roman" w:eastAsia="宋体" w:cs="Times New Roman"/>
                <w:sz w:val="24"/>
                <w:szCs w:val="24"/>
                <w:highlight w:val="none"/>
                <w:u w:val="none" w:color="auto"/>
              </w:rPr>
              <w:t>单位须针对此对职工进行培训，加强安全及防止污染的意识，培训通过后方可上岗，对于固体废弃物的收集、运输要实施专人专职管理制度并建立好档案制度。应将入场的一般工业固体废物的种类和数量以及下列资料，详细记录在案，长期保存，供随时查阅。</w:t>
            </w:r>
          </w:p>
          <w:p w14:paraId="4614DF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rPr>
              <w:t>②转移运输</w:t>
            </w:r>
            <w:r>
              <w:rPr>
                <w:rFonts w:hint="default" w:ascii="Times New Roman" w:hAnsi="Times New Roman" w:eastAsia="宋体" w:cs="Times New Roman"/>
                <w:sz w:val="24"/>
                <w:szCs w:val="24"/>
                <w:highlight w:val="none"/>
                <w:u w:val="none" w:color="auto"/>
                <w:lang w:val="en-US" w:eastAsia="zh-CN"/>
              </w:rPr>
              <w:t>要求</w:t>
            </w:r>
          </w:p>
          <w:p w14:paraId="725E6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rPr>
              <w:t>项目一般固体废物在厂内堆放和转移运输过程应防止抛洒逸散，正常情况下，转移过程不会对沿线环境造成不良影响。</w:t>
            </w:r>
          </w:p>
          <w:p w14:paraId="00179B41">
            <w:pPr>
              <w:adjustRightInd w:val="0"/>
              <w:snapToGrid w:val="0"/>
              <w:spacing w:line="360" w:lineRule="auto"/>
              <w:ind w:firstLine="480" w:firstLineChars="200"/>
              <w:rPr>
                <w:sz w:val="24"/>
                <w:szCs w:val="24"/>
              </w:rPr>
            </w:pPr>
            <w:r>
              <w:rPr>
                <w:rFonts w:hint="default" w:ascii="Times New Roman" w:hAnsi="Times New Roman" w:eastAsia="宋体" w:cs="Times New Roman"/>
                <w:sz w:val="24"/>
                <w:szCs w:val="24"/>
                <w:highlight w:val="none"/>
                <w:u w:val="none" w:color="auto"/>
              </w:rPr>
              <w:t>经上述固废防治措施后，对区域内自然环境、生态、人群均不会造成大的危害。综合上述，本项目拟采取的固体废物的方案，较为全面，安全，处置去向明确，不会对周围环境造成二次污染</w:t>
            </w:r>
            <w:r>
              <w:rPr>
                <w:rFonts w:hint="default" w:ascii="Times New Roman" w:hAnsi="Times New Roman" w:eastAsia="宋体" w:cs="Times New Roman"/>
                <w:sz w:val="24"/>
                <w:szCs w:val="24"/>
                <w:highlight w:val="none"/>
                <w:u w:val="none" w:color="auto"/>
                <w:lang w:val="en-US" w:eastAsia="zh-CN"/>
              </w:rPr>
              <w:t>。</w:t>
            </w:r>
          </w:p>
          <w:p w14:paraId="74A6981B">
            <w:pPr>
              <w:adjustRightInd w:val="0"/>
              <w:snapToGrid w:val="0"/>
              <w:spacing w:line="360" w:lineRule="auto"/>
              <w:ind w:firstLine="482" w:firstLineChars="200"/>
              <w:rPr>
                <w:rFonts w:hint="default" w:ascii="Times New Roman" w:hAnsi="Times New Roman" w:eastAsia="宋体" w:cs="Times New Roman"/>
                <w:b/>
                <w:bCs/>
                <w:sz w:val="24"/>
                <w:szCs w:val="24"/>
                <w:u w:val="none"/>
              </w:rPr>
            </w:pPr>
            <w:r>
              <w:rPr>
                <w:rFonts w:hint="eastAsia" w:ascii="Times New Roman" w:hAnsi="Times New Roman" w:eastAsia="宋体" w:cs="Times New Roman"/>
                <w:b/>
                <w:bCs/>
                <w:sz w:val="24"/>
                <w:szCs w:val="24"/>
                <w:u w:val="none"/>
                <w:lang w:val="en-US" w:eastAsia="zh-CN"/>
              </w:rPr>
              <w:t>5</w:t>
            </w:r>
            <w:r>
              <w:rPr>
                <w:rFonts w:hint="default" w:ascii="Times New Roman" w:hAnsi="Times New Roman" w:eastAsia="宋体" w:cs="Times New Roman"/>
                <w:b/>
                <w:bCs/>
                <w:sz w:val="24"/>
                <w:szCs w:val="24"/>
                <w:u w:val="none"/>
              </w:rPr>
              <w:t>、地下水环境影响分析</w:t>
            </w:r>
          </w:p>
          <w:p w14:paraId="74BB5AE7">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kern w:val="0"/>
                <w:sz w:val="24"/>
                <w:szCs w:val="24"/>
                <w:highlight w:val="none"/>
                <w:u w:val="none"/>
                <w:lang w:val="en-US" w:eastAsia="zh-CN" w:bidi="ar"/>
              </w:rPr>
            </w:pPr>
            <w:r>
              <w:rPr>
                <w:rFonts w:hint="eastAsia" w:ascii="宋体" w:hAnsi="宋体" w:eastAsia="宋体" w:cs="宋体"/>
                <w:color w:val="000000"/>
                <w:kern w:val="0"/>
                <w:sz w:val="24"/>
                <w:szCs w:val="24"/>
                <w:u w:val="none"/>
                <w:lang w:val="en-US" w:eastAsia="zh-CN" w:bidi="ar"/>
              </w:rPr>
              <w:t>本项目为商品混凝土制造项目，原料主要为粉煤灰、水泥、砂石等，不涉及危险化学品</w:t>
            </w:r>
            <w:r>
              <w:rPr>
                <w:rFonts w:hint="eastAsia" w:ascii="宋体" w:hAnsi="宋体" w:cs="宋体"/>
                <w:color w:val="000000"/>
                <w:kern w:val="0"/>
                <w:sz w:val="24"/>
                <w:szCs w:val="24"/>
                <w:u w:val="none"/>
                <w:lang w:val="en-US" w:eastAsia="zh-CN" w:bidi="ar"/>
              </w:rPr>
              <w:t>，</w:t>
            </w:r>
            <w:r>
              <w:rPr>
                <w:rFonts w:hint="eastAsia" w:ascii="宋体" w:hAnsi="宋体" w:eastAsia="宋体" w:cs="宋体"/>
                <w:color w:val="000000"/>
                <w:kern w:val="0"/>
                <w:sz w:val="24"/>
                <w:szCs w:val="24"/>
                <w:u w:val="none"/>
                <w:lang w:val="en-US" w:eastAsia="zh-CN" w:bidi="ar"/>
              </w:rPr>
              <w:t>正常情况下，</w:t>
            </w:r>
            <w:r>
              <w:rPr>
                <w:rFonts w:hint="default" w:ascii="Times New Roman" w:hAnsi="Times New Roman" w:eastAsia="宋体" w:cs="Times New Roman"/>
                <w:color w:val="000000"/>
                <w:kern w:val="0"/>
                <w:sz w:val="24"/>
                <w:szCs w:val="24"/>
                <w:highlight w:val="none"/>
                <w:u w:val="none"/>
                <w:lang w:val="en-US" w:eastAsia="zh-CN" w:bidi="ar"/>
              </w:rPr>
              <w:t>项目不会对地下水造成污染。事故情况下，项目</w:t>
            </w:r>
            <w:r>
              <w:rPr>
                <w:rFonts w:hint="eastAsia" w:cs="Times New Roman"/>
                <w:color w:val="000000"/>
                <w:kern w:val="0"/>
                <w:sz w:val="24"/>
                <w:szCs w:val="24"/>
                <w:highlight w:val="none"/>
                <w:u w:val="none"/>
                <w:lang w:val="en-US" w:eastAsia="zh-CN" w:bidi="ar"/>
              </w:rPr>
              <w:t>外加剂、生产</w:t>
            </w:r>
            <w:r>
              <w:rPr>
                <w:rFonts w:hint="default" w:ascii="Times New Roman" w:hAnsi="Times New Roman" w:eastAsia="宋体" w:cs="Times New Roman"/>
                <w:color w:val="000000"/>
                <w:kern w:val="0"/>
                <w:sz w:val="24"/>
                <w:szCs w:val="24"/>
                <w:highlight w:val="none"/>
                <w:u w:val="none"/>
                <w:lang w:val="en-US" w:eastAsia="zh-CN" w:bidi="ar"/>
              </w:rPr>
              <w:t>废水泄漏，会通过地表漫流、垂直下渗污染地下水，造成地下水污染</w:t>
            </w:r>
            <w:r>
              <w:rPr>
                <w:rFonts w:hint="eastAsia" w:cs="Times New Roman"/>
                <w:color w:val="000000"/>
                <w:kern w:val="0"/>
                <w:sz w:val="24"/>
                <w:szCs w:val="24"/>
                <w:highlight w:val="none"/>
                <w:u w:val="none"/>
                <w:lang w:val="en-US" w:eastAsia="zh-CN" w:bidi="ar"/>
              </w:rPr>
              <w:t>，项目</w:t>
            </w:r>
            <w:r>
              <w:rPr>
                <w:rFonts w:hint="default" w:ascii="Times New Roman" w:hAnsi="Times New Roman" w:cs="Times New Roman"/>
                <w:color w:val="000000"/>
                <w:sz w:val="24"/>
                <w:szCs w:val="24"/>
                <w:highlight w:val="none"/>
                <w:lang w:val="en-US" w:eastAsia="zh-CN"/>
              </w:rPr>
              <w:t>东侧隔空地为三道沟河</w:t>
            </w:r>
            <w:r>
              <w:rPr>
                <w:rFonts w:hint="eastAsia" w:cs="Times New Roman"/>
                <w:color w:val="000000"/>
                <w:kern w:val="0"/>
                <w:sz w:val="24"/>
                <w:szCs w:val="24"/>
                <w:highlight w:val="none"/>
                <w:u w:val="none"/>
                <w:lang w:val="en-US" w:eastAsia="zh-CN" w:bidi="ar"/>
              </w:rPr>
              <w:t>，若项目物料或厂区内泥、水流入地表河流或因暴雨山洪冲刷进入地表河流中将污染地表水体，进而对区域地下水造成污染</w:t>
            </w:r>
            <w:r>
              <w:rPr>
                <w:rFonts w:hint="default" w:ascii="Times New Roman" w:hAnsi="Times New Roman" w:eastAsia="宋体" w:cs="Times New Roman"/>
                <w:color w:val="000000"/>
                <w:kern w:val="0"/>
                <w:sz w:val="24"/>
                <w:szCs w:val="24"/>
                <w:highlight w:val="none"/>
                <w:u w:val="none"/>
                <w:lang w:val="en-US" w:eastAsia="zh-CN" w:bidi="ar"/>
              </w:rPr>
              <w:t>。</w:t>
            </w:r>
          </w:p>
          <w:p w14:paraId="2CCC15E5">
            <w:pPr>
              <w:adjustRightInd w:val="0"/>
              <w:snapToGrid w:val="0"/>
              <w:spacing w:line="360" w:lineRule="auto"/>
              <w:ind w:firstLine="480" w:firstLineChars="200"/>
              <w:rPr>
                <w:rFonts w:hint="default" w:ascii="Times New Roman" w:hAnsi="Times New Roman" w:eastAsia="宋体" w:cs="Times New Roman"/>
                <w:color w:val="000000"/>
                <w:kern w:val="0"/>
                <w:sz w:val="24"/>
                <w:szCs w:val="24"/>
                <w:highlight w:val="none"/>
                <w:u w:val="none"/>
                <w:lang w:val="en-US" w:eastAsia="zh-CN" w:bidi="ar"/>
              </w:rPr>
            </w:pPr>
            <w:r>
              <w:rPr>
                <w:rFonts w:hint="default" w:ascii="Times New Roman" w:hAnsi="Times New Roman" w:eastAsia="宋体" w:cs="Times New Roman"/>
                <w:color w:val="000000"/>
                <w:kern w:val="0"/>
                <w:sz w:val="24"/>
                <w:szCs w:val="24"/>
                <w:highlight w:val="none"/>
                <w:u w:val="none"/>
                <w:lang w:val="en-US" w:eastAsia="zh-CN" w:bidi="ar"/>
              </w:rPr>
              <w:t>本项目对地下水环境产生污染的主要污染源为</w:t>
            </w:r>
            <w:r>
              <w:rPr>
                <w:rFonts w:hint="eastAsia" w:cs="Times New Roman"/>
                <w:color w:val="000000"/>
                <w:kern w:val="0"/>
                <w:sz w:val="24"/>
                <w:szCs w:val="24"/>
                <w:highlight w:val="none"/>
                <w:u w:val="none"/>
                <w:lang w:val="en-US" w:eastAsia="zh-CN" w:bidi="ar"/>
              </w:rPr>
              <w:t>外加剂储罐、沉淀池</w:t>
            </w:r>
            <w:r>
              <w:rPr>
                <w:rFonts w:hint="default" w:ascii="Times New Roman" w:hAnsi="Times New Roman" w:eastAsia="宋体" w:cs="Times New Roman"/>
                <w:color w:val="000000"/>
                <w:kern w:val="0"/>
                <w:sz w:val="24"/>
                <w:szCs w:val="24"/>
                <w:highlight w:val="none"/>
                <w:u w:val="none"/>
                <w:lang w:val="en-US" w:eastAsia="zh-CN" w:bidi="ar"/>
              </w:rPr>
              <w:t>等，污染物为</w:t>
            </w:r>
            <w:r>
              <w:rPr>
                <w:rFonts w:hint="eastAsia" w:cs="Times New Roman"/>
                <w:color w:val="000000"/>
                <w:kern w:val="0"/>
                <w:sz w:val="24"/>
                <w:szCs w:val="24"/>
                <w:highlight w:val="none"/>
                <w:u w:val="none"/>
                <w:lang w:val="en-US" w:eastAsia="zh-CN" w:bidi="ar"/>
              </w:rPr>
              <w:t>外加剂</w:t>
            </w:r>
            <w:r>
              <w:rPr>
                <w:rFonts w:hint="default" w:ascii="Times New Roman" w:hAnsi="Times New Roman" w:eastAsia="宋体" w:cs="Times New Roman"/>
                <w:color w:val="000000"/>
                <w:kern w:val="0"/>
                <w:sz w:val="24"/>
                <w:szCs w:val="24"/>
                <w:highlight w:val="none"/>
                <w:u w:val="none"/>
                <w:lang w:val="en-US" w:eastAsia="zh-CN" w:bidi="ar"/>
              </w:rPr>
              <w:t>、</w:t>
            </w:r>
            <w:r>
              <w:rPr>
                <w:rFonts w:hint="eastAsia" w:cs="Times New Roman"/>
                <w:color w:val="000000"/>
                <w:kern w:val="0"/>
                <w:sz w:val="24"/>
                <w:szCs w:val="24"/>
                <w:highlight w:val="none"/>
                <w:u w:val="none"/>
                <w:lang w:val="en-US" w:eastAsia="zh-CN" w:bidi="ar"/>
              </w:rPr>
              <w:t>生产废水</w:t>
            </w:r>
            <w:r>
              <w:rPr>
                <w:rFonts w:hint="default" w:ascii="Times New Roman" w:hAnsi="Times New Roman" w:eastAsia="宋体" w:cs="Times New Roman"/>
                <w:color w:val="000000"/>
                <w:kern w:val="0"/>
                <w:sz w:val="24"/>
                <w:szCs w:val="24"/>
                <w:highlight w:val="none"/>
                <w:u w:val="none"/>
                <w:lang w:val="en-US" w:eastAsia="zh-CN" w:bidi="ar"/>
              </w:rPr>
              <w:t>等，若防渗不当导致污染物泄漏、下渗，对区域地下水环境造成污染</w:t>
            </w:r>
            <w:r>
              <w:rPr>
                <w:rFonts w:hint="eastAsia" w:cs="Times New Roman"/>
                <w:color w:val="000000"/>
                <w:kern w:val="0"/>
                <w:sz w:val="24"/>
                <w:szCs w:val="24"/>
                <w:highlight w:val="none"/>
                <w:u w:val="none"/>
                <w:lang w:val="en-US" w:eastAsia="zh-CN" w:bidi="ar"/>
              </w:rPr>
              <w:t>以及项目物料或厂区内泥、水流入地表河流或因暴雨山洪冲刷进入地表河流中将污染地表水体，进而对区域地下水造成污染</w:t>
            </w:r>
            <w:r>
              <w:rPr>
                <w:rFonts w:hint="default" w:ascii="Times New Roman" w:hAnsi="Times New Roman" w:eastAsia="宋体" w:cs="Times New Roman"/>
                <w:color w:val="000000"/>
                <w:kern w:val="0"/>
                <w:sz w:val="24"/>
                <w:szCs w:val="24"/>
                <w:highlight w:val="none"/>
                <w:u w:val="none"/>
                <w:lang w:val="en-US" w:eastAsia="zh-CN" w:bidi="ar"/>
              </w:rPr>
              <w:t>。项目厂界外500 m范围内无地下水集中式饮用水水源和热水、矿泉水、温泉等特殊地下水资源，因此无地下水环境保护目标。</w:t>
            </w:r>
            <w:r>
              <w:rPr>
                <w:rFonts w:hint="eastAsia" w:cs="Times New Roman"/>
                <w:color w:val="000000"/>
                <w:kern w:val="0"/>
                <w:sz w:val="24"/>
                <w:szCs w:val="24"/>
                <w:highlight w:val="none"/>
                <w:u w:val="none"/>
                <w:lang w:val="en-US" w:eastAsia="zh-CN" w:bidi="ar"/>
              </w:rPr>
              <w:t>运营期</w:t>
            </w:r>
            <w:r>
              <w:rPr>
                <w:rFonts w:hint="default" w:ascii="Times New Roman" w:hAnsi="Times New Roman" w:eastAsia="宋体" w:cs="Times New Roman"/>
                <w:color w:val="000000"/>
                <w:kern w:val="0"/>
                <w:sz w:val="24"/>
                <w:szCs w:val="24"/>
                <w:highlight w:val="none"/>
                <w:u w:val="none"/>
                <w:lang w:val="en-US" w:eastAsia="zh-CN" w:bidi="ar"/>
              </w:rPr>
              <w:t>采取以下措施预防：</w:t>
            </w:r>
          </w:p>
          <w:p w14:paraId="4C28F54C">
            <w:pPr>
              <w:adjustRightInd w:val="0"/>
              <w:snapToGrid w:val="0"/>
              <w:spacing w:line="360" w:lineRule="auto"/>
              <w:ind w:firstLine="480" w:firstLineChars="200"/>
              <w:rPr>
                <w:rFonts w:hint="default" w:ascii="Times New Roman" w:hAnsi="Times New Roman" w:eastAsia="宋体" w:cs="Times New Roman"/>
                <w:color w:val="000000"/>
                <w:kern w:val="0"/>
                <w:sz w:val="24"/>
                <w:szCs w:val="24"/>
                <w:highlight w:val="none"/>
                <w:u w:val="none"/>
                <w:lang w:val="en-US" w:eastAsia="zh-CN" w:bidi="ar"/>
              </w:rPr>
            </w:pPr>
            <w:r>
              <w:rPr>
                <w:rFonts w:hint="default" w:ascii="Times New Roman" w:hAnsi="Times New Roman" w:eastAsia="宋体" w:cs="Times New Roman"/>
                <w:color w:val="000000"/>
                <w:kern w:val="0"/>
                <w:sz w:val="24"/>
                <w:szCs w:val="24"/>
                <w:highlight w:val="none"/>
                <w:u w:val="none"/>
                <w:lang w:val="en-US" w:eastAsia="zh-CN" w:bidi="ar"/>
              </w:rPr>
              <w:t>（1）源头控制</w:t>
            </w:r>
          </w:p>
          <w:p w14:paraId="1A2F2DE5">
            <w:pPr>
              <w:adjustRightInd w:val="0"/>
              <w:snapToGrid w:val="0"/>
              <w:spacing w:line="360" w:lineRule="auto"/>
              <w:ind w:firstLine="480" w:firstLineChars="200"/>
              <w:rPr>
                <w:rFonts w:hint="default" w:ascii="Times New Roman" w:hAnsi="Times New Roman" w:eastAsia="宋体" w:cs="Times New Roman"/>
                <w:color w:val="000000"/>
                <w:kern w:val="0"/>
                <w:sz w:val="24"/>
                <w:szCs w:val="24"/>
                <w:highlight w:val="none"/>
                <w:u w:val="none"/>
                <w:lang w:val="en-US" w:eastAsia="zh-CN" w:bidi="ar"/>
              </w:rPr>
            </w:pPr>
            <w:r>
              <w:rPr>
                <w:rFonts w:hint="default" w:ascii="Times New Roman" w:hAnsi="Times New Roman" w:eastAsia="宋体" w:cs="Times New Roman"/>
                <w:color w:val="000000"/>
                <w:kern w:val="0"/>
                <w:sz w:val="24"/>
                <w:szCs w:val="24"/>
                <w:highlight w:val="none"/>
                <w:u w:val="none"/>
                <w:lang w:val="en-US" w:eastAsia="zh-CN" w:bidi="ar"/>
              </w:rPr>
              <w:t>①项目应根据国家现行相关规范加强环境管理，采取防治和降低污染物跑、冒、滴、漏的措施。正常生产过程中应加强巡检</w:t>
            </w:r>
            <w:r>
              <w:rPr>
                <w:rFonts w:hint="eastAsia" w:cs="Times New Roman"/>
                <w:color w:val="000000"/>
                <w:kern w:val="0"/>
                <w:sz w:val="24"/>
                <w:szCs w:val="24"/>
                <w:highlight w:val="none"/>
                <w:u w:val="none"/>
                <w:lang w:val="en-US" w:eastAsia="zh-CN" w:bidi="ar"/>
              </w:rPr>
              <w:t>，</w:t>
            </w:r>
            <w:r>
              <w:rPr>
                <w:rFonts w:hint="default" w:ascii="Times New Roman" w:hAnsi="Times New Roman" w:eastAsia="宋体" w:cs="Times New Roman"/>
                <w:color w:val="000000"/>
                <w:kern w:val="0"/>
                <w:sz w:val="24"/>
                <w:szCs w:val="24"/>
                <w:highlight w:val="none"/>
                <w:u w:val="none"/>
                <w:lang w:val="en-US" w:eastAsia="zh-CN" w:bidi="ar"/>
              </w:rPr>
              <w:t>及时处理污染物跑、冒、滴、漏。同时应加强对防渗工程检查，若发现防渗密封材料老化或损坏，应及时维修更换。</w:t>
            </w:r>
          </w:p>
          <w:p w14:paraId="69658308">
            <w:pPr>
              <w:adjustRightInd w:val="0"/>
              <w:snapToGrid w:val="0"/>
              <w:spacing w:line="360" w:lineRule="auto"/>
              <w:ind w:firstLine="480" w:firstLineChars="200"/>
              <w:rPr>
                <w:rFonts w:hint="default" w:ascii="Times New Roman" w:hAnsi="Times New Roman" w:eastAsia="宋体" w:cs="Times New Roman"/>
                <w:color w:val="000000"/>
                <w:kern w:val="0"/>
                <w:sz w:val="24"/>
                <w:szCs w:val="24"/>
                <w:highlight w:val="none"/>
                <w:u w:val="none"/>
                <w:lang w:val="en-US" w:eastAsia="zh-CN" w:bidi="ar"/>
              </w:rPr>
            </w:pPr>
            <w:r>
              <w:rPr>
                <w:rFonts w:hint="default" w:ascii="Times New Roman" w:hAnsi="Times New Roman" w:eastAsia="宋体" w:cs="Times New Roman"/>
                <w:color w:val="000000"/>
                <w:kern w:val="0"/>
                <w:sz w:val="24"/>
                <w:szCs w:val="24"/>
                <w:highlight w:val="none"/>
                <w:u w:val="none"/>
                <w:lang w:val="en-US" w:eastAsia="zh-CN" w:bidi="ar"/>
              </w:rPr>
              <w:t>②对工艺、设备、污水储存及处理构筑物采取控制措施，防止污染物跑、冒、滴、漏，将污染物泄漏的环境污染事故降至最低限度。</w:t>
            </w:r>
          </w:p>
          <w:p w14:paraId="70FE6670">
            <w:pPr>
              <w:numPr>
                <w:ilvl w:val="0"/>
                <w:numId w:val="0"/>
              </w:numPr>
              <w:spacing w:line="360" w:lineRule="auto"/>
              <w:ind w:leftChars="0" w:firstLine="480" w:firstLineChars="200"/>
              <w:rPr>
                <w:rFonts w:hint="eastAsia" w:ascii="Times New Roman" w:hAnsi="Times New Roman" w:eastAsia="宋体" w:cs="Times New Roman"/>
                <w:bCs/>
                <w:snapToGrid w:val="0"/>
                <w:color w:val="auto"/>
                <w:sz w:val="24"/>
                <w:szCs w:val="24"/>
                <w:u w:val="none"/>
                <w:lang w:val="en-US" w:eastAsia="zh-CN"/>
              </w:rPr>
            </w:pPr>
            <w:r>
              <w:rPr>
                <w:rFonts w:hint="eastAsia" w:ascii="Times New Roman" w:hAnsi="Times New Roman" w:cs="Times New Roman"/>
                <w:bCs/>
                <w:snapToGrid w:val="0"/>
                <w:color w:val="auto"/>
                <w:sz w:val="24"/>
                <w:szCs w:val="24"/>
                <w:u w:val="none"/>
                <w:lang w:val="en-US" w:eastAsia="zh-CN"/>
              </w:rPr>
              <w:t>（2）</w:t>
            </w:r>
            <w:r>
              <w:rPr>
                <w:rFonts w:hint="eastAsia" w:ascii="Times New Roman" w:hAnsi="Times New Roman" w:eastAsia="宋体" w:cs="Times New Roman"/>
                <w:bCs/>
                <w:snapToGrid w:val="0"/>
                <w:color w:val="auto"/>
                <w:sz w:val="24"/>
                <w:szCs w:val="24"/>
                <w:u w:val="none"/>
                <w:lang w:val="en-US" w:eastAsia="zh-CN"/>
              </w:rPr>
              <w:t>末端控制</w:t>
            </w:r>
          </w:p>
          <w:p w14:paraId="676553EA">
            <w:pPr>
              <w:adjustRightInd w:val="0"/>
              <w:snapToGrid w:val="0"/>
              <w:spacing w:line="360" w:lineRule="auto"/>
              <w:ind w:firstLine="480" w:firstLineChars="200"/>
              <w:rPr>
                <w:rFonts w:hint="eastAsia" w:cs="Times New Roman"/>
                <w:color w:val="000000"/>
                <w:kern w:val="0"/>
                <w:sz w:val="24"/>
                <w:szCs w:val="24"/>
                <w:highlight w:val="none"/>
                <w:u w:val="none"/>
                <w:lang w:val="en-US" w:eastAsia="zh-CN" w:bidi="ar"/>
              </w:rPr>
            </w:pPr>
            <w:r>
              <w:rPr>
                <w:rFonts w:hint="eastAsia" w:ascii="Times New Roman" w:hAnsi="Times New Roman" w:eastAsia="宋体" w:cs="Times New Roman"/>
                <w:bCs/>
                <w:snapToGrid w:val="0"/>
                <w:color w:val="auto"/>
                <w:sz w:val="24"/>
                <w:szCs w:val="24"/>
                <w:u w:val="none"/>
                <w:lang w:val="en-US" w:eastAsia="zh-CN"/>
              </w:rPr>
              <w:t>主要包括厂内</w:t>
            </w:r>
            <w:r>
              <w:rPr>
                <w:rFonts w:hint="eastAsia" w:ascii="Times New Roman" w:hAnsi="Times New Roman" w:cs="Times New Roman"/>
                <w:bCs/>
                <w:snapToGrid w:val="0"/>
                <w:color w:val="auto"/>
                <w:sz w:val="24"/>
                <w:szCs w:val="24"/>
                <w:u w:val="none"/>
                <w:lang w:val="en-US" w:eastAsia="zh-CN"/>
              </w:rPr>
              <w:t>易</w:t>
            </w:r>
            <w:r>
              <w:rPr>
                <w:rFonts w:hint="eastAsia" w:ascii="Times New Roman" w:hAnsi="Times New Roman" w:eastAsia="宋体" w:cs="Times New Roman"/>
                <w:bCs/>
                <w:snapToGrid w:val="0"/>
                <w:color w:val="auto"/>
                <w:sz w:val="24"/>
                <w:szCs w:val="24"/>
                <w:u w:val="none"/>
                <w:lang w:val="en-US" w:eastAsia="zh-CN"/>
              </w:rPr>
              <w:t>污染区地面的防渗措施和泄漏、渗漏污染物收集措施，即在</w:t>
            </w:r>
            <w:r>
              <w:rPr>
                <w:rFonts w:hint="eastAsia" w:ascii="Times New Roman" w:hAnsi="Times New Roman" w:cs="Times New Roman"/>
                <w:bCs/>
                <w:snapToGrid w:val="0"/>
                <w:color w:val="auto"/>
                <w:sz w:val="24"/>
                <w:szCs w:val="24"/>
                <w:u w:val="none"/>
                <w:lang w:val="en-US" w:eastAsia="zh-CN"/>
              </w:rPr>
              <w:t>易</w:t>
            </w:r>
            <w:r>
              <w:rPr>
                <w:rFonts w:hint="eastAsia" w:ascii="Times New Roman" w:hAnsi="Times New Roman" w:eastAsia="宋体" w:cs="Times New Roman"/>
                <w:bCs/>
                <w:snapToGrid w:val="0"/>
                <w:color w:val="auto"/>
                <w:sz w:val="24"/>
                <w:szCs w:val="24"/>
                <w:u w:val="none"/>
                <w:lang w:val="en-US" w:eastAsia="zh-CN"/>
              </w:rPr>
              <w:t>污染区地面进行防渗处理，防止洒落地面的污染物渗入地下，并把滞留在地面的污染物收集起来</w:t>
            </w:r>
            <w:r>
              <w:rPr>
                <w:rFonts w:hint="eastAsia" w:ascii="Times New Roman" w:hAnsi="Times New Roman" w:cs="Times New Roman"/>
                <w:bCs/>
                <w:snapToGrid w:val="0"/>
                <w:color w:val="auto"/>
                <w:sz w:val="24"/>
                <w:szCs w:val="24"/>
                <w:u w:val="none"/>
                <w:lang w:val="en-US" w:eastAsia="zh-CN"/>
              </w:rPr>
              <w:t>妥善处理</w:t>
            </w:r>
            <w:r>
              <w:rPr>
                <w:rFonts w:hint="eastAsia" w:ascii="Times New Roman" w:hAnsi="Times New Roman" w:eastAsia="宋体" w:cs="Times New Roman"/>
                <w:bCs/>
                <w:snapToGrid w:val="0"/>
                <w:color w:val="auto"/>
                <w:sz w:val="24"/>
                <w:szCs w:val="24"/>
                <w:u w:val="none"/>
                <w:lang w:val="en-US" w:eastAsia="zh-CN"/>
              </w:rPr>
              <w:t>；末端控制采取分区防渗原则。</w:t>
            </w:r>
          </w:p>
          <w:p w14:paraId="49D40DA0">
            <w:pPr>
              <w:adjustRightInd w:val="0"/>
              <w:snapToGrid w:val="0"/>
              <w:spacing w:line="360" w:lineRule="auto"/>
              <w:ind w:firstLine="480" w:firstLineChars="200"/>
              <w:rPr>
                <w:rFonts w:hint="default" w:ascii="Times New Roman" w:hAnsi="Times New Roman" w:eastAsia="宋体" w:cs="Times New Roman"/>
                <w:color w:val="000000"/>
                <w:kern w:val="0"/>
                <w:sz w:val="24"/>
                <w:szCs w:val="24"/>
                <w:highlight w:val="none"/>
                <w:u w:val="none"/>
                <w:lang w:val="en-US" w:eastAsia="zh-CN" w:bidi="ar"/>
              </w:rPr>
            </w:pPr>
            <w:r>
              <w:rPr>
                <w:rFonts w:hint="eastAsia" w:cs="Times New Roman"/>
                <w:color w:val="000000"/>
                <w:kern w:val="0"/>
                <w:sz w:val="24"/>
                <w:szCs w:val="24"/>
                <w:highlight w:val="none"/>
                <w:u w:val="none"/>
                <w:lang w:val="en-US" w:eastAsia="zh-CN" w:bidi="ar"/>
              </w:rPr>
              <w:t>（3）分区防渗</w:t>
            </w:r>
          </w:p>
          <w:p w14:paraId="605A9794">
            <w:pPr>
              <w:adjustRightInd w:val="0"/>
              <w:snapToGrid w:val="0"/>
              <w:spacing w:line="360" w:lineRule="auto"/>
              <w:ind w:firstLine="480" w:firstLineChars="200"/>
              <w:rPr>
                <w:rFonts w:hint="eastAsia" w:eastAsia="宋体" w:cs="Times New Roman"/>
                <w:b/>
                <w:bCs/>
                <w:sz w:val="24"/>
                <w:szCs w:val="24"/>
                <w:u w:val="none"/>
                <w:lang w:val="en-US" w:eastAsia="zh-CN"/>
              </w:rPr>
            </w:pPr>
            <w:r>
              <w:rPr>
                <w:rFonts w:hint="default" w:ascii="Times New Roman" w:hAnsi="Times New Roman" w:eastAsia="宋体" w:cs="Times New Roman"/>
                <w:color w:val="auto"/>
                <w:kern w:val="0"/>
                <w:sz w:val="24"/>
                <w:szCs w:val="20"/>
                <w:u w:val="none"/>
                <w:lang w:val="en-US" w:eastAsia="zh-CN"/>
              </w:rPr>
              <w:t>厂区</w:t>
            </w:r>
            <w:r>
              <w:rPr>
                <w:rFonts w:hint="default" w:ascii="Times New Roman" w:hAnsi="Times New Roman" w:eastAsia="宋体" w:cs="Times New Roman"/>
                <w:sz w:val="24"/>
                <w:highlight w:val="none"/>
                <w:u w:val="none"/>
              </w:rPr>
              <w:t>参照《环境影响评价技术导则—地下水环境》（HJ610-2016）</w:t>
            </w:r>
            <w:r>
              <w:rPr>
                <w:rFonts w:hint="default" w:ascii="Times New Roman" w:hAnsi="Times New Roman" w:eastAsia="宋体" w:cs="Times New Roman"/>
                <w:color w:val="auto"/>
                <w:kern w:val="0"/>
                <w:sz w:val="24"/>
                <w:szCs w:val="20"/>
                <w:u w:val="none"/>
              </w:rPr>
              <w:t>要求进行分区防渗；外加剂储罐区、</w:t>
            </w:r>
            <w:r>
              <w:rPr>
                <w:rFonts w:hint="eastAsia" w:cs="Times New Roman"/>
                <w:color w:val="auto"/>
                <w:kern w:val="0"/>
                <w:sz w:val="24"/>
                <w:szCs w:val="20"/>
                <w:u w:val="none"/>
                <w:lang w:eastAsia="zh-CN"/>
              </w:rPr>
              <w:t>三级</w:t>
            </w:r>
            <w:r>
              <w:rPr>
                <w:rFonts w:hint="default" w:ascii="Times New Roman" w:hAnsi="Times New Roman" w:eastAsia="宋体" w:cs="Times New Roman"/>
                <w:color w:val="auto"/>
                <w:kern w:val="0"/>
                <w:sz w:val="24"/>
                <w:szCs w:val="20"/>
                <w:u w:val="none"/>
              </w:rPr>
              <w:t>沉淀池按照一般防渗区进行防渗，防渗层的设置要求等效黏土防渗层Mb≥1.5m，K≤1.0×10</w:t>
            </w:r>
            <w:r>
              <w:rPr>
                <w:rFonts w:hint="default" w:ascii="Times New Roman" w:hAnsi="Times New Roman" w:eastAsia="宋体" w:cs="Times New Roman"/>
                <w:color w:val="auto"/>
                <w:kern w:val="0"/>
                <w:sz w:val="24"/>
                <w:szCs w:val="20"/>
                <w:u w:val="none"/>
                <w:vertAlign w:val="superscript"/>
              </w:rPr>
              <w:t>-7</w:t>
            </w:r>
            <w:r>
              <w:rPr>
                <w:rFonts w:hint="default" w:ascii="Times New Roman" w:hAnsi="Times New Roman" w:eastAsia="宋体" w:cs="Times New Roman"/>
                <w:color w:val="auto"/>
                <w:kern w:val="0"/>
                <w:sz w:val="24"/>
                <w:szCs w:val="20"/>
                <w:u w:val="none"/>
              </w:rPr>
              <w:t>cm/s，或参照GB18598执行；厂区道路、办公</w:t>
            </w:r>
            <w:r>
              <w:rPr>
                <w:rFonts w:hint="eastAsia" w:cs="Times New Roman"/>
                <w:color w:val="auto"/>
                <w:kern w:val="0"/>
                <w:sz w:val="24"/>
                <w:szCs w:val="20"/>
                <w:u w:val="none"/>
                <w:lang w:eastAsia="zh-CN"/>
              </w:rPr>
              <w:t>综合楼</w:t>
            </w:r>
            <w:r>
              <w:rPr>
                <w:rFonts w:hint="default" w:ascii="Times New Roman" w:hAnsi="Times New Roman" w:eastAsia="宋体" w:cs="Times New Roman"/>
                <w:color w:val="auto"/>
                <w:kern w:val="0"/>
                <w:sz w:val="24"/>
                <w:szCs w:val="20"/>
                <w:u w:val="none"/>
              </w:rPr>
              <w:t>、</w:t>
            </w:r>
            <w:r>
              <w:rPr>
                <w:rFonts w:hint="eastAsia" w:cs="Times New Roman"/>
                <w:color w:val="auto"/>
                <w:kern w:val="0"/>
                <w:sz w:val="24"/>
                <w:szCs w:val="20"/>
                <w:u w:val="none"/>
                <w:lang w:eastAsia="zh-CN"/>
              </w:rPr>
              <w:t>骨料料库</w:t>
            </w:r>
            <w:r>
              <w:rPr>
                <w:rFonts w:hint="default" w:ascii="Times New Roman" w:hAnsi="Times New Roman" w:eastAsia="宋体" w:cs="Times New Roman"/>
                <w:color w:val="auto"/>
                <w:kern w:val="0"/>
                <w:sz w:val="24"/>
                <w:szCs w:val="20"/>
                <w:u w:val="none"/>
              </w:rPr>
              <w:t>等其他区域按照简单防渗区进行防渗，一般地面硬化即可</w:t>
            </w:r>
            <w:r>
              <w:rPr>
                <w:rFonts w:hint="eastAsia" w:ascii="Times New Roman" w:hAnsi="Times New Roman" w:eastAsia="宋体" w:cs="Times New Roman"/>
                <w:color w:val="auto"/>
                <w:kern w:val="0"/>
                <w:sz w:val="24"/>
                <w:szCs w:val="20"/>
                <w:u w:val="none"/>
                <w:lang w:eastAsia="zh-CN"/>
              </w:rPr>
              <w:t>。</w:t>
            </w:r>
            <w:r>
              <w:rPr>
                <w:rFonts w:hint="eastAsia" w:ascii="Times New Roman" w:hAnsi="Times New Roman" w:eastAsia="宋体" w:cs="Times New Roman"/>
                <w:color w:val="auto"/>
                <w:kern w:val="0"/>
                <w:sz w:val="24"/>
                <w:szCs w:val="20"/>
                <w:u w:val="none"/>
                <w:lang w:val="en-US" w:eastAsia="zh-CN"/>
              </w:rPr>
              <w:t>分区防渗</w:t>
            </w:r>
            <w:r>
              <w:rPr>
                <w:rFonts w:hint="default" w:ascii="Times New Roman" w:hAnsi="Times New Roman" w:eastAsia="宋体" w:cs="Times New Roman"/>
                <w:sz w:val="24"/>
                <w:highlight w:val="none"/>
                <w:u w:val="none"/>
              </w:rPr>
              <w:t>隔断了本项目建</w:t>
            </w:r>
            <w:r>
              <w:rPr>
                <w:rFonts w:hint="default" w:ascii="Times New Roman" w:hAnsi="Times New Roman" w:eastAsia="宋体" w:cs="Times New Roman"/>
                <w:sz w:val="24"/>
                <w:highlight w:val="none"/>
                <w:u w:val="none"/>
                <w:lang w:eastAsia="zh-CN"/>
              </w:rPr>
              <w:t>构</w:t>
            </w:r>
            <w:r>
              <w:rPr>
                <w:rFonts w:hint="default" w:ascii="Times New Roman" w:hAnsi="Times New Roman" w:eastAsia="宋体" w:cs="Times New Roman"/>
                <w:sz w:val="24"/>
                <w:highlight w:val="none"/>
                <w:u w:val="none"/>
              </w:rPr>
              <w:t>筑</w:t>
            </w:r>
            <w:r>
              <w:rPr>
                <w:rFonts w:hint="default" w:ascii="Times New Roman" w:hAnsi="Times New Roman" w:eastAsia="宋体" w:cs="Times New Roman"/>
                <w:sz w:val="24"/>
                <w:highlight w:val="none"/>
                <w:u w:val="none"/>
                <w:lang w:eastAsia="zh-CN"/>
              </w:rPr>
              <w:t>物</w:t>
            </w:r>
            <w:r>
              <w:rPr>
                <w:rFonts w:hint="default" w:ascii="Times New Roman" w:hAnsi="Times New Roman" w:eastAsia="宋体" w:cs="Times New Roman"/>
                <w:sz w:val="24"/>
                <w:highlight w:val="none"/>
                <w:u w:val="none"/>
              </w:rPr>
              <w:t>与地下水的联系途径，</w:t>
            </w:r>
            <w:r>
              <w:rPr>
                <w:rFonts w:hint="default" w:ascii="Times New Roman" w:hAnsi="Times New Roman" w:eastAsia="宋体" w:cs="Times New Roman"/>
                <w:bCs/>
                <w:sz w:val="24"/>
                <w:highlight w:val="none"/>
                <w:u w:val="none"/>
              </w:rPr>
              <w:t>在确保防渗措施得以落实，并加强和维护厂区环境管理的前提，</w:t>
            </w:r>
            <w:r>
              <w:rPr>
                <w:rFonts w:hint="default" w:ascii="Times New Roman" w:hAnsi="Times New Roman" w:eastAsia="宋体" w:cs="Times New Roman"/>
                <w:bCs/>
                <w:sz w:val="24"/>
                <w:highlight w:val="none"/>
                <w:u w:val="none"/>
                <w:lang w:val="en-US" w:eastAsia="zh-CN"/>
              </w:rPr>
              <w:t>几乎</w:t>
            </w:r>
            <w:r>
              <w:rPr>
                <w:rFonts w:hint="default" w:ascii="Times New Roman" w:hAnsi="Times New Roman" w:eastAsia="宋体" w:cs="Times New Roman"/>
                <w:bCs/>
                <w:sz w:val="24"/>
                <w:highlight w:val="none"/>
                <w:u w:val="none"/>
              </w:rPr>
              <w:t>不会对区域地下水环境产生影响</w:t>
            </w:r>
            <w:r>
              <w:rPr>
                <w:rFonts w:hint="default" w:ascii="Times New Roman" w:hAnsi="Times New Roman" w:eastAsia="宋体" w:cs="Times New Roman"/>
                <w:bCs/>
                <w:sz w:val="24"/>
                <w:highlight w:val="none"/>
                <w:u w:val="none"/>
                <w:lang w:eastAsia="zh-CN"/>
              </w:rPr>
              <w:t>。</w:t>
            </w:r>
          </w:p>
          <w:p w14:paraId="1CA15386">
            <w:pPr>
              <w:adjustRightInd w:val="0"/>
              <w:snapToGrid w:val="0"/>
              <w:spacing w:line="360" w:lineRule="auto"/>
              <w:ind w:firstLine="482" w:firstLineChars="200"/>
              <w:rPr>
                <w:rFonts w:hint="default" w:ascii="Times New Roman" w:hAnsi="Times New Roman" w:eastAsia="宋体" w:cs="Times New Roman"/>
                <w:b/>
                <w:bCs/>
                <w:sz w:val="24"/>
                <w:szCs w:val="24"/>
                <w:u w:val="none"/>
              </w:rPr>
            </w:pPr>
            <w:r>
              <w:rPr>
                <w:rFonts w:hint="eastAsia" w:cs="Times New Roman"/>
                <w:b/>
                <w:bCs/>
                <w:sz w:val="24"/>
                <w:szCs w:val="24"/>
                <w:u w:val="none"/>
                <w:lang w:val="en-US" w:eastAsia="zh-CN"/>
              </w:rPr>
              <w:t>6</w:t>
            </w:r>
            <w:r>
              <w:rPr>
                <w:rFonts w:hint="default" w:ascii="Times New Roman" w:hAnsi="Times New Roman" w:eastAsia="宋体" w:cs="Times New Roman"/>
                <w:b/>
                <w:bCs/>
                <w:sz w:val="24"/>
                <w:szCs w:val="24"/>
                <w:u w:val="none"/>
              </w:rPr>
              <w:t>、</w:t>
            </w:r>
            <w:r>
              <w:rPr>
                <w:rFonts w:hint="eastAsia" w:cs="Times New Roman"/>
                <w:b/>
                <w:bCs/>
                <w:sz w:val="24"/>
                <w:szCs w:val="24"/>
                <w:u w:val="none"/>
                <w:lang w:eastAsia="zh-CN"/>
              </w:rPr>
              <w:t>土壤</w:t>
            </w:r>
            <w:r>
              <w:rPr>
                <w:rFonts w:hint="default" w:ascii="Times New Roman" w:hAnsi="Times New Roman" w:eastAsia="宋体" w:cs="Times New Roman"/>
                <w:b/>
                <w:bCs/>
                <w:sz w:val="24"/>
                <w:szCs w:val="24"/>
                <w:u w:val="none"/>
              </w:rPr>
              <w:t>环境影响分析</w:t>
            </w:r>
          </w:p>
          <w:p w14:paraId="08B2413E">
            <w:pPr>
              <w:widowControl/>
              <w:tabs>
                <w:tab w:val="left" w:pos="1275"/>
              </w:tabs>
              <w:overflowPunct w:val="0"/>
              <w:topLinePunct/>
              <w:autoSpaceDE w:val="0"/>
              <w:spacing w:line="360" w:lineRule="auto"/>
              <w:ind w:firstLine="480" w:firstLineChars="200"/>
              <w:rPr>
                <w:bCs/>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kern w:val="0"/>
                <w:sz w:val="24"/>
                <w:szCs w:val="24"/>
                <w:highlight w:val="none"/>
                <w:u w:val="none"/>
                <w:lang w:val="en-US" w:eastAsia="zh-CN" w:bidi="ar"/>
              </w:rPr>
              <w:t>本项目正常工况下废气主要为颗粒物，</w:t>
            </w:r>
            <w:bookmarkStart w:id="16" w:name="OLE_LINK184"/>
            <w:r>
              <w:rPr>
                <w:rFonts w:hint="default" w:ascii="Times New Roman" w:hAnsi="Times New Roman" w:eastAsia="宋体" w:cs="Times New Roman"/>
                <w:color w:val="000000"/>
                <w:kern w:val="0"/>
                <w:sz w:val="24"/>
                <w:szCs w:val="24"/>
                <w:highlight w:val="none"/>
                <w:u w:val="none"/>
                <w:lang w:val="en-US" w:eastAsia="zh-CN" w:bidi="ar"/>
              </w:rPr>
              <w:t>废气中污染物浓度较低，无重金属等沉降型污染，采取地面硬化、洒水降尘，粉状原料密闭储存</w:t>
            </w:r>
            <w:r>
              <w:rPr>
                <w:rFonts w:hint="eastAsia" w:cs="Times New Roman"/>
                <w:color w:val="000000"/>
                <w:kern w:val="0"/>
                <w:sz w:val="24"/>
                <w:szCs w:val="24"/>
                <w:highlight w:val="none"/>
                <w:u w:val="none"/>
                <w:lang w:val="en-US" w:eastAsia="zh-CN" w:bidi="ar"/>
              </w:rPr>
              <w:t>运输</w:t>
            </w:r>
            <w:r>
              <w:rPr>
                <w:rFonts w:hint="default" w:ascii="Times New Roman" w:hAnsi="Times New Roman" w:eastAsia="宋体" w:cs="Times New Roman"/>
                <w:color w:val="000000"/>
                <w:kern w:val="0"/>
                <w:sz w:val="24"/>
                <w:szCs w:val="24"/>
                <w:highlight w:val="none"/>
                <w:u w:val="none"/>
                <w:lang w:val="en-US" w:eastAsia="zh-CN" w:bidi="ar"/>
              </w:rPr>
              <w:t>等措施</w:t>
            </w:r>
            <w:r>
              <w:rPr>
                <w:rFonts w:hint="eastAsia" w:cs="Times New Roman"/>
                <w:color w:val="000000"/>
                <w:kern w:val="0"/>
                <w:sz w:val="24"/>
                <w:szCs w:val="24"/>
                <w:highlight w:val="none"/>
                <w:u w:val="none"/>
                <w:lang w:val="en-US" w:eastAsia="zh-CN" w:bidi="ar"/>
              </w:rPr>
              <w:t>，</w:t>
            </w:r>
            <w:r>
              <w:rPr>
                <w:rFonts w:hint="default" w:ascii="Times New Roman" w:hAnsi="Times New Roman" w:eastAsia="宋体" w:cs="Times New Roman"/>
                <w:color w:val="000000"/>
                <w:kern w:val="0"/>
                <w:sz w:val="24"/>
                <w:szCs w:val="24"/>
                <w:highlight w:val="none"/>
                <w:u w:val="none"/>
                <w:lang w:val="en-US" w:eastAsia="zh-CN" w:bidi="ar"/>
              </w:rPr>
              <w:t>基本不会通过大气沉降对区域土壤造成影响。</w:t>
            </w:r>
            <w:r>
              <w:rPr>
                <w:rFonts w:hint="eastAsia" w:ascii="宋体" w:hAnsi="宋体" w:eastAsia="宋体" w:cs="宋体"/>
                <w:color w:val="000000"/>
                <w:kern w:val="0"/>
                <w:sz w:val="24"/>
                <w:szCs w:val="24"/>
                <w:u w:val="none"/>
                <w:lang w:val="en-US" w:eastAsia="zh-CN" w:bidi="ar"/>
              </w:rPr>
              <w:t>原料主要为粉煤灰、水泥、砂石等，不涉及危险化学品</w:t>
            </w:r>
            <w:r>
              <w:rPr>
                <w:rFonts w:hint="eastAsia" w:ascii="宋体" w:hAnsi="宋体" w:cs="宋体"/>
                <w:color w:val="000000"/>
                <w:kern w:val="0"/>
                <w:sz w:val="24"/>
                <w:szCs w:val="24"/>
                <w:u w:val="none"/>
                <w:lang w:val="en-US" w:eastAsia="zh-CN" w:bidi="ar"/>
              </w:rPr>
              <w:t>，</w:t>
            </w:r>
            <w:r>
              <w:rPr>
                <w:rFonts w:hint="default" w:ascii="Times New Roman" w:hAnsi="Times New Roman" w:eastAsia="宋体" w:cs="Times New Roman"/>
                <w:sz w:val="24"/>
                <w:szCs w:val="24"/>
                <w:highlight w:val="none"/>
                <w:u w:val="none"/>
                <w:lang w:val="en-US" w:eastAsia="zh-CN"/>
              </w:rPr>
              <w:t>可能产生土壤环境污染的途径主要为</w:t>
            </w:r>
            <w:r>
              <w:rPr>
                <w:rFonts w:hint="eastAsia" w:cs="Times New Roman"/>
                <w:color w:val="000000"/>
                <w:kern w:val="0"/>
                <w:sz w:val="24"/>
                <w:szCs w:val="24"/>
                <w:highlight w:val="none"/>
                <w:u w:val="none"/>
                <w:lang w:val="en-US" w:eastAsia="zh-CN" w:bidi="ar"/>
              </w:rPr>
              <w:t>外加剂、生产废水</w:t>
            </w:r>
            <w:r>
              <w:rPr>
                <w:rFonts w:hint="default" w:ascii="Times New Roman" w:hAnsi="Times New Roman" w:eastAsia="宋体" w:cs="Times New Roman"/>
                <w:sz w:val="24"/>
                <w:highlight w:val="none"/>
                <w:u w:val="none"/>
                <w:lang w:val="en-US" w:eastAsia="zh-CN"/>
              </w:rPr>
              <w:t>等</w:t>
            </w:r>
            <w:r>
              <w:rPr>
                <w:rFonts w:hint="default" w:ascii="Times New Roman" w:hAnsi="Times New Roman" w:eastAsia="宋体" w:cs="Times New Roman"/>
                <w:sz w:val="24"/>
                <w:szCs w:val="24"/>
                <w:highlight w:val="none"/>
                <w:u w:val="none"/>
                <w:lang w:val="en-US" w:eastAsia="zh-CN"/>
              </w:rPr>
              <w:t>渗漏或泄漏，</w:t>
            </w:r>
            <w:r>
              <w:rPr>
                <w:rFonts w:hint="eastAsia" w:cs="Times New Roman"/>
                <w:sz w:val="24"/>
                <w:szCs w:val="24"/>
                <w:highlight w:val="none"/>
                <w:u w:val="none"/>
                <w:lang w:val="en-US" w:eastAsia="zh-CN"/>
              </w:rPr>
              <w:t>通过</w:t>
            </w:r>
            <w:r>
              <w:rPr>
                <w:rFonts w:hint="default" w:ascii="Times New Roman" w:hAnsi="Times New Roman" w:eastAsia="宋体" w:cs="Times New Roman"/>
                <w:color w:val="000000"/>
                <w:kern w:val="0"/>
                <w:sz w:val="24"/>
                <w:szCs w:val="24"/>
                <w:highlight w:val="none"/>
                <w:u w:val="none"/>
                <w:lang w:val="en-US" w:eastAsia="zh-CN" w:bidi="ar"/>
              </w:rPr>
              <w:t>地表漫流、</w:t>
            </w:r>
            <w:r>
              <w:rPr>
                <w:rFonts w:hint="default" w:ascii="Times New Roman" w:hAnsi="Times New Roman" w:eastAsia="宋体" w:cs="Times New Roman"/>
                <w:sz w:val="24"/>
                <w:szCs w:val="24"/>
                <w:highlight w:val="none"/>
                <w:u w:val="none"/>
                <w:lang w:val="en-US" w:eastAsia="zh-CN"/>
              </w:rPr>
              <w:t>入渗包气带-垂直入渗</w:t>
            </w:r>
            <w:r>
              <w:rPr>
                <w:rFonts w:hint="eastAsia" w:cs="Times New Roman"/>
                <w:sz w:val="24"/>
                <w:szCs w:val="24"/>
                <w:highlight w:val="none"/>
                <w:u w:val="none"/>
                <w:lang w:val="en-US" w:eastAsia="zh-CN"/>
              </w:rPr>
              <w:t>污染土壤环境</w:t>
            </w:r>
            <w:r>
              <w:rPr>
                <w:rFonts w:hint="default" w:ascii="Times New Roman" w:hAnsi="Times New Roman" w:eastAsia="宋体" w:cs="Times New Roman"/>
                <w:sz w:val="24"/>
                <w:szCs w:val="24"/>
                <w:highlight w:val="none"/>
                <w:u w:val="none"/>
                <w:lang w:val="en-US" w:eastAsia="zh-CN"/>
              </w:rPr>
              <w:t>。</w:t>
            </w:r>
            <w:bookmarkEnd w:id="16"/>
            <w:r>
              <w:rPr>
                <w:rFonts w:hint="default" w:ascii="Times New Roman" w:hAnsi="Times New Roman" w:eastAsia="宋体" w:cs="Times New Roman"/>
                <w:sz w:val="24"/>
                <w:szCs w:val="24"/>
                <w:highlight w:val="none"/>
                <w:u w:val="none"/>
                <w:lang w:val="en-US" w:eastAsia="zh-CN"/>
              </w:rPr>
              <w:t>厂区按照要求采取分区防渗措施，做好厂内各区域的防渗工作，加强设施运行维护管理，杜绝项目污染物直接进入土壤的可能性，正常运营情况下几乎</w:t>
            </w:r>
            <w:r>
              <w:rPr>
                <w:rFonts w:hint="default" w:ascii="Times New Roman" w:hAnsi="Times New Roman" w:eastAsia="宋体" w:cs="Times New Roman"/>
                <w:bCs/>
                <w:sz w:val="24"/>
                <w:highlight w:val="none"/>
                <w:u w:val="none"/>
              </w:rPr>
              <w:t>不会对区域</w:t>
            </w:r>
            <w:r>
              <w:rPr>
                <w:rFonts w:hint="default" w:ascii="Times New Roman" w:hAnsi="Times New Roman" w:eastAsia="宋体" w:cs="Times New Roman"/>
                <w:bCs/>
                <w:sz w:val="24"/>
                <w:highlight w:val="none"/>
                <w:u w:val="none"/>
                <w:lang w:val="en-US" w:eastAsia="zh-CN"/>
              </w:rPr>
              <w:t>土壤</w:t>
            </w:r>
            <w:r>
              <w:rPr>
                <w:rFonts w:hint="default" w:ascii="Times New Roman" w:hAnsi="Times New Roman" w:eastAsia="宋体" w:cs="Times New Roman"/>
                <w:bCs/>
                <w:sz w:val="24"/>
                <w:highlight w:val="none"/>
                <w:u w:val="none"/>
              </w:rPr>
              <w:t>环境产生影响</w:t>
            </w:r>
            <w:r>
              <w:rPr>
                <w:rFonts w:hint="default" w:ascii="Times New Roman" w:hAnsi="Times New Roman" w:eastAsia="宋体" w:cs="Times New Roman"/>
                <w:bCs/>
                <w:sz w:val="24"/>
                <w:highlight w:val="none"/>
                <w:u w:val="none"/>
                <w:lang w:eastAsia="zh-CN"/>
              </w:rPr>
              <w:t>。</w:t>
            </w:r>
          </w:p>
          <w:p w14:paraId="1D53494C">
            <w:pPr>
              <w:widowControl/>
              <w:overflowPunct w:val="0"/>
              <w:topLinePunct/>
              <w:autoSpaceDE w:val="0"/>
              <w:adjustRightInd w:val="0"/>
              <w:snapToGrid w:val="0"/>
              <w:spacing w:line="360" w:lineRule="auto"/>
              <w:ind w:firstLine="482" w:firstLineChars="200"/>
              <w:textAlignment w:val="baseline"/>
              <w:rPr>
                <w:b/>
                <w:bCs/>
                <w:snapToGrid w:val="0"/>
                <w:color w:val="000000"/>
                <w:sz w:val="24"/>
                <w:szCs w:val="24"/>
                <w:highlight w:val="none"/>
              </w:rPr>
            </w:pPr>
            <w:r>
              <w:rPr>
                <w:rFonts w:hint="eastAsia"/>
                <w:b/>
                <w:bCs/>
                <w:snapToGrid w:val="0"/>
                <w:color w:val="000000"/>
                <w:sz w:val="24"/>
                <w:szCs w:val="24"/>
                <w:highlight w:val="none"/>
                <w:lang w:val="en-US" w:eastAsia="zh-CN"/>
              </w:rPr>
              <w:t>7</w:t>
            </w:r>
            <w:r>
              <w:rPr>
                <w:b/>
                <w:bCs/>
                <w:snapToGrid w:val="0"/>
                <w:color w:val="000000"/>
                <w:sz w:val="24"/>
                <w:szCs w:val="24"/>
                <w:highlight w:val="none"/>
              </w:rPr>
              <w:t>、环境风险分析</w:t>
            </w:r>
          </w:p>
          <w:p w14:paraId="6AE3B1EE">
            <w:pPr>
              <w:widowControl/>
              <w:overflowPunct w:val="0"/>
              <w:topLinePunct/>
              <w:autoSpaceDE w:val="0"/>
              <w:spacing w:line="360" w:lineRule="auto"/>
              <w:ind w:firstLine="480" w:firstLineChars="200"/>
              <w:textAlignment w:val="baseline"/>
              <w:rPr>
                <w:bCs/>
                <w:snapToGrid w:val="0"/>
                <w:color w:val="000000"/>
                <w:sz w:val="24"/>
                <w:szCs w:val="24"/>
              </w:rPr>
            </w:pPr>
            <w:r>
              <w:rPr>
                <w:bCs/>
                <w:snapToGrid w:val="0"/>
                <w:color w:val="000000"/>
                <w:sz w:val="24"/>
                <w:szCs w:val="24"/>
              </w:rPr>
              <w:t>环境风险评价是分析和预测建设项目存在的潜在危险、有害因素，项目运行期间可能发生的突发性时间或事故，引起有毒有害和易燃易爆等物质泄漏，造成人身安全与环境影响和损害程度，提出防范、应急与减缓措施，使项目事故率、损失和环境影响达到可接受水平。</w:t>
            </w:r>
          </w:p>
          <w:p w14:paraId="66CE73C9">
            <w:pPr>
              <w:spacing w:line="360" w:lineRule="auto"/>
              <w:ind w:firstLine="480" w:firstLineChars="200"/>
              <w:rPr>
                <w:rFonts w:hint="eastAsia" w:eastAsia="宋体"/>
                <w:color w:val="000000"/>
                <w:sz w:val="24"/>
                <w:szCs w:val="24"/>
                <w:lang w:eastAsia="zh-CN"/>
              </w:rPr>
            </w:pPr>
            <w:r>
              <w:rPr>
                <w:rFonts w:hint="eastAsia"/>
                <w:color w:val="000000"/>
                <w:sz w:val="24"/>
                <w:szCs w:val="24"/>
              </w:rPr>
              <w:t>（1）</w:t>
            </w:r>
            <w:r>
              <w:rPr>
                <w:rFonts w:hint="eastAsia"/>
                <w:color w:val="000000"/>
                <w:sz w:val="24"/>
                <w:szCs w:val="24"/>
                <w:lang w:eastAsia="zh-CN"/>
              </w:rPr>
              <w:t>风险识别及分布情况</w:t>
            </w:r>
          </w:p>
          <w:p w14:paraId="2926FCE1">
            <w:pPr>
              <w:spacing w:line="360" w:lineRule="auto"/>
              <w:ind w:firstLine="480" w:firstLineChars="200"/>
              <w:rPr>
                <w:rFonts w:hint="eastAsia" w:ascii="Times New Roman" w:hAnsi="Times New Roman" w:eastAsia="宋体" w:cs="Times New Roman"/>
                <w:sz w:val="24"/>
                <w:highlight w:val="none"/>
                <w:u w:val="none" w:color="auto"/>
                <w:lang w:eastAsia="zh-CN"/>
              </w:rPr>
            </w:pPr>
            <w:r>
              <w:rPr>
                <w:rFonts w:hint="default" w:ascii="Times New Roman" w:hAnsi="Times New Roman" w:eastAsia="宋体" w:cs="Times New Roman"/>
                <w:sz w:val="24"/>
                <w:highlight w:val="none"/>
                <w:u w:val="none" w:color="auto"/>
              </w:rPr>
              <w:t>根据《建设项目环境风险评价技术导则》（HJ169-2018），企业使用物质的危险性按导则中附录 B 识别出危险物质，经查找附录 B.1，本项目不涉及危险物质</w:t>
            </w:r>
            <w:r>
              <w:rPr>
                <w:rFonts w:hint="eastAsia" w:cs="Times New Roman"/>
                <w:sz w:val="24"/>
                <w:highlight w:val="none"/>
                <w:u w:val="none" w:color="auto"/>
                <w:lang w:eastAsia="zh-CN"/>
              </w:rPr>
              <w:t>。</w:t>
            </w:r>
          </w:p>
          <w:p w14:paraId="3C17DA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（2）事故情景分析 </w:t>
            </w:r>
          </w:p>
          <w:p w14:paraId="3AE7E8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①废气处理设施故障 </w:t>
            </w:r>
          </w:p>
          <w:p w14:paraId="7B01D4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若废气处理设施发生故障，将导致废气无法得到合理处置，直接逸散至外环境，对区域大气环境及周边敏感点造成较大影响。 </w:t>
            </w:r>
          </w:p>
          <w:p w14:paraId="79B8CC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②</w:t>
            </w:r>
            <w:r>
              <w:rPr>
                <w:rFonts w:hint="eastAsia" w:ascii="Times New Roman" w:hAnsi="Times New Roman" w:eastAsia="宋体" w:cs="Times New Roman"/>
                <w:color w:val="000000"/>
                <w:kern w:val="0"/>
                <w:sz w:val="24"/>
                <w:szCs w:val="24"/>
                <w:lang w:val="en-US" w:eastAsia="zh-CN" w:bidi="ar"/>
              </w:rPr>
              <w:t>外加剂、</w:t>
            </w:r>
            <w:r>
              <w:rPr>
                <w:rFonts w:hint="default" w:ascii="Times New Roman" w:hAnsi="Times New Roman" w:eastAsia="宋体" w:cs="Times New Roman"/>
                <w:color w:val="000000"/>
                <w:kern w:val="0"/>
                <w:sz w:val="24"/>
                <w:szCs w:val="24"/>
                <w:lang w:val="en-US" w:eastAsia="zh-CN" w:bidi="ar"/>
              </w:rPr>
              <w:t xml:space="preserve">废水泄漏事故 </w:t>
            </w:r>
          </w:p>
          <w:p w14:paraId="1A491A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由于管理不善、</w:t>
            </w:r>
            <w:r>
              <w:rPr>
                <w:rFonts w:hint="eastAsia" w:ascii="Times New Roman" w:hAnsi="Times New Roman" w:eastAsia="宋体" w:cs="Times New Roman"/>
                <w:color w:val="000000"/>
                <w:kern w:val="0"/>
                <w:sz w:val="24"/>
                <w:szCs w:val="24"/>
                <w:lang w:val="en-US" w:eastAsia="zh-CN" w:bidi="ar"/>
              </w:rPr>
              <w:t>储罐破损、沉淀</w:t>
            </w:r>
            <w:r>
              <w:rPr>
                <w:rFonts w:hint="default" w:ascii="Times New Roman" w:hAnsi="Times New Roman" w:eastAsia="宋体" w:cs="Times New Roman"/>
                <w:color w:val="000000"/>
                <w:kern w:val="0"/>
                <w:sz w:val="24"/>
                <w:szCs w:val="24"/>
                <w:lang w:val="en-US" w:eastAsia="zh-CN" w:bidi="ar"/>
              </w:rPr>
              <w:t>池体破损等原因造成的</w:t>
            </w:r>
            <w:r>
              <w:rPr>
                <w:rFonts w:hint="eastAsia" w:ascii="Times New Roman" w:hAnsi="Times New Roman" w:eastAsia="宋体" w:cs="Times New Roman"/>
                <w:color w:val="000000"/>
                <w:kern w:val="0"/>
                <w:sz w:val="24"/>
                <w:szCs w:val="24"/>
                <w:lang w:val="en-US" w:eastAsia="zh-CN" w:bidi="ar"/>
              </w:rPr>
              <w:t>外加剂、</w:t>
            </w:r>
            <w:r>
              <w:rPr>
                <w:rFonts w:hint="eastAsia" w:cs="Times New Roman"/>
                <w:color w:val="000000"/>
                <w:kern w:val="0"/>
                <w:sz w:val="24"/>
                <w:szCs w:val="24"/>
                <w:lang w:val="en-US" w:eastAsia="zh-CN" w:bidi="ar"/>
              </w:rPr>
              <w:t>清洗</w:t>
            </w:r>
            <w:r>
              <w:rPr>
                <w:rFonts w:hint="default" w:ascii="Times New Roman" w:hAnsi="Times New Roman" w:eastAsia="宋体" w:cs="Times New Roman"/>
                <w:color w:val="000000"/>
                <w:kern w:val="0"/>
                <w:sz w:val="24"/>
                <w:szCs w:val="24"/>
                <w:lang w:val="en-US" w:eastAsia="zh-CN" w:bidi="ar"/>
              </w:rPr>
              <w:t>废水泄漏，泄漏后可能会流入周边地表水、地下水、土壤，对外部环境和地表水、地下水、土壤造成污染。</w:t>
            </w:r>
          </w:p>
          <w:p w14:paraId="35BEF0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 xml:space="preserve">）影响途径 </w:t>
            </w:r>
          </w:p>
          <w:p w14:paraId="37AF569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根据本项目的风险源分析，企业可能存在的风险事故主要为粉尘外泄事故、外加剂、废水泄漏事故</w:t>
            </w:r>
            <w:r>
              <w:rPr>
                <w:rFonts w:hint="eastAsia" w:ascii="宋体" w:hAnsi="宋体" w:cs="宋体"/>
                <w:b w:val="0"/>
                <w:bCs w:val="0"/>
                <w:color w:val="000000"/>
                <w:kern w:val="0"/>
                <w:sz w:val="24"/>
                <w:szCs w:val="24"/>
                <w:lang w:val="en-US" w:eastAsia="zh-CN" w:bidi="ar"/>
              </w:rPr>
              <w:t>、东</w:t>
            </w:r>
            <w:r>
              <w:rPr>
                <w:rFonts w:hint="eastAsia" w:ascii="宋体" w:hAnsi="宋体" w:eastAsia="宋体" w:cs="宋体"/>
                <w:b w:val="0"/>
                <w:bCs w:val="0"/>
                <w:color w:val="000000"/>
                <w:kern w:val="0"/>
                <w:sz w:val="24"/>
                <w:szCs w:val="24"/>
                <w:lang w:val="en-US" w:eastAsia="zh-CN" w:bidi="ar"/>
              </w:rPr>
              <w:t>侧地表水体</w:t>
            </w:r>
            <w:r>
              <w:rPr>
                <w:rFonts w:hint="eastAsia" w:ascii="宋体" w:hAnsi="宋体" w:cs="宋体"/>
                <w:b w:val="0"/>
                <w:bCs w:val="0"/>
                <w:color w:val="000000"/>
                <w:kern w:val="0"/>
                <w:sz w:val="24"/>
                <w:szCs w:val="24"/>
                <w:lang w:val="en-US" w:eastAsia="zh-CN" w:bidi="ar"/>
              </w:rPr>
              <w:t>三道沟河</w:t>
            </w:r>
            <w:r>
              <w:rPr>
                <w:rFonts w:hint="eastAsia" w:ascii="宋体" w:hAnsi="宋体" w:eastAsia="宋体" w:cs="宋体"/>
                <w:b w:val="0"/>
                <w:bCs w:val="0"/>
                <w:color w:val="000000"/>
                <w:kern w:val="0"/>
                <w:sz w:val="24"/>
                <w:szCs w:val="24"/>
                <w:lang w:val="en-US" w:eastAsia="zh-CN" w:bidi="ar"/>
              </w:rPr>
              <w:t>污染事故等，一旦发生事故粉尘会对周边环境空气造成污染，外加剂、</w:t>
            </w:r>
            <w:r>
              <w:rPr>
                <w:rFonts w:hint="eastAsia" w:ascii="宋体" w:hAnsi="宋体" w:cs="宋体"/>
                <w:b w:val="0"/>
                <w:bCs w:val="0"/>
                <w:color w:val="000000"/>
                <w:kern w:val="0"/>
                <w:sz w:val="24"/>
                <w:szCs w:val="24"/>
                <w:lang w:val="en-US" w:eastAsia="zh-CN" w:bidi="ar"/>
              </w:rPr>
              <w:t>清洗</w:t>
            </w:r>
            <w:r>
              <w:rPr>
                <w:rFonts w:hint="eastAsia" w:ascii="宋体" w:hAnsi="宋体" w:eastAsia="宋体" w:cs="宋体"/>
                <w:b w:val="0"/>
                <w:bCs w:val="0"/>
                <w:color w:val="000000"/>
                <w:kern w:val="0"/>
                <w:sz w:val="24"/>
                <w:szCs w:val="24"/>
                <w:lang w:val="en-US" w:eastAsia="zh-CN" w:bidi="ar"/>
              </w:rPr>
              <w:t>废水会对周边地表水、地下水、土壤造成污染</w:t>
            </w:r>
            <w:r>
              <w:rPr>
                <w:rFonts w:hint="eastAsia" w:ascii="宋体" w:hAnsi="宋体" w:cs="宋体"/>
                <w:b w:val="0"/>
                <w:bCs w:val="0"/>
                <w:color w:val="000000"/>
                <w:kern w:val="0"/>
                <w:sz w:val="24"/>
                <w:szCs w:val="24"/>
                <w:lang w:val="en-US" w:eastAsia="zh-CN" w:bidi="ar"/>
              </w:rPr>
              <w:t>，地表水体三道沟河受到污染，进而会对地下水造成污染</w:t>
            </w:r>
            <w:r>
              <w:rPr>
                <w:rFonts w:hint="eastAsia" w:ascii="宋体" w:hAnsi="宋体" w:eastAsia="宋体" w:cs="宋体"/>
                <w:b w:val="0"/>
                <w:bCs w:val="0"/>
                <w:color w:val="000000"/>
                <w:kern w:val="0"/>
                <w:sz w:val="24"/>
                <w:szCs w:val="24"/>
                <w:lang w:val="en-US" w:eastAsia="zh-CN" w:bidi="ar"/>
              </w:rPr>
              <w:t>。</w:t>
            </w:r>
          </w:p>
          <w:p w14:paraId="44065C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4</w:t>
            </w:r>
            <w:r>
              <w:rPr>
                <w:rFonts w:hint="eastAsia" w:ascii="宋体" w:hAnsi="宋体" w:eastAsia="宋体" w:cs="宋体"/>
                <w:b w:val="0"/>
                <w:bCs w:val="0"/>
                <w:color w:val="000000"/>
                <w:kern w:val="0"/>
                <w:sz w:val="24"/>
                <w:szCs w:val="24"/>
                <w:lang w:val="en-US" w:eastAsia="zh-CN" w:bidi="ar"/>
              </w:rPr>
              <w:t xml:space="preserve">）风险防范措施 </w:t>
            </w:r>
          </w:p>
          <w:p w14:paraId="46F62E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 xml:space="preserve">①生产线开始工作前，先运行各配套风机及废气处理装置；在停止相应作业后，保持废气风机及处理装置继续运转，待废气完全排出后再停止，确保在开、停工阶段排出的污染物得到有效处理。 </w:t>
            </w:r>
          </w:p>
          <w:p w14:paraId="3D5808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 xml:space="preserve">②废气处理装置配套的风机、管道等选购和制作时应选用耐腐蚀材料。 </w:t>
            </w:r>
          </w:p>
          <w:p w14:paraId="530B3F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 xml:space="preserve">③针对废气处理设施故障造成废气超标排放的风险，要求企业安排专人对风机、废气处理设备和生产设施进行日常维护，如发现问题及时上报维修，必要时要停产检修，确保废气达标排放。在产生事故后应先停止生产设备，立即停止生产，维修或更换处理设备保证废气达标排放后再行生产。 </w:t>
            </w:r>
          </w:p>
          <w:p w14:paraId="595C971D">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 xml:space="preserve">④操作及管理人员的技术水平可直接影响到风险事故的发生，本项目建成投产后，应对操作和管理人员的技术水平从严要求，上岗之前必须参加培训，培训不合格严禁上岗。 </w:t>
            </w:r>
          </w:p>
          <w:p w14:paraId="633B4BC0">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⑤沉淀池、外加剂储罐区等进行防渗硬化处理，对池体、储罐情况定期进行检查是否破损，有问题及时进行修补。</w:t>
            </w:r>
          </w:p>
          <w:p w14:paraId="6704D2C5">
            <w:pPr>
              <w:pStyle w:val="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u w:val="single"/>
                <w:lang w:val="en-US"/>
              </w:rPr>
            </w:pPr>
            <w:r>
              <w:rPr>
                <w:rFonts w:hint="default" w:ascii="Times New Roman" w:hAnsi="Times New Roman" w:cs="Times New Roman"/>
                <w:b w:val="0"/>
                <w:bCs w:val="0"/>
                <w:color w:val="000000"/>
                <w:kern w:val="0"/>
                <w:sz w:val="24"/>
                <w:szCs w:val="24"/>
                <w:u w:val="single"/>
                <w:lang w:val="en-US" w:eastAsia="zh-CN" w:bidi="ar"/>
              </w:rPr>
              <w:t>⑥一次灭火消防最大用水量，消防用水量为30L/s（其中室外20L/s，室内10L/s），火灾延续时间为30min，则最大消防用水量为54m</w:t>
            </w:r>
            <w:r>
              <w:rPr>
                <w:rFonts w:hint="default" w:ascii="Times New Roman" w:hAnsi="Times New Roman" w:cs="Times New Roman"/>
                <w:b w:val="0"/>
                <w:bCs w:val="0"/>
                <w:color w:val="000000"/>
                <w:kern w:val="0"/>
                <w:sz w:val="24"/>
                <w:szCs w:val="24"/>
                <w:u w:val="single"/>
                <w:vertAlign w:val="superscript"/>
                <w:lang w:val="en-US" w:eastAsia="zh-CN" w:bidi="ar"/>
              </w:rPr>
              <w:t>3</w:t>
            </w:r>
            <w:r>
              <w:rPr>
                <w:rFonts w:hint="default" w:ascii="Times New Roman" w:hAnsi="Times New Roman" w:cs="Times New Roman"/>
                <w:b w:val="0"/>
                <w:bCs w:val="0"/>
                <w:color w:val="000000"/>
                <w:kern w:val="0"/>
                <w:sz w:val="24"/>
                <w:szCs w:val="24"/>
                <w:u w:val="single"/>
                <w:lang w:val="en-US" w:eastAsia="zh-CN" w:bidi="ar"/>
              </w:rPr>
              <w:t>，厂区内三级沉淀池容积为84m</w:t>
            </w:r>
            <w:r>
              <w:rPr>
                <w:rFonts w:hint="default" w:ascii="Times New Roman" w:hAnsi="Times New Roman" w:cs="Times New Roman"/>
                <w:b w:val="0"/>
                <w:bCs w:val="0"/>
                <w:color w:val="000000"/>
                <w:kern w:val="0"/>
                <w:sz w:val="24"/>
                <w:szCs w:val="24"/>
                <w:u w:val="single"/>
                <w:vertAlign w:val="superscript"/>
                <w:lang w:val="en-US" w:eastAsia="zh-CN" w:bidi="ar"/>
              </w:rPr>
              <w:t>3</w:t>
            </w:r>
            <w:r>
              <w:rPr>
                <w:rFonts w:hint="default" w:ascii="Times New Roman" w:hAnsi="Times New Roman" w:cs="Times New Roman"/>
                <w:b w:val="0"/>
                <w:bCs w:val="0"/>
                <w:color w:val="000000"/>
                <w:kern w:val="0"/>
                <w:sz w:val="24"/>
                <w:szCs w:val="24"/>
                <w:u w:val="single"/>
                <w:lang w:val="en-US" w:eastAsia="zh-CN" w:bidi="ar"/>
              </w:rPr>
              <w:t>，项目清洗废水产生量为4.5m</w:t>
            </w:r>
            <w:r>
              <w:rPr>
                <w:rFonts w:hint="default" w:ascii="Times New Roman" w:hAnsi="Times New Roman" w:cs="Times New Roman"/>
                <w:b w:val="0"/>
                <w:bCs w:val="0"/>
                <w:color w:val="000000"/>
                <w:kern w:val="0"/>
                <w:sz w:val="24"/>
                <w:szCs w:val="24"/>
                <w:u w:val="single"/>
                <w:vertAlign w:val="superscript"/>
                <w:lang w:val="en-US" w:eastAsia="zh-CN" w:bidi="ar"/>
              </w:rPr>
              <w:t>3</w:t>
            </w:r>
            <w:r>
              <w:rPr>
                <w:rFonts w:hint="default" w:ascii="Times New Roman" w:hAnsi="Times New Roman" w:cs="Times New Roman"/>
                <w:b w:val="0"/>
                <w:bCs w:val="0"/>
                <w:color w:val="000000"/>
                <w:kern w:val="0"/>
                <w:sz w:val="24"/>
                <w:szCs w:val="24"/>
                <w:u w:val="single"/>
                <w:lang w:val="en-US" w:eastAsia="zh-CN" w:bidi="ar"/>
              </w:rPr>
              <w:t>/d，三级沉淀池有足够容积盛放消防废水。</w:t>
            </w:r>
            <w:r>
              <w:rPr>
                <w:rFonts w:hint="eastAsia" w:ascii="Times New Roman" w:hAnsi="Times New Roman" w:cs="Times New Roman"/>
                <w:b w:val="0"/>
                <w:bCs w:val="0"/>
                <w:color w:val="000000"/>
                <w:kern w:val="0"/>
                <w:sz w:val="24"/>
                <w:szCs w:val="24"/>
                <w:u w:val="single"/>
                <w:lang w:val="en-US" w:eastAsia="zh-CN" w:bidi="ar"/>
              </w:rPr>
              <w:t>厂区四周设有围墙，</w:t>
            </w:r>
            <w:r>
              <w:rPr>
                <w:rFonts w:hint="default" w:ascii="Times New Roman" w:hAnsi="Times New Roman" w:cs="Times New Roman"/>
                <w:b w:val="0"/>
                <w:bCs w:val="0"/>
                <w:color w:val="000000"/>
                <w:kern w:val="0"/>
                <w:sz w:val="24"/>
                <w:szCs w:val="24"/>
                <w:u w:val="single"/>
                <w:lang w:val="en-US" w:eastAsia="zh-CN" w:bidi="ar"/>
              </w:rPr>
              <w:t>事故状态下消防废水集中围挡引至厂区三级沉淀池内暂存，确保不流出厂区。</w:t>
            </w:r>
          </w:p>
          <w:p w14:paraId="542A8CB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val="en-US" w:eastAsia="zh-CN" w:bidi="ar"/>
              </w:rPr>
              <w:t xml:space="preserve">）环境风险评价结论 </w:t>
            </w:r>
          </w:p>
          <w:p w14:paraId="52E183D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bCs/>
                <w:sz w:val="24"/>
                <w:szCs w:val="24"/>
                <w:u w:val="none"/>
                <w:lang w:val="en-US" w:eastAsia="zh-CN"/>
              </w:rPr>
            </w:pPr>
            <w:r>
              <w:rPr>
                <w:rFonts w:hint="eastAsia" w:ascii="宋体" w:hAnsi="宋体" w:eastAsia="宋体" w:cs="宋体"/>
                <w:b w:val="0"/>
                <w:bCs w:val="0"/>
                <w:color w:val="000000"/>
                <w:kern w:val="0"/>
                <w:sz w:val="24"/>
                <w:szCs w:val="24"/>
                <w:lang w:val="en-US" w:eastAsia="zh-CN" w:bidi="ar"/>
              </w:rPr>
              <w:t>本项目环境风险主要表现为粉尘外泄事故</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外加剂、</w:t>
            </w:r>
            <w:r>
              <w:rPr>
                <w:rFonts w:hint="eastAsia" w:ascii="宋体" w:hAnsi="宋体" w:cs="宋体"/>
                <w:b w:val="0"/>
                <w:bCs w:val="0"/>
                <w:color w:val="000000"/>
                <w:kern w:val="0"/>
                <w:sz w:val="24"/>
                <w:szCs w:val="24"/>
                <w:lang w:val="en-US" w:eastAsia="zh-CN" w:bidi="ar"/>
              </w:rPr>
              <w:t>清洗</w:t>
            </w:r>
            <w:r>
              <w:rPr>
                <w:rFonts w:hint="eastAsia" w:ascii="宋体" w:hAnsi="宋体" w:eastAsia="宋体" w:cs="宋体"/>
                <w:b w:val="0"/>
                <w:bCs w:val="0"/>
                <w:color w:val="000000"/>
                <w:kern w:val="0"/>
                <w:sz w:val="24"/>
                <w:szCs w:val="24"/>
                <w:lang w:val="en-US" w:eastAsia="zh-CN" w:bidi="ar"/>
              </w:rPr>
              <w:t>废水泄漏事故，本评价要求项目应采取本评价提出的风险防范措施，将发生事故的概率降到最低，使产生的环境风险处于可接受水平。</w:t>
            </w:r>
          </w:p>
          <w:p w14:paraId="04BFA9FC">
            <w:pPr>
              <w:pStyle w:val="10"/>
              <w:keepNext w:val="0"/>
              <w:keepLines w:val="0"/>
              <w:pageBreakBefore w:val="0"/>
              <w:kinsoku/>
              <w:wordWrap/>
              <w:overflowPunct/>
              <w:topLinePunct w:val="0"/>
              <w:bidi w:val="0"/>
              <w:adjustRightInd w:val="0"/>
              <w:snapToGrid/>
              <w:spacing w:before="0" w:beforeAutospacing="0" w:after="0" w:afterAutospacing="0" w:line="360" w:lineRule="auto"/>
              <w:ind w:left="0" w:leftChars="0" w:firstLine="482" w:firstLineChars="200"/>
              <w:textAlignment w:val="auto"/>
              <w:rPr>
                <w:rFonts w:hint="default" w:ascii="Times New Roman" w:hAnsi="Times New Roman" w:eastAsia="宋体" w:cs="Times New Roman"/>
                <w:b/>
                <w:bCs/>
                <w:sz w:val="24"/>
              </w:rPr>
            </w:pPr>
            <w:r>
              <w:rPr>
                <w:rFonts w:hint="eastAsia" w:ascii="Times New Roman" w:hAnsi="Times New Roman" w:eastAsia="宋体" w:cs="Times New Roman"/>
                <w:b/>
                <w:bCs/>
                <w:sz w:val="24"/>
                <w:lang w:val="en-US" w:eastAsia="zh-CN"/>
              </w:rPr>
              <w:t>8</w:t>
            </w:r>
            <w:r>
              <w:rPr>
                <w:rFonts w:hint="default" w:ascii="Times New Roman" w:hAnsi="Times New Roman" w:eastAsia="宋体" w:cs="Times New Roman"/>
                <w:b/>
                <w:bCs/>
                <w:sz w:val="24"/>
              </w:rPr>
              <w:t>、运输环境影响分析</w:t>
            </w:r>
          </w:p>
          <w:p w14:paraId="7B0CEFBC">
            <w:pPr>
              <w:pStyle w:val="28"/>
              <w:keepNext w:val="0"/>
              <w:keepLines w:val="0"/>
              <w:pageBreakBefore w:val="0"/>
              <w:kinsoku/>
              <w:wordWrap/>
              <w:overflowPunct/>
              <w:topLinePunct w:val="0"/>
              <w:bidi w:val="0"/>
              <w:adjustRightInd w:val="0"/>
              <w:snapToGrid/>
              <w:spacing w:beforeAutospacing="0" w:afterAutospacing="0" w:line="360" w:lineRule="auto"/>
              <w:ind w:left="0" w:leftChars="0" w:firstLine="480" w:firstLineChars="200"/>
              <w:jc w:val="both"/>
              <w:textAlignment w:val="auto"/>
              <w:rPr>
                <w:rFonts w:hint="eastAsia" w:cs="Times New Roman"/>
                <w:b/>
                <w:bCs/>
                <w:sz w:val="24"/>
                <w:szCs w:val="24"/>
                <w:u w:val="none"/>
                <w:lang w:val="en-US" w:eastAsia="zh-CN"/>
              </w:rPr>
            </w:pPr>
            <w:r>
              <w:rPr>
                <w:rFonts w:hint="default" w:ascii="Times New Roman" w:hAnsi="Times New Roman" w:eastAsia="宋体" w:cs="Times New Roman"/>
                <w:u w:val="none"/>
              </w:rPr>
              <w:t>本项目</w:t>
            </w:r>
            <w:r>
              <w:rPr>
                <w:rFonts w:hint="eastAsia" w:ascii="Times New Roman" w:hAnsi="Times New Roman" w:eastAsia="宋体" w:cs="Times New Roman"/>
                <w:u w:val="none"/>
                <w:lang w:eastAsia="zh-CN"/>
              </w:rPr>
              <w:t>东侧</w:t>
            </w:r>
            <w:r>
              <w:rPr>
                <w:rFonts w:hint="eastAsia" w:ascii="Times New Roman" w:hAnsi="Times New Roman" w:eastAsia="宋体" w:cs="Times New Roman"/>
                <w:u w:val="none"/>
                <w:lang w:val="en-US" w:eastAsia="zh-CN"/>
              </w:rPr>
              <w:t>1.7km即为主干道G331国道，项目原料及产品运输路线</w:t>
            </w:r>
            <w:r>
              <w:rPr>
                <w:rFonts w:hint="default" w:ascii="Times New Roman" w:hAnsi="Times New Roman" w:eastAsia="宋体" w:cs="Times New Roman"/>
                <w:u w:val="none"/>
              </w:rPr>
              <w:t>沿线保护目标主要为沿线居民等环境敏感点，运输车辆应保证车辆清洁，</w:t>
            </w:r>
            <w:r>
              <w:rPr>
                <w:rFonts w:hint="eastAsia" w:ascii="Times New Roman" w:hAnsi="Times New Roman" w:eastAsia="宋体" w:cs="Times New Roman"/>
                <w:u w:val="none"/>
                <w:lang w:eastAsia="zh-CN"/>
              </w:rPr>
              <w:t>砂石运输车辆应</w:t>
            </w:r>
            <w:r>
              <w:rPr>
                <w:rFonts w:hint="default" w:ascii="Times New Roman" w:hAnsi="Times New Roman" w:eastAsia="宋体" w:cs="Times New Roman"/>
                <w:u w:val="none"/>
              </w:rPr>
              <w:t>采用遮盖，途经敏感目标时应减速慢行，减少扬尘的产生，禁止鸣笛，减少运输过程中噪声对沿线敏感点的影响，故不会对周边敏感目标产生较大的影响。同时车辆应配备应急措施，以防发生事故时物料泄漏对周围环境造成影响。</w:t>
            </w:r>
          </w:p>
          <w:p w14:paraId="367AB0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z w:val="24"/>
                <w:szCs w:val="24"/>
                <w:u w:val="none"/>
                <w:lang w:val="en-US" w:eastAsia="zh-CN"/>
              </w:rPr>
            </w:pPr>
            <w:r>
              <w:rPr>
                <w:rFonts w:hint="eastAsia" w:cs="Times New Roman"/>
                <w:b/>
                <w:bCs/>
                <w:sz w:val="24"/>
                <w:szCs w:val="24"/>
                <w:u w:val="none"/>
                <w:lang w:val="en-US" w:eastAsia="zh-CN"/>
              </w:rPr>
              <w:t>9</w:t>
            </w:r>
            <w:r>
              <w:rPr>
                <w:rFonts w:hint="default" w:ascii="Times New Roman" w:hAnsi="Times New Roman" w:eastAsia="宋体" w:cs="Times New Roman"/>
                <w:b/>
                <w:bCs/>
                <w:sz w:val="24"/>
                <w:szCs w:val="24"/>
                <w:u w:val="none"/>
                <w:lang w:val="en-US" w:eastAsia="zh-CN"/>
              </w:rPr>
              <w:t>、环保设施投资估算</w:t>
            </w:r>
          </w:p>
          <w:p w14:paraId="4AC15C9B">
            <w:pPr>
              <w:spacing w:line="360" w:lineRule="auto"/>
              <w:ind w:firstLine="480" w:firstLineChars="200"/>
              <w:rPr>
                <w:rFonts w:hint="default" w:ascii="Times New Roman" w:hAnsi="Times New Roman" w:eastAsia="宋体" w:cs="Times New Roman"/>
                <w:kern w:val="0"/>
                <w:sz w:val="24"/>
                <w:u w:val="none"/>
              </w:rPr>
            </w:pPr>
            <w:r>
              <w:rPr>
                <w:rFonts w:hint="default" w:ascii="Times New Roman" w:hAnsi="Times New Roman" w:eastAsia="宋体" w:cs="Times New Roman"/>
                <w:kern w:val="0"/>
                <w:sz w:val="24"/>
                <w:u w:val="none"/>
              </w:rPr>
              <w:t>为了确保该项目建成后全厂</w:t>
            </w:r>
            <w:r>
              <w:rPr>
                <w:rFonts w:hint="eastAsia" w:cs="Times New Roman"/>
                <w:kern w:val="0"/>
                <w:sz w:val="24"/>
                <w:u w:val="none"/>
                <w:lang w:eastAsia="zh-CN"/>
              </w:rPr>
              <w:t>“</w:t>
            </w:r>
            <w:r>
              <w:rPr>
                <w:rFonts w:hint="default" w:ascii="Times New Roman" w:hAnsi="Times New Roman" w:eastAsia="宋体" w:cs="Times New Roman"/>
                <w:kern w:val="0"/>
                <w:sz w:val="24"/>
                <w:u w:val="none"/>
              </w:rPr>
              <w:t>三废</w:t>
            </w:r>
            <w:r>
              <w:rPr>
                <w:rFonts w:hint="eastAsia" w:cs="Times New Roman"/>
                <w:kern w:val="0"/>
                <w:sz w:val="24"/>
                <w:u w:val="none"/>
                <w:lang w:eastAsia="zh-CN"/>
              </w:rPr>
              <w:t>”</w:t>
            </w:r>
            <w:r>
              <w:rPr>
                <w:rFonts w:hint="default" w:ascii="Times New Roman" w:hAnsi="Times New Roman" w:eastAsia="宋体" w:cs="Times New Roman"/>
                <w:kern w:val="0"/>
                <w:sz w:val="24"/>
                <w:u w:val="none"/>
              </w:rPr>
              <w:t>排放符合国家排放标准和总量控制要求，创造良好的生活环境和工作环境，减轻运营过程中所带来的环境污染，根据本环评提出的环保治理措施和建议，对该项目各项环保设施投资进行估算，本项目总投资为</w:t>
            </w:r>
            <w:r>
              <w:rPr>
                <w:rFonts w:hint="eastAsia" w:cs="Times New Roman"/>
                <w:kern w:val="0"/>
                <w:sz w:val="24"/>
                <w:u w:val="none"/>
                <w:lang w:val="en-US" w:eastAsia="zh-CN"/>
              </w:rPr>
              <w:t>5</w:t>
            </w:r>
            <w:r>
              <w:rPr>
                <w:rFonts w:hint="eastAsia" w:ascii="Times New Roman" w:hAnsi="Times New Roman" w:cs="Times New Roman"/>
                <w:kern w:val="0"/>
                <w:sz w:val="24"/>
                <w:u w:val="none"/>
                <w:lang w:val="en-US" w:eastAsia="zh-CN"/>
              </w:rPr>
              <w:t>00</w:t>
            </w:r>
            <w:r>
              <w:rPr>
                <w:rFonts w:hint="default" w:ascii="Times New Roman" w:hAnsi="Times New Roman" w:eastAsia="宋体" w:cs="Times New Roman"/>
                <w:kern w:val="0"/>
                <w:sz w:val="24"/>
                <w:u w:val="none"/>
              </w:rPr>
              <w:t>万元，其中环保投资为</w:t>
            </w:r>
            <w:r>
              <w:rPr>
                <w:rFonts w:hint="eastAsia" w:cs="Times New Roman"/>
                <w:kern w:val="0"/>
                <w:sz w:val="24"/>
                <w:u w:val="none"/>
                <w:lang w:val="en-US" w:eastAsia="zh-CN"/>
              </w:rPr>
              <w:t>45</w:t>
            </w:r>
            <w:r>
              <w:rPr>
                <w:rFonts w:hint="default" w:ascii="Times New Roman" w:hAnsi="Times New Roman" w:eastAsia="宋体" w:cs="Times New Roman"/>
                <w:kern w:val="0"/>
                <w:sz w:val="24"/>
                <w:u w:val="none"/>
              </w:rPr>
              <w:t>万元，占总投资的</w:t>
            </w:r>
            <w:r>
              <w:rPr>
                <w:rFonts w:hint="eastAsia" w:cs="Times New Roman"/>
                <w:kern w:val="0"/>
                <w:sz w:val="24"/>
                <w:u w:val="none"/>
                <w:lang w:val="en-US" w:eastAsia="zh-CN"/>
              </w:rPr>
              <w:t>9.0</w:t>
            </w:r>
            <w:r>
              <w:rPr>
                <w:rFonts w:hint="default" w:ascii="Times New Roman" w:hAnsi="Times New Roman" w:eastAsia="宋体" w:cs="Times New Roman"/>
                <w:kern w:val="0"/>
                <w:sz w:val="24"/>
                <w:u w:val="none"/>
              </w:rPr>
              <w:t>%。环保投资明细详见</w:t>
            </w:r>
            <w:r>
              <w:rPr>
                <w:rFonts w:hint="eastAsia" w:ascii="Times New Roman" w:hAnsi="Times New Roman" w:eastAsia="宋体" w:cs="Times New Roman"/>
                <w:kern w:val="0"/>
                <w:sz w:val="24"/>
                <w:u w:val="none"/>
                <w:lang w:val="en-US" w:eastAsia="zh-CN"/>
              </w:rPr>
              <w:t>下表</w:t>
            </w:r>
            <w:r>
              <w:rPr>
                <w:rFonts w:hint="default" w:ascii="Times New Roman" w:hAnsi="Times New Roman" w:eastAsia="宋体" w:cs="Times New Roman"/>
                <w:kern w:val="0"/>
                <w:sz w:val="24"/>
                <w:u w:val="none"/>
              </w:rPr>
              <w:t>。</w:t>
            </w:r>
          </w:p>
          <w:p w14:paraId="014D4788">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eastAsia="宋体" w:cs="Times New Roman"/>
                <w:b/>
                <w:bCs/>
                <w:iCs/>
                <w:kern w:val="0"/>
                <w:sz w:val="21"/>
                <w:szCs w:val="21"/>
                <w:u w:val="single"/>
                <w:lang w:val="zh-CN"/>
              </w:rPr>
            </w:pPr>
            <w:r>
              <w:rPr>
                <w:rFonts w:hint="default" w:ascii="Times New Roman" w:hAnsi="Times New Roman" w:eastAsia="宋体" w:cs="Times New Roman"/>
                <w:b/>
                <w:bCs/>
                <w:iCs/>
                <w:kern w:val="0"/>
                <w:sz w:val="24"/>
                <w:szCs w:val="24"/>
                <w:u w:val="single"/>
                <w:lang w:val="zh-CN"/>
              </w:rPr>
              <w:t>表</w:t>
            </w:r>
            <w:r>
              <w:rPr>
                <w:rFonts w:hint="eastAsia" w:cs="Times New Roman"/>
                <w:b/>
                <w:bCs/>
                <w:iCs/>
                <w:kern w:val="0"/>
                <w:sz w:val="24"/>
                <w:szCs w:val="24"/>
                <w:u w:val="single"/>
                <w:lang w:val="en-US" w:eastAsia="zh-CN"/>
              </w:rPr>
              <w:t>4-12</w:t>
            </w:r>
            <w:r>
              <w:rPr>
                <w:rFonts w:hint="default" w:ascii="Times New Roman" w:hAnsi="Times New Roman" w:eastAsia="宋体" w:cs="Times New Roman"/>
                <w:b/>
                <w:bCs/>
                <w:iCs/>
                <w:kern w:val="0"/>
                <w:sz w:val="24"/>
                <w:szCs w:val="24"/>
                <w:u w:val="single"/>
              </w:rPr>
              <w:t xml:space="preserve">  </w:t>
            </w:r>
            <w:r>
              <w:rPr>
                <w:rFonts w:hint="default" w:ascii="Times New Roman" w:hAnsi="Times New Roman" w:eastAsia="宋体" w:cs="Times New Roman"/>
                <w:b/>
                <w:bCs/>
                <w:iCs/>
                <w:kern w:val="0"/>
                <w:sz w:val="24"/>
                <w:szCs w:val="24"/>
                <w:u w:val="single"/>
                <w:lang w:val="zh-CN"/>
              </w:rPr>
              <w:t>环保投资一览表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55"/>
              <w:gridCol w:w="1314"/>
              <w:gridCol w:w="3683"/>
              <w:gridCol w:w="2325"/>
            </w:tblGrid>
            <w:tr w14:paraId="0996FF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81" w:type="pct"/>
                  <w:noWrap w:val="0"/>
                  <w:vAlign w:val="center"/>
                </w:tcPr>
                <w:p w14:paraId="61C4989A">
                  <w:pPr>
                    <w:autoSpaceDE w:val="0"/>
                    <w:autoSpaceDN w:val="0"/>
                    <w:adjustRightInd w:val="0"/>
                    <w:jc w:val="center"/>
                    <w:rPr>
                      <w:rFonts w:hint="default" w:ascii="Times New Roman" w:hAnsi="Times New Roman" w:eastAsia="宋体" w:cs="Times New Roman"/>
                      <w:b/>
                      <w:bCs/>
                      <w:iCs/>
                      <w:szCs w:val="21"/>
                      <w:u w:val="single"/>
                      <w:lang w:val="zh-CN"/>
                    </w:rPr>
                  </w:pPr>
                  <w:r>
                    <w:rPr>
                      <w:rFonts w:hint="default" w:ascii="Times New Roman" w:hAnsi="Times New Roman" w:eastAsia="宋体" w:cs="Times New Roman"/>
                      <w:b/>
                      <w:bCs/>
                      <w:iCs/>
                      <w:szCs w:val="21"/>
                      <w:u w:val="single"/>
                      <w:lang w:val="zh-CN"/>
                    </w:rPr>
                    <w:t>实施时段</w:t>
                  </w:r>
                </w:p>
              </w:tc>
              <w:tc>
                <w:tcPr>
                  <w:tcW w:w="775" w:type="pct"/>
                  <w:noWrap w:val="0"/>
                  <w:vAlign w:val="center"/>
                </w:tcPr>
                <w:p w14:paraId="79C88503">
                  <w:pPr>
                    <w:autoSpaceDE w:val="0"/>
                    <w:autoSpaceDN w:val="0"/>
                    <w:adjustRightInd w:val="0"/>
                    <w:jc w:val="center"/>
                    <w:rPr>
                      <w:rFonts w:hint="default" w:ascii="Times New Roman" w:hAnsi="Times New Roman" w:eastAsia="宋体" w:cs="Times New Roman"/>
                      <w:b/>
                      <w:bCs/>
                      <w:iCs/>
                      <w:szCs w:val="21"/>
                      <w:u w:val="single"/>
                      <w:lang w:val="zh-CN"/>
                    </w:rPr>
                  </w:pPr>
                  <w:r>
                    <w:rPr>
                      <w:rFonts w:hint="default" w:ascii="Times New Roman" w:hAnsi="Times New Roman" w:eastAsia="宋体" w:cs="Times New Roman"/>
                      <w:b/>
                      <w:bCs/>
                      <w:iCs/>
                      <w:szCs w:val="21"/>
                      <w:u w:val="single"/>
                      <w:lang w:val="zh-CN"/>
                    </w:rPr>
                    <w:t>项目</w:t>
                  </w:r>
                </w:p>
              </w:tc>
              <w:tc>
                <w:tcPr>
                  <w:tcW w:w="2172" w:type="pct"/>
                  <w:noWrap w:val="0"/>
                  <w:vAlign w:val="center"/>
                </w:tcPr>
                <w:p w14:paraId="714AD186">
                  <w:pPr>
                    <w:autoSpaceDE w:val="0"/>
                    <w:autoSpaceDN w:val="0"/>
                    <w:adjustRightInd w:val="0"/>
                    <w:jc w:val="center"/>
                    <w:rPr>
                      <w:rFonts w:hint="default" w:ascii="Times New Roman" w:hAnsi="Times New Roman" w:eastAsia="宋体" w:cs="Times New Roman"/>
                      <w:b/>
                      <w:bCs/>
                      <w:iCs/>
                      <w:szCs w:val="21"/>
                      <w:u w:val="single"/>
                      <w:lang w:val="zh-CN"/>
                    </w:rPr>
                  </w:pPr>
                  <w:r>
                    <w:rPr>
                      <w:rFonts w:hint="default" w:ascii="Times New Roman" w:hAnsi="Times New Roman" w:eastAsia="宋体" w:cs="Times New Roman"/>
                      <w:b/>
                      <w:bCs/>
                      <w:iCs/>
                      <w:szCs w:val="21"/>
                      <w:u w:val="single"/>
                      <w:lang w:val="zh-CN"/>
                    </w:rPr>
                    <w:t>治理措施</w:t>
                  </w:r>
                </w:p>
              </w:tc>
              <w:tc>
                <w:tcPr>
                  <w:tcW w:w="1371" w:type="pct"/>
                  <w:noWrap w:val="0"/>
                  <w:vAlign w:val="center"/>
                </w:tcPr>
                <w:p w14:paraId="0CF7A2DE">
                  <w:pPr>
                    <w:autoSpaceDE w:val="0"/>
                    <w:autoSpaceDN w:val="0"/>
                    <w:adjustRightInd w:val="0"/>
                    <w:jc w:val="center"/>
                    <w:rPr>
                      <w:rFonts w:hint="default" w:ascii="Times New Roman" w:hAnsi="Times New Roman" w:eastAsia="宋体" w:cs="Times New Roman"/>
                      <w:b/>
                      <w:bCs/>
                      <w:iCs/>
                      <w:szCs w:val="21"/>
                      <w:u w:val="single"/>
                      <w:lang w:val="zh-CN"/>
                    </w:rPr>
                  </w:pPr>
                  <w:r>
                    <w:rPr>
                      <w:rFonts w:hint="default" w:ascii="Times New Roman" w:hAnsi="Times New Roman" w:eastAsia="宋体" w:cs="Times New Roman"/>
                      <w:b/>
                      <w:bCs/>
                      <w:iCs/>
                      <w:szCs w:val="21"/>
                      <w:u w:val="single"/>
                      <w:lang w:val="zh-CN"/>
                    </w:rPr>
                    <w:t>环保投资（万元）</w:t>
                  </w:r>
                </w:p>
              </w:tc>
            </w:tr>
            <w:tr w14:paraId="4EAC4D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81" w:type="pct"/>
                  <w:vMerge w:val="restart"/>
                  <w:noWrap w:val="0"/>
                  <w:vAlign w:val="center"/>
                </w:tcPr>
                <w:p w14:paraId="3E3384F1">
                  <w:pPr>
                    <w:autoSpaceDE w:val="0"/>
                    <w:autoSpaceDN w:val="0"/>
                    <w:adjustRightInd w:val="0"/>
                    <w:jc w:val="center"/>
                    <w:rPr>
                      <w:rFonts w:hint="default" w:ascii="Times New Roman" w:hAnsi="Times New Roman" w:eastAsia="宋体" w:cs="Times New Roman"/>
                      <w:iCs/>
                      <w:szCs w:val="21"/>
                      <w:u w:val="single"/>
                      <w:lang w:val="zh-CN"/>
                    </w:rPr>
                  </w:pPr>
                  <w:r>
                    <w:rPr>
                      <w:rFonts w:hint="default" w:ascii="Times New Roman" w:hAnsi="Times New Roman" w:eastAsia="宋体" w:cs="Times New Roman"/>
                      <w:iCs/>
                      <w:szCs w:val="21"/>
                      <w:u w:val="single"/>
                      <w:lang w:val="zh-CN"/>
                    </w:rPr>
                    <w:t>运营期</w:t>
                  </w:r>
                </w:p>
              </w:tc>
              <w:tc>
                <w:tcPr>
                  <w:tcW w:w="775" w:type="pct"/>
                  <w:vMerge w:val="restart"/>
                  <w:noWrap w:val="0"/>
                  <w:vAlign w:val="center"/>
                </w:tcPr>
                <w:p w14:paraId="7E2DD984">
                  <w:pPr>
                    <w:autoSpaceDE w:val="0"/>
                    <w:autoSpaceDN w:val="0"/>
                    <w:adjustRightInd w:val="0"/>
                    <w:jc w:val="center"/>
                    <w:rPr>
                      <w:rFonts w:hint="eastAsia" w:ascii="Times New Roman" w:hAnsi="Times New Roman" w:eastAsia="宋体" w:cs="Times New Roman"/>
                      <w:iCs/>
                      <w:szCs w:val="21"/>
                      <w:u w:val="single"/>
                      <w:lang w:val="en-US" w:eastAsia="zh-CN"/>
                    </w:rPr>
                  </w:pPr>
                  <w:r>
                    <w:rPr>
                      <w:rFonts w:hint="eastAsia" w:ascii="Times New Roman" w:hAnsi="Times New Roman" w:cs="Times New Roman"/>
                      <w:iCs/>
                      <w:szCs w:val="21"/>
                      <w:u w:val="single"/>
                      <w:lang w:val="en-US" w:eastAsia="zh-CN"/>
                    </w:rPr>
                    <w:t>废水</w:t>
                  </w:r>
                </w:p>
              </w:tc>
              <w:tc>
                <w:tcPr>
                  <w:tcW w:w="2172" w:type="pct"/>
                  <w:noWrap w:val="0"/>
                  <w:vAlign w:val="center"/>
                </w:tcPr>
                <w:p w14:paraId="733F724D">
                  <w:pPr>
                    <w:autoSpaceDE w:val="0"/>
                    <w:autoSpaceDN w:val="0"/>
                    <w:adjustRightInd w:val="0"/>
                    <w:jc w:val="center"/>
                    <w:rPr>
                      <w:rFonts w:hint="eastAsia" w:ascii="Times New Roman" w:hAnsi="Times New Roman" w:eastAsia="宋体" w:cs="Times New Roman"/>
                      <w:iCs/>
                      <w:szCs w:val="21"/>
                      <w:u w:val="single"/>
                      <w:lang w:val="en-US" w:eastAsia="zh-CN"/>
                    </w:rPr>
                  </w:pPr>
                  <w:r>
                    <w:rPr>
                      <w:rFonts w:hint="eastAsia" w:cs="Times New Roman"/>
                      <w:iCs/>
                      <w:szCs w:val="21"/>
                      <w:u w:val="single"/>
                      <w:lang w:val="en-US" w:eastAsia="zh-CN"/>
                    </w:rPr>
                    <w:t>三级</w:t>
                  </w:r>
                  <w:r>
                    <w:rPr>
                      <w:rFonts w:hint="eastAsia" w:ascii="Times New Roman" w:hAnsi="Times New Roman" w:eastAsia="宋体" w:cs="Times New Roman"/>
                      <w:iCs/>
                      <w:szCs w:val="21"/>
                      <w:u w:val="single"/>
                      <w:lang w:val="en-US" w:eastAsia="zh-CN"/>
                    </w:rPr>
                    <w:t>沉淀池</w:t>
                  </w:r>
                </w:p>
              </w:tc>
              <w:tc>
                <w:tcPr>
                  <w:tcW w:w="1371" w:type="pct"/>
                  <w:noWrap w:val="0"/>
                  <w:vAlign w:val="center"/>
                </w:tcPr>
                <w:p w14:paraId="290B4490">
                  <w:pPr>
                    <w:autoSpaceDE w:val="0"/>
                    <w:autoSpaceDN w:val="0"/>
                    <w:adjustRightInd w:val="0"/>
                    <w:jc w:val="center"/>
                    <w:rPr>
                      <w:rFonts w:hint="default" w:ascii="Times New Roman" w:hAnsi="Times New Roman" w:eastAsia="宋体" w:cs="Times New Roman"/>
                      <w:iCs/>
                      <w:szCs w:val="21"/>
                      <w:u w:val="single"/>
                      <w:lang w:val="en-US" w:eastAsia="zh-CN"/>
                    </w:rPr>
                  </w:pPr>
                  <w:r>
                    <w:rPr>
                      <w:rFonts w:hint="eastAsia" w:cs="Times New Roman"/>
                      <w:iCs/>
                      <w:szCs w:val="21"/>
                      <w:u w:val="single"/>
                      <w:lang w:val="en-US" w:eastAsia="zh-CN"/>
                    </w:rPr>
                    <w:t>9</w:t>
                  </w:r>
                </w:p>
              </w:tc>
            </w:tr>
            <w:tr w14:paraId="4CE45D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81" w:type="pct"/>
                  <w:vMerge w:val="continue"/>
                  <w:noWrap w:val="0"/>
                  <w:vAlign w:val="center"/>
                </w:tcPr>
                <w:p w14:paraId="27B5216E">
                  <w:pPr>
                    <w:autoSpaceDE w:val="0"/>
                    <w:autoSpaceDN w:val="0"/>
                    <w:adjustRightInd w:val="0"/>
                    <w:jc w:val="center"/>
                    <w:rPr>
                      <w:rFonts w:hint="default" w:ascii="Times New Roman" w:hAnsi="Times New Roman" w:eastAsia="宋体" w:cs="Times New Roman"/>
                      <w:iCs/>
                      <w:szCs w:val="21"/>
                      <w:u w:val="single"/>
                      <w:lang w:val="zh-CN"/>
                    </w:rPr>
                  </w:pPr>
                </w:p>
              </w:tc>
              <w:tc>
                <w:tcPr>
                  <w:tcW w:w="775" w:type="pct"/>
                  <w:vMerge w:val="continue"/>
                  <w:noWrap w:val="0"/>
                  <w:vAlign w:val="center"/>
                </w:tcPr>
                <w:p w14:paraId="5901B8B2">
                  <w:pPr>
                    <w:autoSpaceDE w:val="0"/>
                    <w:autoSpaceDN w:val="0"/>
                    <w:adjustRightInd w:val="0"/>
                    <w:jc w:val="center"/>
                    <w:rPr>
                      <w:rFonts w:hint="eastAsia" w:ascii="Times New Roman" w:hAnsi="Times New Roman" w:cs="Times New Roman"/>
                      <w:iCs/>
                      <w:szCs w:val="21"/>
                      <w:u w:val="single"/>
                      <w:lang w:val="en-US" w:eastAsia="zh-CN"/>
                    </w:rPr>
                  </w:pPr>
                </w:p>
              </w:tc>
              <w:tc>
                <w:tcPr>
                  <w:tcW w:w="2172" w:type="pct"/>
                  <w:noWrap w:val="0"/>
                  <w:vAlign w:val="center"/>
                </w:tcPr>
                <w:p w14:paraId="4F13EBD3">
                  <w:pPr>
                    <w:autoSpaceDE w:val="0"/>
                    <w:autoSpaceDN w:val="0"/>
                    <w:adjustRightInd w:val="0"/>
                    <w:jc w:val="center"/>
                    <w:rPr>
                      <w:rFonts w:hint="eastAsia" w:cs="Times New Roman"/>
                      <w:iCs/>
                      <w:szCs w:val="21"/>
                      <w:u w:val="single"/>
                      <w:lang w:val="en-US" w:eastAsia="zh-CN"/>
                    </w:rPr>
                  </w:pPr>
                  <w:r>
                    <w:rPr>
                      <w:rFonts w:hint="eastAsia" w:cs="Times New Roman"/>
                      <w:iCs/>
                      <w:szCs w:val="21"/>
                      <w:u w:val="single"/>
                      <w:lang w:val="en-US" w:eastAsia="zh-CN"/>
                    </w:rPr>
                    <w:t>防渗旱厕</w:t>
                  </w:r>
                </w:p>
              </w:tc>
              <w:tc>
                <w:tcPr>
                  <w:tcW w:w="1371" w:type="pct"/>
                  <w:noWrap w:val="0"/>
                  <w:vAlign w:val="center"/>
                </w:tcPr>
                <w:p w14:paraId="665BF590">
                  <w:pPr>
                    <w:autoSpaceDE w:val="0"/>
                    <w:autoSpaceDN w:val="0"/>
                    <w:adjustRightInd w:val="0"/>
                    <w:jc w:val="center"/>
                    <w:rPr>
                      <w:rFonts w:hint="default" w:cs="Times New Roman"/>
                      <w:iCs/>
                      <w:szCs w:val="21"/>
                      <w:u w:val="single"/>
                      <w:lang w:val="en-US" w:eastAsia="zh-CN"/>
                    </w:rPr>
                  </w:pPr>
                  <w:r>
                    <w:rPr>
                      <w:rFonts w:hint="eastAsia" w:cs="Times New Roman"/>
                      <w:iCs/>
                      <w:szCs w:val="21"/>
                      <w:u w:val="single"/>
                      <w:lang w:val="en-US" w:eastAsia="zh-CN"/>
                    </w:rPr>
                    <w:t>1</w:t>
                  </w:r>
                </w:p>
              </w:tc>
            </w:tr>
            <w:tr w14:paraId="4C6037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81" w:type="pct"/>
                  <w:vMerge w:val="continue"/>
                  <w:noWrap w:val="0"/>
                  <w:vAlign w:val="center"/>
                </w:tcPr>
                <w:p w14:paraId="3166F5A9">
                  <w:pPr>
                    <w:autoSpaceDE w:val="0"/>
                    <w:autoSpaceDN w:val="0"/>
                    <w:adjustRightInd w:val="0"/>
                    <w:jc w:val="center"/>
                    <w:rPr>
                      <w:rFonts w:hint="default" w:ascii="Times New Roman" w:hAnsi="Times New Roman" w:eastAsia="宋体" w:cs="Times New Roman"/>
                      <w:iCs/>
                      <w:szCs w:val="21"/>
                      <w:u w:val="single"/>
                      <w:lang w:val="zh-CN"/>
                    </w:rPr>
                  </w:pPr>
                </w:p>
              </w:tc>
              <w:tc>
                <w:tcPr>
                  <w:tcW w:w="775" w:type="pct"/>
                  <w:vMerge w:val="restart"/>
                  <w:noWrap w:val="0"/>
                  <w:vAlign w:val="center"/>
                </w:tcPr>
                <w:p w14:paraId="000C3969">
                  <w:pPr>
                    <w:autoSpaceDE w:val="0"/>
                    <w:autoSpaceDN w:val="0"/>
                    <w:adjustRightInd w:val="0"/>
                    <w:jc w:val="center"/>
                    <w:rPr>
                      <w:rFonts w:hint="default" w:ascii="Times New Roman" w:hAnsi="Times New Roman" w:eastAsia="宋体" w:cs="Times New Roman"/>
                      <w:iCs/>
                      <w:szCs w:val="21"/>
                      <w:u w:val="single"/>
                      <w:lang w:val="zh-CN"/>
                    </w:rPr>
                  </w:pPr>
                  <w:r>
                    <w:rPr>
                      <w:rFonts w:hint="default" w:ascii="Times New Roman" w:hAnsi="Times New Roman" w:eastAsia="宋体" w:cs="Times New Roman"/>
                      <w:iCs/>
                      <w:szCs w:val="21"/>
                      <w:u w:val="single"/>
                      <w:lang w:val="zh-CN"/>
                    </w:rPr>
                    <w:t>废气</w:t>
                  </w:r>
                </w:p>
              </w:tc>
              <w:tc>
                <w:tcPr>
                  <w:tcW w:w="2172" w:type="pct"/>
                  <w:noWrap w:val="0"/>
                  <w:vAlign w:val="center"/>
                </w:tcPr>
                <w:p w14:paraId="7EC930F6">
                  <w:pPr>
                    <w:autoSpaceDE w:val="0"/>
                    <w:autoSpaceDN w:val="0"/>
                    <w:adjustRightInd w:val="0"/>
                    <w:jc w:val="center"/>
                    <w:rPr>
                      <w:rFonts w:hint="default" w:ascii="Times New Roman" w:hAnsi="Times New Roman" w:eastAsia="宋体" w:cs="Times New Roman"/>
                      <w:iCs/>
                      <w:kern w:val="2"/>
                      <w:sz w:val="21"/>
                      <w:szCs w:val="21"/>
                      <w:u w:val="single"/>
                      <w:lang w:val="en-US" w:eastAsia="zh-CN" w:bidi="ar-SA"/>
                    </w:rPr>
                  </w:pPr>
                  <w:r>
                    <w:rPr>
                      <w:rFonts w:hint="eastAsia" w:cs="Times New Roman"/>
                      <w:iCs/>
                      <w:szCs w:val="21"/>
                      <w:u w:val="single"/>
                      <w:lang w:val="en-US" w:eastAsia="zh-CN"/>
                    </w:rPr>
                    <w:t>脉冲袋式</w:t>
                  </w:r>
                  <w:r>
                    <w:rPr>
                      <w:rFonts w:hint="eastAsia" w:ascii="Times New Roman" w:hAnsi="Times New Roman" w:cs="Times New Roman"/>
                      <w:iCs/>
                      <w:szCs w:val="21"/>
                      <w:u w:val="single"/>
                      <w:lang w:val="en-US" w:eastAsia="zh-CN"/>
                    </w:rPr>
                    <w:t>除尘器</w:t>
                  </w:r>
                </w:p>
              </w:tc>
              <w:tc>
                <w:tcPr>
                  <w:tcW w:w="1371" w:type="pct"/>
                  <w:noWrap w:val="0"/>
                  <w:vAlign w:val="center"/>
                </w:tcPr>
                <w:p w14:paraId="0BFE1057">
                  <w:pPr>
                    <w:autoSpaceDE w:val="0"/>
                    <w:autoSpaceDN w:val="0"/>
                    <w:adjustRightInd w:val="0"/>
                    <w:jc w:val="center"/>
                    <w:rPr>
                      <w:rFonts w:hint="default" w:ascii="Times New Roman" w:hAnsi="Times New Roman" w:eastAsia="宋体" w:cs="Times New Roman"/>
                      <w:iCs/>
                      <w:kern w:val="2"/>
                      <w:sz w:val="21"/>
                      <w:szCs w:val="21"/>
                      <w:u w:val="single"/>
                      <w:lang w:val="en-US" w:eastAsia="zh-CN" w:bidi="ar-SA"/>
                    </w:rPr>
                  </w:pPr>
                  <w:r>
                    <w:rPr>
                      <w:rFonts w:hint="eastAsia" w:cs="Times New Roman"/>
                      <w:iCs/>
                      <w:szCs w:val="21"/>
                      <w:u w:val="single"/>
                      <w:lang w:val="en-US" w:eastAsia="zh-CN"/>
                    </w:rPr>
                    <w:t>10</w:t>
                  </w:r>
                </w:p>
              </w:tc>
            </w:tr>
            <w:tr w14:paraId="633416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81" w:type="pct"/>
                  <w:vMerge w:val="continue"/>
                  <w:noWrap w:val="0"/>
                  <w:vAlign w:val="center"/>
                </w:tcPr>
                <w:p w14:paraId="1DE8C2A8">
                  <w:pPr>
                    <w:autoSpaceDE w:val="0"/>
                    <w:autoSpaceDN w:val="0"/>
                    <w:adjustRightInd w:val="0"/>
                    <w:jc w:val="center"/>
                    <w:rPr>
                      <w:rFonts w:hint="default" w:ascii="Times New Roman" w:hAnsi="Times New Roman" w:eastAsia="宋体" w:cs="Times New Roman"/>
                      <w:iCs/>
                      <w:szCs w:val="21"/>
                      <w:u w:val="single"/>
                      <w:lang w:val="zh-CN"/>
                    </w:rPr>
                  </w:pPr>
                </w:p>
              </w:tc>
              <w:tc>
                <w:tcPr>
                  <w:tcW w:w="775" w:type="pct"/>
                  <w:vMerge w:val="continue"/>
                  <w:noWrap w:val="0"/>
                  <w:vAlign w:val="center"/>
                </w:tcPr>
                <w:p w14:paraId="59456E43">
                  <w:pPr>
                    <w:autoSpaceDE w:val="0"/>
                    <w:autoSpaceDN w:val="0"/>
                    <w:adjustRightInd w:val="0"/>
                    <w:jc w:val="center"/>
                    <w:rPr>
                      <w:rFonts w:hint="default" w:ascii="Times New Roman" w:hAnsi="Times New Roman" w:eastAsia="宋体" w:cs="Times New Roman"/>
                      <w:iCs/>
                      <w:szCs w:val="21"/>
                      <w:u w:val="single"/>
                      <w:lang w:val="zh-CN"/>
                    </w:rPr>
                  </w:pPr>
                </w:p>
              </w:tc>
              <w:tc>
                <w:tcPr>
                  <w:tcW w:w="2172" w:type="pct"/>
                  <w:noWrap w:val="0"/>
                  <w:vAlign w:val="center"/>
                </w:tcPr>
                <w:p w14:paraId="2DFEC57A">
                  <w:pPr>
                    <w:autoSpaceDE w:val="0"/>
                    <w:autoSpaceDN w:val="0"/>
                    <w:adjustRightInd w:val="0"/>
                    <w:jc w:val="center"/>
                    <w:rPr>
                      <w:rFonts w:hint="default" w:ascii="Times New Roman" w:hAnsi="Times New Roman" w:eastAsia="宋体" w:cs="Times New Roman"/>
                      <w:iCs/>
                      <w:szCs w:val="21"/>
                      <w:u w:val="single"/>
                      <w:lang w:val="en-US" w:eastAsia="zh-CN"/>
                    </w:rPr>
                  </w:pPr>
                  <w:r>
                    <w:rPr>
                      <w:rFonts w:hint="eastAsia" w:cs="Times New Roman"/>
                      <w:iCs/>
                      <w:szCs w:val="21"/>
                      <w:u w:val="single"/>
                      <w:lang w:val="en-US" w:eastAsia="zh-CN"/>
                    </w:rPr>
                    <w:t>封闭料库、洒水降尘</w:t>
                  </w:r>
                  <w:r>
                    <w:rPr>
                      <w:rFonts w:hint="default" w:ascii="Times New Roman" w:hAnsi="Times New Roman" w:eastAsia="宋体" w:cs="Times New Roman"/>
                      <w:iCs/>
                      <w:szCs w:val="21"/>
                      <w:u w:val="single"/>
                    </w:rPr>
                    <w:t>装置</w:t>
                  </w:r>
                </w:p>
              </w:tc>
              <w:tc>
                <w:tcPr>
                  <w:tcW w:w="1371" w:type="pct"/>
                  <w:noWrap w:val="0"/>
                  <w:vAlign w:val="center"/>
                </w:tcPr>
                <w:p w14:paraId="3C4AD896">
                  <w:pPr>
                    <w:autoSpaceDE w:val="0"/>
                    <w:autoSpaceDN w:val="0"/>
                    <w:adjustRightInd w:val="0"/>
                    <w:jc w:val="center"/>
                    <w:rPr>
                      <w:rFonts w:hint="default" w:ascii="Times New Roman" w:hAnsi="Times New Roman" w:eastAsia="宋体" w:cs="Times New Roman"/>
                      <w:iCs/>
                      <w:szCs w:val="21"/>
                      <w:u w:val="single"/>
                      <w:lang w:val="en-US" w:eastAsia="zh-CN"/>
                    </w:rPr>
                  </w:pPr>
                  <w:r>
                    <w:rPr>
                      <w:rFonts w:hint="eastAsia" w:cs="Times New Roman"/>
                      <w:iCs/>
                      <w:szCs w:val="21"/>
                      <w:u w:val="single"/>
                      <w:lang w:val="en-US" w:eastAsia="zh-CN"/>
                    </w:rPr>
                    <w:t>4.5</w:t>
                  </w:r>
                </w:p>
              </w:tc>
            </w:tr>
            <w:tr w14:paraId="7B0AA1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81" w:type="pct"/>
                  <w:vMerge w:val="continue"/>
                  <w:noWrap w:val="0"/>
                  <w:vAlign w:val="center"/>
                </w:tcPr>
                <w:p w14:paraId="4FE84C60">
                  <w:pPr>
                    <w:autoSpaceDE w:val="0"/>
                    <w:autoSpaceDN w:val="0"/>
                    <w:adjustRightInd w:val="0"/>
                    <w:jc w:val="center"/>
                    <w:rPr>
                      <w:rFonts w:hint="default" w:ascii="Times New Roman" w:hAnsi="Times New Roman" w:eastAsia="宋体" w:cs="Times New Roman"/>
                      <w:iCs/>
                      <w:szCs w:val="21"/>
                      <w:u w:val="single"/>
                      <w:lang w:val="zh-CN"/>
                    </w:rPr>
                  </w:pPr>
                </w:p>
              </w:tc>
              <w:tc>
                <w:tcPr>
                  <w:tcW w:w="775" w:type="pct"/>
                  <w:noWrap w:val="0"/>
                  <w:vAlign w:val="center"/>
                </w:tcPr>
                <w:p w14:paraId="090CBB5C">
                  <w:pPr>
                    <w:autoSpaceDE w:val="0"/>
                    <w:autoSpaceDN w:val="0"/>
                    <w:adjustRightInd w:val="0"/>
                    <w:jc w:val="center"/>
                    <w:rPr>
                      <w:rFonts w:hint="default" w:ascii="Times New Roman" w:hAnsi="Times New Roman" w:eastAsia="宋体" w:cs="Times New Roman"/>
                      <w:iCs/>
                      <w:szCs w:val="21"/>
                      <w:u w:val="single"/>
                      <w:lang w:val="zh-CN"/>
                    </w:rPr>
                  </w:pPr>
                  <w:r>
                    <w:rPr>
                      <w:rFonts w:hint="default" w:ascii="Times New Roman" w:hAnsi="Times New Roman" w:eastAsia="宋体" w:cs="Times New Roman"/>
                      <w:iCs/>
                      <w:szCs w:val="21"/>
                      <w:u w:val="single"/>
                      <w:lang w:val="zh-CN"/>
                    </w:rPr>
                    <w:t>噪声</w:t>
                  </w:r>
                </w:p>
              </w:tc>
              <w:tc>
                <w:tcPr>
                  <w:tcW w:w="2172" w:type="pct"/>
                  <w:noWrap w:val="0"/>
                  <w:vAlign w:val="center"/>
                </w:tcPr>
                <w:p w14:paraId="46E82501">
                  <w:pPr>
                    <w:autoSpaceDE w:val="0"/>
                    <w:autoSpaceDN w:val="0"/>
                    <w:adjustRightInd w:val="0"/>
                    <w:jc w:val="center"/>
                    <w:rPr>
                      <w:rFonts w:hint="eastAsia" w:ascii="Times New Roman" w:hAnsi="Times New Roman" w:eastAsia="宋体" w:cs="Times New Roman"/>
                      <w:iCs/>
                      <w:szCs w:val="21"/>
                      <w:u w:val="single"/>
                      <w:lang w:val="en-US" w:eastAsia="zh-CN"/>
                    </w:rPr>
                  </w:pPr>
                  <w:r>
                    <w:rPr>
                      <w:rFonts w:hint="default" w:ascii="Times New Roman" w:hAnsi="Times New Roman" w:eastAsia="宋体" w:cs="Times New Roman"/>
                      <w:iCs/>
                      <w:szCs w:val="21"/>
                      <w:u w:val="single"/>
                    </w:rPr>
                    <w:t>基础减振、</w:t>
                  </w:r>
                  <w:r>
                    <w:rPr>
                      <w:rFonts w:hint="eastAsia" w:cs="Times New Roman"/>
                      <w:iCs/>
                      <w:szCs w:val="21"/>
                      <w:u w:val="single"/>
                      <w:lang w:val="en-US" w:eastAsia="zh-CN"/>
                    </w:rPr>
                    <w:t>消</w:t>
                  </w:r>
                  <w:r>
                    <w:rPr>
                      <w:rFonts w:hint="default" w:ascii="Times New Roman" w:hAnsi="Times New Roman" w:eastAsia="宋体" w:cs="Times New Roman"/>
                      <w:iCs/>
                      <w:szCs w:val="21"/>
                      <w:u w:val="single"/>
                    </w:rPr>
                    <w:t>声</w:t>
                  </w:r>
                  <w:r>
                    <w:rPr>
                      <w:rFonts w:hint="eastAsia" w:ascii="Times New Roman" w:hAnsi="Times New Roman" w:eastAsia="宋体" w:cs="Times New Roman"/>
                      <w:iCs/>
                      <w:szCs w:val="21"/>
                      <w:u w:val="single"/>
                      <w:lang w:val="en-US" w:eastAsia="zh-CN"/>
                    </w:rPr>
                    <w:t>设备</w:t>
                  </w:r>
                </w:p>
              </w:tc>
              <w:tc>
                <w:tcPr>
                  <w:tcW w:w="1371" w:type="pct"/>
                  <w:tcBorders>
                    <w:right w:val="nil"/>
                  </w:tcBorders>
                  <w:noWrap w:val="0"/>
                  <w:vAlign w:val="center"/>
                </w:tcPr>
                <w:p w14:paraId="048F709A">
                  <w:pPr>
                    <w:autoSpaceDE w:val="0"/>
                    <w:autoSpaceDN w:val="0"/>
                    <w:adjustRightInd w:val="0"/>
                    <w:jc w:val="center"/>
                    <w:rPr>
                      <w:rFonts w:hint="default" w:ascii="Times New Roman" w:hAnsi="Times New Roman" w:eastAsia="宋体" w:cs="Times New Roman"/>
                      <w:iCs/>
                      <w:szCs w:val="21"/>
                      <w:u w:val="single"/>
                      <w:lang w:val="en-US"/>
                    </w:rPr>
                  </w:pPr>
                  <w:r>
                    <w:rPr>
                      <w:rFonts w:hint="eastAsia" w:cs="Times New Roman"/>
                      <w:iCs/>
                      <w:szCs w:val="21"/>
                      <w:u w:val="single"/>
                      <w:lang w:val="en-US" w:eastAsia="zh-CN"/>
                    </w:rPr>
                    <w:t>5</w:t>
                  </w:r>
                </w:p>
              </w:tc>
            </w:tr>
            <w:tr w14:paraId="2D8A38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81" w:type="pct"/>
                  <w:vMerge w:val="continue"/>
                  <w:noWrap w:val="0"/>
                  <w:vAlign w:val="center"/>
                </w:tcPr>
                <w:p w14:paraId="41C8DDA1">
                  <w:pPr>
                    <w:autoSpaceDE w:val="0"/>
                    <w:autoSpaceDN w:val="0"/>
                    <w:adjustRightInd w:val="0"/>
                    <w:jc w:val="center"/>
                    <w:rPr>
                      <w:rFonts w:hint="default" w:ascii="Times New Roman" w:hAnsi="Times New Roman" w:eastAsia="宋体" w:cs="Times New Roman"/>
                      <w:iCs/>
                      <w:szCs w:val="21"/>
                      <w:u w:val="single"/>
                      <w:lang w:val="zh-CN"/>
                    </w:rPr>
                  </w:pPr>
                </w:p>
              </w:tc>
              <w:tc>
                <w:tcPr>
                  <w:tcW w:w="775" w:type="pct"/>
                  <w:noWrap w:val="0"/>
                  <w:vAlign w:val="center"/>
                </w:tcPr>
                <w:p w14:paraId="76BFA5F9">
                  <w:pPr>
                    <w:autoSpaceDE w:val="0"/>
                    <w:autoSpaceDN w:val="0"/>
                    <w:adjustRightInd w:val="0"/>
                    <w:jc w:val="center"/>
                    <w:rPr>
                      <w:rFonts w:hint="default" w:ascii="Times New Roman" w:hAnsi="Times New Roman" w:eastAsia="宋体" w:cs="Times New Roman"/>
                      <w:iCs/>
                      <w:szCs w:val="21"/>
                      <w:u w:val="single"/>
                      <w:lang w:val="zh-CN"/>
                    </w:rPr>
                  </w:pPr>
                  <w:r>
                    <w:rPr>
                      <w:rFonts w:hint="default" w:ascii="Times New Roman" w:hAnsi="Times New Roman" w:eastAsia="宋体" w:cs="Times New Roman"/>
                      <w:iCs/>
                      <w:szCs w:val="21"/>
                      <w:u w:val="single"/>
                      <w:lang w:val="zh-CN"/>
                    </w:rPr>
                    <w:t>固体废物</w:t>
                  </w:r>
                </w:p>
              </w:tc>
              <w:tc>
                <w:tcPr>
                  <w:tcW w:w="2172" w:type="pct"/>
                  <w:noWrap w:val="0"/>
                  <w:vAlign w:val="center"/>
                </w:tcPr>
                <w:p w14:paraId="02EFFE41">
                  <w:pPr>
                    <w:autoSpaceDE w:val="0"/>
                    <w:autoSpaceDN w:val="0"/>
                    <w:adjustRightInd w:val="0"/>
                    <w:jc w:val="center"/>
                    <w:rPr>
                      <w:rFonts w:hint="default" w:ascii="Times New Roman" w:hAnsi="Times New Roman" w:eastAsia="宋体" w:cs="Times New Roman"/>
                      <w:iCs/>
                      <w:szCs w:val="21"/>
                      <w:u w:val="single"/>
                      <w:lang w:val="en-US" w:eastAsia="zh-CN"/>
                    </w:rPr>
                  </w:pPr>
                  <w:r>
                    <w:rPr>
                      <w:rFonts w:hint="default" w:ascii="Times New Roman" w:hAnsi="Times New Roman" w:eastAsia="宋体" w:cs="Times New Roman"/>
                      <w:iCs/>
                      <w:szCs w:val="21"/>
                      <w:u w:val="single"/>
                      <w:lang w:val="en-US" w:eastAsia="zh-CN"/>
                    </w:rPr>
                    <w:t>固体废物临时储运设施</w:t>
                  </w:r>
                </w:p>
              </w:tc>
              <w:tc>
                <w:tcPr>
                  <w:tcW w:w="1371" w:type="pct"/>
                  <w:tcBorders>
                    <w:right w:val="nil"/>
                  </w:tcBorders>
                  <w:noWrap w:val="0"/>
                  <w:vAlign w:val="center"/>
                </w:tcPr>
                <w:p w14:paraId="080C599E">
                  <w:pPr>
                    <w:autoSpaceDE w:val="0"/>
                    <w:autoSpaceDN w:val="0"/>
                    <w:adjustRightInd w:val="0"/>
                    <w:jc w:val="center"/>
                    <w:rPr>
                      <w:rFonts w:hint="default" w:ascii="Times New Roman" w:hAnsi="Times New Roman" w:eastAsia="宋体" w:cs="Times New Roman"/>
                      <w:iCs/>
                      <w:szCs w:val="21"/>
                      <w:u w:val="single"/>
                      <w:lang w:val="en-US" w:eastAsia="zh-CN"/>
                    </w:rPr>
                  </w:pPr>
                  <w:r>
                    <w:rPr>
                      <w:rFonts w:hint="eastAsia" w:cs="Times New Roman"/>
                      <w:iCs/>
                      <w:szCs w:val="21"/>
                      <w:u w:val="single"/>
                      <w:lang w:val="en-US" w:eastAsia="zh-CN"/>
                    </w:rPr>
                    <w:t>0.5</w:t>
                  </w:r>
                </w:p>
              </w:tc>
            </w:tr>
            <w:tr w14:paraId="4F5D0A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81" w:type="pct"/>
                  <w:vMerge w:val="continue"/>
                  <w:noWrap w:val="0"/>
                  <w:vAlign w:val="center"/>
                </w:tcPr>
                <w:p w14:paraId="30D39FC4">
                  <w:pPr>
                    <w:autoSpaceDE w:val="0"/>
                    <w:autoSpaceDN w:val="0"/>
                    <w:adjustRightInd w:val="0"/>
                    <w:jc w:val="center"/>
                    <w:rPr>
                      <w:rFonts w:hint="default" w:ascii="Times New Roman" w:hAnsi="Times New Roman" w:eastAsia="宋体" w:cs="Times New Roman"/>
                      <w:iCs/>
                      <w:szCs w:val="21"/>
                      <w:u w:val="single"/>
                      <w:lang w:val="zh-CN"/>
                    </w:rPr>
                  </w:pPr>
                </w:p>
              </w:tc>
              <w:tc>
                <w:tcPr>
                  <w:tcW w:w="775" w:type="pct"/>
                  <w:noWrap w:val="0"/>
                  <w:vAlign w:val="center"/>
                </w:tcPr>
                <w:p w14:paraId="3D4D86AF">
                  <w:pPr>
                    <w:autoSpaceDE w:val="0"/>
                    <w:autoSpaceDN w:val="0"/>
                    <w:adjustRightInd w:val="0"/>
                    <w:jc w:val="center"/>
                    <w:rPr>
                      <w:rFonts w:hint="default" w:ascii="Times New Roman" w:hAnsi="Times New Roman" w:eastAsia="宋体" w:cs="Times New Roman"/>
                      <w:iCs/>
                      <w:szCs w:val="21"/>
                      <w:u w:val="single"/>
                      <w:lang w:val="zh-CN"/>
                    </w:rPr>
                  </w:pPr>
                  <w:r>
                    <w:rPr>
                      <w:rFonts w:hint="eastAsia" w:cs="Times New Roman"/>
                      <w:iCs/>
                      <w:szCs w:val="21"/>
                      <w:u w:val="single"/>
                      <w:lang w:val="zh-CN"/>
                    </w:rPr>
                    <w:t>地下水、土壤</w:t>
                  </w:r>
                </w:p>
              </w:tc>
              <w:tc>
                <w:tcPr>
                  <w:tcW w:w="2172" w:type="pct"/>
                  <w:noWrap w:val="0"/>
                  <w:vAlign w:val="center"/>
                </w:tcPr>
                <w:p w14:paraId="38EAD4FD">
                  <w:pPr>
                    <w:autoSpaceDE w:val="0"/>
                    <w:autoSpaceDN w:val="0"/>
                    <w:adjustRightInd w:val="0"/>
                    <w:jc w:val="center"/>
                    <w:rPr>
                      <w:rFonts w:hint="default" w:ascii="Times New Roman" w:hAnsi="Times New Roman" w:eastAsia="宋体" w:cs="Times New Roman"/>
                      <w:iCs/>
                      <w:szCs w:val="21"/>
                      <w:u w:val="single"/>
                      <w:lang w:val="en-US" w:eastAsia="zh-CN"/>
                    </w:rPr>
                  </w:pPr>
                  <w:r>
                    <w:rPr>
                      <w:rFonts w:hint="eastAsia" w:cs="Times New Roman"/>
                      <w:iCs/>
                      <w:szCs w:val="21"/>
                      <w:u w:val="single"/>
                      <w:lang w:val="en-US" w:eastAsia="zh-CN"/>
                    </w:rPr>
                    <w:t>分区防渗、围堰</w:t>
                  </w:r>
                </w:p>
              </w:tc>
              <w:tc>
                <w:tcPr>
                  <w:tcW w:w="1371" w:type="pct"/>
                  <w:tcBorders>
                    <w:right w:val="nil"/>
                  </w:tcBorders>
                  <w:noWrap w:val="0"/>
                  <w:vAlign w:val="center"/>
                </w:tcPr>
                <w:p w14:paraId="5B56F619">
                  <w:pPr>
                    <w:autoSpaceDE w:val="0"/>
                    <w:autoSpaceDN w:val="0"/>
                    <w:adjustRightInd w:val="0"/>
                    <w:jc w:val="center"/>
                    <w:rPr>
                      <w:rFonts w:hint="default" w:cs="Times New Roman"/>
                      <w:iCs/>
                      <w:szCs w:val="21"/>
                      <w:u w:val="single"/>
                      <w:lang w:val="en-US" w:eastAsia="zh-CN"/>
                    </w:rPr>
                  </w:pPr>
                  <w:r>
                    <w:rPr>
                      <w:rFonts w:hint="eastAsia" w:cs="Times New Roman"/>
                      <w:iCs/>
                      <w:szCs w:val="21"/>
                      <w:u w:val="single"/>
                      <w:lang w:val="en-US" w:eastAsia="zh-CN"/>
                    </w:rPr>
                    <w:t>15</w:t>
                  </w:r>
                </w:p>
              </w:tc>
            </w:tr>
            <w:tr w14:paraId="79EAD2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3628" w:type="pct"/>
                  <w:gridSpan w:val="3"/>
                  <w:noWrap w:val="0"/>
                  <w:vAlign w:val="center"/>
                </w:tcPr>
                <w:p w14:paraId="38BDADFD">
                  <w:pPr>
                    <w:autoSpaceDE w:val="0"/>
                    <w:autoSpaceDN w:val="0"/>
                    <w:adjustRightInd w:val="0"/>
                    <w:jc w:val="center"/>
                    <w:rPr>
                      <w:rFonts w:hint="default" w:ascii="Times New Roman" w:hAnsi="Times New Roman" w:eastAsia="宋体" w:cs="Times New Roman"/>
                      <w:iCs/>
                      <w:szCs w:val="21"/>
                      <w:u w:val="single"/>
                      <w:lang w:val="zh-CN"/>
                    </w:rPr>
                  </w:pPr>
                  <w:r>
                    <w:rPr>
                      <w:rFonts w:hint="default" w:ascii="Times New Roman" w:hAnsi="Times New Roman" w:eastAsia="宋体" w:cs="Times New Roman"/>
                      <w:iCs/>
                      <w:szCs w:val="21"/>
                      <w:u w:val="single"/>
                      <w:lang w:val="zh-CN"/>
                    </w:rPr>
                    <w:t>合计</w:t>
                  </w:r>
                </w:p>
              </w:tc>
              <w:tc>
                <w:tcPr>
                  <w:tcW w:w="1371" w:type="pct"/>
                  <w:tcBorders>
                    <w:right w:val="nil"/>
                  </w:tcBorders>
                  <w:noWrap w:val="0"/>
                  <w:vAlign w:val="center"/>
                </w:tcPr>
                <w:p w14:paraId="6DC124E8">
                  <w:pPr>
                    <w:autoSpaceDE w:val="0"/>
                    <w:autoSpaceDN w:val="0"/>
                    <w:adjustRightInd w:val="0"/>
                    <w:jc w:val="center"/>
                    <w:rPr>
                      <w:rFonts w:hint="default" w:ascii="Times New Roman" w:hAnsi="Times New Roman" w:eastAsia="宋体" w:cs="Times New Roman"/>
                      <w:iCs/>
                      <w:szCs w:val="21"/>
                      <w:u w:val="single"/>
                      <w:lang w:val="en-US"/>
                    </w:rPr>
                  </w:pPr>
                  <w:r>
                    <w:rPr>
                      <w:rFonts w:hint="eastAsia" w:cs="Times New Roman"/>
                      <w:iCs/>
                      <w:szCs w:val="21"/>
                      <w:u w:val="single"/>
                      <w:lang w:val="en-US" w:eastAsia="zh-CN"/>
                    </w:rPr>
                    <w:t>45</w:t>
                  </w:r>
                </w:p>
              </w:tc>
            </w:tr>
          </w:tbl>
          <w:p w14:paraId="73E23D0E">
            <w:pPr>
              <w:pStyle w:val="63"/>
              <w:adjustRightInd w:val="0"/>
              <w:snapToGrid w:val="0"/>
              <w:spacing w:line="360" w:lineRule="auto"/>
              <w:ind w:firstLine="482"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9、“三同时”验收一览表</w:t>
            </w:r>
          </w:p>
          <w:p w14:paraId="50F9AF92">
            <w:pPr>
              <w:pStyle w:val="63"/>
              <w:adjustRightInd w:val="0"/>
              <w:snapToGrid w:val="0"/>
              <w:spacing w:line="360" w:lineRule="auto"/>
              <w:ind w:firstLine="480" w:firstLineChars="200"/>
              <w:rPr>
                <w:rFonts w:hint="eastAsia"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本项目环保设施“三同时”验收一览表</w:t>
            </w:r>
            <w:r>
              <w:rPr>
                <w:rFonts w:hint="eastAsia" w:cs="Times New Roman"/>
                <w:b w:val="0"/>
                <w:bCs/>
                <w:sz w:val="24"/>
                <w:lang w:val="en-US" w:eastAsia="zh-CN"/>
              </w:rPr>
              <w:t>详见下表</w:t>
            </w:r>
            <w:r>
              <w:rPr>
                <w:rFonts w:hint="eastAsia" w:ascii="Times New Roman" w:hAnsi="Times New Roman" w:eastAsia="宋体" w:cs="Times New Roman"/>
                <w:b w:val="0"/>
                <w:bCs/>
                <w:sz w:val="24"/>
                <w:lang w:val="en-US" w:eastAsia="zh-CN"/>
              </w:rPr>
              <w:t>。</w:t>
            </w:r>
          </w:p>
          <w:p w14:paraId="5CD7D333">
            <w:pPr>
              <w:pStyle w:val="6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val="0"/>
                <w:sz w:val="24"/>
                <w:szCs w:val="24"/>
              </w:rPr>
            </w:pPr>
            <w:r>
              <w:rPr>
                <w:rFonts w:ascii="Times New Roman" w:hAnsi="Times New Roman" w:eastAsia="宋体" w:cs="Times New Roman"/>
                <w:b/>
                <w:bCs w:val="0"/>
                <w:sz w:val="24"/>
                <w:szCs w:val="24"/>
              </w:rPr>
              <w:t>表</w:t>
            </w:r>
            <w:r>
              <w:rPr>
                <w:rFonts w:hint="eastAsia" w:cs="Times New Roman"/>
                <w:b/>
                <w:bCs w:val="0"/>
                <w:sz w:val="24"/>
                <w:szCs w:val="24"/>
                <w:lang w:val="en-US" w:eastAsia="zh-CN"/>
              </w:rPr>
              <w:t>4-13</w:t>
            </w:r>
            <w:r>
              <w:rPr>
                <w:rFonts w:ascii="Times New Roman" w:hAnsi="Times New Roman" w:eastAsia="宋体" w:cs="Times New Roman"/>
                <w:b/>
                <w:bCs w:val="0"/>
                <w:sz w:val="24"/>
                <w:szCs w:val="24"/>
              </w:rPr>
              <w:t xml:space="preserve">  “三同时”验收一览表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53"/>
              <w:gridCol w:w="2351"/>
              <w:gridCol w:w="924"/>
              <w:gridCol w:w="2791"/>
            </w:tblGrid>
            <w:tr w14:paraId="1B1E7E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5" w:type="pct"/>
                  <w:tcBorders>
                    <w:tl2br w:val="nil"/>
                    <w:tr2bl w:val="nil"/>
                  </w:tcBorders>
                  <w:noWrap w:val="0"/>
                  <w:vAlign w:val="center"/>
                </w:tcPr>
                <w:p w14:paraId="4858F5CF">
                  <w:pPr>
                    <w:tabs>
                      <w:tab w:val="left" w:pos="3000"/>
                    </w:tabs>
                    <w:jc w:val="center"/>
                    <w:rPr>
                      <w:rFonts w:hint="eastAsia" w:ascii="Times New Roman"/>
                      <w:sz w:val="21"/>
                      <w:szCs w:val="21"/>
                    </w:rPr>
                  </w:pPr>
                  <w:r>
                    <w:rPr>
                      <w:rFonts w:hint="eastAsia" w:ascii="Times New Roman"/>
                      <w:sz w:val="21"/>
                      <w:szCs w:val="21"/>
                    </w:rPr>
                    <w:t>要素</w:t>
                  </w:r>
                </w:p>
              </w:tc>
              <w:tc>
                <w:tcPr>
                  <w:tcW w:w="857" w:type="pct"/>
                  <w:tcBorders>
                    <w:tl2br w:val="nil"/>
                    <w:tr2bl w:val="nil"/>
                  </w:tcBorders>
                  <w:noWrap w:val="0"/>
                  <w:vAlign w:val="center"/>
                </w:tcPr>
                <w:p w14:paraId="0940A81A">
                  <w:pPr>
                    <w:tabs>
                      <w:tab w:val="left" w:pos="3000"/>
                    </w:tabs>
                    <w:jc w:val="center"/>
                    <w:rPr>
                      <w:rFonts w:hint="eastAsia" w:ascii="Times New Roman"/>
                      <w:sz w:val="21"/>
                      <w:szCs w:val="21"/>
                    </w:rPr>
                  </w:pPr>
                  <w:r>
                    <w:rPr>
                      <w:rFonts w:hint="eastAsia" w:ascii="Times New Roman"/>
                      <w:sz w:val="21"/>
                      <w:szCs w:val="21"/>
                    </w:rPr>
                    <w:t>验收项目</w:t>
                  </w:r>
                </w:p>
              </w:tc>
              <w:tc>
                <w:tcPr>
                  <w:tcW w:w="1386" w:type="pct"/>
                  <w:tcBorders>
                    <w:tl2br w:val="nil"/>
                    <w:tr2bl w:val="nil"/>
                  </w:tcBorders>
                  <w:noWrap w:val="0"/>
                  <w:vAlign w:val="center"/>
                </w:tcPr>
                <w:p w14:paraId="19423A77">
                  <w:pPr>
                    <w:tabs>
                      <w:tab w:val="left" w:pos="3000"/>
                    </w:tabs>
                    <w:jc w:val="center"/>
                    <w:rPr>
                      <w:rFonts w:hint="eastAsia" w:ascii="Times New Roman" w:eastAsia="宋体"/>
                      <w:sz w:val="21"/>
                      <w:szCs w:val="21"/>
                      <w:lang w:eastAsia="zh-CN"/>
                    </w:rPr>
                  </w:pPr>
                  <w:r>
                    <w:rPr>
                      <w:rFonts w:hint="eastAsia"/>
                      <w:sz w:val="21"/>
                      <w:szCs w:val="21"/>
                      <w:lang w:eastAsia="zh-CN"/>
                    </w:rPr>
                    <w:t>验收内容</w:t>
                  </w:r>
                </w:p>
              </w:tc>
              <w:tc>
                <w:tcPr>
                  <w:tcW w:w="545" w:type="pct"/>
                  <w:tcBorders>
                    <w:tl2br w:val="nil"/>
                    <w:tr2bl w:val="nil"/>
                  </w:tcBorders>
                  <w:noWrap w:val="0"/>
                  <w:vAlign w:val="center"/>
                </w:tcPr>
                <w:p w14:paraId="6D3B8FD0">
                  <w:pPr>
                    <w:tabs>
                      <w:tab w:val="left" w:pos="3000"/>
                    </w:tabs>
                    <w:jc w:val="center"/>
                    <w:rPr>
                      <w:rFonts w:hint="eastAsia" w:ascii="Times New Roman"/>
                      <w:sz w:val="21"/>
                      <w:szCs w:val="21"/>
                    </w:rPr>
                  </w:pPr>
                  <w:r>
                    <w:rPr>
                      <w:rFonts w:hint="eastAsia" w:ascii="Times New Roman"/>
                      <w:sz w:val="21"/>
                      <w:szCs w:val="21"/>
                    </w:rPr>
                    <w:t>数量</w:t>
                  </w:r>
                </w:p>
              </w:tc>
              <w:tc>
                <w:tcPr>
                  <w:tcW w:w="1645" w:type="pct"/>
                  <w:tcBorders>
                    <w:tl2br w:val="nil"/>
                    <w:tr2bl w:val="nil"/>
                  </w:tcBorders>
                  <w:noWrap w:val="0"/>
                  <w:vAlign w:val="center"/>
                </w:tcPr>
                <w:p w14:paraId="41D4FFB1">
                  <w:pPr>
                    <w:tabs>
                      <w:tab w:val="left" w:pos="3000"/>
                    </w:tabs>
                    <w:jc w:val="center"/>
                    <w:rPr>
                      <w:rFonts w:hint="eastAsia" w:ascii="Times New Roman"/>
                      <w:sz w:val="21"/>
                      <w:szCs w:val="21"/>
                    </w:rPr>
                  </w:pPr>
                  <w:r>
                    <w:rPr>
                      <w:rFonts w:hint="eastAsia" w:ascii="Times New Roman"/>
                      <w:sz w:val="21"/>
                      <w:szCs w:val="21"/>
                    </w:rPr>
                    <w:t>验收标准</w:t>
                  </w:r>
                </w:p>
              </w:tc>
            </w:tr>
            <w:tr w14:paraId="29A308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5" w:type="pct"/>
                  <w:vMerge w:val="restart"/>
                  <w:tcBorders>
                    <w:tl2br w:val="nil"/>
                    <w:tr2bl w:val="nil"/>
                  </w:tcBorders>
                  <w:noWrap w:val="0"/>
                  <w:vAlign w:val="center"/>
                </w:tcPr>
                <w:p w14:paraId="6B3705CE">
                  <w:pPr>
                    <w:tabs>
                      <w:tab w:val="left" w:pos="3000"/>
                    </w:tabs>
                    <w:jc w:val="center"/>
                    <w:rPr>
                      <w:rFonts w:hint="eastAsia" w:ascii="Times New Roman"/>
                      <w:sz w:val="21"/>
                      <w:szCs w:val="21"/>
                    </w:rPr>
                  </w:pPr>
                  <w:r>
                    <w:rPr>
                      <w:rFonts w:hint="eastAsia" w:ascii="Times New Roman"/>
                      <w:sz w:val="21"/>
                      <w:szCs w:val="21"/>
                    </w:rPr>
                    <w:t>废气</w:t>
                  </w:r>
                </w:p>
              </w:tc>
              <w:tc>
                <w:tcPr>
                  <w:tcW w:w="857" w:type="pct"/>
                  <w:tcBorders>
                    <w:tl2br w:val="nil"/>
                    <w:tr2bl w:val="nil"/>
                  </w:tcBorders>
                  <w:noWrap w:val="0"/>
                  <w:vAlign w:val="center"/>
                </w:tcPr>
                <w:p w14:paraId="7FF2E2D8">
                  <w:pPr>
                    <w:adjustRightInd w:val="0"/>
                    <w:snapToGrid w:val="0"/>
                    <w:jc w:val="center"/>
                    <w:rPr>
                      <w:rFonts w:hint="default" w:ascii="Times New Roman" w:eastAsia="宋体"/>
                      <w:sz w:val="21"/>
                      <w:szCs w:val="21"/>
                      <w:lang w:val="en-US" w:eastAsia="zh-CN"/>
                    </w:rPr>
                  </w:pPr>
                  <w:r>
                    <w:rPr>
                      <w:rFonts w:hint="eastAsia" w:eastAsia="宋体"/>
                      <w:szCs w:val="21"/>
                      <w:lang w:val="en-US" w:eastAsia="zh-CN"/>
                    </w:rPr>
                    <w:t>筒仓粉尘</w:t>
                  </w:r>
                </w:p>
              </w:tc>
              <w:tc>
                <w:tcPr>
                  <w:tcW w:w="1386" w:type="pct"/>
                  <w:tcBorders>
                    <w:tl2br w:val="nil"/>
                    <w:tr2bl w:val="nil"/>
                  </w:tcBorders>
                  <w:noWrap w:val="0"/>
                  <w:vAlign w:val="center"/>
                </w:tcPr>
                <w:p w14:paraId="13F52CBF">
                  <w:pPr>
                    <w:tabs>
                      <w:tab w:val="left" w:pos="3000"/>
                    </w:tabs>
                    <w:jc w:val="both"/>
                    <w:rPr>
                      <w:rFonts w:hint="eastAsia" w:ascii="Times New Roman"/>
                      <w:sz w:val="21"/>
                      <w:szCs w:val="21"/>
                    </w:rPr>
                  </w:pPr>
                  <w:r>
                    <w:rPr>
                      <w:rFonts w:hint="eastAsia"/>
                      <w:szCs w:val="21"/>
                      <w:lang w:val="en-US" w:eastAsia="zh-CN"/>
                    </w:rPr>
                    <w:t>脉冲袋式</w:t>
                  </w:r>
                  <w:r>
                    <w:rPr>
                      <w:szCs w:val="21"/>
                    </w:rPr>
                    <w:t>除尘装置</w:t>
                  </w:r>
                  <w:r>
                    <w:rPr>
                      <w:rFonts w:hint="eastAsia"/>
                      <w:szCs w:val="21"/>
                      <w:lang w:eastAsia="zh-CN"/>
                    </w:rPr>
                    <w:t>，</w:t>
                  </w:r>
                  <w:r>
                    <w:rPr>
                      <w:rFonts w:hint="eastAsia"/>
                      <w:szCs w:val="21"/>
                      <w:lang w:val="en-US" w:eastAsia="zh-CN"/>
                    </w:rPr>
                    <w:t>仓顶排气口，</w:t>
                  </w:r>
                  <w:r>
                    <w:rPr>
                      <w:rFonts w:hint="default" w:ascii="Times New Roman" w:hAnsi="Times New Roman" w:eastAsia="宋体" w:cs="Times New Roman"/>
                      <w:iCs/>
                      <w:sz w:val="21"/>
                      <w:szCs w:val="21"/>
                      <w:u w:val="none" w:color="auto"/>
                      <w:lang w:eastAsia="zh-CN"/>
                    </w:rPr>
                    <w:t>降尘效率</w:t>
                  </w:r>
                  <w:r>
                    <w:rPr>
                      <w:rFonts w:hint="eastAsia" w:cs="Times New Roman"/>
                      <w:iCs/>
                      <w:sz w:val="21"/>
                      <w:szCs w:val="21"/>
                      <w:u w:val="none" w:color="auto"/>
                      <w:lang w:val="en-US" w:eastAsia="zh-CN"/>
                    </w:rPr>
                    <w:t>99.7</w:t>
                  </w:r>
                  <w:r>
                    <w:rPr>
                      <w:rFonts w:hint="default" w:ascii="Times New Roman" w:hAnsi="Times New Roman" w:eastAsia="宋体" w:cs="Times New Roman"/>
                      <w:iCs/>
                      <w:sz w:val="21"/>
                      <w:szCs w:val="21"/>
                      <w:u w:val="none" w:color="auto"/>
                    </w:rPr>
                    <w:t>%</w:t>
                  </w:r>
                </w:p>
              </w:tc>
              <w:tc>
                <w:tcPr>
                  <w:tcW w:w="545" w:type="pct"/>
                  <w:tcBorders>
                    <w:tl2br w:val="nil"/>
                    <w:tr2bl w:val="nil"/>
                  </w:tcBorders>
                  <w:noWrap w:val="0"/>
                  <w:vAlign w:val="center"/>
                </w:tcPr>
                <w:p w14:paraId="306EA350">
                  <w:pPr>
                    <w:tabs>
                      <w:tab w:val="left" w:pos="3000"/>
                    </w:tabs>
                    <w:jc w:val="center"/>
                    <w:rPr>
                      <w:rFonts w:hint="default" w:ascii="Times New Roman" w:eastAsia="宋体"/>
                      <w:sz w:val="21"/>
                      <w:szCs w:val="21"/>
                      <w:lang w:val="en-US" w:eastAsia="zh-CN"/>
                    </w:rPr>
                  </w:pPr>
                  <w:r>
                    <w:rPr>
                      <w:rFonts w:hint="eastAsia"/>
                      <w:sz w:val="21"/>
                      <w:szCs w:val="21"/>
                      <w:lang w:val="en-US" w:eastAsia="zh-CN"/>
                    </w:rPr>
                    <w:t>4</w:t>
                  </w:r>
                  <w:r>
                    <w:rPr>
                      <w:rFonts w:hint="eastAsia" w:ascii="Times New Roman"/>
                      <w:sz w:val="21"/>
                      <w:szCs w:val="21"/>
                      <w:lang w:val="en-US" w:eastAsia="zh-CN"/>
                    </w:rPr>
                    <w:t>套</w:t>
                  </w:r>
                </w:p>
              </w:tc>
              <w:tc>
                <w:tcPr>
                  <w:tcW w:w="1645" w:type="pct"/>
                  <w:vMerge w:val="restart"/>
                  <w:tcBorders>
                    <w:tl2br w:val="nil"/>
                    <w:tr2bl w:val="nil"/>
                  </w:tcBorders>
                  <w:noWrap w:val="0"/>
                  <w:vAlign w:val="center"/>
                </w:tcPr>
                <w:p w14:paraId="39C944DD">
                  <w:pPr>
                    <w:tabs>
                      <w:tab w:val="left" w:pos="3000"/>
                    </w:tabs>
                    <w:jc w:val="center"/>
                    <w:rPr>
                      <w:rFonts w:hint="eastAsia" w:ascii="宋体" w:hAnsi="宋体" w:eastAsia="宋体" w:cs="宋体"/>
                      <w:color w:val="000000"/>
                      <w:kern w:val="0"/>
                      <w:sz w:val="21"/>
                      <w:szCs w:val="21"/>
                      <w:u w:val="single"/>
                      <w:lang w:val="en-US" w:eastAsia="zh-CN" w:bidi="ar"/>
                    </w:rPr>
                  </w:pPr>
                  <w:r>
                    <w:rPr>
                      <w:i w:val="0"/>
                      <w:iCs w:val="0"/>
                      <w:color w:val="000000"/>
                      <w:szCs w:val="21"/>
                      <w:u w:val="none"/>
                    </w:rPr>
                    <w:t>《水泥工业大气污染物排放标准》（GB 4915-2013）</w:t>
                  </w:r>
                </w:p>
              </w:tc>
            </w:tr>
            <w:tr w14:paraId="20A4A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5" w:type="pct"/>
                  <w:vMerge w:val="continue"/>
                  <w:tcBorders>
                    <w:tl2br w:val="nil"/>
                    <w:tr2bl w:val="nil"/>
                  </w:tcBorders>
                  <w:noWrap w:val="0"/>
                  <w:vAlign w:val="center"/>
                </w:tcPr>
                <w:p w14:paraId="32F10559">
                  <w:pPr>
                    <w:tabs>
                      <w:tab w:val="left" w:pos="3000"/>
                    </w:tabs>
                    <w:jc w:val="center"/>
                    <w:rPr>
                      <w:rFonts w:hint="eastAsia" w:ascii="Times New Roman"/>
                      <w:sz w:val="21"/>
                      <w:szCs w:val="21"/>
                    </w:rPr>
                  </w:pPr>
                </w:p>
              </w:tc>
              <w:tc>
                <w:tcPr>
                  <w:tcW w:w="857" w:type="pct"/>
                  <w:tcBorders>
                    <w:tl2br w:val="nil"/>
                    <w:tr2bl w:val="nil"/>
                  </w:tcBorders>
                  <w:noWrap w:val="0"/>
                  <w:vAlign w:val="center"/>
                </w:tcPr>
                <w:p w14:paraId="731A6941">
                  <w:pPr>
                    <w:adjustRightInd w:val="0"/>
                    <w:snapToGrid w:val="0"/>
                    <w:jc w:val="center"/>
                    <w:rPr>
                      <w:rFonts w:hint="default" w:ascii="Times New Roman" w:eastAsia="宋体"/>
                      <w:sz w:val="21"/>
                      <w:szCs w:val="21"/>
                      <w:lang w:val="en-US" w:eastAsia="zh-CN"/>
                    </w:rPr>
                  </w:pPr>
                  <w:r>
                    <w:rPr>
                      <w:rFonts w:hint="eastAsia" w:ascii="宋体" w:hAnsi="宋体" w:cs="宋体"/>
                      <w:szCs w:val="21"/>
                      <w:lang w:val="en-US" w:eastAsia="zh-CN"/>
                    </w:rPr>
                    <w:t>搅拌机粉尘</w:t>
                  </w:r>
                </w:p>
              </w:tc>
              <w:tc>
                <w:tcPr>
                  <w:tcW w:w="1386" w:type="pct"/>
                  <w:tcBorders>
                    <w:tl2br w:val="nil"/>
                    <w:tr2bl w:val="nil"/>
                  </w:tcBorders>
                  <w:noWrap w:val="0"/>
                  <w:vAlign w:val="center"/>
                </w:tcPr>
                <w:p w14:paraId="2C8FA7AF">
                  <w:pPr>
                    <w:ind w:left="-105" w:leftChars="-50" w:right="-105" w:rightChars="-5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脉冲袋式</w:t>
                  </w:r>
                  <w:r>
                    <w:rPr>
                      <w:szCs w:val="21"/>
                    </w:rPr>
                    <w:t>除尘装置</w:t>
                  </w:r>
                  <w:r>
                    <w:rPr>
                      <w:rFonts w:hint="eastAsia"/>
                      <w:szCs w:val="21"/>
                      <w:lang w:eastAsia="zh-CN"/>
                    </w:rPr>
                    <w:t>，</w:t>
                  </w:r>
                  <w:r>
                    <w:rPr>
                      <w:rFonts w:hint="default" w:ascii="Times New Roman" w:hAnsi="Times New Roman" w:eastAsia="宋体" w:cs="Times New Roman"/>
                      <w:iCs/>
                      <w:sz w:val="21"/>
                      <w:szCs w:val="21"/>
                      <w:u w:val="none" w:color="auto"/>
                      <w:lang w:eastAsia="zh-CN"/>
                    </w:rPr>
                    <w:t>降尘效率</w:t>
                  </w:r>
                  <w:r>
                    <w:rPr>
                      <w:rFonts w:hint="eastAsia" w:cs="Times New Roman"/>
                      <w:iCs/>
                      <w:sz w:val="21"/>
                      <w:szCs w:val="21"/>
                      <w:u w:val="none" w:color="auto"/>
                      <w:lang w:val="en-US" w:eastAsia="zh-CN"/>
                    </w:rPr>
                    <w:t>99.7</w:t>
                  </w:r>
                  <w:r>
                    <w:rPr>
                      <w:rFonts w:hint="default" w:ascii="Times New Roman" w:hAnsi="Times New Roman" w:eastAsia="宋体" w:cs="Times New Roman"/>
                      <w:iCs/>
                      <w:sz w:val="21"/>
                      <w:szCs w:val="21"/>
                      <w:u w:val="none" w:color="auto"/>
                    </w:rPr>
                    <w:t>%</w:t>
                  </w:r>
                  <w:r>
                    <w:rPr>
                      <w:rFonts w:hint="eastAsia" w:ascii="Times New Roman" w:hAnsi="Times New Roman" w:eastAsia="宋体" w:cs="Times New Roman"/>
                      <w:iCs/>
                      <w:sz w:val="21"/>
                      <w:szCs w:val="21"/>
                      <w:u w:val="none" w:color="auto"/>
                      <w:lang w:val="en-US" w:eastAsia="zh-CN"/>
                    </w:rPr>
                    <w:t>。</w:t>
                  </w:r>
                </w:p>
              </w:tc>
              <w:tc>
                <w:tcPr>
                  <w:tcW w:w="545" w:type="pct"/>
                  <w:tcBorders>
                    <w:tl2br w:val="nil"/>
                    <w:tr2bl w:val="nil"/>
                  </w:tcBorders>
                  <w:noWrap w:val="0"/>
                  <w:vAlign w:val="center"/>
                </w:tcPr>
                <w:p w14:paraId="2DDB2609">
                  <w:pPr>
                    <w:tabs>
                      <w:tab w:val="left" w:pos="3000"/>
                    </w:tabs>
                    <w:jc w:val="center"/>
                    <w:rPr>
                      <w:rFonts w:hint="eastAsia" w:ascii="Times New Roman" w:eastAsia="宋体"/>
                      <w:sz w:val="21"/>
                      <w:szCs w:val="21"/>
                      <w:lang w:val="en-US" w:eastAsia="zh-CN"/>
                    </w:rPr>
                  </w:pPr>
                  <w:r>
                    <w:rPr>
                      <w:rFonts w:hint="eastAsia"/>
                      <w:sz w:val="21"/>
                      <w:szCs w:val="21"/>
                      <w:lang w:val="en-US" w:eastAsia="zh-CN"/>
                    </w:rPr>
                    <w:t>1</w:t>
                  </w:r>
                  <w:r>
                    <w:rPr>
                      <w:rFonts w:hint="eastAsia" w:ascii="Times New Roman"/>
                      <w:sz w:val="21"/>
                      <w:szCs w:val="21"/>
                      <w:lang w:val="en-US" w:eastAsia="zh-CN"/>
                    </w:rPr>
                    <w:t>套</w:t>
                  </w:r>
                </w:p>
              </w:tc>
              <w:tc>
                <w:tcPr>
                  <w:tcW w:w="1645" w:type="pct"/>
                  <w:vMerge w:val="continue"/>
                  <w:tcBorders>
                    <w:tl2br w:val="nil"/>
                    <w:tr2bl w:val="nil"/>
                  </w:tcBorders>
                  <w:noWrap w:val="0"/>
                  <w:vAlign w:val="center"/>
                </w:tcPr>
                <w:p w14:paraId="41B18755">
                  <w:pPr>
                    <w:tabs>
                      <w:tab w:val="left" w:pos="3000"/>
                    </w:tabs>
                    <w:jc w:val="center"/>
                    <w:rPr>
                      <w:rFonts w:hint="eastAsia" w:ascii="宋体" w:hAnsi="宋体" w:eastAsia="宋体" w:cs="宋体"/>
                      <w:color w:val="000000"/>
                      <w:kern w:val="0"/>
                      <w:sz w:val="21"/>
                      <w:szCs w:val="21"/>
                      <w:u w:val="single"/>
                      <w:lang w:val="en-US" w:eastAsia="zh-CN" w:bidi="ar"/>
                    </w:rPr>
                  </w:pPr>
                </w:p>
              </w:tc>
            </w:tr>
            <w:tr w14:paraId="450258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65" w:type="pct"/>
                  <w:vMerge w:val="continue"/>
                  <w:tcBorders>
                    <w:tl2br w:val="nil"/>
                    <w:tr2bl w:val="nil"/>
                  </w:tcBorders>
                  <w:noWrap w:val="0"/>
                  <w:vAlign w:val="center"/>
                </w:tcPr>
                <w:p w14:paraId="2E778A5E">
                  <w:pPr>
                    <w:tabs>
                      <w:tab w:val="left" w:pos="3000"/>
                    </w:tabs>
                    <w:jc w:val="center"/>
                    <w:rPr>
                      <w:rFonts w:hint="eastAsia" w:ascii="Times New Roman"/>
                      <w:sz w:val="21"/>
                      <w:szCs w:val="21"/>
                    </w:rPr>
                  </w:pPr>
                </w:p>
              </w:tc>
              <w:tc>
                <w:tcPr>
                  <w:tcW w:w="857" w:type="pct"/>
                  <w:tcBorders>
                    <w:tl2br w:val="nil"/>
                    <w:tr2bl w:val="nil"/>
                  </w:tcBorders>
                  <w:noWrap w:val="0"/>
                  <w:vAlign w:val="center"/>
                </w:tcPr>
                <w:p w14:paraId="7C4A43DD">
                  <w:pPr>
                    <w:adjustRightInd w:val="0"/>
                    <w:snapToGrid w:val="0"/>
                    <w:jc w:val="center"/>
                    <w:rPr>
                      <w:rFonts w:hint="eastAsia" w:ascii="Times New Roman" w:eastAsia="宋体"/>
                      <w:sz w:val="21"/>
                      <w:szCs w:val="21"/>
                      <w:lang w:val="en-US" w:eastAsia="zh-CN"/>
                    </w:rPr>
                  </w:pPr>
                  <w:r>
                    <w:rPr>
                      <w:rFonts w:hint="eastAsia" w:eastAsia="宋体" w:cs="Times New Roman"/>
                      <w:szCs w:val="21"/>
                      <w:lang w:eastAsia="zh-CN"/>
                    </w:rPr>
                    <w:t>卸</w:t>
                  </w:r>
                  <w:r>
                    <w:rPr>
                      <w:rFonts w:ascii="Times New Roman" w:hAnsi="Times New Roman" w:eastAsia="Calibri" w:cs="Times New Roman"/>
                      <w:szCs w:val="21"/>
                    </w:rPr>
                    <w:t>料</w:t>
                  </w:r>
                  <w:r>
                    <w:rPr>
                      <w:rFonts w:hint="eastAsia" w:eastAsia="宋体" w:cs="Times New Roman"/>
                      <w:szCs w:val="21"/>
                      <w:lang w:val="en-US" w:eastAsia="zh-CN"/>
                    </w:rPr>
                    <w:t>扬尘</w:t>
                  </w:r>
                </w:p>
              </w:tc>
              <w:tc>
                <w:tcPr>
                  <w:tcW w:w="1386" w:type="pct"/>
                  <w:tcBorders>
                    <w:tl2br w:val="nil"/>
                    <w:tr2bl w:val="nil"/>
                  </w:tcBorders>
                  <w:noWrap w:val="0"/>
                  <w:vAlign w:val="center"/>
                </w:tcPr>
                <w:p w14:paraId="0AF19699">
                  <w:pPr>
                    <w:tabs>
                      <w:tab w:val="left" w:pos="3000"/>
                    </w:tabs>
                    <w:jc w:val="center"/>
                    <w:rPr>
                      <w:rFonts w:hint="default"/>
                      <w:lang w:val="en-US" w:eastAsia="zh-CN"/>
                    </w:rPr>
                  </w:pPr>
                  <w:r>
                    <w:rPr>
                      <w:rFonts w:hint="eastAsia"/>
                      <w:bCs/>
                      <w:lang w:val="en-US" w:eastAsia="zh-CN"/>
                    </w:rPr>
                    <w:t>洒水降尘</w:t>
                  </w:r>
                </w:p>
              </w:tc>
              <w:tc>
                <w:tcPr>
                  <w:tcW w:w="545" w:type="pct"/>
                  <w:tcBorders>
                    <w:tl2br w:val="nil"/>
                    <w:tr2bl w:val="nil"/>
                  </w:tcBorders>
                  <w:noWrap w:val="0"/>
                  <w:vAlign w:val="center"/>
                </w:tcPr>
                <w:p w14:paraId="67CB9D89">
                  <w:pPr>
                    <w:tabs>
                      <w:tab w:val="left" w:pos="3000"/>
                    </w:tabs>
                    <w:jc w:val="center"/>
                    <w:rPr>
                      <w:rFonts w:hint="default" w:ascii="Times New Roman" w:eastAsia="宋体"/>
                      <w:sz w:val="21"/>
                      <w:szCs w:val="21"/>
                      <w:lang w:val="en-US" w:eastAsia="zh-CN"/>
                    </w:rPr>
                  </w:pPr>
                  <w:r>
                    <w:rPr>
                      <w:rFonts w:hint="eastAsia" w:ascii="Times New Roman"/>
                      <w:sz w:val="21"/>
                      <w:szCs w:val="21"/>
                      <w:lang w:val="en-US" w:eastAsia="zh-CN"/>
                    </w:rPr>
                    <w:t>/</w:t>
                  </w:r>
                </w:p>
              </w:tc>
              <w:tc>
                <w:tcPr>
                  <w:tcW w:w="1645" w:type="pct"/>
                  <w:vMerge w:val="continue"/>
                  <w:tcBorders>
                    <w:tl2br w:val="nil"/>
                    <w:tr2bl w:val="nil"/>
                  </w:tcBorders>
                  <w:noWrap w:val="0"/>
                  <w:vAlign w:val="center"/>
                </w:tcPr>
                <w:p w14:paraId="43264F43">
                  <w:pPr>
                    <w:tabs>
                      <w:tab w:val="left" w:pos="3000"/>
                    </w:tabs>
                    <w:jc w:val="center"/>
                    <w:rPr>
                      <w:rFonts w:hint="eastAsia" w:ascii="宋体" w:hAnsi="宋体" w:eastAsia="宋体" w:cs="宋体"/>
                      <w:color w:val="000000"/>
                      <w:kern w:val="0"/>
                      <w:sz w:val="21"/>
                      <w:szCs w:val="21"/>
                      <w:u w:val="single"/>
                      <w:lang w:val="en-US" w:eastAsia="zh-CN" w:bidi="ar"/>
                    </w:rPr>
                  </w:pPr>
                </w:p>
              </w:tc>
            </w:tr>
            <w:tr w14:paraId="46BABC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65" w:type="pct"/>
                  <w:vMerge w:val="continue"/>
                  <w:tcBorders>
                    <w:tl2br w:val="nil"/>
                    <w:tr2bl w:val="nil"/>
                  </w:tcBorders>
                  <w:noWrap w:val="0"/>
                  <w:vAlign w:val="center"/>
                </w:tcPr>
                <w:p w14:paraId="65F61F0D">
                  <w:pPr>
                    <w:tabs>
                      <w:tab w:val="left" w:pos="3000"/>
                    </w:tabs>
                    <w:jc w:val="center"/>
                  </w:pPr>
                </w:p>
              </w:tc>
              <w:tc>
                <w:tcPr>
                  <w:tcW w:w="857" w:type="pct"/>
                  <w:tcBorders>
                    <w:tl2br w:val="nil"/>
                    <w:tr2bl w:val="nil"/>
                  </w:tcBorders>
                  <w:noWrap w:val="0"/>
                  <w:vAlign w:val="center"/>
                </w:tcPr>
                <w:p w14:paraId="57DDDE14">
                  <w:pPr>
                    <w:tabs>
                      <w:tab w:val="left" w:pos="3000"/>
                    </w:tabs>
                    <w:jc w:val="center"/>
                    <w:rPr>
                      <w:rFonts w:hint="default" w:ascii="Times New Roman" w:hAnsi="Times New Roman" w:eastAsia="宋体" w:cs="Times New Roman"/>
                      <w:szCs w:val="21"/>
                      <w:lang w:val="en-US" w:eastAsia="zh-CN"/>
                    </w:rPr>
                  </w:pPr>
                  <w:r>
                    <w:rPr>
                      <w:rFonts w:hint="eastAsia" w:eastAsia="宋体" w:cs="Times New Roman"/>
                      <w:szCs w:val="21"/>
                      <w:lang w:val="en-US" w:eastAsia="zh-CN"/>
                    </w:rPr>
                    <w:t>堆场粉尘</w:t>
                  </w:r>
                </w:p>
              </w:tc>
              <w:tc>
                <w:tcPr>
                  <w:tcW w:w="1386" w:type="pct"/>
                  <w:tcBorders>
                    <w:tl2br w:val="nil"/>
                    <w:tr2bl w:val="nil"/>
                  </w:tcBorders>
                  <w:noWrap w:val="0"/>
                  <w:vAlign w:val="center"/>
                </w:tcPr>
                <w:p w14:paraId="3A7C80BD">
                  <w:pPr>
                    <w:tabs>
                      <w:tab w:val="left" w:pos="3000"/>
                    </w:tabs>
                    <w:jc w:val="center"/>
                    <w:rPr>
                      <w:rFonts w:hint="default" w:ascii="Times New Roman" w:hAnsi="Times New Roman" w:eastAsia="宋体" w:cs="Times New Roman"/>
                      <w:szCs w:val="21"/>
                      <w:lang w:val="en-US" w:eastAsia="zh-CN"/>
                    </w:rPr>
                  </w:pPr>
                  <w:r>
                    <w:rPr>
                      <w:rFonts w:hint="eastAsia" w:cs="Times New Roman"/>
                      <w:szCs w:val="21"/>
                      <w:lang w:val="en-US" w:eastAsia="zh-CN"/>
                    </w:rPr>
                    <w:t>封闭料库</w:t>
                  </w:r>
                  <w:r>
                    <w:rPr>
                      <w:rFonts w:hint="eastAsia" w:eastAsia="宋体" w:cs="Times New Roman"/>
                      <w:szCs w:val="21"/>
                      <w:lang w:val="en-US" w:eastAsia="zh-CN"/>
                    </w:rPr>
                    <w:t>、</w:t>
                  </w:r>
                  <w:r>
                    <w:rPr>
                      <w:rFonts w:hint="eastAsia" w:cs="Times New Roman"/>
                      <w:szCs w:val="21"/>
                      <w:lang w:val="en-US" w:eastAsia="zh-CN"/>
                    </w:rPr>
                    <w:t>洒水</w:t>
                  </w:r>
                  <w:r>
                    <w:rPr>
                      <w:rFonts w:hint="eastAsia" w:eastAsia="宋体" w:cs="Times New Roman"/>
                      <w:szCs w:val="21"/>
                      <w:lang w:val="en-US" w:eastAsia="zh-CN"/>
                    </w:rPr>
                    <w:t>降尘</w:t>
                  </w:r>
                </w:p>
              </w:tc>
              <w:tc>
                <w:tcPr>
                  <w:tcW w:w="545" w:type="pct"/>
                  <w:tcBorders>
                    <w:tl2br w:val="nil"/>
                    <w:tr2bl w:val="nil"/>
                  </w:tcBorders>
                  <w:noWrap w:val="0"/>
                  <w:vAlign w:val="center"/>
                </w:tcPr>
                <w:p w14:paraId="4E3C2FE2">
                  <w:pPr>
                    <w:jc w:val="center"/>
                    <w:rPr>
                      <w:rFonts w:ascii="Times New Roman" w:hAnsi="Times New Roman" w:eastAsia="Calibri" w:cs="Times New Roman"/>
                      <w:szCs w:val="21"/>
                    </w:rPr>
                  </w:pPr>
                  <w:r>
                    <w:rPr>
                      <w:rFonts w:hint="eastAsia" w:ascii="Times New Roman"/>
                      <w:sz w:val="21"/>
                      <w:szCs w:val="21"/>
                      <w:lang w:val="en-US" w:eastAsia="zh-CN"/>
                    </w:rPr>
                    <w:t>/</w:t>
                  </w:r>
                </w:p>
              </w:tc>
              <w:tc>
                <w:tcPr>
                  <w:tcW w:w="1645" w:type="pct"/>
                  <w:vMerge w:val="continue"/>
                  <w:tcBorders>
                    <w:tl2br w:val="nil"/>
                    <w:tr2bl w:val="nil"/>
                  </w:tcBorders>
                  <w:noWrap w:val="0"/>
                  <w:vAlign w:val="center"/>
                </w:tcPr>
                <w:p w14:paraId="2DFD6D23">
                  <w:pPr>
                    <w:tabs>
                      <w:tab w:val="left" w:pos="3000"/>
                    </w:tabs>
                    <w:jc w:val="center"/>
                    <w:rPr>
                      <w:rFonts w:ascii="Times New Roman" w:hAnsi="Times New Roman" w:eastAsia="Calibri" w:cs="Times New Roman"/>
                      <w:szCs w:val="21"/>
                    </w:rPr>
                  </w:pPr>
                </w:p>
              </w:tc>
            </w:tr>
            <w:tr w14:paraId="08429F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65" w:type="pct"/>
                  <w:vMerge w:val="continue"/>
                  <w:tcBorders>
                    <w:tl2br w:val="nil"/>
                    <w:tr2bl w:val="nil"/>
                  </w:tcBorders>
                  <w:noWrap w:val="0"/>
                  <w:vAlign w:val="center"/>
                </w:tcPr>
                <w:p w14:paraId="5AC5CA84">
                  <w:pPr>
                    <w:tabs>
                      <w:tab w:val="left" w:pos="3000"/>
                    </w:tabs>
                    <w:jc w:val="center"/>
                    <w:rPr>
                      <w:rFonts w:ascii="Times New Roman" w:hAnsi="Times New Roman" w:eastAsia="Calibri" w:cs="Times New Roman"/>
                      <w:szCs w:val="21"/>
                    </w:rPr>
                  </w:pPr>
                </w:p>
              </w:tc>
              <w:tc>
                <w:tcPr>
                  <w:tcW w:w="857" w:type="pct"/>
                  <w:tcBorders>
                    <w:tl2br w:val="nil"/>
                    <w:tr2bl w:val="nil"/>
                  </w:tcBorders>
                  <w:noWrap w:val="0"/>
                  <w:vAlign w:val="center"/>
                </w:tcPr>
                <w:p w14:paraId="3E208AFE">
                  <w:pPr>
                    <w:tabs>
                      <w:tab w:val="left" w:pos="3000"/>
                    </w:tabs>
                    <w:jc w:val="center"/>
                    <w:rPr>
                      <w:rFonts w:hint="default" w:ascii="Times New Roman" w:hAnsi="Times New Roman" w:eastAsia="宋体" w:cs="Times New Roman"/>
                      <w:szCs w:val="21"/>
                      <w:lang w:val="en-US" w:eastAsia="zh-CN"/>
                    </w:rPr>
                  </w:pPr>
                  <w:r>
                    <w:rPr>
                      <w:rFonts w:hint="eastAsia" w:eastAsia="宋体" w:cs="Times New Roman"/>
                      <w:szCs w:val="21"/>
                      <w:lang w:val="en-US" w:eastAsia="zh-CN"/>
                    </w:rPr>
                    <w:t>上料粉尘</w:t>
                  </w:r>
                </w:p>
              </w:tc>
              <w:tc>
                <w:tcPr>
                  <w:tcW w:w="1386" w:type="pct"/>
                  <w:tcBorders>
                    <w:tl2br w:val="nil"/>
                    <w:tr2bl w:val="nil"/>
                  </w:tcBorders>
                  <w:noWrap w:val="0"/>
                  <w:vAlign w:val="center"/>
                </w:tcPr>
                <w:p w14:paraId="3588408E">
                  <w:pPr>
                    <w:tabs>
                      <w:tab w:val="left" w:pos="3000"/>
                    </w:tabs>
                    <w:jc w:val="center"/>
                    <w:rPr>
                      <w:rFonts w:ascii="Times New Roman" w:hAnsi="Times New Roman" w:eastAsia="Calibri" w:cs="Times New Roman"/>
                      <w:szCs w:val="21"/>
                    </w:rPr>
                  </w:pPr>
                  <w:r>
                    <w:rPr>
                      <w:rFonts w:hint="eastAsia"/>
                      <w:bCs/>
                      <w:lang w:val="en-US" w:eastAsia="zh-CN"/>
                    </w:rPr>
                    <w:t>洒水降尘</w:t>
                  </w:r>
                </w:p>
              </w:tc>
              <w:tc>
                <w:tcPr>
                  <w:tcW w:w="545" w:type="pct"/>
                  <w:tcBorders>
                    <w:tl2br w:val="nil"/>
                    <w:tr2bl w:val="nil"/>
                  </w:tcBorders>
                  <w:noWrap w:val="0"/>
                  <w:vAlign w:val="center"/>
                </w:tcPr>
                <w:p w14:paraId="10A57197">
                  <w:pPr>
                    <w:jc w:val="center"/>
                    <w:rPr>
                      <w:rFonts w:ascii="Times New Roman" w:hAnsi="Times New Roman" w:eastAsia="Calibri" w:cs="Times New Roman"/>
                      <w:szCs w:val="21"/>
                    </w:rPr>
                  </w:pPr>
                  <w:r>
                    <w:rPr>
                      <w:rFonts w:hint="eastAsia" w:ascii="Times New Roman"/>
                      <w:sz w:val="21"/>
                      <w:szCs w:val="21"/>
                      <w:lang w:val="en-US" w:eastAsia="zh-CN"/>
                    </w:rPr>
                    <w:t>/</w:t>
                  </w:r>
                </w:p>
              </w:tc>
              <w:tc>
                <w:tcPr>
                  <w:tcW w:w="1645" w:type="pct"/>
                  <w:vMerge w:val="continue"/>
                  <w:tcBorders>
                    <w:tl2br w:val="nil"/>
                    <w:tr2bl w:val="nil"/>
                  </w:tcBorders>
                  <w:noWrap w:val="0"/>
                  <w:vAlign w:val="center"/>
                </w:tcPr>
                <w:p w14:paraId="6C793125">
                  <w:pPr>
                    <w:tabs>
                      <w:tab w:val="left" w:pos="3000"/>
                    </w:tabs>
                    <w:jc w:val="center"/>
                    <w:rPr>
                      <w:rFonts w:ascii="Times New Roman" w:hAnsi="Times New Roman" w:eastAsia="Calibri" w:cs="Times New Roman"/>
                      <w:szCs w:val="21"/>
                    </w:rPr>
                  </w:pPr>
                </w:p>
              </w:tc>
            </w:tr>
            <w:tr w14:paraId="6B5A75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65" w:type="pct"/>
                  <w:vMerge w:val="continue"/>
                  <w:tcBorders>
                    <w:tl2br w:val="nil"/>
                    <w:tr2bl w:val="nil"/>
                  </w:tcBorders>
                  <w:noWrap w:val="0"/>
                  <w:vAlign w:val="center"/>
                </w:tcPr>
                <w:p w14:paraId="0756EBF3">
                  <w:pPr>
                    <w:tabs>
                      <w:tab w:val="left" w:pos="3000"/>
                    </w:tabs>
                    <w:jc w:val="center"/>
                    <w:rPr>
                      <w:rFonts w:ascii="Times New Roman" w:hAnsi="Times New Roman" w:eastAsia="Calibri" w:cs="Times New Roman"/>
                      <w:szCs w:val="21"/>
                    </w:rPr>
                  </w:pPr>
                </w:p>
              </w:tc>
              <w:tc>
                <w:tcPr>
                  <w:tcW w:w="857" w:type="pct"/>
                  <w:tcBorders>
                    <w:tl2br w:val="nil"/>
                    <w:tr2bl w:val="nil"/>
                  </w:tcBorders>
                  <w:noWrap w:val="0"/>
                  <w:vAlign w:val="center"/>
                </w:tcPr>
                <w:p w14:paraId="6081121A">
                  <w:pPr>
                    <w:tabs>
                      <w:tab w:val="left" w:pos="3000"/>
                    </w:tabs>
                    <w:jc w:val="center"/>
                    <w:rPr>
                      <w:rFonts w:hint="default" w:ascii="Times New Roman" w:hAnsi="Times New Roman" w:eastAsia="宋体" w:cs="Times New Roman"/>
                      <w:szCs w:val="21"/>
                      <w:lang w:val="en-US" w:eastAsia="zh-CN"/>
                    </w:rPr>
                  </w:pPr>
                  <w:r>
                    <w:rPr>
                      <w:rFonts w:hint="eastAsia" w:eastAsia="宋体" w:cs="Times New Roman"/>
                      <w:szCs w:val="21"/>
                      <w:lang w:val="en-US" w:eastAsia="zh-CN"/>
                    </w:rPr>
                    <w:t>运输粉尘</w:t>
                  </w:r>
                </w:p>
              </w:tc>
              <w:tc>
                <w:tcPr>
                  <w:tcW w:w="1386" w:type="pct"/>
                  <w:tcBorders>
                    <w:tl2br w:val="nil"/>
                    <w:tr2bl w:val="nil"/>
                  </w:tcBorders>
                  <w:noWrap w:val="0"/>
                  <w:vAlign w:val="center"/>
                </w:tcPr>
                <w:p w14:paraId="2363BE73">
                  <w:pPr>
                    <w:tabs>
                      <w:tab w:val="left" w:pos="3000"/>
                    </w:tabs>
                    <w:jc w:val="center"/>
                    <w:rPr>
                      <w:rFonts w:ascii="Times New Roman" w:hAnsi="Times New Roman" w:eastAsia="Calibri" w:cs="Times New Roman"/>
                      <w:szCs w:val="21"/>
                    </w:rPr>
                  </w:pPr>
                  <w:r>
                    <w:rPr>
                      <w:rFonts w:hint="eastAsia"/>
                      <w:bCs/>
                      <w:lang w:val="en-US" w:eastAsia="zh-CN"/>
                    </w:rPr>
                    <w:t>洒水降尘</w:t>
                  </w:r>
                </w:p>
              </w:tc>
              <w:tc>
                <w:tcPr>
                  <w:tcW w:w="545" w:type="pct"/>
                  <w:tcBorders>
                    <w:tl2br w:val="nil"/>
                    <w:tr2bl w:val="nil"/>
                  </w:tcBorders>
                  <w:noWrap w:val="0"/>
                  <w:vAlign w:val="center"/>
                </w:tcPr>
                <w:p w14:paraId="69D34729">
                  <w:pPr>
                    <w:jc w:val="center"/>
                    <w:rPr>
                      <w:rFonts w:ascii="Times New Roman" w:hAnsi="Times New Roman" w:eastAsia="Calibri" w:cs="Times New Roman"/>
                      <w:szCs w:val="21"/>
                    </w:rPr>
                  </w:pPr>
                  <w:r>
                    <w:rPr>
                      <w:rFonts w:hint="eastAsia" w:ascii="Times New Roman"/>
                      <w:sz w:val="21"/>
                      <w:szCs w:val="21"/>
                      <w:lang w:val="en-US" w:eastAsia="zh-CN"/>
                    </w:rPr>
                    <w:t>/</w:t>
                  </w:r>
                </w:p>
              </w:tc>
              <w:tc>
                <w:tcPr>
                  <w:tcW w:w="1645" w:type="pct"/>
                  <w:vMerge w:val="continue"/>
                  <w:tcBorders>
                    <w:tl2br w:val="nil"/>
                    <w:tr2bl w:val="nil"/>
                  </w:tcBorders>
                  <w:noWrap w:val="0"/>
                  <w:vAlign w:val="center"/>
                </w:tcPr>
                <w:p w14:paraId="5FF8215B">
                  <w:pPr>
                    <w:tabs>
                      <w:tab w:val="left" w:pos="3000"/>
                    </w:tabs>
                    <w:jc w:val="center"/>
                    <w:rPr>
                      <w:rFonts w:ascii="Times New Roman" w:hAnsi="Times New Roman" w:eastAsia="Calibri" w:cs="Times New Roman"/>
                      <w:szCs w:val="21"/>
                    </w:rPr>
                  </w:pPr>
                </w:p>
              </w:tc>
            </w:tr>
            <w:tr w14:paraId="17C15C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5" w:type="pct"/>
                  <w:vMerge w:val="restart"/>
                  <w:tcBorders>
                    <w:tl2br w:val="nil"/>
                    <w:tr2bl w:val="nil"/>
                  </w:tcBorders>
                  <w:noWrap w:val="0"/>
                  <w:vAlign w:val="center"/>
                </w:tcPr>
                <w:p w14:paraId="245FA793">
                  <w:pPr>
                    <w:tabs>
                      <w:tab w:val="left" w:pos="3000"/>
                    </w:tabs>
                    <w:jc w:val="center"/>
                    <w:rPr>
                      <w:rFonts w:hint="eastAsia" w:ascii="Times New Roman"/>
                      <w:sz w:val="21"/>
                      <w:szCs w:val="21"/>
                    </w:rPr>
                  </w:pPr>
                  <w:r>
                    <w:rPr>
                      <w:rFonts w:hint="eastAsia" w:ascii="Times New Roman"/>
                      <w:sz w:val="21"/>
                      <w:szCs w:val="21"/>
                    </w:rPr>
                    <w:t>废水</w:t>
                  </w:r>
                </w:p>
              </w:tc>
              <w:tc>
                <w:tcPr>
                  <w:tcW w:w="857" w:type="pct"/>
                  <w:tcBorders>
                    <w:tl2br w:val="nil"/>
                    <w:tr2bl w:val="nil"/>
                  </w:tcBorders>
                  <w:noWrap w:val="0"/>
                  <w:vAlign w:val="center"/>
                </w:tcPr>
                <w:p w14:paraId="65463F9E">
                  <w:pPr>
                    <w:tabs>
                      <w:tab w:val="left" w:pos="3000"/>
                    </w:tabs>
                    <w:jc w:val="center"/>
                    <w:rPr>
                      <w:rFonts w:hint="eastAsia" w:ascii="Times New Roman"/>
                      <w:sz w:val="21"/>
                      <w:szCs w:val="21"/>
                    </w:rPr>
                  </w:pPr>
                  <w:r>
                    <w:rPr>
                      <w:rFonts w:hint="eastAsia" w:ascii="Times New Roman"/>
                      <w:sz w:val="21"/>
                      <w:szCs w:val="21"/>
                    </w:rPr>
                    <w:t>生活污水</w:t>
                  </w:r>
                </w:p>
              </w:tc>
              <w:tc>
                <w:tcPr>
                  <w:tcW w:w="1386" w:type="pct"/>
                  <w:tcBorders>
                    <w:tl2br w:val="nil"/>
                    <w:tr2bl w:val="nil"/>
                  </w:tcBorders>
                  <w:noWrap w:val="0"/>
                  <w:vAlign w:val="center"/>
                </w:tcPr>
                <w:p w14:paraId="624658B7">
                  <w:pPr>
                    <w:tabs>
                      <w:tab w:val="left" w:pos="3000"/>
                    </w:tabs>
                    <w:jc w:val="center"/>
                    <w:rPr>
                      <w:rFonts w:hint="eastAsia" w:ascii="Times New Roman"/>
                      <w:sz w:val="21"/>
                      <w:szCs w:val="21"/>
                    </w:rPr>
                  </w:pPr>
                  <w:r>
                    <w:rPr>
                      <w:rFonts w:hint="eastAsia" w:ascii="Times New Roman"/>
                      <w:sz w:val="21"/>
                      <w:szCs w:val="21"/>
                    </w:rPr>
                    <w:t>防渗旱厕</w:t>
                  </w:r>
                </w:p>
              </w:tc>
              <w:tc>
                <w:tcPr>
                  <w:tcW w:w="545" w:type="pct"/>
                  <w:tcBorders>
                    <w:tl2br w:val="nil"/>
                    <w:tr2bl w:val="nil"/>
                  </w:tcBorders>
                  <w:noWrap w:val="0"/>
                  <w:vAlign w:val="center"/>
                </w:tcPr>
                <w:p w14:paraId="11429804">
                  <w:pPr>
                    <w:tabs>
                      <w:tab w:val="left" w:pos="3000"/>
                    </w:tabs>
                    <w:jc w:val="center"/>
                    <w:rPr>
                      <w:rFonts w:hint="eastAsia" w:ascii="Times New Roman"/>
                      <w:sz w:val="21"/>
                      <w:szCs w:val="21"/>
                    </w:rPr>
                  </w:pPr>
                  <w:r>
                    <w:rPr>
                      <w:rFonts w:hint="eastAsia" w:ascii="Times New Roman"/>
                      <w:sz w:val="21"/>
                      <w:szCs w:val="21"/>
                    </w:rPr>
                    <w:t>1座</w:t>
                  </w:r>
                </w:p>
              </w:tc>
              <w:tc>
                <w:tcPr>
                  <w:tcW w:w="1645" w:type="pct"/>
                  <w:tcBorders>
                    <w:tl2br w:val="nil"/>
                    <w:tr2bl w:val="nil"/>
                  </w:tcBorders>
                  <w:noWrap w:val="0"/>
                  <w:vAlign w:val="center"/>
                </w:tcPr>
                <w:p w14:paraId="3F58039C">
                  <w:pPr>
                    <w:tabs>
                      <w:tab w:val="left" w:pos="3000"/>
                    </w:tabs>
                    <w:jc w:val="center"/>
                    <w:rPr>
                      <w:rFonts w:hint="eastAsia" w:ascii="Times New Roman"/>
                      <w:sz w:val="21"/>
                      <w:szCs w:val="21"/>
                    </w:rPr>
                  </w:pPr>
                  <w:r>
                    <w:rPr>
                      <w:rFonts w:hint="eastAsia" w:ascii="Times New Roman"/>
                      <w:sz w:val="21"/>
                      <w:szCs w:val="21"/>
                    </w:rPr>
                    <w:t>生活污水不外排</w:t>
                  </w:r>
                </w:p>
              </w:tc>
            </w:tr>
            <w:tr w14:paraId="22CC8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5" w:type="pct"/>
                  <w:vMerge w:val="continue"/>
                  <w:tcBorders>
                    <w:tl2br w:val="nil"/>
                    <w:tr2bl w:val="nil"/>
                  </w:tcBorders>
                  <w:noWrap w:val="0"/>
                  <w:vAlign w:val="center"/>
                </w:tcPr>
                <w:p w14:paraId="3631425A">
                  <w:pPr>
                    <w:tabs>
                      <w:tab w:val="left" w:pos="3000"/>
                    </w:tabs>
                    <w:jc w:val="center"/>
                    <w:rPr>
                      <w:rFonts w:hint="eastAsia" w:ascii="Times New Roman"/>
                      <w:sz w:val="21"/>
                      <w:szCs w:val="21"/>
                    </w:rPr>
                  </w:pPr>
                </w:p>
              </w:tc>
              <w:tc>
                <w:tcPr>
                  <w:tcW w:w="857" w:type="pct"/>
                  <w:tcBorders>
                    <w:tl2br w:val="nil"/>
                    <w:tr2bl w:val="nil"/>
                  </w:tcBorders>
                  <w:noWrap w:val="0"/>
                  <w:vAlign w:val="center"/>
                </w:tcPr>
                <w:p w14:paraId="1C26B508">
                  <w:pPr>
                    <w:tabs>
                      <w:tab w:val="left" w:pos="3000"/>
                    </w:tabs>
                    <w:jc w:val="center"/>
                    <w:rPr>
                      <w:rFonts w:hint="default" w:ascii="Times New Roman" w:eastAsia="宋体"/>
                      <w:sz w:val="21"/>
                      <w:szCs w:val="21"/>
                      <w:lang w:val="en-US" w:eastAsia="zh-CN"/>
                    </w:rPr>
                  </w:pPr>
                  <w:r>
                    <w:rPr>
                      <w:rFonts w:hint="eastAsia" w:ascii="Times New Roman"/>
                      <w:sz w:val="21"/>
                      <w:szCs w:val="21"/>
                      <w:lang w:val="en-US" w:eastAsia="zh-CN"/>
                    </w:rPr>
                    <w:t>生产废水</w:t>
                  </w:r>
                </w:p>
              </w:tc>
              <w:tc>
                <w:tcPr>
                  <w:tcW w:w="1386" w:type="pct"/>
                  <w:tcBorders>
                    <w:tl2br w:val="nil"/>
                    <w:tr2bl w:val="nil"/>
                  </w:tcBorders>
                  <w:noWrap w:val="0"/>
                  <w:vAlign w:val="center"/>
                </w:tcPr>
                <w:p w14:paraId="57965F34">
                  <w:pPr>
                    <w:tabs>
                      <w:tab w:val="left" w:pos="3000"/>
                    </w:tabs>
                    <w:jc w:val="center"/>
                    <w:rPr>
                      <w:rFonts w:hint="eastAsia" w:ascii="Times New Roman" w:eastAsia="宋体"/>
                      <w:sz w:val="21"/>
                      <w:szCs w:val="21"/>
                      <w:lang w:val="en-US" w:eastAsia="zh-CN"/>
                    </w:rPr>
                  </w:pPr>
                  <w:r>
                    <w:rPr>
                      <w:rFonts w:hint="eastAsia" w:cs="Times New Roman"/>
                      <w:u w:val="none"/>
                      <w:lang w:val="en-US" w:eastAsia="zh-CN"/>
                    </w:rPr>
                    <w:t>三级</w:t>
                  </w:r>
                  <w:r>
                    <w:rPr>
                      <w:rFonts w:hint="eastAsia" w:ascii="Times New Roman" w:hAnsi="Times New Roman" w:eastAsia="宋体" w:cs="Times New Roman"/>
                      <w:u w:val="none"/>
                      <w:lang w:val="en-US" w:eastAsia="zh-CN"/>
                    </w:rPr>
                    <w:t>沉淀池</w:t>
                  </w:r>
                </w:p>
              </w:tc>
              <w:tc>
                <w:tcPr>
                  <w:tcW w:w="545" w:type="pct"/>
                  <w:tcBorders>
                    <w:tl2br w:val="nil"/>
                    <w:tr2bl w:val="nil"/>
                  </w:tcBorders>
                  <w:noWrap w:val="0"/>
                  <w:vAlign w:val="center"/>
                </w:tcPr>
                <w:p w14:paraId="5216424C">
                  <w:pPr>
                    <w:tabs>
                      <w:tab w:val="left" w:pos="3000"/>
                    </w:tabs>
                    <w:jc w:val="center"/>
                    <w:rPr>
                      <w:rFonts w:hint="default" w:ascii="Times New Roman" w:eastAsia="宋体"/>
                      <w:sz w:val="21"/>
                      <w:szCs w:val="21"/>
                      <w:lang w:val="en-US" w:eastAsia="zh-CN"/>
                    </w:rPr>
                  </w:pPr>
                  <w:r>
                    <w:rPr>
                      <w:rFonts w:hint="eastAsia"/>
                      <w:sz w:val="21"/>
                      <w:szCs w:val="21"/>
                      <w:lang w:val="en-US" w:eastAsia="zh-CN"/>
                    </w:rPr>
                    <w:t>1座</w:t>
                  </w:r>
                </w:p>
              </w:tc>
              <w:tc>
                <w:tcPr>
                  <w:tcW w:w="1645" w:type="pct"/>
                  <w:tcBorders>
                    <w:tl2br w:val="nil"/>
                    <w:tr2bl w:val="nil"/>
                  </w:tcBorders>
                  <w:noWrap w:val="0"/>
                  <w:vAlign w:val="center"/>
                </w:tcPr>
                <w:p w14:paraId="54B50370">
                  <w:pPr>
                    <w:tabs>
                      <w:tab w:val="left" w:pos="3000"/>
                    </w:tabs>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处理后全部回用于生产</w:t>
                  </w:r>
                </w:p>
              </w:tc>
            </w:tr>
            <w:tr w14:paraId="6A45FE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5" w:type="pct"/>
                  <w:tcBorders>
                    <w:tl2br w:val="nil"/>
                    <w:tr2bl w:val="nil"/>
                  </w:tcBorders>
                  <w:shd w:val="clear" w:color="auto" w:fill="auto"/>
                  <w:noWrap w:val="0"/>
                  <w:vAlign w:val="center"/>
                </w:tcPr>
                <w:p w14:paraId="3281CF3B">
                  <w:pPr>
                    <w:tabs>
                      <w:tab w:val="left" w:pos="3000"/>
                    </w:tabs>
                    <w:jc w:val="center"/>
                    <w:rPr>
                      <w:rFonts w:hint="eastAsia" w:ascii="Times New Roman" w:hAnsi="Times New Roman" w:eastAsia="宋体" w:cs="Times New Roman"/>
                      <w:kern w:val="2"/>
                      <w:sz w:val="21"/>
                      <w:szCs w:val="21"/>
                      <w:lang w:val="en-US" w:eastAsia="zh-CN" w:bidi="ar-SA"/>
                    </w:rPr>
                  </w:pPr>
                  <w:r>
                    <w:rPr>
                      <w:rFonts w:hint="eastAsia" w:ascii="Times New Roman"/>
                      <w:sz w:val="21"/>
                      <w:szCs w:val="21"/>
                    </w:rPr>
                    <w:t>噪声</w:t>
                  </w:r>
                </w:p>
              </w:tc>
              <w:tc>
                <w:tcPr>
                  <w:tcW w:w="857" w:type="pct"/>
                  <w:tcBorders>
                    <w:tl2br w:val="nil"/>
                    <w:tr2bl w:val="nil"/>
                  </w:tcBorders>
                  <w:shd w:val="clear" w:color="auto" w:fill="auto"/>
                  <w:noWrap w:val="0"/>
                  <w:vAlign w:val="center"/>
                </w:tcPr>
                <w:p w14:paraId="243BE67D">
                  <w:pPr>
                    <w:tabs>
                      <w:tab w:val="left" w:pos="3000"/>
                    </w:tabs>
                    <w:jc w:val="center"/>
                    <w:rPr>
                      <w:rFonts w:hint="eastAsia" w:ascii="Times New Roman" w:hAnsi="Times New Roman" w:eastAsia="宋体" w:cs="Times New Roman"/>
                      <w:kern w:val="2"/>
                      <w:sz w:val="21"/>
                      <w:szCs w:val="21"/>
                      <w:lang w:val="en-US" w:eastAsia="zh-CN" w:bidi="ar-SA"/>
                    </w:rPr>
                  </w:pPr>
                  <w:r>
                    <w:rPr>
                      <w:rFonts w:hint="eastAsia" w:ascii="Times New Roman"/>
                      <w:sz w:val="21"/>
                      <w:szCs w:val="21"/>
                    </w:rPr>
                    <w:t>噪声</w:t>
                  </w:r>
                </w:p>
              </w:tc>
              <w:tc>
                <w:tcPr>
                  <w:tcW w:w="1386" w:type="pct"/>
                  <w:tcBorders>
                    <w:tl2br w:val="nil"/>
                    <w:tr2bl w:val="nil"/>
                  </w:tcBorders>
                  <w:shd w:val="clear" w:color="auto" w:fill="auto"/>
                  <w:noWrap w:val="0"/>
                  <w:vAlign w:val="center"/>
                </w:tcPr>
                <w:p w14:paraId="37A4B60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bCs/>
                    </w:rPr>
                    <w:t>选用低噪声设备，采取有效的减振、</w:t>
                  </w:r>
                  <w:r>
                    <w:rPr>
                      <w:rFonts w:hint="eastAsia" w:ascii="宋体" w:hAnsi="宋体"/>
                      <w:bCs/>
                      <w:lang w:val="en-US" w:eastAsia="zh-CN"/>
                    </w:rPr>
                    <w:t>消</w:t>
                  </w:r>
                  <w:r>
                    <w:rPr>
                      <w:rFonts w:hint="eastAsia" w:ascii="宋体" w:hAnsi="宋体"/>
                      <w:bCs/>
                    </w:rPr>
                    <w:t>声等降噪措施，</w:t>
                  </w:r>
                  <w:r>
                    <w:rPr>
                      <w:rFonts w:hint="eastAsia"/>
                      <w:color w:val="000000" w:themeColor="text1"/>
                      <w:sz w:val="21"/>
                      <w:szCs w:val="21"/>
                      <w:u w:val="none"/>
                      <w14:textFill>
                        <w14:solidFill>
                          <w14:schemeClr w14:val="tx1"/>
                        </w14:solidFill>
                      </w14:textFill>
                    </w:rPr>
                    <w:t>加强厂区车辆的维护管理</w:t>
                  </w:r>
                </w:p>
              </w:tc>
              <w:tc>
                <w:tcPr>
                  <w:tcW w:w="545" w:type="pct"/>
                  <w:tcBorders>
                    <w:tl2br w:val="nil"/>
                    <w:tr2bl w:val="nil"/>
                  </w:tcBorders>
                  <w:shd w:val="clear" w:color="auto" w:fill="auto"/>
                  <w:noWrap w:val="0"/>
                  <w:vAlign w:val="center"/>
                </w:tcPr>
                <w:p w14:paraId="3F1B975B">
                  <w:pPr>
                    <w:keepNext w:val="0"/>
                    <w:keepLines w:val="0"/>
                    <w:pageBreakBefore w:val="0"/>
                    <w:widowControl w:val="0"/>
                    <w:tabs>
                      <w:tab w:val="left" w:pos="300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645" w:type="pct"/>
                  <w:tcBorders>
                    <w:tl2br w:val="nil"/>
                    <w:tr2bl w:val="nil"/>
                  </w:tcBorders>
                  <w:shd w:val="clear" w:color="auto" w:fill="auto"/>
                  <w:noWrap w:val="0"/>
                  <w:vAlign w:val="center"/>
                </w:tcPr>
                <w:p w14:paraId="75013450">
                  <w:pPr>
                    <w:tabs>
                      <w:tab w:val="left" w:pos="3000"/>
                    </w:tabs>
                    <w:spacing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《工业企业厂界环境噪声排放标准》（GB12348-2008）中3类</w:t>
                  </w:r>
                  <w:r>
                    <w:rPr>
                      <w:rFonts w:hint="eastAsia" w:ascii="Times New Roman"/>
                      <w:sz w:val="21"/>
                      <w:szCs w:val="21"/>
                    </w:rPr>
                    <w:t>标准</w:t>
                  </w:r>
                </w:p>
              </w:tc>
            </w:tr>
            <w:tr w14:paraId="244DB9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5" w:type="pct"/>
                  <w:vMerge w:val="restart"/>
                  <w:tcBorders>
                    <w:tl2br w:val="nil"/>
                    <w:tr2bl w:val="nil"/>
                  </w:tcBorders>
                  <w:noWrap w:val="0"/>
                  <w:vAlign w:val="center"/>
                </w:tcPr>
                <w:p w14:paraId="17631F83">
                  <w:pPr>
                    <w:tabs>
                      <w:tab w:val="left" w:pos="3000"/>
                    </w:tabs>
                    <w:jc w:val="center"/>
                    <w:rPr>
                      <w:rFonts w:hint="eastAsia" w:ascii="Times New Roman"/>
                      <w:sz w:val="21"/>
                      <w:szCs w:val="21"/>
                    </w:rPr>
                  </w:pPr>
                  <w:r>
                    <w:rPr>
                      <w:rFonts w:hint="eastAsia" w:ascii="Times New Roman"/>
                      <w:sz w:val="21"/>
                      <w:szCs w:val="21"/>
                    </w:rPr>
                    <w:t>固体</w:t>
                  </w:r>
                </w:p>
                <w:p w14:paraId="6C81D817">
                  <w:pPr>
                    <w:tabs>
                      <w:tab w:val="left" w:pos="3000"/>
                    </w:tabs>
                    <w:jc w:val="center"/>
                    <w:rPr>
                      <w:rFonts w:hint="eastAsia" w:ascii="Times New Roman"/>
                      <w:sz w:val="21"/>
                      <w:szCs w:val="21"/>
                    </w:rPr>
                  </w:pPr>
                  <w:r>
                    <w:rPr>
                      <w:rFonts w:hint="eastAsia" w:ascii="Times New Roman"/>
                      <w:sz w:val="21"/>
                      <w:szCs w:val="21"/>
                    </w:rPr>
                    <w:t>废物</w:t>
                  </w:r>
                </w:p>
              </w:tc>
              <w:tc>
                <w:tcPr>
                  <w:tcW w:w="857" w:type="pct"/>
                  <w:tcBorders>
                    <w:tl2br w:val="nil"/>
                    <w:tr2bl w:val="nil"/>
                  </w:tcBorders>
                  <w:noWrap w:val="0"/>
                  <w:vAlign w:val="center"/>
                </w:tcPr>
                <w:p w14:paraId="7954AB7B">
                  <w:pPr>
                    <w:tabs>
                      <w:tab w:val="left" w:pos="3000"/>
                    </w:tabs>
                    <w:jc w:val="center"/>
                    <w:rPr>
                      <w:rFonts w:hint="eastAsia" w:ascii="Times New Roman"/>
                      <w:sz w:val="21"/>
                      <w:szCs w:val="21"/>
                    </w:rPr>
                  </w:pPr>
                  <w:r>
                    <w:rPr>
                      <w:rFonts w:hint="eastAsia" w:ascii="Times New Roman"/>
                      <w:sz w:val="21"/>
                      <w:szCs w:val="21"/>
                    </w:rPr>
                    <w:t>生活垃圾</w:t>
                  </w:r>
                </w:p>
              </w:tc>
              <w:tc>
                <w:tcPr>
                  <w:tcW w:w="1386" w:type="pct"/>
                  <w:tcBorders>
                    <w:tl2br w:val="nil"/>
                    <w:tr2bl w:val="nil"/>
                  </w:tcBorders>
                  <w:noWrap w:val="0"/>
                  <w:vAlign w:val="center"/>
                </w:tcPr>
                <w:p w14:paraId="3459F48F">
                  <w:pPr>
                    <w:tabs>
                      <w:tab w:val="left" w:pos="3000"/>
                    </w:tabs>
                    <w:jc w:val="center"/>
                    <w:rPr>
                      <w:rFonts w:hint="eastAsia" w:ascii="Times New Roman" w:hAnsi="Times New Roman" w:eastAsia="宋体" w:cs="Times New Roman"/>
                      <w:sz w:val="21"/>
                      <w:szCs w:val="21"/>
                      <w:lang w:eastAsia="zh-CN"/>
                    </w:rPr>
                  </w:pPr>
                  <w:r>
                    <w:rPr>
                      <w:rFonts w:hint="eastAsia" w:cs="Times New Roman"/>
                      <w:sz w:val="21"/>
                      <w:szCs w:val="21"/>
                      <w:lang w:eastAsia="zh-CN"/>
                    </w:rPr>
                    <w:t>收集后交由环卫部门统一处理</w:t>
                  </w:r>
                </w:p>
              </w:tc>
              <w:tc>
                <w:tcPr>
                  <w:tcW w:w="545" w:type="pct"/>
                  <w:tcBorders>
                    <w:tl2br w:val="nil"/>
                    <w:tr2bl w:val="nil"/>
                  </w:tcBorders>
                  <w:noWrap w:val="0"/>
                  <w:vAlign w:val="center"/>
                </w:tcPr>
                <w:p w14:paraId="26FBB429">
                  <w:pPr>
                    <w:tabs>
                      <w:tab w:val="left" w:pos="3000"/>
                    </w:tabs>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1645" w:type="pct"/>
                  <w:tcBorders>
                    <w:tl2br w:val="nil"/>
                    <w:tr2bl w:val="nil"/>
                  </w:tcBorders>
                  <w:noWrap w:val="0"/>
                  <w:vAlign w:val="center"/>
                </w:tcPr>
                <w:p w14:paraId="4EFF42E8">
                  <w:pPr>
                    <w:tabs>
                      <w:tab w:val="left" w:pos="3000"/>
                    </w:tabs>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r>
            <w:tr w14:paraId="0ED64E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5" w:type="pct"/>
                  <w:vMerge w:val="continue"/>
                  <w:tcBorders>
                    <w:tl2br w:val="nil"/>
                    <w:tr2bl w:val="nil"/>
                  </w:tcBorders>
                  <w:noWrap w:val="0"/>
                  <w:vAlign w:val="center"/>
                </w:tcPr>
                <w:p w14:paraId="45A4DD6B">
                  <w:pPr>
                    <w:tabs>
                      <w:tab w:val="left" w:pos="3000"/>
                    </w:tabs>
                    <w:jc w:val="center"/>
                    <w:rPr>
                      <w:rFonts w:hint="eastAsia" w:ascii="Times New Roman"/>
                      <w:sz w:val="21"/>
                      <w:szCs w:val="21"/>
                    </w:rPr>
                  </w:pPr>
                </w:p>
              </w:tc>
              <w:tc>
                <w:tcPr>
                  <w:tcW w:w="857" w:type="pct"/>
                  <w:tcBorders>
                    <w:tl2br w:val="nil"/>
                    <w:tr2bl w:val="nil"/>
                  </w:tcBorders>
                  <w:noWrap w:val="0"/>
                  <w:vAlign w:val="center"/>
                </w:tcPr>
                <w:p w14:paraId="05E1AA6E">
                  <w:pPr>
                    <w:tabs>
                      <w:tab w:val="left" w:pos="3000"/>
                    </w:tabs>
                    <w:jc w:val="center"/>
                    <w:rPr>
                      <w:rFonts w:hint="eastAsia" w:ascii="Times New Roman" w:eastAsia="宋体"/>
                      <w:sz w:val="21"/>
                      <w:szCs w:val="21"/>
                      <w:lang w:eastAsia="zh-CN"/>
                    </w:rPr>
                  </w:pPr>
                  <w:r>
                    <w:rPr>
                      <w:rFonts w:hint="eastAsia"/>
                      <w:sz w:val="21"/>
                      <w:szCs w:val="21"/>
                      <w:lang w:eastAsia="zh-CN"/>
                    </w:rPr>
                    <w:t>除尘器收集粉尘</w:t>
                  </w:r>
                </w:p>
              </w:tc>
              <w:tc>
                <w:tcPr>
                  <w:tcW w:w="1386" w:type="pct"/>
                  <w:tcBorders>
                    <w:tl2br w:val="nil"/>
                    <w:tr2bl w:val="nil"/>
                  </w:tcBorders>
                  <w:noWrap w:val="0"/>
                  <w:vAlign w:val="center"/>
                </w:tcPr>
                <w:p w14:paraId="04F6D70B">
                  <w:pPr>
                    <w:tabs>
                      <w:tab w:val="left" w:pos="3000"/>
                    </w:tabs>
                    <w:jc w:val="center"/>
                    <w:rPr>
                      <w:rFonts w:hint="eastAsia" w:ascii="Times New Roman" w:hAnsi="Times New Roman" w:eastAsia="宋体" w:cs="Times New Roman"/>
                      <w:sz w:val="21"/>
                      <w:szCs w:val="21"/>
                      <w:lang w:eastAsia="zh-CN"/>
                    </w:rPr>
                  </w:pPr>
                  <w:r>
                    <w:rPr>
                      <w:rFonts w:hint="eastAsia" w:cs="Times New Roman"/>
                      <w:sz w:val="21"/>
                      <w:szCs w:val="21"/>
                      <w:lang w:eastAsia="zh-CN"/>
                    </w:rPr>
                    <w:t>回用于生产</w:t>
                  </w:r>
                </w:p>
              </w:tc>
              <w:tc>
                <w:tcPr>
                  <w:tcW w:w="545" w:type="pct"/>
                  <w:tcBorders>
                    <w:tl2br w:val="nil"/>
                    <w:tr2bl w:val="nil"/>
                  </w:tcBorders>
                  <w:shd w:val="clear" w:color="auto" w:fill="auto"/>
                  <w:noWrap w:val="0"/>
                  <w:vAlign w:val="center"/>
                </w:tcPr>
                <w:p w14:paraId="3CBFE0E6">
                  <w:pPr>
                    <w:tabs>
                      <w:tab w:val="left" w:pos="3000"/>
                    </w:tabs>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1645" w:type="pct"/>
                  <w:tcBorders>
                    <w:tl2br w:val="nil"/>
                    <w:tr2bl w:val="nil"/>
                  </w:tcBorders>
                  <w:shd w:val="clear" w:color="auto" w:fill="auto"/>
                  <w:noWrap w:val="0"/>
                  <w:vAlign w:val="center"/>
                </w:tcPr>
                <w:p w14:paraId="3E409728">
                  <w:pPr>
                    <w:tabs>
                      <w:tab w:val="left" w:pos="3000"/>
                    </w:tabs>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r>
            <w:tr w14:paraId="1E3AD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5" w:type="pct"/>
                  <w:vMerge w:val="continue"/>
                  <w:tcBorders>
                    <w:tl2br w:val="nil"/>
                    <w:tr2bl w:val="nil"/>
                  </w:tcBorders>
                  <w:noWrap w:val="0"/>
                  <w:vAlign w:val="center"/>
                </w:tcPr>
                <w:p w14:paraId="16559045">
                  <w:pPr>
                    <w:tabs>
                      <w:tab w:val="left" w:pos="3000"/>
                    </w:tabs>
                    <w:jc w:val="center"/>
                    <w:rPr>
                      <w:rFonts w:hint="eastAsia" w:ascii="Times New Roman"/>
                      <w:sz w:val="21"/>
                      <w:szCs w:val="21"/>
                    </w:rPr>
                  </w:pPr>
                </w:p>
              </w:tc>
              <w:tc>
                <w:tcPr>
                  <w:tcW w:w="857" w:type="pct"/>
                  <w:tcBorders>
                    <w:tl2br w:val="nil"/>
                    <w:tr2bl w:val="nil"/>
                  </w:tcBorders>
                  <w:noWrap w:val="0"/>
                  <w:vAlign w:val="center"/>
                </w:tcPr>
                <w:p w14:paraId="12A29124">
                  <w:pPr>
                    <w:tabs>
                      <w:tab w:val="left" w:pos="3000"/>
                    </w:tabs>
                    <w:jc w:val="center"/>
                    <w:rPr>
                      <w:rFonts w:hint="eastAsia" w:ascii="Times New Roman" w:eastAsia="宋体"/>
                      <w:sz w:val="21"/>
                      <w:szCs w:val="21"/>
                      <w:lang w:eastAsia="zh-CN"/>
                    </w:rPr>
                  </w:pPr>
                  <w:r>
                    <w:rPr>
                      <w:rFonts w:hint="eastAsia"/>
                      <w:sz w:val="21"/>
                      <w:szCs w:val="21"/>
                      <w:lang w:eastAsia="zh-CN"/>
                    </w:rPr>
                    <w:t>废布袋</w:t>
                  </w:r>
                </w:p>
              </w:tc>
              <w:tc>
                <w:tcPr>
                  <w:tcW w:w="1386" w:type="pct"/>
                  <w:tcBorders>
                    <w:tl2br w:val="nil"/>
                    <w:tr2bl w:val="nil"/>
                  </w:tcBorders>
                  <w:noWrap w:val="0"/>
                  <w:vAlign w:val="center"/>
                </w:tcPr>
                <w:p w14:paraId="54E4EF49">
                  <w:pPr>
                    <w:tabs>
                      <w:tab w:val="left" w:pos="3000"/>
                    </w:tabs>
                    <w:jc w:val="center"/>
                    <w:rPr>
                      <w:rFonts w:hint="eastAsia" w:ascii="Times New Roman" w:hAnsi="Times New Roman" w:eastAsia="宋体" w:cs="Times New Roman"/>
                      <w:sz w:val="21"/>
                      <w:szCs w:val="21"/>
                      <w:lang w:eastAsia="zh-CN"/>
                    </w:rPr>
                  </w:pPr>
                  <w:r>
                    <w:rPr>
                      <w:rFonts w:hint="eastAsia" w:cs="Times New Roman"/>
                      <w:sz w:val="21"/>
                      <w:szCs w:val="21"/>
                      <w:lang w:eastAsia="zh-CN"/>
                    </w:rPr>
                    <w:t>交由厂家回收利用</w:t>
                  </w:r>
                </w:p>
              </w:tc>
              <w:tc>
                <w:tcPr>
                  <w:tcW w:w="545" w:type="pct"/>
                  <w:tcBorders>
                    <w:tl2br w:val="nil"/>
                    <w:tr2bl w:val="nil"/>
                  </w:tcBorders>
                  <w:shd w:val="clear" w:color="auto" w:fill="auto"/>
                  <w:noWrap w:val="0"/>
                  <w:vAlign w:val="center"/>
                </w:tcPr>
                <w:p w14:paraId="7EC7528C">
                  <w:pPr>
                    <w:tabs>
                      <w:tab w:val="left" w:pos="3000"/>
                    </w:tabs>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1645" w:type="pct"/>
                  <w:tcBorders>
                    <w:tl2br w:val="nil"/>
                    <w:tr2bl w:val="nil"/>
                  </w:tcBorders>
                  <w:shd w:val="clear" w:color="auto" w:fill="auto"/>
                  <w:noWrap w:val="0"/>
                  <w:vAlign w:val="center"/>
                </w:tcPr>
                <w:p w14:paraId="0D6C73AB">
                  <w:pPr>
                    <w:tabs>
                      <w:tab w:val="left" w:pos="3000"/>
                    </w:tabs>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r>
            <w:tr w14:paraId="03CA9D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5" w:type="pct"/>
                  <w:vMerge w:val="continue"/>
                  <w:tcBorders>
                    <w:tl2br w:val="nil"/>
                    <w:tr2bl w:val="nil"/>
                  </w:tcBorders>
                  <w:noWrap w:val="0"/>
                  <w:vAlign w:val="center"/>
                </w:tcPr>
                <w:p w14:paraId="53C53EAF">
                  <w:pPr>
                    <w:tabs>
                      <w:tab w:val="left" w:pos="3000"/>
                    </w:tabs>
                    <w:jc w:val="center"/>
                    <w:rPr>
                      <w:rFonts w:hint="eastAsia" w:ascii="Times New Roman"/>
                      <w:sz w:val="21"/>
                      <w:szCs w:val="21"/>
                    </w:rPr>
                  </w:pPr>
                </w:p>
              </w:tc>
              <w:tc>
                <w:tcPr>
                  <w:tcW w:w="857" w:type="pct"/>
                  <w:tcBorders>
                    <w:tl2br w:val="nil"/>
                    <w:tr2bl w:val="nil"/>
                  </w:tcBorders>
                  <w:noWrap w:val="0"/>
                  <w:vAlign w:val="center"/>
                </w:tcPr>
                <w:p w14:paraId="12970708">
                  <w:pPr>
                    <w:tabs>
                      <w:tab w:val="left" w:pos="3000"/>
                    </w:tabs>
                    <w:jc w:val="center"/>
                    <w:rPr>
                      <w:rFonts w:hint="eastAsia" w:ascii="Times New Roman" w:eastAsia="宋体"/>
                      <w:sz w:val="21"/>
                      <w:szCs w:val="21"/>
                      <w:lang w:eastAsia="zh-CN"/>
                    </w:rPr>
                  </w:pPr>
                  <w:r>
                    <w:rPr>
                      <w:rFonts w:hint="eastAsia"/>
                      <w:sz w:val="21"/>
                      <w:szCs w:val="21"/>
                      <w:lang w:eastAsia="zh-CN"/>
                    </w:rPr>
                    <w:t>沉淀池沉淀物</w:t>
                  </w:r>
                </w:p>
              </w:tc>
              <w:tc>
                <w:tcPr>
                  <w:tcW w:w="1386" w:type="pct"/>
                  <w:tcBorders>
                    <w:tl2br w:val="nil"/>
                    <w:tr2bl w:val="nil"/>
                  </w:tcBorders>
                  <w:noWrap w:val="0"/>
                  <w:vAlign w:val="center"/>
                </w:tcPr>
                <w:p w14:paraId="10152371">
                  <w:pPr>
                    <w:tabs>
                      <w:tab w:val="left" w:pos="3000"/>
                    </w:tabs>
                    <w:jc w:val="center"/>
                    <w:rPr>
                      <w:rFonts w:hint="eastAsia" w:ascii="Times New Roman" w:hAnsi="Times New Roman" w:eastAsia="宋体" w:cs="Times New Roman"/>
                      <w:sz w:val="21"/>
                      <w:szCs w:val="21"/>
                      <w:lang w:eastAsia="zh-CN"/>
                    </w:rPr>
                  </w:pPr>
                  <w:r>
                    <w:rPr>
                      <w:rFonts w:hint="eastAsia" w:cs="Times New Roman"/>
                      <w:sz w:val="21"/>
                      <w:szCs w:val="21"/>
                      <w:lang w:eastAsia="zh-CN"/>
                    </w:rPr>
                    <w:t>回用于生产</w:t>
                  </w:r>
                </w:p>
              </w:tc>
              <w:tc>
                <w:tcPr>
                  <w:tcW w:w="545" w:type="pct"/>
                  <w:tcBorders>
                    <w:tl2br w:val="nil"/>
                    <w:tr2bl w:val="nil"/>
                  </w:tcBorders>
                  <w:shd w:val="clear" w:color="auto" w:fill="auto"/>
                  <w:noWrap w:val="0"/>
                  <w:vAlign w:val="center"/>
                </w:tcPr>
                <w:p w14:paraId="6CE20A88">
                  <w:pPr>
                    <w:tabs>
                      <w:tab w:val="left" w:pos="3000"/>
                    </w:tabs>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1645" w:type="pct"/>
                  <w:tcBorders>
                    <w:tl2br w:val="nil"/>
                    <w:tr2bl w:val="nil"/>
                  </w:tcBorders>
                  <w:shd w:val="clear" w:color="auto" w:fill="auto"/>
                  <w:noWrap w:val="0"/>
                  <w:vAlign w:val="center"/>
                </w:tcPr>
                <w:p w14:paraId="6E993CF2">
                  <w:pPr>
                    <w:tabs>
                      <w:tab w:val="left" w:pos="3000"/>
                    </w:tabs>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r>
            <w:tr w14:paraId="6CA498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5" w:type="pct"/>
                  <w:vMerge w:val="continue"/>
                  <w:tcBorders>
                    <w:tl2br w:val="nil"/>
                    <w:tr2bl w:val="nil"/>
                  </w:tcBorders>
                  <w:noWrap w:val="0"/>
                  <w:vAlign w:val="center"/>
                </w:tcPr>
                <w:p w14:paraId="14A06C90">
                  <w:pPr>
                    <w:tabs>
                      <w:tab w:val="left" w:pos="3000"/>
                    </w:tabs>
                    <w:jc w:val="center"/>
                    <w:rPr>
                      <w:rFonts w:hint="eastAsia" w:ascii="Times New Roman"/>
                      <w:sz w:val="21"/>
                      <w:szCs w:val="21"/>
                    </w:rPr>
                  </w:pPr>
                </w:p>
              </w:tc>
              <w:tc>
                <w:tcPr>
                  <w:tcW w:w="857" w:type="pct"/>
                  <w:tcBorders>
                    <w:tl2br w:val="nil"/>
                    <w:tr2bl w:val="nil"/>
                  </w:tcBorders>
                  <w:noWrap w:val="0"/>
                  <w:vAlign w:val="center"/>
                </w:tcPr>
                <w:p w14:paraId="5361733C">
                  <w:pPr>
                    <w:tabs>
                      <w:tab w:val="left" w:pos="3000"/>
                    </w:tabs>
                    <w:jc w:val="center"/>
                    <w:rPr>
                      <w:rFonts w:hint="eastAsia"/>
                      <w:sz w:val="21"/>
                      <w:szCs w:val="21"/>
                      <w:lang w:eastAsia="zh-CN"/>
                    </w:rPr>
                  </w:pPr>
                  <w:r>
                    <w:rPr>
                      <w:rFonts w:hint="eastAsia"/>
                      <w:sz w:val="21"/>
                      <w:szCs w:val="21"/>
                      <w:lang w:eastAsia="zh-CN"/>
                    </w:rPr>
                    <w:t>化验室废试样</w:t>
                  </w:r>
                </w:p>
              </w:tc>
              <w:tc>
                <w:tcPr>
                  <w:tcW w:w="1386" w:type="pct"/>
                  <w:tcBorders>
                    <w:tl2br w:val="nil"/>
                    <w:tr2bl w:val="nil"/>
                  </w:tcBorders>
                  <w:noWrap w:val="0"/>
                  <w:vAlign w:val="center"/>
                </w:tcPr>
                <w:p w14:paraId="0A6214DE">
                  <w:pPr>
                    <w:tabs>
                      <w:tab w:val="left" w:pos="3000"/>
                    </w:tabs>
                    <w:jc w:val="center"/>
                    <w:rPr>
                      <w:rFonts w:hint="eastAsia" w:ascii="Times New Roman" w:hAnsi="Times New Roman" w:cs="Times New Roman"/>
                      <w:sz w:val="21"/>
                      <w:szCs w:val="21"/>
                    </w:rPr>
                  </w:pPr>
                  <w:r>
                    <w:rPr>
                      <w:rFonts w:hint="eastAsia" w:ascii="Times New Roman" w:hAnsi="Times New Roman" w:cs="Times New Roman"/>
                      <w:sz w:val="21"/>
                      <w:szCs w:val="21"/>
                    </w:rPr>
                    <w:t>交由建材厂综合利用</w:t>
                  </w:r>
                </w:p>
              </w:tc>
              <w:tc>
                <w:tcPr>
                  <w:tcW w:w="545" w:type="pct"/>
                  <w:tcBorders>
                    <w:tl2br w:val="nil"/>
                    <w:tr2bl w:val="nil"/>
                  </w:tcBorders>
                  <w:shd w:val="clear" w:color="auto" w:fill="auto"/>
                  <w:noWrap w:val="0"/>
                  <w:vAlign w:val="center"/>
                </w:tcPr>
                <w:p w14:paraId="2D49A3C5">
                  <w:pPr>
                    <w:tabs>
                      <w:tab w:val="left" w:pos="3000"/>
                    </w:tabs>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1645" w:type="pct"/>
                  <w:tcBorders>
                    <w:tl2br w:val="nil"/>
                    <w:tr2bl w:val="nil"/>
                  </w:tcBorders>
                  <w:shd w:val="clear" w:color="auto" w:fill="auto"/>
                  <w:noWrap w:val="0"/>
                  <w:vAlign w:val="center"/>
                </w:tcPr>
                <w:p w14:paraId="4D088D38">
                  <w:pPr>
                    <w:tabs>
                      <w:tab w:val="left" w:pos="3000"/>
                    </w:tabs>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r>
          </w:tbl>
          <w:p w14:paraId="46927E27">
            <w:pPr>
              <w:numPr>
                <w:ilvl w:val="0"/>
                <w:numId w:val="0"/>
              </w:numPr>
              <w:bidi w:val="0"/>
              <w:spacing w:line="360" w:lineRule="auto"/>
              <w:ind w:firstLine="480" w:firstLineChars="200"/>
              <w:rPr>
                <w:rFonts w:hint="default" w:ascii="宋体" w:hAnsi="宋体" w:cs="宋体"/>
                <w:i w:val="0"/>
                <w:iCs w:val="0"/>
                <w:sz w:val="24"/>
                <w:szCs w:val="24"/>
                <w:u w:val="none"/>
                <w:lang w:val="en-US" w:eastAsia="zh-CN"/>
              </w:rPr>
            </w:pPr>
          </w:p>
          <w:p w14:paraId="0A2DF441">
            <w:pPr>
              <w:pStyle w:val="2"/>
              <w:rPr>
                <w:rFonts w:hint="default" w:ascii="宋体" w:hAnsi="宋体" w:cs="宋体"/>
                <w:i w:val="0"/>
                <w:iCs w:val="0"/>
                <w:sz w:val="24"/>
                <w:szCs w:val="24"/>
                <w:u w:val="none"/>
                <w:lang w:val="en-US" w:eastAsia="zh-CN"/>
              </w:rPr>
            </w:pPr>
          </w:p>
          <w:p w14:paraId="45EC543F">
            <w:pPr>
              <w:pStyle w:val="2"/>
              <w:rPr>
                <w:rFonts w:hint="default" w:ascii="宋体" w:hAnsi="宋体" w:cs="宋体"/>
                <w:i w:val="0"/>
                <w:iCs w:val="0"/>
                <w:sz w:val="24"/>
                <w:szCs w:val="24"/>
                <w:u w:val="none"/>
                <w:lang w:val="en-US" w:eastAsia="zh-CN"/>
              </w:rPr>
            </w:pPr>
          </w:p>
          <w:p w14:paraId="189F4D61">
            <w:pPr>
              <w:pStyle w:val="2"/>
              <w:rPr>
                <w:rFonts w:hint="default" w:ascii="宋体" w:hAnsi="宋体" w:cs="宋体"/>
                <w:i w:val="0"/>
                <w:iCs w:val="0"/>
                <w:sz w:val="24"/>
                <w:szCs w:val="24"/>
                <w:u w:val="none"/>
                <w:lang w:val="en-US" w:eastAsia="zh-CN"/>
              </w:rPr>
            </w:pPr>
          </w:p>
          <w:p w14:paraId="2F0D47BB">
            <w:pPr>
              <w:pStyle w:val="2"/>
              <w:rPr>
                <w:rFonts w:hint="default" w:ascii="宋体" w:hAnsi="宋体" w:cs="宋体"/>
                <w:i w:val="0"/>
                <w:iCs w:val="0"/>
                <w:sz w:val="24"/>
                <w:szCs w:val="24"/>
                <w:u w:val="none"/>
                <w:lang w:val="en-US" w:eastAsia="zh-CN"/>
              </w:rPr>
            </w:pPr>
          </w:p>
          <w:p w14:paraId="32301D71">
            <w:pPr>
              <w:pStyle w:val="2"/>
              <w:rPr>
                <w:rFonts w:hint="default" w:ascii="宋体" w:hAnsi="宋体" w:cs="宋体"/>
                <w:i w:val="0"/>
                <w:iCs w:val="0"/>
                <w:sz w:val="24"/>
                <w:szCs w:val="24"/>
                <w:u w:val="none"/>
                <w:lang w:val="en-US" w:eastAsia="zh-CN"/>
              </w:rPr>
            </w:pPr>
          </w:p>
          <w:p w14:paraId="6D7A975D">
            <w:pPr>
              <w:pStyle w:val="2"/>
              <w:rPr>
                <w:rFonts w:hint="default" w:ascii="宋体" w:hAnsi="宋体" w:cs="宋体"/>
                <w:i w:val="0"/>
                <w:iCs w:val="0"/>
                <w:sz w:val="24"/>
                <w:szCs w:val="24"/>
                <w:u w:val="none"/>
                <w:lang w:val="en-US" w:eastAsia="zh-CN"/>
              </w:rPr>
            </w:pPr>
          </w:p>
          <w:p w14:paraId="4ACCAE55">
            <w:pPr>
              <w:pStyle w:val="2"/>
              <w:rPr>
                <w:rFonts w:hint="default" w:ascii="宋体" w:hAnsi="宋体" w:cs="宋体"/>
                <w:i w:val="0"/>
                <w:iCs w:val="0"/>
                <w:sz w:val="24"/>
                <w:szCs w:val="24"/>
                <w:u w:val="none"/>
                <w:lang w:val="en-US" w:eastAsia="zh-CN"/>
              </w:rPr>
            </w:pPr>
          </w:p>
          <w:p w14:paraId="6DF7B8F5">
            <w:pPr>
              <w:pStyle w:val="2"/>
              <w:rPr>
                <w:rFonts w:hint="default" w:ascii="宋体" w:hAnsi="宋体" w:cs="宋体"/>
                <w:i w:val="0"/>
                <w:iCs w:val="0"/>
                <w:sz w:val="24"/>
                <w:szCs w:val="24"/>
                <w:u w:val="none"/>
                <w:lang w:val="en-US" w:eastAsia="zh-CN"/>
              </w:rPr>
            </w:pPr>
          </w:p>
          <w:p w14:paraId="17DCD6CE">
            <w:pPr>
              <w:pStyle w:val="2"/>
              <w:rPr>
                <w:rFonts w:hint="default" w:ascii="宋体" w:hAnsi="宋体" w:cs="宋体"/>
                <w:i w:val="0"/>
                <w:iCs w:val="0"/>
                <w:sz w:val="24"/>
                <w:szCs w:val="24"/>
                <w:u w:val="none"/>
                <w:lang w:val="en-US" w:eastAsia="zh-CN"/>
              </w:rPr>
            </w:pPr>
          </w:p>
          <w:p w14:paraId="5C242006">
            <w:pPr>
              <w:pStyle w:val="2"/>
              <w:rPr>
                <w:rFonts w:hint="default" w:ascii="宋体" w:hAnsi="宋体" w:cs="宋体"/>
                <w:i w:val="0"/>
                <w:iCs w:val="0"/>
                <w:sz w:val="24"/>
                <w:szCs w:val="24"/>
                <w:u w:val="none"/>
                <w:lang w:val="en-US" w:eastAsia="zh-CN"/>
              </w:rPr>
            </w:pPr>
          </w:p>
          <w:p w14:paraId="6276E4E7">
            <w:pPr>
              <w:pStyle w:val="2"/>
              <w:rPr>
                <w:rFonts w:hint="default" w:ascii="宋体" w:hAnsi="宋体" w:cs="宋体"/>
                <w:i w:val="0"/>
                <w:iCs w:val="0"/>
                <w:sz w:val="24"/>
                <w:szCs w:val="24"/>
                <w:u w:val="none"/>
                <w:lang w:val="en-US" w:eastAsia="zh-CN"/>
              </w:rPr>
            </w:pPr>
          </w:p>
          <w:p w14:paraId="5FA33BC8">
            <w:pPr>
              <w:pStyle w:val="2"/>
              <w:rPr>
                <w:rFonts w:hint="default" w:ascii="宋体" w:hAnsi="宋体" w:cs="宋体"/>
                <w:i w:val="0"/>
                <w:iCs w:val="0"/>
                <w:sz w:val="24"/>
                <w:szCs w:val="24"/>
                <w:u w:val="none"/>
                <w:lang w:val="en-US" w:eastAsia="zh-CN"/>
              </w:rPr>
            </w:pPr>
          </w:p>
          <w:p w14:paraId="11084AD9">
            <w:pPr>
              <w:pStyle w:val="2"/>
              <w:rPr>
                <w:rFonts w:hint="default" w:ascii="宋体" w:hAnsi="宋体" w:cs="宋体"/>
                <w:i w:val="0"/>
                <w:iCs w:val="0"/>
                <w:sz w:val="24"/>
                <w:szCs w:val="24"/>
                <w:u w:val="none"/>
                <w:lang w:val="en-US" w:eastAsia="zh-CN"/>
              </w:rPr>
            </w:pPr>
          </w:p>
          <w:p w14:paraId="1FAAB1CC">
            <w:pPr>
              <w:pStyle w:val="2"/>
              <w:rPr>
                <w:rFonts w:hint="default" w:ascii="宋体" w:hAnsi="宋体" w:cs="宋体"/>
                <w:i w:val="0"/>
                <w:iCs w:val="0"/>
                <w:sz w:val="24"/>
                <w:szCs w:val="24"/>
                <w:u w:val="none"/>
                <w:lang w:val="en-US" w:eastAsia="zh-CN"/>
              </w:rPr>
            </w:pPr>
          </w:p>
          <w:p w14:paraId="19B22DDE">
            <w:pPr>
              <w:pStyle w:val="2"/>
              <w:rPr>
                <w:rFonts w:hint="default" w:ascii="宋体" w:hAnsi="宋体" w:cs="宋体"/>
                <w:i w:val="0"/>
                <w:iCs w:val="0"/>
                <w:sz w:val="24"/>
                <w:szCs w:val="24"/>
                <w:u w:val="none"/>
                <w:lang w:val="en-US" w:eastAsia="zh-CN"/>
              </w:rPr>
            </w:pPr>
          </w:p>
          <w:p w14:paraId="290C7FA9">
            <w:pPr>
              <w:pStyle w:val="2"/>
              <w:rPr>
                <w:rFonts w:hint="default" w:ascii="宋体" w:hAnsi="宋体" w:cs="宋体"/>
                <w:i w:val="0"/>
                <w:iCs w:val="0"/>
                <w:sz w:val="24"/>
                <w:szCs w:val="24"/>
                <w:u w:val="none"/>
                <w:lang w:val="en-US" w:eastAsia="zh-CN"/>
              </w:rPr>
            </w:pPr>
          </w:p>
          <w:p w14:paraId="7DD3D6DA">
            <w:pPr>
              <w:pStyle w:val="2"/>
              <w:rPr>
                <w:rFonts w:hint="default" w:ascii="宋体" w:hAnsi="宋体" w:cs="宋体"/>
                <w:i w:val="0"/>
                <w:iCs w:val="0"/>
                <w:sz w:val="24"/>
                <w:szCs w:val="24"/>
                <w:u w:val="none"/>
                <w:lang w:val="en-US" w:eastAsia="zh-CN"/>
              </w:rPr>
            </w:pPr>
          </w:p>
          <w:p w14:paraId="59EACA8A">
            <w:pPr>
              <w:pStyle w:val="2"/>
              <w:rPr>
                <w:rFonts w:hint="default" w:ascii="宋体" w:hAnsi="宋体" w:cs="宋体"/>
                <w:i w:val="0"/>
                <w:iCs w:val="0"/>
                <w:sz w:val="24"/>
                <w:szCs w:val="24"/>
                <w:u w:val="none"/>
                <w:lang w:val="en-US" w:eastAsia="zh-CN"/>
              </w:rPr>
            </w:pPr>
          </w:p>
          <w:p w14:paraId="7C8313A6">
            <w:pPr>
              <w:pStyle w:val="2"/>
              <w:rPr>
                <w:rFonts w:hint="default" w:ascii="宋体" w:hAnsi="宋体" w:cs="宋体"/>
                <w:i w:val="0"/>
                <w:iCs w:val="0"/>
                <w:sz w:val="24"/>
                <w:szCs w:val="24"/>
                <w:u w:val="none"/>
                <w:lang w:val="en-US" w:eastAsia="zh-CN"/>
              </w:rPr>
            </w:pPr>
          </w:p>
          <w:p w14:paraId="5BEC22D9">
            <w:pPr>
              <w:pStyle w:val="2"/>
              <w:rPr>
                <w:rFonts w:hint="default" w:ascii="宋体" w:hAnsi="宋体" w:cs="宋体"/>
                <w:i w:val="0"/>
                <w:iCs w:val="0"/>
                <w:sz w:val="24"/>
                <w:szCs w:val="24"/>
                <w:u w:val="none"/>
                <w:lang w:val="en-US" w:eastAsia="zh-CN"/>
              </w:rPr>
            </w:pPr>
          </w:p>
          <w:p w14:paraId="3DDB4BD6">
            <w:pPr>
              <w:pStyle w:val="2"/>
              <w:rPr>
                <w:rFonts w:hint="default" w:ascii="宋体" w:hAnsi="宋体" w:cs="宋体"/>
                <w:i w:val="0"/>
                <w:iCs w:val="0"/>
                <w:sz w:val="24"/>
                <w:szCs w:val="24"/>
                <w:u w:val="none"/>
                <w:lang w:val="en-US" w:eastAsia="zh-CN"/>
              </w:rPr>
            </w:pPr>
          </w:p>
        </w:tc>
      </w:tr>
    </w:tbl>
    <w:p w14:paraId="7A5BA153">
      <w:pPr>
        <w:pStyle w:val="18"/>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7" w:name="_Hlk54167917"/>
      <w:r>
        <w:rPr>
          <w:rFonts w:hint="eastAsia" w:ascii="黑体" w:hAnsi="黑体" w:eastAsia="黑体"/>
          <w:snapToGrid w:val="0"/>
          <w:sz w:val="30"/>
          <w:szCs w:val="30"/>
        </w:rPr>
        <w:t>环境保护措施监督检查清单</w:t>
      </w:r>
      <w:bookmarkEnd w:id="17"/>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624"/>
        <w:gridCol w:w="1396"/>
        <w:gridCol w:w="2022"/>
        <w:gridCol w:w="1980"/>
      </w:tblGrid>
      <w:tr w14:paraId="57B2A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14:paraId="7A81EA02">
            <w:pPr>
              <w:adjustRightInd w:val="0"/>
              <w:snapToGrid w:val="0"/>
              <w:ind w:firstLine="840"/>
              <w:rPr>
                <w:rFonts w:eastAsia="Calibri"/>
                <w:b/>
                <w:bCs/>
                <w:szCs w:val="21"/>
                <w:u w:val="single" w:color="auto"/>
              </w:rPr>
            </w:pPr>
            <w:r>
              <w:rPr>
                <w:b/>
                <w:bCs/>
                <w:szCs w:val="21"/>
                <w:u w:val="single" w:color="auto"/>
              </w:rPr>
              <w:t>内容</w:t>
            </w:r>
          </w:p>
          <w:p w14:paraId="36C5A039">
            <w:pPr>
              <w:adjustRightInd w:val="0"/>
              <w:snapToGrid w:val="0"/>
              <w:rPr>
                <w:rFonts w:eastAsia="Calibri"/>
                <w:b/>
                <w:bCs/>
                <w:szCs w:val="21"/>
                <w:u w:val="single" w:color="auto"/>
              </w:rPr>
            </w:pPr>
            <w:r>
              <w:rPr>
                <w:b/>
                <w:bCs/>
                <w:szCs w:val="21"/>
                <w:u w:val="single" w:color="auto"/>
              </w:rPr>
              <w:t>要素</w:t>
            </w:r>
          </w:p>
        </w:tc>
        <w:tc>
          <w:tcPr>
            <w:tcW w:w="1624" w:type="dxa"/>
            <w:noWrap w:val="0"/>
            <w:vAlign w:val="center"/>
          </w:tcPr>
          <w:p w14:paraId="72552E17">
            <w:pPr>
              <w:adjustRightInd w:val="0"/>
              <w:snapToGrid w:val="0"/>
              <w:jc w:val="center"/>
              <w:rPr>
                <w:rFonts w:eastAsia="Calibri"/>
                <w:b/>
                <w:bCs/>
                <w:szCs w:val="21"/>
                <w:u w:val="single" w:color="auto"/>
              </w:rPr>
            </w:pPr>
            <w:r>
              <w:rPr>
                <w:b/>
                <w:bCs/>
                <w:szCs w:val="21"/>
                <w:u w:val="single" w:color="auto"/>
              </w:rPr>
              <w:t>排放口</w:t>
            </w:r>
            <w:r>
              <w:rPr>
                <w:rFonts w:eastAsia="Calibri"/>
                <w:b/>
                <w:bCs/>
                <w:szCs w:val="21"/>
                <w:u w:val="single" w:color="auto"/>
              </w:rPr>
              <w:t>(</w:t>
            </w:r>
            <w:r>
              <w:rPr>
                <w:b/>
                <w:bCs/>
                <w:szCs w:val="21"/>
                <w:u w:val="single" w:color="auto"/>
              </w:rPr>
              <w:t>编号、</w:t>
            </w:r>
          </w:p>
          <w:p w14:paraId="29A0AE1D">
            <w:pPr>
              <w:adjustRightInd w:val="0"/>
              <w:snapToGrid w:val="0"/>
              <w:jc w:val="center"/>
              <w:rPr>
                <w:rFonts w:eastAsia="Calibri"/>
                <w:b/>
                <w:bCs/>
                <w:szCs w:val="21"/>
                <w:u w:val="single" w:color="auto"/>
              </w:rPr>
            </w:pPr>
            <w:r>
              <w:rPr>
                <w:b/>
                <w:bCs/>
                <w:szCs w:val="21"/>
                <w:u w:val="single" w:color="auto"/>
              </w:rPr>
              <w:t>名称</w:t>
            </w:r>
            <w:r>
              <w:rPr>
                <w:rFonts w:eastAsia="Calibri"/>
                <w:b/>
                <w:bCs/>
                <w:szCs w:val="21"/>
                <w:u w:val="single" w:color="auto"/>
              </w:rPr>
              <w:t>)/</w:t>
            </w:r>
            <w:r>
              <w:rPr>
                <w:b/>
                <w:bCs/>
                <w:szCs w:val="21"/>
                <w:u w:val="single" w:color="auto"/>
              </w:rPr>
              <w:t>污染源</w:t>
            </w:r>
          </w:p>
        </w:tc>
        <w:tc>
          <w:tcPr>
            <w:tcW w:w="1396" w:type="dxa"/>
            <w:noWrap w:val="0"/>
            <w:vAlign w:val="center"/>
          </w:tcPr>
          <w:p w14:paraId="34463A18">
            <w:pPr>
              <w:adjustRightInd w:val="0"/>
              <w:snapToGrid w:val="0"/>
              <w:jc w:val="center"/>
              <w:rPr>
                <w:rFonts w:eastAsia="Calibri"/>
                <w:b/>
                <w:bCs/>
                <w:szCs w:val="21"/>
                <w:u w:val="single" w:color="auto"/>
              </w:rPr>
            </w:pPr>
            <w:r>
              <w:rPr>
                <w:b/>
                <w:bCs/>
                <w:szCs w:val="21"/>
                <w:u w:val="single" w:color="auto"/>
              </w:rPr>
              <w:t>污染物项目</w:t>
            </w:r>
          </w:p>
        </w:tc>
        <w:tc>
          <w:tcPr>
            <w:tcW w:w="2022" w:type="dxa"/>
            <w:noWrap w:val="0"/>
            <w:vAlign w:val="center"/>
          </w:tcPr>
          <w:p w14:paraId="17395AE0">
            <w:pPr>
              <w:adjustRightInd w:val="0"/>
              <w:snapToGrid w:val="0"/>
              <w:jc w:val="center"/>
              <w:rPr>
                <w:rFonts w:eastAsia="Calibri"/>
                <w:b/>
                <w:bCs/>
                <w:szCs w:val="21"/>
                <w:u w:val="single" w:color="auto"/>
              </w:rPr>
            </w:pPr>
            <w:r>
              <w:rPr>
                <w:b/>
                <w:bCs/>
                <w:szCs w:val="21"/>
                <w:u w:val="single" w:color="auto"/>
              </w:rPr>
              <w:t>环境保护措施</w:t>
            </w:r>
          </w:p>
        </w:tc>
        <w:tc>
          <w:tcPr>
            <w:tcW w:w="1980" w:type="dxa"/>
            <w:noWrap w:val="0"/>
            <w:vAlign w:val="center"/>
          </w:tcPr>
          <w:p w14:paraId="7FF77D5C">
            <w:pPr>
              <w:adjustRightInd w:val="0"/>
              <w:snapToGrid w:val="0"/>
              <w:jc w:val="center"/>
              <w:rPr>
                <w:rFonts w:eastAsia="Calibri"/>
                <w:b/>
                <w:bCs/>
                <w:szCs w:val="21"/>
                <w:u w:val="single" w:color="auto"/>
              </w:rPr>
            </w:pPr>
            <w:r>
              <w:rPr>
                <w:b/>
                <w:bCs/>
                <w:szCs w:val="21"/>
                <w:u w:val="single" w:color="auto"/>
              </w:rPr>
              <w:t>执行标准</w:t>
            </w:r>
          </w:p>
        </w:tc>
      </w:tr>
      <w:tr w14:paraId="16B22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14:paraId="40510323">
            <w:pPr>
              <w:adjustRightInd w:val="0"/>
              <w:snapToGrid w:val="0"/>
              <w:jc w:val="center"/>
              <w:rPr>
                <w:rFonts w:eastAsia="Calibri"/>
                <w:szCs w:val="21"/>
                <w:u w:val="single" w:color="auto"/>
              </w:rPr>
            </w:pPr>
            <w:r>
              <w:rPr>
                <w:szCs w:val="21"/>
                <w:u w:val="single" w:color="auto"/>
              </w:rPr>
              <w:t>大气环境</w:t>
            </w:r>
          </w:p>
        </w:tc>
        <w:tc>
          <w:tcPr>
            <w:tcW w:w="1624" w:type="dxa"/>
            <w:noWrap w:val="0"/>
            <w:vAlign w:val="center"/>
          </w:tcPr>
          <w:p w14:paraId="379A482C">
            <w:pPr>
              <w:adjustRightInd w:val="0"/>
              <w:snapToGrid w:val="0"/>
              <w:jc w:val="center"/>
              <w:rPr>
                <w:rFonts w:hint="default" w:eastAsia="宋体"/>
                <w:szCs w:val="21"/>
                <w:u w:val="single" w:color="auto"/>
                <w:lang w:val="en-US" w:eastAsia="zh-CN"/>
              </w:rPr>
            </w:pPr>
            <w:r>
              <w:rPr>
                <w:rFonts w:hint="eastAsia"/>
                <w:szCs w:val="21"/>
                <w:u w:val="single" w:color="auto"/>
                <w:lang w:val="en-US" w:eastAsia="zh-CN"/>
              </w:rPr>
              <w:t>1#水泥筒仓粉尘</w:t>
            </w:r>
          </w:p>
        </w:tc>
        <w:tc>
          <w:tcPr>
            <w:tcW w:w="1396" w:type="dxa"/>
            <w:noWrap w:val="0"/>
            <w:vAlign w:val="center"/>
          </w:tcPr>
          <w:p w14:paraId="516C388F">
            <w:pPr>
              <w:adjustRightInd w:val="0"/>
              <w:snapToGrid w:val="0"/>
              <w:jc w:val="center"/>
              <w:rPr>
                <w:rFonts w:hint="default" w:eastAsia="宋体"/>
                <w:szCs w:val="21"/>
                <w:u w:val="single" w:color="auto"/>
                <w:lang w:val="en-US" w:eastAsia="zh-CN"/>
              </w:rPr>
            </w:pPr>
            <w:r>
              <w:rPr>
                <w:rFonts w:hint="eastAsia"/>
                <w:szCs w:val="21"/>
                <w:u w:val="single" w:color="auto"/>
                <w:lang w:val="en-US" w:eastAsia="zh-CN"/>
              </w:rPr>
              <w:t>颗粒物</w:t>
            </w:r>
          </w:p>
        </w:tc>
        <w:tc>
          <w:tcPr>
            <w:tcW w:w="2022" w:type="dxa"/>
            <w:noWrap w:val="0"/>
            <w:vAlign w:val="center"/>
          </w:tcPr>
          <w:p w14:paraId="5D0553DB">
            <w:pPr>
              <w:ind w:left="-105" w:leftChars="-50" w:right="-105" w:rightChars="-50"/>
              <w:jc w:val="center"/>
              <w:rPr>
                <w:rFonts w:hint="eastAsia" w:eastAsia="宋体"/>
                <w:szCs w:val="21"/>
                <w:u w:val="single" w:color="auto"/>
                <w:lang w:eastAsia="zh-CN"/>
              </w:rPr>
            </w:pPr>
            <w:r>
              <w:rPr>
                <w:rFonts w:hint="eastAsia"/>
                <w:szCs w:val="21"/>
                <w:u w:val="single" w:color="auto"/>
                <w:lang w:val="en-US" w:eastAsia="zh-CN"/>
              </w:rPr>
              <w:t>脉冲袋式</w:t>
            </w:r>
            <w:r>
              <w:rPr>
                <w:szCs w:val="21"/>
                <w:u w:val="single" w:color="auto"/>
              </w:rPr>
              <w:t>除尘装置</w:t>
            </w:r>
            <w:r>
              <w:rPr>
                <w:rFonts w:hint="eastAsia"/>
                <w:szCs w:val="21"/>
                <w:u w:val="single" w:color="auto"/>
                <w:lang w:eastAsia="zh-CN"/>
              </w:rPr>
              <w:t>，</w:t>
            </w:r>
            <w:r>
              <w:rPr>
                <w:rFonts w:hint="default" w:ascii="Times New Roman" w:hAnsi="Times New Roman" w:eastAsia="宋体" w:cs="Times New Roman"/>
                <w:iCs/>
                <w:sz w:val="21"/>
                <w:szCs w:val="21"/>
                <w:u w:val="single" w:color="auto"/>
                <w:lang w:eastAsia="zh-CN"/>
              </w:rPr>
              <w:t>降尘效率</w:t>
            </w:r>
            <w:r>
              <w:rPr>
                <w:rFonts w:hint="eastAsia" w:cs="Times New Roman"/>
                <w:iCs/>
                <w:sz w:val="21"/>
                <w:szCs w:val="21"/>
                <w:u w:val="single" w:color="auto"/>
                <w:lang w:val="en-US" w:eastAsia="zh-CN"/>
              </w:rPr>
              <w:t>99.7</w:t>
            </w:r>
            <w:r>
              <w:rPr>
                <w:rFonts w:hint="default" w:ascii="Times New Roman" w:hAnsi="Times New Roman" w:eastAsia="宋体" w:cs="Times New Roman"/>
                <w:iCs/>
                <w:sz w:val="21"/>
                <w:szCs w:val="21"/>
                <w:u w:val="single" w:color="auto"/>
              </w:rPr>
              <w:t>%</w:t>
            </w:r>
          </w:p>
        </w:tc>
        <w:tc>
          <w:tcPr>
            <w:tcW w:w="1980" w:type="dxa"/>
            <w:vMerge w:val="restart"/>
            <w:noWrap w:val="0"/>
            <w:vAlign w:val="center"/>
          </w:tcPr>
          <w:p w14:paraId="52AD27C5">
            <w:pPr>
              <w:adjustRightInd w:val="0"/>
              <w:snapToGrid w:val="0"/>
              <w:jc w:val="center"/>
              <w:rPr>
                <w:color w:val="000000"/>
                <w:szCs w:val="21"/>
                <w:u w:val="single" w:color="auto"/>
              </w:rPr>
            </w:pPr>
            <w:r>
              <w:rPr>
                <w:i w:val="0"/>
                <w:iCs w:val="0"/>
                <w:color w:val="000000"/>
                <w:szCs w:val="21"/>
                <w:u w:val="single" w:color="auto"/>
              </w:rPr>
              <w:t>《水泥工业大气污染物排放标准》（GB 4915-2013）表</w:t>
            </w:r>
            <w:r>
              <w:rPr>
                <w:rFonts w:hint="eastAsia"/>
                <w:i w:val="0"/>
                <w:iCs w:val="0"/>
                <w:color w:val="000000"/>
                <w:szCs w:val="21"/>
                <w:u w:val="single" w:color="auto"/>
                <w:lang w:val="en-US" w:eastAsia="zh-CN"/>
              </w:rPr>
              <w:t>3</w:t>
            </w:r>
            <w:r>
              <w:rPr>
                <w:i w:val="0"/>
                <w:iCs w:val="0"/>
                <w:color w:val="000000"/>
                <w:szCs w:val="21"/>
                <w:u w:val="single" w:color="auto"/>
              </w:rPr>
              <w:t>排放限值</w:t>
            </w:r>
          </w:p>
        </w:tc>
      </w:tr>
      <w:tr w14:paraId="0ECB9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23DAF251">
            <w:pPr>
              <w:adjustRightInd w:val="0"/>
              <w:snapToGrid w:val="0"/>
              <w:jc w:val="center"/>
              <w:rPr>
                <w:szCs w:val="21"/>
                <w:u w:val="single" w:color="auto"/>
              </w:rPr>
            </w:pPr>
          </w:p>
        </w:tc>
        <w:tc>
          <w:tcPr>
            <w:tcW w:w="1624" w:type="dxa"/>
            <w:noWrap w:val="0"/>
            <w:vAlign w:val="center"/>
          </w:tcPr>
          <w:p w14:paraId="4DD67523">
            <w:pPr>
              <w:adjustRightInd w:val="0"/>
              <w:snapToGrid w:val="0"/>
              <w:jc w:val="center"/>
              <w:rPr>
                <w:rFonts w:hint="eastAsia"/>
                <w:szCs w:val="21"/>
                <w:u w:val="single" w:color="auto"/>
                <w:lang w:val="en-US" w:eastAsia="zh-CN"/>
              </w:rPr>
            </w:pPr>
            <w:r>
              <w:rPr>
                <w:rFonts w:hint="eastAsia"/>
                <w:szCs w:val="21"/>
                <w:u w:val="single" w:color="auto"/>
                <w:lang w:val="en-US" w:eastAsia="zh-CN"/>
              </w:rPr>
              <w:t>2#水泥筒仓粉尘</w:t>
            </w:r>
          </w:p>
        </w:tc>
        <w:tc>
          <w:tcPr>
            <w:tcW w:w="1396" w:type="dxa"/>
            <w:noWrap w:val="0"/>
            <w:vAlign w:val="center"/>
          </w:tcPr>
          <w:p w14:paraId="64ABC3D9">
            <w:pPr>
              <w:adjustRightInd w:val="0"/>
              <w:snapToGrid w:val="0"/>
              <w:jc w:val="center"/>
              <w:rPr>
                <w:rFonts w:hint="eastAsia" w:eastAsia="宋体"/>
                <w:szCs w:val="21"/>
                <w:u w:val="single" w:color="auto"/>
                <w:lang w:val="en-US" w:eastAsia="zh-CN"/>
              </w:rPr>
            </w:pPr>
            <w:r>
              <w:rPr>
                <w:rFonts w:hint="eastAsia"/>
                <w:szCs w:val="21"/>
                <w:u w:val="single" w:color="auto"/>
                <w:lang w:val="en-US" w:eastAsia="zh-CN"/>
              </w:rPr>
              <w:t>颗粒物</w:t>
            </w:r>
          </w:p>
        </w:tc>
        <w:tc>
          <w:tcPr>
            <w:tcW w:w="2022" w:type="dxa"/>
            <w:noWrap w:val="0"/>
            <w:vAlign w:val="center"/>
          </w:tcPr>
          <w:p w14:paraId="724622FF">
            <w:pPr>
              <w:ind w:left="-105" w:leftChars="-50" w:right="-105" w:rightChars="-50"/>
              <w:jc w:val="center"/>
              <w:rPr>
                <w:rFonts w:hint="eastAsia"/>
                <w:szCs w:val="21"/>
                <w:u w:val="single" w:color="auto"/>
                <w:lang w:val="en-US" w:eastAsia="zh-CN"/>
              </w:rPr>
            </w:pPr>
            <w:r>
              <w:rPr>
                <w:rFonts w:hint="eastAsia"/>
                <w:szCs w:val="21"/>
                <w:u w:val="single" w:color="auto"/>
                <w:lang w:val="en-US" w:eastAsia="zh-CN"/>
              </w:rPr>
              <w:t>脉冲袋式</w:t>
            </w:r>
            <w:r>
              <w:rPr>
                <w:szCs w:val="21"/>
                <w:u w:val="single" w:color="auto"/>
              </w:rPr>
              <w:t>除尘装置</w:t>
            </w:r>
            <w:r>
              <w:rPr>
                <w:rFonts w:hint="eastAsia"/>
                <w:szCs w:val="21"/>
                <w:u w:val="single" w:color="auto"/>
                <w:lang w:eastAsia="zh-CN"/>
              </w:rPr>
              <w:t>，</w:t>
            </w:r>
            <w:r>
              <w:rPr>
                <w:rFonts w:hint="default" w:ascii="Times New Roman" w:hAnsi="Times New Roman" w:eastAsia="宋体" w:cs="Times New Roman"/>
                <w:iCs/>
                <w:sz w:val="21"/>
                <w:szCs w:val="21"/>
                <w:u w:val="single" w:color="auto"/>
                <w:lang w:eastAsia="zh-CN"/>
              </w:rPr>
              <w:t>降尘效率</w:t>
            </w:r>
            <w:r>
              <w:rPr>
                <w:rFonts w:hint="eastAsia" w:cs="Times New Roman"/>
                <w:iCs/>
                <w:sz w:val="21"/>
                <w:szCs w:val="21"/>
                <w:u w:val="single" w:color="auto"/>
                <w:lang w:val="en-US" w:eastAsia="zh-CN"/>
              </w:rPr>
              <w:t>99.7</w:t>
            </w:r>
            <w:r>
              <w:rPr>
                <w:rFonts w:hint="default" w:ascii="Times New Roman" w:hAnsi="Times New Roman" w:eastAsia="宋体" w:cs="Times New Roman"/>
                <w:iCs/>
                <w:sz w:val="21"/>
                <w:szCs w:val="21"/>
                <w:u w:val="single" w:color="auto"/>
              </w:rPr>
              <w:t>%</w:t>
            </w:r>
          </w:p>
        </w:tc>
        <w:tc>
          <w:tcPr>
            <w:tcW w:w="1980" w:type="dxa"/>
            <w:vMerge w:val="continue"/>
            <w:noWrap w:val="0"/>
            <w:vAlign w:val="center"/>
          </w:tcPr>
          <w:p w14:paraId="739827DA">
            <w:pPr>
              <w:adjustRightInd w:val="0"/>
              <w:snapToGrid w:val="0"/>
              <w:jc w:val="center"/>
              <w:rPr>
                <w:i w:val="0"/>
                <w:iCs w:val="0"/>
                <w:color w:val="000000"/>
                <w:szCs w:val="21"/>
                <w:u w:val="single" w:color="auto"/>
              </w:rPr>
            </w:pPr>
          </w:p>
        </w:tc>
      </w:tr>
      <w:tr w14:paraId="38C41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227F0DDF">
            <w:pPr>
              <w:adjustRightInd w:val="0"/>
              <w:snapToGrid w:val="0"/>
              <w:jc w:val="center"/>
              <w:rPr>
                <w:szCs w:val="21"/>
                <w:u w:val="single" w:color="auto"/>
              </w:rPr>
            </w:pPr>
          </w:p>
        </w:tc>
        <w:tc>
          <w:tcPr>
            <w:tcW w:w="1624" w:type="dxa"/>
            <w:shd w:val="clear" w:color="auto" w:fill="auto"/>
            <w:noWrap w:val="0"/>
            <w:vAlign w:val="center"/>
          </w:tcPr>
          <w:p w14:paraId="1DEC2D12">
            <w:pPr>
              <w:adjustRightInd w:val="0"/>
              <w:snapToGrid w:val="0"/>
              <w:jc w:val="center"/>
              <w:rPr>
                <w:rFonts w:hint="default" w:ascii="Times New Roman" w:hAnsi="Times New Roman" w:eastAsia="宋体" w:cs="Times New Roman"/>
                <w:kern w:val="2"/>
                <w:sz w:val="21"/>
                <w:szCs w:val="21"/>
                <w:u w:val="single" w:color="auto"/>
                <w:lang w:val="en-US" w:eastAsia="zh-CN" w:bidi="ar-SA"/>
              </w:rPr>
            </w:pPr>
            <w:r>
              <w:rPr>
                <w:rFonts w:hint="eastAsia"/>
                <w:szCs w:val="21"/>
                <w:u w:val="single" w:color="auto"/>
                <w:lang w:val="en-US" w:eastAsia="zh-CN"/>
              </w:rPr>
              <w:t>粉煤灰筒仓粉尘</w:t>
            </w:r>
          </w:p>
        </w:tc>
        <w:tc>
          <w:tcPr>
            <w:tcW w:w="1396" w:type="dxa"/>
            <w:shd w:val="clear" w:color="auto" w:fill="auto"/>
            <w:noWrap w:val="0"/>
            <w:vAlign w:val="center"/>
          </w:tcPr>
          <w:p w14:paraId="25624889">
            <w:pPr>
              <w:adjustRightInd w:val="0"/>
              <w:snapToGrid w:val="0"/>
              <w:jc w:val="center"/>
              <w:rPr>
                <w:rFonts w:hint="eastAsia" w:ascii="Times New Roman" w:hAnsi="Times New Roman" w:eastAsia="宋体" w:cs="Times New Roman"/>
                <w:kern w:val="2"/>
                <w:sz w:val="21"/>
                <w:szCs w:val="21"/>
                <w:u w:val="single" w:color="auto"/>
                <w:lang w:val="en-US" w:eastAsia="zh-CN" w:bidi="ar-SA"/>
              </w:rPr>
            </w:pPr>
            <w:r>
              <w:rPr>
                <w:rFonts w:hint="eastAsia"/>
                <w:szCs w:val="21"/>
                <w:u w:val="single" w:color="auto"/>
                <w:lang w:val="en-US" w:eastAsia="zh-CN"/>
              </w:rPr>
              <w:t>颗粒物</w:t>
            </w:r>
          </w:p>
        </w:tc>
        <w:tc>
          <w:tcPr>
            <w:tcW w:w="2022" w:type="dxa"/>
            <w:shd w:val="clear" w:color="auto" w:fill="auto"/>
            <w:noWrap w:val="0"/>
            <w:vAlign w:val="center"/>
          </w:tcPr>
          <w:p w14:paraId="59EDD51F">
            <w:pPr>
              <w:ind w:left="-105" w:leftChars="-50" w:right="-105" w:rightChars="-50"/>
              <w:jc w:val="center"/>
              <w:rPr>
                <w:rFonts w:hint="eastAsia" w:ascii="Times New Roman" w:hAnsi="Times New Roman" w:eastAsia="宋体" w:cs="Times New Roman"/>
                <w:kern w:val="2"/>
                <w:sz w:val="21"/>
                <w:szCs w:val="21"/>
                <w:u w:val="single" w:color="auto"/>
                <w:lang w:val="en-US" w:eastAsia="zh-CN" w:bidi="ar-SA"/>
              </w:rPr>
            </w:pPr>
            <w:r>
              <w:rPr>
                <w:rFonts w:hint="eastAsia"/>
                <w:szCs w:val="21"/>
                <w:u w:val="single" w:color="auto"/>
                <w:lang w:val="en-US" w:eastAsia="zh-CN"/>
              </w:rPr>
              <w:t>脉冲袋式</w:t>
            </w:r>
            <w:r>
              <w:rPr>
                <w:szCs w:val="21"/>
                <w:u w:val="single" w:color="auto"/>
              </w:rPr>
              <w:t>除尘装置</w:t>
            </w:r>
            <w:r>
              <w:rPr>
                <w:rFonts w:hint="eastAsia"/>
                <w:szCs w:val="21"/>
                <w:u w:val="single" w:color="auto"/>
                <w:lang w:eastAsia="zh-CN"/>
              </w:rPr>
              <w:t>，</w:t>
            </w:r>
            <w:r>
              <w:rPr>
                <w:rFonts w:hint="default" w:ascii="Times New Roman" w:hAnsi="Times New Roman" w:eastAsia="宋体" w:cs="Times New Roman"/>
                <w:iCs/>
                <w:sz w:val="21"/>
                <w:szCs w:val="21"/>
                <w:u w:val="single" w:color="auto"/>
                <w:lang w:eastAsia="zh-CN"/>
              </w:rPr>
              <w:t>降尘效率</w:t>
            </w:r>
            <w:r>
              <w:rPr>
                <w:rFonts w:hint="eastAsia" w:cs="Times New Roman"/>
                <w:iCs/>
                <w:sz w:val="21"/>
                <w:szCs w:val="21"/>
                <w:u w:val="single" w:color="auto"/>
                <w:lang w:val="en-US" w:eastAsia="zh-CN"/>
              </w:rPr>
              <w:t>99.7</w:t>
            </w:r>
            <w:r>
              <w:rPr>
                <w:rFonts w:hint="default" w:ascii="Times New Roman" w:hAnsi="Times New Roman" w:eastAsia="宋体" w:cs="Times New Roman"/>
                <w:iCs/>
                <w:sz w:val="21"/>
                <w:szCs w:val="21"/>
                <w:u w:val="single" w:color="auto"/>
              </w:rPr>
              <w:t>%</w:t>
            </w:r>
          </w:p>
        </w:tc>
        <w:tc>
          <w:tcPr>
            <w:tcW w:w="1980" w:type="dxa"/>
            <w:vMerge w:val="continue"/>
            <w:noWrap w:val="0"/>
            <w:vAlign w:val="center"/>
          </w:tcPr>
          <w:p w14:paraId="406DEB6D">
            <w:pPr>
              <w:adjustRightInd w:val="0"/>
              <w:snapToGrid w:val="0"/>
              <w:jc w:val="center"/>
              <w:rPr>
                <w:i w:val="0"/>
                <w:iCs w:val="0"/>
                <w:color w:val="000000"/>
                <w:szCs w:val="21"/>
                <w:u w:val="single" w:color="auto"/>
              </w:rPr>
            </w:pPr>
          </w:p>
        </w:tc>
      </w:tr>
      <w:tr w14:paraId="2AF03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0EBBA8AF">
            <w:pPr>
              <w:adjustRightInd w:val="0"/>
              <w:snapToGrid w:val="0"/>
              <w:jc w:val="center"/>
              <w:rPr>
                <w:szCs w:val="21"/>
                <w:u w:val="single" w:color="auto"/>
              </w:rPr>
            </w:pPr>
          </w:p>
        </w:tc>
        <w:tc>
          <w:tcPr>
            <w:tcW w:w="1624" w:type="dxa"/>
            <w:noWrap w:val="0"/>
            <w:vAlign w:val="center"/>
          </w:tcPr>
          <w:p w14:paraId="23574D3C">
            <w:pPr>
              <w:adjustRightInd w:val="0"/>
              <w:snapToGrid w:val="0"/>
              <w:jc w:val="center"/>
              <w:rPr>
                <w:rFonts w:hint="eastAsia" w:eastAsia="宋体"/>
                <w:szCs w:val="21"/>
                <w:u w:val="single" w:color="auto"/>
                <w:lang w:val="en-US" w:eastAsia="zh-CN"/>
              </w:rPr>
            </w:pPr>
            <w:r>
              <w:rPr>
                <w:rFonts w:hint="eastAsia"/>
                <w:szCs w:val="21"/>
                <w:u w:val="single" w:color="auto"/>
                <w:lang w:val="en-US" w:eastAsia="zh-CN"/>
              </w:rPr>
              <w:t>矿粉筒仓</w:t>
            </w:r>
            <w:r>
              <w:rPr>
                <w:rFonts w:hint="eastAsia" w:eastAsia="宋体"/>
                <w:szCs w:val="21"/>
                <w:u w:val="single" w:color="auto"/>
                <w:lang w:val="en-US" w:eastAsia="zh-CN"/>
              </w:rPr>
              <w:t>粉尘</w:t>
            </w:r>
          </w:p>
        </w:tc>
        <w:tc>
          <w:tcPr>
            <w:tcW w:w="1396" w:type="dxa"/>
            <w:shd w:val="clear" w:color="auto" w:fill="auto"/>
            <w:noWrap w:val="0"/>
            <w:vAlign w:val="center"/>
          </w:tcPr>
          <w:p w14:paraId="0F97F9DF">
            <w:pPr>
              <w:adjustRightInd w:val="0"/>
              <w:snapToGrid w:val="0"/>
              <w:jc w:val="center"/>
              <w:rPr>
                <w:rFonts w:hint="eastAsia" w:ascii="Times New Roman" w:hAnsi="Times New Roman" w:eastAsia="宋体" w:cs="Times New Roman"/>
                <w:kern w:val="2"/>
                <w:sz w:val="21"/>
                <w:szCs w:val="21"/>
                <w:u w:val="single" w:color="auto"/>
                <w:lang w:val="en-US" w:eastAsia="zh-CN" w:bidi="ar-SA"/>
              </w:rPr>
            </w:pPr>
            <w:r>
              <w:rPr>
                <w:rFonts w:hint="eastAsia"/>
                <w:szCs w:val="21"/>
                <w:u w:val="single" w:color="auto"/>
                <w:lang w:val="en-US" w:eastAsia="zh-CN"/>
              </w:rPr>
              <w:t>颗粒物</w:t>
            </w:r>
          </w:p>
        </w:tc>
        <w:tc>
          <w:tcPr>
            <w:tcW w:w="2022" w:type="dxa"/>
            <w:shd w:val="clear" w:color="auto" w:fill="auto"/>
            <w:noWrap w:val="0"/>
            <w:vAlign w:val="center"/>
          </w:tcPr>
          <w:p w14:paraId="659520A8">
            <w:pPr>
              <w:ind w:left="-105" w:leftChars="-50" w:right="-105" w:rightChars="-50"/>
              <w:jc w:val="center"/>
              <w:rPr>
                <w:rFonts w:hint="eastAsia" w:ascii="Times New Roman" w:hAnsi="Times New Roman" w:eastAsia="宋体" w:cs="Times New Roman"/>
                <w:kern w:val="2"/>
                <w:sz w:val="21"/>
                <w:szCs w:val="21"/>
                <w:u w:val="single" w:color="auto"/>
                <w:lang w:val="en-US" w:eastAsia="zh-CN" w:bidi="ar-SA"/>
              </w:rPr>
            </w:pPr>
            <w:r>
              <w:rPr>
                <w:rFonts w:hint="eastAsia"/>
                <w:szCs w:val="21"/>
                <w:u w:val="single" w:color="auto"/>
                <w:lang w:val="en-US" w:eastAsia="zh-CN"/>
              </w:rPr>
              <w:t>脉冲袋式</w:t>
            </w:r>
            <w:r>
              <w:rPr>
                <w:szCs w:val="21"/>
                <w:u w:val="single" w:color="auto"/>
              </w:rPr>
              <w:t>除尘装置</w:t>
            </w:r>
            <w:r>
              <w:rPr>
                <w:rFonts w:hint="eastAsia"/>
                <w:szCs w:val="21"/>
                <w:u w:val="single" w:color="auto"/>
                <w:lang w:eastAsia="zh-CN"/>
              </w:rPr>
              <w:t>，</w:t>
            </w:r>
            <w:r>
              <w:rPr>
                <w:rFonts w:hint="default" w:ascii="Times New Roman" w:hAnsi="Times New Roman" w:eastAsia="宋体" w:cs="Times New Roman"/>
                <w:iCs/>
                <w:sz w:val="21"/>
                <w:szCs w:val="21"/>
                <w:u w:val="single" w:color="auto"/>
                <w:lang w:eastAsia="zh-CN"/>
              </w:rPr>
              <w:t>降尘效率</w:t>
            </w:r>
            <w:r>
              <w:rPr>
                <w:rFonts w:hint="eastAsia" w:cs="Times New Roman"/>
                <w:iCs/>
                <w:sz w:val="21"/>
                <w:szCs w:val="21"/>
                <w:u w:val="single" w:color="auto"/>
                <w:lang w:val="en-US" w:eastAsia="zh-CN"/>
              </w:rPr>
              <w:t>99.7</w:t>
            </w:r>
            <w:r>
              <w:rPr>
                <w:rFonts w:hint="default" w:ascii="Times New Roman" w:hAnsi="Times New Roman" w:eastAsia="宋体" w:cs="Times New Roman"/>
                <w:iCs/>
                <w:sz w:val="21"/>
                <w:szCs w:val="21"/>
                <w:u w:val="single" w:color="auto"/>
              </w:rPr>
              <w:t>%</w:t>
            </w:r>
          </w:p>
        </w:tc>
        <w:tc>
          <w:tcPr>
            <w:tcW w:w="1980" w:type="dxa"/>
            <w:vMerge w:val="continue"/>
            <w:noWrap w:val="0"/>
            <w:vAlign w:val="center"/>
          </w:tcPr>
          <w:p w14:paraId="25019422">
            <w:pPr>
              <w:adjustRightInd w:val="0"/>
              <w:snapToGrid w:val="0"/>
              <w:jc w:val="center"/>
              <w:rPr>
                <w:i w:val="0"/>
                <w:iCs w:val="0"/>
                <w:color w:val="000000"/>
                <w:szCs w:val="21"/>
                <w:u w:val="single" w:color="auto"/>
              </w:rPr>
            </w:pPr>
          </w:p>
        </w:tc>
      </w:tr>
      <w:tr w14:paraId="3A40E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78" w:type="dxa"/>
            <w:vMerge w:val="continue"/>
            <w:noWrap w:val="0"/>
            <w:vAlign w:val="center"/>
          </w:tcPr>
          <w:p w14:paraId="2C1F0DC2">
            <w:pPr>
              <w:adjustRightInd w:val="0"/>
              <w:snapToGrid w:val="0"/>
              <w:jc w:val="center"/>
              <w:rPr>
                <w:i/>
                <w:iCs/>
                <w:szCs w:val="21"/>
                <w:u w:val="single" w:color="auto"/>
              </w:rPr>
            </w:pPr>
          </w:p>
        </w:tc>
        <w:tc>
          <w:tcPr>
            <w:tcW w:w="1624" w:type="dxa"/>
            <w:noWrap w:val="0"/>
            <w:vAlign w:val="center"/>
          </w:tcPr>
          <w:p w14:paraId="5AA76DAE">
            <w:pPr>
              <w:adjustRightInd w:val="0"/>
              <w:snapToGrid w:val="0"/>
              <w:jc w:val="center"/>
              <w:rPr>
                <w:rFonts w:hint="eastAsia" w:eastAsia="宋体"/>
                <w:szCs w:val="21"/>
                <w:u w:val="single" w:color="auto"/>
                <w:lang w:eastAsia="zh-CN"/>
              </w:rPr>
            </w:pPr>
            <w:r>
              <w:rPr>
                <w:rFonts w:hint="eastAsia" w:ascii="宋体" w:hAnsi="宋体" w:eastAsia="宋体" w:cs="宋体"/>
                <w:szCs w:val="21"/>
                <w:u w:val="single" w:color="auto"/>
                <w:lang w:val="en-US" w:eastAsia="zh-CN"/>
              </w:rPr>
              <w:t>搅拌机粉尘</w:t>
            </w:r>
          </w:p>
        </w:tc>
        <w:tc>
          <w:tcPr>
            <w:tcW w:w="1396" w:type="dxa"/>
            <w:noWrap w:val="0"/>
            <w:vAlign w:val="center"/>
          </w:tcPr>
          <w:p w14:paraId="469CC14E">
            <w:pPr>
              <w:adjustRightInd w:val="0"/>
              <w:snapToGrid w:val="0"/>
              <w:jc w:val="center"/>
              <w:rPr>
                <w:rFonts w:eastAsia="Calibri"/>
                <w:szCs w:val="21"/>
                <w:u w:val="single" w:color="auto"/>
              </w:rPr>
            </w:pPr>
            <w:r>
              <w:rPr>
                <w:rFonts w:hint="eastAsia"/>
                <w:szCs w:val="21"/>
                <w:u w:val="single" w:color="auto"/>
                <w:lang w:val="en-US" w:eastAsia="zh-CN"/>
              </w:rPr>
              <w:t>颗粒物</w:t>
            </w:r>
          </w:p>
        </w:tc>
        <w:tc>
          <w:tcPr>
            <w:tcW w:w="2022" w:type="dxa"/>
            <w:noWrap w:val="0"/>
            <w:vAlign w:val="center"/>
          </w:tcPr>
          <w:p w14:paraId="40E6F791">
            <w:pPr>
              <w:ind w:left="-105" w:leftChars="-50" w:right="-105" w:rightChars="-50"/>
              <w:jc w:val="center"/>
              <w:rPr>
                <w:rFonts w:hint="default" w:eastAsia="宋体"/>
                <w:szCs w:val="21"/>
                <w:u w:val="single" w:color="auto"/>
                <w:lang w:val="en-US" w:eastAsia="zh-CN"/>
              </w:rPr>
            </w:pPr>
            <w:r>
              <w:rPr>
                <w:rFonts w:hint="eastAsia"/>
                <w:szCs w:val="21"/>
                <w:u w:val="single" w:color="auto"/>
                <w:lang w:val="en-US" w:eastAsia="zh-CN"/>
              </w:rPr>
              <w:t>脉冲袋式</w:t>
            </w:r>
            <w:r>
              <w:rPr>
                <w:szCs w:val="21"/>
                <w:u w:val="single" w:color="auto"/>
              </w:rPr>
              <w:t>除尘装置</w:t>
            </w:r>
            <w:r>
              <w:rPr>
                <w:rFonts w:hint="eastAsia"/>
                <w:szCs w:val="21"/>
                <w:u w:val="single" w:color="auto"/>
                <w:lang w:eastAsia="zh-CN"/>
              </w:rPr>
              <w:t>，</w:t>
            </w:r>
            <w:r>
              <w:rPr>
                <w:rFonts w:hint="default" w:ascii="Times New Roman" w:hAnsi="Times New Roman" w:eastAsia="宋体" w:cs="Times New Roman"/>
                <w:iCs/>
                <w:sz w:val="21"/>
                <w:szCs w:val="21"/>
                <w:u w:val="single" w:color="auto"/>
                <w:lang w:eastAsia="zh-CN"/>
              </w:rPr>
              <w:t>降尘效率</w:t>
            </w:r>
            <w:r>
              <w:rPr>
                <w:rFonts w:hint="eastAsia" w:cs="Times New Roman"/>
                <w:iCs/>
                <w:sz w:val="21"/>
                <w:szCs w:val="21"/>
                <w:u w:val="single" w:color="auto"/>
                <w:lang w:val="en-US" w:eastAsia="zh-CN"/>
              </w:rPr>
              <w:t>99.7</w:t>
            </w:r>
            <w:r>
              <w:rPr>
                <w:rFonts w:hint="default" w:ascii="Times New Roman" w:hAnsi="Times New Roman" w:eastAsia="宋体" w:cs="Times New Roman"/>
                <w:iCs/>
                <w:sz w:val="21"/>
                <w:szCs w:val="21"/>
                <w:u w:val="single" w:color="auto"/>
              </w:rPr>
              <w:t>%</w:t>
            </w:r>
          </w:p>
        </w:tc>
        <w:tc>
          <w:tcPr>
            <w:tcW w:w="1980" w:type="dxa"/>
            <w:vMerge w:val="continue"/>
            <w:noWrap w:val="0"/>
            <w:vAlign w:val="center"/>
          </w:tcPr>
          <w:p w14:paraId="4A09B19B">
            <w:pPr>
              <w:adjustRightInd w:val="0"/>
              <w:snapToGrid w:val="0"/>
              <w:jc w:val="center"/>
              <w:rPr>
                <w:color w:val="000000"/>
                <w:szCs w:val="21"/>
                <w:u w:val="single" w:color="auto"/>
              </w:rPr>
            </w:pPr>
          </w:p>
        </w:tc>
      </w:tr>
      <w:tr w14:paraId="51B97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778" w:type="dxa"/>
            <w:vMerge w:val="continue"/>
            <w:noWrap w:val="0"/>
            <w:vAlign w:val="center"/>
          </w:tcPr>
          <w:p w14:paraId="7261A304">
            <w:pPr>
              <w:adjustRightInd w:val="0"/>
              <w:snapToGrid w:val="0"/>
              <w:jc w:val="center"/>
              <w:rPr>
                <w:i/>
                <w:iCs/>
                <w:szCs w:val="21"/>
                <w:u w:val="single" w:color="auto"/>
              </w:rPr>
            </w:pPr>
          </w:p>
        </w:tc>
        <w:tc>
          <w:tcPr>
            <w:tcW w:w="1624" w:type="dxa"/>
            <w:noWrap w:val="0"/>
            <w:vAlign w:val="center"/>
          </w:tcPr>
          <w:p w14:paraId="61F1AA51">
            <w:pPr>
              <w:adjustRightInd w:val="0"/>
              <w:snapToGrid w:val="0"/>
              <w:jc w:val="center"/>
              <w:rPr>
                <w:rFonts w:ascii="Times New Roman" w:hAnsi="Times New Roman" w:eastAsia="Calibri" w:cs="Times New Roman"/>
                <w:szCs w:val="21"/>
                <w:u w:val="single" w:color="auto"/>
              </w:rPr>
            </w:pPr>
            <w:r>
              <w:rPr>
                <w:rFonts w:hint="eastAsia" w:eastAsia="宋体" w:cs="Times New Roman"/>
                <w:szCs w:val="21"/>
                <w:u w:val="single" w:color="auto"/>
                <w:lang w:eastAsia="zh-CN"/>
              </w:rPr>
              <w:t>卸</w:t>
            </w:r>
            <w:r>
              <w:rPr>
                <w:rFonts w:ascii="Times New Roman" w:hAnsi="Times New Roman" w:eastAsia="Calibri" w:cs="Times New Roman"/>
                <w:szCs w:val="21"/>
                <w:u w:val="single" w:color="auto"/>
              </w:rPr>
              <w:t>料</w:t>
            </w:r>
            <w:r>
              <w:rPr>
                <w:rFonts w:hint="eastAsia" w:eastAsia="宋体" w:cs="Times New Roman"/>
                <w:szCs w:val="21"/>
                <w:u w:val="single" w:color="auto"/>
                <w:lang w:val="en-US" w:eastAsia="zh-CN"/>
              </w:rPr>
              <w:t>扬尘</w:t>
            </w:r>
          </w:p>
        </w:tc>
        <w:tc>
          <w:tcPr>
            <w:tcW w:w="1396" w:type="dxa"/>
            <w:noWrap w:val="0"/>
            <w:vAlign w:val="center"/>
          </w:tcPr>
          <w:p w14:paraId="5810F023">
            <w:pPr>
              <w:adjustRightInd w:val="0"/>
              <w:snapToGrid w:val="0"/>
              <w:jc w:val="center"/>
              <w:rPr>
                <w:rFonts w:ascii="Times New Roman" w:hAnsi="Times New Roman" w:eastAsia="Calibri" w:cs="Times New Roman"/>
                <w:szCs w:val="21"/>
                <w:u w:val="single" w:color="auto"/>
              </w:rPr>
            </w:pPr>
            <w:r>
              <w:rPr>
                <w:rFonts w:hint="eastAsia"/>
                <w:szCs w:val="21"/>
                <w:u w:val="single" w:color="auto"/>
                <w:lang w:val="en-US" w:eastAsia="zh-CN"/>
              </w:rPr>
              <w:t>颗粒物</w:t>
            </w:r>
          </w:p>
        </w:tc>
        <w:tc>
          <w:tcPr>
            <w:tcW w:w="2022" w:type="dxa"/>
            <w:noWrap w:val="0"/>
            <w:vAlign w:val="center"/>
          </w:tcPr>
          <w:p w14:paraId="68B0973F">
            <w:pPr>
              <w:tabs>
                <w:tab w:val="left" w:pos="3000"/>
              </w:tabs>
              <w:jc w:val="center"/>
              <w:rPr>
                <w:rFonts w:hint="default" w:eastAsia="宋体"/>
                <w:b/>
                <w:u w:val="single" w:color="auto"/>
                <w:lang w:val="en-US" w:eastAsia="zh-CN"/>
              </w:rPr>
            </w:pPr>
            <w:r>
              <w:rPr>
                <w:rFonts w:hint="eastAsia"/>
                <w:bCs/>
                <w:u w:val="single" w:color="auto"/>
                <w:lang w:val="en-US" w:eastAsia="zh-CN"/>
              </w:rPr>
              <w:t>洒水降尘</w:t>
            </w:r>
          </w:p>
        </w:tc>
        <w:tc>
          <w:tcPr>
            <w:tcW w:w="1980" w:type="dxa"/>
            <w:vMerge w:val="continue"/>
            <w:noWrap w:val="0"/>
            <w:vAlign w:val="center"/>
          </w:tcPr>
          <w:p w14:paraId="7510FBB0">
            <w:pPr>
              <w:adjustRightInd w:val="0"/>
              <w:snapToGrid w:val="0"/>
              <w:jc w:val="center"/>
              <w:rPr>
                <w:color w:val="000000"/>
                <w:szCs w:val="21"/>
                <w:u w:val="single" w:color="auto"/>
              </w:rPr>
            </w:pPr>
          </w:p>
        </w:tc>
      </w:tr>
      <w:tr w14:paraId="41CC8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778" w:type="dxa"/>
            <w:vMerge w:val="continue"/>
            <w:noWrap w:val="0"/>
            <w:vAlign w:val="center"/>
          </w:tcPr>
          <w:p w14:paraId="0DBB024B">
            <w:pPr>
              <w:ind w:left="105" w:leftChars="50" w:right="105" w:rightChars="50"/>
              <w:jc w:val="center"/>
              <w:rPr>
                <w:u w:val="single" w:color="auto"/>
              </w:rPr>
            </w:pPr>
          </w:p>
        </w:tc>
        <w:tc>
          <w:tcPr>
            <w:tcW w:w="1624" w:type="dxa"/>
            <w:noWrap w:val="0"/>
            <w:vAlign w:val="center"/>
          </w:tcPr>
          <w:p w14:paraId="29878DAA">
            <w:pPr>
              <w:tabs>
                <w:tab w:val="left" w:pos="3000"/>
              </w:tabs>
              <w:jc w:val="center"/>
              <w:rPr>
                <w:rFonts w:ascii="Times New Roman" w:hAnsi="Times New Roman" w:eastAsia="Calibri" w:cs="Times New Roman"/>
                <w:szCs w:val="21"/>
                <w:u w:val="single" w:color="auto"/>
              </w:rPr>
            </w:pPr>
            <w:r>
              <w:rPr>
                <w:rFonts w:hint="eastAsia" w:eastAsia="宋体" w:cs="Times New Roman"/>
                <w:szCs w:val="21"/>
                <w:u w:val="single" w:color="auto"/>
                <w:lang w:val="en-US" w:eastAsia="zh-CN"/>
              </w:rPr>
              <w:t>堆场粉尘</w:t>
            </w:r>
          </w:p>
        </w:tc>
        <w:tc>
          <w:tcPr>
            <w:tcW w:w="1396" w:type="dxa"/>
            <w:noWrap w:val="0"/>
            <w:vAlign w:val="center"/>
          </w:tcPr>
          <w:p w14:paraId="215C3AA8">
            <w:pPr>
              <w:ind w:left="105" w:leftChars="50" w:right="105" w:rightChars="50"/>
              <w:jc w:val="center"/>
              <w:rPr>
                <w:rFonts w:ascii="Times New Roman" w:hAnsi="Times New Roman" w:eastAsia="Calibri" w:cs="Times New Roman"/>
                <w:szCs w:val="21"/>
                <w:u w:val="single" w:color="auto"/>
              </w:rPr>
            </w:pPr>
            <w:r>
              <w:rPr>
                <w:rFonts w:hint="eastAsia"/>
                <w:szCs w:val="21"/>
                <w:u w:val="single" w:color="auto"/>
                <w:lang w:val="en-US" w:eastAsia="zh-CN"/>
              </w:rPr>
              <w:t>颗粒物</w:t>
            </w:r>
          </w:p>
        </w:tc>
        <w:tc>
          <w:tcPr>
            <w:tcW w:w="2022" w:type="dxa"/>
            <w:noWrap w:val="0"/>
            <w:vAlign w:val="center"/>
          </w:tcPr>
          <w:p w14:paraId="62C0AB77">
            <w:pPr>
              <w:tabs>
                <w:tab w:val="left" w:pos="3000"/>
              </w:tabs>
              <w:jc w:val="center"/>
              <w:rPr>
                <w:rFonts w:ascii="Times New Roman" w:hAnsi="Times New Roman" w:eastAsia="Calibri" w:cs="Times New Roman"/>
                <w:szCs w:val="21"/>
                <w:u w:val="single" w:color="auto"/>
              </w:rPr>
            </w:pPr>
            <w:r>
              <w:rPr>
                <w:rFonts w:hint="eastAsia" w:cs="Times New Roman"/>
                <w:szCs w:val="21"/>
                <w:u w:val="single" w:color="auto"/>
                <w:lang w:val="en-US" w:eastAsia="zh-CN"/>
              </w:rPr>
              <w:t>封闭料库</w:t>
            </w:r>
            <w:r>
              <w:rPr>
                <w:rFonts w:hint="eastAsia" w:eastAsia="宋体" w:cs="Times New Roman"/>
                <w:szCs w:val="21"/>
                <w:u w:val="single" w:color="auto"/>
                <w:lang w:val="en-US" w:eastAsia="zh-CN"/>
              </w:rPr>
              <w:t>、</w:t>
            </w:r>
            <w:r>
              <w:rPr>
                <w:rFonts w:hint="eastAsia" w:cs="Times New Roman"/>
                <w:szCs w:val="21"/>
                <w:u w:val="single" w:color="auto"/>
                <w:lang w:val="en-US" w:eastAsia="zh-CN"/>
              </w:rPr>
              <w:t>洒水</w:t>
            </w:r>
            <w:r>
              <w:rPr>
                <w:rFonts w:hint="eastAsia" w:eastAsia="宋体" w:cs="Times New Roman"/>
                <w:szCs w:val="21"/>
                <w:u w:val="single" w:color="auto"/>
                <w:lang w:val="en-US" w:eastAsia="zh-CN"/>
              </w:rPr>
              <w:t>降尘</w:t>
            </w:r>
          </w:p>
        </w:tc>
        <w:tc>
          <w:tcPr>
            <w:tcW w:w="1980" w:type="dxa"/>
            <w:vMerge w:val="continue"/>
            <w:noWrap w:val="0"/>
            <w:vAlign w:val="center"/>
          </w:tcPr>
          <w:p w14:paraId="51AD4F23">
            <w:pPr>
              <w:ind w:left="105" w:leftChars="50" w:right="105" w:rightChars="50"/>
              <w:jc w:val="center"/>
              <w:rPr>
                <w:rFonts w:ascii="Times New Roman" w:hAnsi="Times New Roman" w:eastAsia="Calibri" w:cs="Times New Roman"/>
                <w:szCs w:val="21"/>
                <w:u w:val="single" w:color="auto"/>
              </w:rPr>
            </w:pPr>
          </w:p>
        </w:tc>
      </w:tr>
      <w:tr w14:paraId="27018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778" w:type="dxa"/>
            <w:vMerge w:val="continue"/>
            <w:noWrap w:val="0"/>
            <w:vAlign w:val="center"/>
          </w:tcPr>
          <w:p w14:paraId="0AF22156">
            <w:pPr>
              <w:ind w:left="105" w:leftChars="50" w:right="105" w:rightChars="50"/>
              <w:jc w:val="center"/>
              <w:rPr>
                <w:rFonts w:ascii="Times New Roman" w:hAnsi="Times New Roman" w:eastAsia="Calibri" w:cs="Times New Roman"/>
                <w:szCs w:val="21"/>
                <w:u w:val="single" w:color="auto"/>
              </w:rPr>
            </w:pPr>
          </w:p>
        </w:tc>
        <w:tc>
          <w:tcPr>
            <w:tcW w:w="1624" w:type="dxa"/>
            <w:noWrap w:val="0"/>
            <w:vAlign w:val="center"/>
          </w:tcPr>
          <w:p w14:paraId="726473F4">
            <w:pPr>
              <w:tabs>
                <w:tab w:val="left" w:pos="3000"/>
              </w:tabs>
              <w:jc w:val="center"/>
              <w:rPr>
                <w:rFonts w:ascii="Times New Roman" w:hAnsi="Times New Roman" w:eastAsia="Calibri" w:cs="Times New Roman"/>
                <w:szCs w:val="21"/>
                <w:u w:val="single" w:color="auto"/>
              </w:rPr>
            </w:pPr>
            <w:r>
              <w:rPr>
                <w:rFonts w:hint="eastAsia" w:eastAsia="宋体" w:cs="Times New Roman"/>
                <w:szCs w:val="21"/>
                <w:u w:val="single" w:color="auto"/>
                <w:lang w:val="en-US" w:eastAsia="zh-CN"/>
              </w:rPr>
              <w:t>上料粉尘</w:t>
            </w:r>
          </w:p>
        </w:tc>
        <w:tc>
          <w:tcPr>
            <w:tcW w:w="1396" w:type="dxa"/>
            <w:noWrap w:val="0"/>
            <w:vAlign w:val="center"/>
          </w:tcPr>
          <w:p w14:paraId="16638CE2">
            <w:pPr>
              <w:ind w:left="105" w:leftChars="50" w:right="105" w:rightChars="50"/>
              <w:jc w:val="center"/>
              <w:rPr>
                <w:rFonts w:ascii="Times New Roman" w:hAnsi="Times New Roman" w:eastAsia="Calibri" w:cs="Times New Roman"/>
                <w:szCs w:val="21"/>
                <w:u w:val="single" w:color="auto"/>
              </w:rPr>
            </w:pPr>
            <w:r>
              <w:rPr>
                <w:rFonts w:hint="eastAsia"/>
                <w:szCs w:val="21"/>
                <w:u w:val="single" w:color="auto"/>
                <w:lang w:val="en-US" w:eastAsia="zh-CN"/>
              </w:rPr>
              <w:t>颗粒物</w:t>
            </w:r>
          </w:p>
        </w:tc>
        <w:tc>
          <w:tcPr>
            <w:tcW w:w="2022" w:type="dxa"/>
            <w:noWrap w:val="0"/>
            <w:vAlign w:val="center"/>
          </w:tcPr>
          <w:p w14:paraId="77691EBA">
            <w:pPr>
              <w:tabs>
                <w:tab w:val="left" w:pos="3000"/>
              </w:tabs>
              <w:jc w:val="center"/>
              <w:rPr>
                <w:rFonts w:ascii="Times New Roman" w:hAnsi="Times New Roman" w:eastAsia="Calibri" w:cs="Times New Roman"/>
                <w:szCs w:val="21"/>
                <w:u w:val="single" w:color="auto"/>
              </w:rPr>
            </w:pPr>
            <w:r>
              <w:rPr>
                <w:rFonts w:hint="eastAsia"/>
                <w:bCs/>
                <w:u w:val="single" w:color="auto"/>
                <w:lang w:val="en-US" w:eastAsia="zh-CN"/>
              </w:rPr>
              <w:t>洒水降尘</w:t>
            </w:r>
          </w:p>
        </w:tc>
        <w:tc>
          <w:tcPr>
            <w:tcW w:w="1980" w:type="dxa"/>
            <w:vMerge w:val="continue"/>
            <w:noWrap w:val="0"/>
            <w:vAlign w:val="center"/>
          </w:tcPr>
          <w:p w14:paraId="6DB477BE">
            <w:pPr>
              <w:ind w:left="105" w:leftChars="50" w:right="105" w:rightChars="50"/>
              <w:jc w:val="center"/>
              <w:rPr>
                <w:rFonts w:ascii="Times New Roman" w:hAnsi="Times New Roman" w:eastAsia="Calibri" w:cs="Times New Roman"/>
                <w:szCs w:val="21"/>
                <w:u w:val="single" w:color="auto"/>
              </w:rPr>
            </w:pPr>
          </w:p>
        </w:tc>
      </w:tr>
      <w:tr w14:paraId="33790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778" w:type="dxa"/>
            <w:vMerge w:val="continue"/>
            <w:noWrap w:val="0"/>
            <w:vAlign w:val="center"/>
          </w:tcPr>
          <w:p w14:paraId="1BD0FB81">
            <w:pPr>
              <w:ind w:left="105" w:leftChars="50" w:right="105" w:rightChars="50"/>
              <w:jc w:val="center"/>
              <w:rPr>
                <w:rFonts w:ascii="Times New Roman" w:hAnsi="Times New Roman" w:eastAsia="Calibri" w:cs="Times New Roman"/>
                <w:szCs w:val="21"/>
                <w:u w:val="single" w:color="auto"/>
              </w:rPr>
            </w:pPr>
          </w:p>
        </w:tc>
        <w:tc>
          <w:tcPr>
            <w:tcW w:w="1624" w:type="dxa"/>
            <w:noWrap w:val="0"/>
            <w:vAlign w:val="center"/>
          </w:tcPr>
          <w:p w14:paraId="3D6B7372">
            <w:pPr>
              <w:tabs>
                <w:tab w:val="left" w:pos="3000"/>
              </w:tabs>
              <w:jc w:val="center"/>
              <w:rPr>
                <w:rFonts w:ascii="Times New Roman" w:hAnsi="Times New Roman" w:eastAsia="Calibri" w:cs="Times New Roman"/>
                <w:szCs w:val="21"/>
                <w:u w:val="single" w:color="auto"/>
              </w:rPr>
            </w:pPr>
            <w:r>
              <w:rPr>
                <w:rFonts w:hint="eastAsia" w:eastAsia="宋体" w:cs="Times New Roman"/>
                <w:szCs w:val="21"/>
                <w:u w:val="single" w:color="auto"/>
                <w:lang w:val="en-US" w:eastAsia="zh-CN"/>
              </w:rPr>
              <w:t>运输粉尘</w:t>
            </w:r>
          </w:p>
        </w:tc>
        <w:tc>
          <w:tcPr>
            <w:tcW w:w="1396" w:type="dxa"/>
            <w:noWrap w:val="0"/>
            <w:vAlign w:val="center"/>
          </w:tcPr>
          <w:p w14:paraId="706BB8F3">
            <w:pPr>
              <w:ind w:left="105" w:leftChars="50" w:right="105" w:rightChars="50"/>
              <w:jc w:val="center"/>
              <w:rPr>
                <w:rFonts w:ascii="Times New Roman" w:hAnsi="Times New Roman" w:eastAsia="Calibri" w:cs="Times New Roman"/>
                <w:szCs w:val="21"/>
                <w:u w:val="single" w:color="auto"/>
              </w:rPr>
            </w:pPr>
            <w:r>
              <w:rPr>
                <w:rFonts w:hint="eastAsia"/>
                <w:szCs w:val="21"/>
                <w:u w:val="single" w:color="auto"/>
                <w:lang w:val="en-US" w:eastAsia="zh-CN"/>
              </w:rPr>
              <w:t>颗粒物</w:t>
            </w:r>
          </w:p>
        </w:tc>
        <w:tc>
          <w:tcPr>
            <w:tcW w:w="2022" w:type="dxa"/>
            <w:noWrap w:val="0"/>
            <w:vAlign w:val="center"/>
          </w:tcPr>
          <w:p w14:paraId="6E98D7E6">
            <w:pPr>
              <w:tabs>
                <w:tab w:val="left" w:pos="3000"/>
              </w:tabs>
              <w:jc w:val="center"/>
              <w:rPr>
                <w:rFonts w:ascii="Times New Roman" w:hAnsi="Times New Roman" w:eastAsia="Calibri" w:cs="Times New Roman"/>
                <w:szCs w:val="21"/>
                <w:u w:val="single" w:color="auto"/>
              </w:rPr>
            </w:pPr>
            <w:r>
              <w:rPr>
                <w:rFonts w:hint="eastAsia"/>
                <w:bCs/>
                <w:u w:val="single" w:color="auto"/>
                <w:lang w:val="en-US" w:eastAsia="zh-CN"/>
              </w:rPr>
              <w:t>洒水降尘</w:t>
            </w:r>
          </w:p>
        </w:tc>
        <w:tc>
          <w:tcPr>
            <w:tcW w:w="1980" w:type="dxa"/>
            <w:vMerge w:val="continue"/>
            <w:noWrap w:val="0"/>
            <w:vAlign w:val="center"/>
          </w:tcPr>
          <w:p w14:paraId="3EE2A710">
            <w:pPr>
              <w:ind w:left="105" w:leftChars="50" w:right="105" w:rightChars="50"/>
              <w:jc w:val="center"/>
              <w:rPr>
                <w:rFonts w:ascii="Times New Roman" w:hAnsi="Times New Roman" w:eastAsia="Calibri" w:cs="Times New Roman"/>
                <w:szCs w:val="21"/>
                <w:u w:val="single" w:color="auto"/>
              </w:rPr>
            </w:pPr>
          </w:p>
        </w:tc>
      </w:tr>
      <w:tr w14:paraId="12E01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14:paraId="614D47CB">
            <w:pPr>
              <w:adjustRightInd w:val="0"/>
              <w:snapToGrid w:val="0"/>
              <w:jc w:val="center"/>
              <w:rPr>
                <w:rFonts w:eastAsia="Calibri"/>
                <w:szCs w:val="21"/>
                <w:u w:val="single" w:color="auto"/>
              </w:rPr>
            </w:pPr>
            <w:r>
              <w:rPr>
                <w:szCs w:val="21"/>
                <w:u w:val="single" w:color="auto"/>
              </w:rPr>
              <w:t>地表水环境</w:t>
            </w:r>
          </w:p>
        </w:tc>
        <w:tc>
          <w:tcPr>
            <w:tcW w:w="1624" w:type="dxa"/>
            <w:noWrap w:val="0"/>
            <w:vAlign w:val="center"/>
          </w:tcPr>
          <w:p w14:paraId="1D96774F">
            <w:pPr>
              <w:adjustRightInd w:val="0"/>
              <w:snapToGrid w:val="0"/>
              <w:jc w:val="center"/>
              <w:rPr>
                <w:i w:val="0"/>
                <w:iCs w:val="0"/>
                <w:szCs w:val="21"/>
                <w:u w:val="single" w:color="auto"/>
              </w:rPr>
            </w:pPr>
            <w:r>
              <w:rPr>
                <w:rFonts w:hint="eastAsia"/>
                <w:i w:val="0"/>
                <w:iCs w:val="0"/>
                <w:szCs w:val="21"/>
                <w:u w:val="single" w:color="auto"/>
                <w:lang w:val="en-US" w:eastAsia="zh-CN"/>
              </w:rPr>
              <w:t>设备冲洗废水及罐车冲洗废水</w:t>
            </w:r>
          </w:p>
        </w:tc>
        <w:tc>
          <w:tcPr>
            <w:tcW w:w="1396" w:type="dxa"/>
            <w:noWrap w:val="0"/>
            <w:vAlign w:val="center"/>
          </w:tcPr>
          <w:p w14:paraId="19D31667">
            <w:pPr>
              <w:adjustRightInd w:val="0"/>
              <w:snapToGrid w:val="0"/>
              <w:jc w:val="center"/>
              <w:rPr>
                <w:rFonts w:hint="eastAsia"/>
                <w:i w:val="0"/>
                <w:iCs w:val="0"/>
                <w:szCs w:val="21"/>
                <w:u w:val="single" w:color="auto"/>
              </w:rPr>
            </w:pPr>
            <w:r>
              <w:rPr>
                <w:rFonts w:hint="eastAsia"/>
                <w:i w:val="0"/>
                <w:iCs w:val="0"/>
                <w:szCs w:val="21"/>
                <w:u w:val="single" w:color="auto"/>
              </w:rPr>
              <w:t>SS</w:t>
            </w:r>
          </w:p>
        </w:tc>
        <w:tc>
          <w:tcPr>
            <w:tcW w:w="2022" w:type="dxa"/>
            <w:noWrap w:val="0"/>
            <w:vAlign w:val="center"/>
          </w:tcPr>
          <w:p w14:paraId="78837973">
            <w:pPr>
              <w:adjustRightInd w:val="0"/>
              <w:snapToGrid w:val="0"/>
              <w:jc w:val="center"/>
              <w:rPr>
                <w:i w:val="0"/>
                <w:iCs w:val="0"/>
                <w:szCs w:val="21"/>
                <w:u w:val="single" w:color="auto"/>
              </w:rPr>
            </w:pPr>
            <w:r>
              <w:rPr>
                <w:rFonts w:hint="eastAsia" w:cs="Times New Roman"/>
                <w:u w:val="single" w:color="auto"/>
                <w:lang w:val="en-US" w:eastAsia="zh-CN"/>
              </w:rPr>
              <w:t>三级</w:t>
            </w:r>
            <w:r>
              <w:rPr>
                <w:rFonts w:hint="eastAsia" w:ascii="Times New Roman" w:hAnsi="Times New Roman" w:eastAsia="宋体" w:cs="Times New Roman"/>
                <w:u w:val="single" w:color="auto"/>
                <w:lang w:val="en-US" w:eastAsia="zh-CN"/>
              </w:rPr>
              <w:t>沉淀池</w:t>
            </w:r>
            <w:r>
              <w:rPr>
                <w:rFonts w:hint="eastAsia" w:cs="Times New Roman"/>
                <w:u w:val="single" w:color="auto"/>
                <w:lang w:val="en-US" w:eastAsia="zh-CN"/>
              </w:rPr>
              <w:t>沉淀</w:t>
            </w:r>
            <w:r>
              <w:rPr>
                <w:rFonts w:hint="eastAsia" w:eastAsia="宋体"/>
                <w:i w:val="0"/>
                <w:iCs w:val="0"/>
                <w:szCs w:val="21"/>
                <w:u w:val="single" w:color="auto"/>
                <w:lang w:val="en-US" w:eastAsia="zh-CN"/>
              </w:rPr>
              <w:t>处理</w:t>
            </w:r>
            <w:r>
              <w:rPr>
                <w:rFonts w:hint="eastAsia"/>
                <w:i w:val="0"/>
                <w:iCs w:val="0"/>
                <w:szCs w:val="21"/>
                <w:u w:val="single" w:color="auto"/>
              </w:rPr>
              <w:t>后回用</w:t>
            </w:r>
          </w:p>
        </w:tc>
        <w:tc>
          <w:tcPr>
            <w:tcW w:w="1980" w:type="dxa"/>
            <w:noWrap w:val="0"/>
            <w:vAlign w:val="center"/>
          </w:tcPr>
          <w:p w14:paraId="76D89D61">
            <w:pPr>
              <w:adjustRightInd w:val="0"/>
              <w:snapToGrid w:val="0"/>
              <w:jc w:val="center"/>
              <w:rPr>
                <w:i w:val="0"/>
                <w:iCs w:val="0"/>
                <w:szCs w:val="21"/>
                <w:u w:val="single" w:color="auto"/>
              </w:rPr>
            </w:pPr>
            <w:r>
              <w:rPr>
                <w:rFonts w:hint="eastAsia"/>
                <w:i w:val="0"/>
                <w:iCs w:val="0"/>
                <w:szCs w:val="21"/>
                <w:u w:val="single" w:color="auto"/>
              </w:rPr>
              <w:t>不排放</w:t>
            </w:r>
          </w:p>
        </w:tc>
      </w:tr>
      <w:tr w14:paraId="42BC1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3B0365F0">
            <w:pPr>
              <w:adjustRightInd w:val="0"/>
              <w:snapToGrid w:val="0"/>
              <w:jc w:val="center"/>
              <w:rPr>
                <w:szCs w:val="21"/>
                <w:u w:val="single" w:color="auto"/>
              </w:rPr>
            </w:pPr>
          </w:p>
        </w:tc>
        <w:tc>
          <w:tcPr>
            <w:tcW w:w="1624" w:type="dxa"/>
            <w:noWrap w:val="0"/>
            <w:vAlign w:val="center"/>
          </w:tcPr>
          <w:p w14:paraId="11C2C1BF">
            <w:pPr>
              <w:adjustRightInd w:val="0"/>
              <w:snapToGrid w:val="0"/>
              <w:jc w:val="center"/>
              <w:rPr>
                <w:rFonts w:hint="eastAsia" w:eastAsia="宋体"/>
                <w:szCs w:val="21"/>
                <w:u w:val="single" w:color="auto"/>
                <w:lang w:eastAsia="zh-CN"/>
              </w:rPr>
            </w:pPr>
            <w:r>
              <w:rPr>
                <w:rFonts w:hint="eastAsia"/>
                <w:szCs w:val="21"/>
                <w:u w:val="single" w:color="auto"/>
              </w:rPr>
              <w:t>生活</w:t>
            </w:r>
            <w:r>
              <w:rPr>
                <w:rFonts w:hint="eastAsia"/>
                <w:szCs w:val="21"/>
                <w:u w:val="single" w:color="auto"/>
                <w:lang w:val="en-US" w:eastAsia="zh-CN"/>
              </w:rPr>
              <w:t>污水</w:t>
            </w:r>
          </w:p>
        </w:tc>
        <w:tc>
          <w:tcPr>
            <w:tcW w:w="1396" w:type="dxa"/>
            <w:noWrap w:val="0"/>
            <w:vAlign w:val="center"/>
          </w:tcPr>
          <w:p w14:paraId="46881702">
            <w:pPr>
              <w:adjustRightInd w:val="0"/>
              <w:snapToGrid w:val="0"/>
              <w:jc w:val="center"/>
              <w:rPr>
                <w:szCs w:val="21"/>
                <w:u w:val="single" w:color="auto"/>
              </w:rPr>
            </w:pPr>
            <w:r>
              <w:rPr>
                <w:szCs w:val="21"/>
                <w:u w:val="single" w:color="auto"/>
              </w:rPr>
              <w:t>COD、BOD</w:t>
            </w:r>
            <w:r>
              <w:rPr>
                <w:szCs w:val="21"/>
                <w:u w:val="single" w:color="auto"/>
                <w:vertAlign w:val="subscript"/>
              </w:rPr>
              <w:t>5</w:t>
            </w:r>
          </w:p>
          <w:p w14:paraId="10BED4EF">
            <w:pPr>
              <w:adjustRightInd w:val="0"/>
              <w:snapToGrid w:val="0"/>
              <w:jc w:val="center"/>
              <w:rPr>
                <w:rFonts w:hint="eastAsia" w:eastAsia="Calibri"/>
                <w:szCs w:val="21"/>
                <w:u w:val="single" w:color="auto"/>
              </w:rPr>
            </w:pPr>
            <w:r>
              <w:rPr>
                <w:szCs w:val="21"/>
                <w:u w:val="single" w:color="auto"/>
              </w:rPr>
              <w:t>SS、氨氮</w:t>
            </w:r>
          </w:p>
        </w:tc>
        <w:tc>
          <w:tcPr>
            <w:tcW w:w="2022" w:type="dxa"/>
            <w:noWrap w:val="0"/>
            <w:vAlign w:val="center"/>
          </w:tcPr>
          <w:p w14:paraId="0B41E8AC">
            <w:pPr>
              <w:adjustRightInd w:val="0"/>
              <w:snapToGrid w:val="0"/>
              <w:jc w:val="center"/>
              <w:rPr>
                <w:rFonts w:hint="default" w:eastAsia="宋体"/>
                <w:szCs w:val="21"/>
                <w:u w:val="single" w:color="auto"/>
                <w:lang w:val="en-US" w:eastAsia="zh-CN"/>
              </w:rPr>
            </w:pPr>
            <w:r>
              <w:rPr>
                <w:szCs w:val="21"/>
                <w:u w:val="single" w:color="auto"/>
              </w:rPr>
              <w:t>排入</w:t>
            </w:r>
            <w:r>
              <w:rPr>
                <w:rFonts w:hint="eastAsia"/>
                <w:szCs w:val="21"/>
                <w:u w:val="single" w:color="auto"/>
              </w:rPr>
              <w:t>厂区</w:t>
            </w:r>
            <w:r>
              <w:rPr>
                <w:rFonts w:hint="eastAsia"/>
                <w:szCs w:val="21"/>
                <w:u w:val="single" w:color="auto"/>
                <w:lang w:val="en-US" w:eastAsia="zh-CN"/>
              </w:rPr>
              <w:t>防渗旱厕，定期清掏作农肥</w:t>
            </w:r>
          </w:p>
        </w:tc>
        <w:tc>
          <w:tcPr>
            <w:tcW w:w="1980" w:type="dxa"/>
            <w:noWrap w:val="0"/>
            <w:vAlign w:val="center"/>
          </w:tcPr>
          <w:p w14:paraId="4AE604B6">
            <w:pPr>
              <w:adjustRightInd w:val="0"/>
              <w:snapToGrid w:val="0"/>
              <w:jc w:val="center"/>
              <w:rPr>
                <w:rFonts w:hint="eastAsia"/>
                <w:szCs w:val="21"/>
                <w:u w:val="single" w:color="auto"/>
              </w:rPr>
            </w:pPr>
            <w:r>
              <w:rPr>
                <w:rFonts w:hint="eastAsia"/>
                <w:bCs/>
                <w:kern w:val="0"/>
                <w:szCs w:val="21"/>
                <w:u w:val="single" w:color="auto"/>
              </w:rPr>
              <w:t>不排放</w:t>
            </w:r>
          </w:p>
        </w:tc>
      </w:tr>
      <w:tr w14:paraId="39377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41635EBE">
            <w:pPr>
              <w:adjustRightInd w:val="0"/>
              <w:snapToGrid w:val="0"/>
              <w:jc w:val="center"/>
              <w:rPr>
                <w:rFonts w:eastAsia="Calibri"/>
                <w:szCs w:val="21"/>
                <w:u w:val="single" w:color="auto"/>
              </w:rPr>
            </w:pPr>
            <w:r>
              <w:rPr>
                <w:szCs w:val="21"/>
                <w:u w:val="single" w:color="auto"/>
              </w:rPr>
              <w:t>声环境</w:t>
            </w:r>
          </w:p>
        </w:tc>
        <w:tc>
          <w:tcPr>
            <w:tcW w:w="1624" w:type="dxa"/>
            <w:noWrap w:val="0"/>
            <w:vAlign w:val="center"/>
          </w:tcPr>
          <w:p w14:paraId="21BC4372">
            <w:pPr>
              <w:adjustRightInd w:val="0"/>
              <w:snapToGrid w:val="0"/>
              <w:jc w:val="center"/>
              <w:rPr>
                <w:szCs w:val="21"/>
                <w:u w:val="single" w:color="auto"/>
              </w:rPr>
            </w:pPr>
            <w:r>
              <w:rPr>
                <w:rFonts w:hint="eastAsia"/>
                <w:u w:val="single" w:color="auto"/>
                <w:lang w:eastAsia="zh-CN"/>
              </w:rPr>
              <w:t>搅拌机、输送机、水泵</w:t>
            </w:r>
            <w:r>
              <w:rPr>
                <w:rFonts w:hint="eastAsia"/>
                <w:u w:val="single" w:color="auto"/>
              </w:rPr>
              <w:t>等</w:t>
            </w:r>
          </w:p>
        </w:tc>
        <w:tc>
          <w:tcPr>
            <w:tcW w:w="1396" w:type="dxa"/>
            <w:noWrap w:val="0"/>
            <w:vAlign w:val="center"/>
          </w:tcPr>
          <w:p w14:paraId="64AA4DF6">
            <w:pPr>
              <w:adjustRightInd w:val="0"/>
              <w:snapToGrid w:val="0"/>
              <w:jc w:val="center"/>
              <w:rPr>
                <w:rFonts w:eastAsia="Calibri"/>
                <w:szCs w:val="21"/>
                <w:u w:val="single" w:color="auto"/>
              </w:rPr>
            </w:pPr>
            <w:r>
              <w:rPr>
                <w:rFonts w:hint="eastAsia"/>
                <w:u w:val="single" w:color="auto"/>
              </w:rPr>
              <w:t>机械噪声</w:t>
            </w:r>
          </w:p>
        </w:tc>
        <w:tc>
          <w:tcPr>
            <w:tcW w:w="2022" w:type="dxa"/>
            <w:noWrap w:val="0"/>
            <w:vAlign w:val="center"/>
          </w:tcPr>
          <w:p w14:paraId="3543D679">
            <w:pPr>
              <w:adjustRightInd w:val="0"/>
              <w:snapToGrid w:val="0"/>
              <w:jc w:val="center"/>
              <w:rPr>
                <w:rFonts w:hint="eastAsia" w:eastAsia="宋体"/>
                <w:szCs w:val="21"/>
                <w:u w:val="single" w:color="auto"/>
                <w:lang w:eastAsia="zh-CN"/>
              </w:rPr>
            </w:pPr>
            <w:r>
              <w:rPr>
                <w:rFonts w:hint="eastAsia" w:ascii="宋体" w:hAnsi="宋体"/>
                <w:bCs/>
                <w:u w:val="single" w:color="auto"/>
              </w:rPr>
              <w:t>选用低噪声设备，采取有效的减振、</w:t>
            </w:r>
            <w:r>
              <w:rPr>
                <w:rFonts w:hint="eastAsia" w:ascii="宋体" w:hAnsi="宋体"/>
                <w:bCs/>
                <w:u w:val="single" w:color="auto"/>
                <w:lang w:val="en-US" w:eastAsia="zh-CN"/>
              </w:rPr>
              <w:t>消</w:t>
            </w:r>
            <w:r>
              <w:rPr>
                <w:rFonts w:hint="eastAsia" w:ascii="宋体" w:hAnsi="宋体"/>
                <w:bCs/>
                <w:u w:val="single" w:color="auto"/>
              </w:rPr>
              <w:t>声等降噪措施，</w:t>
            </w:r>
            <w:r>
              <w:rPr>
                <w:rFonts w:hint="eastAsia"/>
                <w:color w:val="000000" w:themeColor="text1"/>
                <w:sz w:val="21"/>
                <w:szCs w:val="21"/>
                <w:u w:val="single" w:color="auto"/>
                <w14:textFill>
                  <w14:solidFill>
                    <w14:schemeClr w14:val="tx1"/>
                  </w14:solidFill>
                </w14:textFill>
              </w:rPr>
              <w:t>加强厂区车辆的维护管理</w:t>
            </w:r>
          </w:p>
        </w:tc>
        <w:tc>
          <w:tcPr>
            <w:tcW w:w="1980" w:type="dxa"/>
            <w:noWrap w:val="0"/>
            <w:vAlign w:val="center"/>
          </w:tcPr>
          <w:p w14:paraId="51880A05">
            <w:pPr>
              <w:adjustRightInd w:val="0"/>
              <w:snapToGrid w:val="0"/>
              <w:jc w:val="center"/>
              <w:rPr>
                <w:rFonts w:eastAsia="Calibri"/>
                <w:i/>
                <w:iCs/>
                <w:szCs w:val="21"/>
                <w:u w:val="single" w:color="auto"/>
              </w:rPr>
            </w:pPr>
            <w:r>
              <w:rPr>
                <w:bCs/>
                <w:i w:val="0"/>
                <w:iCs w:val="0"/>
                <w:kern w:val="0"/>
                <w:szCs w:val="21"/>
                <w:u w:val="single" w:color="auto"/>
              </w:rPr>
              <w:t>《工业企业厂界环境噪声排放标准》（</w:t>
            </w:r>
            <w:r>
              <w:rPr>
                <w:rFonts w:eastAsia="Calibri"/>
                <w:i w:val="0"/>
                <w:iCs w:val="0"/>
                <w:kern w:val="0"/>
                <w:szCs w:val="21"/>
                <w:u w:val="single" w:color="auto"/>
              </w:rPr>
              <w:t>GB12348</w:t>
            </w:r>
            <w:r>
              <w:rPr>
                <w:rFonts w:hint="eastAsia" w:eastAsia="宋体"/>
                <w:i w:val="0"/>
                <w:iCs w:val="0"/>
                <w:kern w:val="0"/>
                <w:szCs w:val="21"/>
                <w:u w:val="single" w:color="auto"/>
                <w:lang w:val="en-US" w:eastAsia="zh-CN"/>
              </w:rPr>
              <w:t>-</w:t>
            </w:r>
            <w:r>
              <w:rPr>
                <w:rFonts w:eastAsia="Calibri"/>
                <w:i w:val="0"/>
                <w:iCs w:val="0"/>
                <w:kern w:val="0"/>
                <w:szCs w:val="21"/>
                <w:u w:val="single" w:color="auto"/>
              </w:rPr>
              <w:t>2008</w:t>
            </w:r>
            <w:r>
              <w:rPr>
                <w:i w:val="0"/>
                <w:iCs w:val="0"/>
                <w:kern w:val="0"/>
                <w:szCs w:val="21"/>
                <w:u w:val="single" w:color="auto"/>
              </w:rPr>
              <w:t>）中</w:t>
            </w:r>
            <w:r>
              <w:rPr>
                <w:rFonts w:hint="eastAsia"/>
                <w:i w:val="0"/>
                <w:iCs w:val="0"/>
                <w:kern w:val="0"/>
                <w:szCs w:val="21"/>
                <w:u w:val="single" w:color="auto"/>
                <w:lang w:val="en-US" w:eastAsia="zh-CN"/>
              </w:rPr>
              <w:t>3</w:t>
            </w:r>
            <w:r>
              <w:rPr>
                <w:i w:val="0"/>
                <w:iCs w:val="0"/>
                <w:kern w:val="0"/>
                <w:szCs w:val="21"/>
                <w:u w:val="single" w:color="auto"/>
              </w:rPr>
              <w:t>类标准</w:t>
            </w:r>
          </w:p>
        </w:tc>
      </w:tr>
      <w:tr w14:paraId="725D3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78" w:type="dxa"/>
            <w:noWrap w:val="0"/>
            <w:vAlign w:val="center"/>
          </w:tcPr>
          <w:p w14:paraId="677CC486">
            <w:pPr>
              <w:adjustRightInd w:val="0"/>
              <w:snapToGrid w:val="0"/>
              <w:jc w:val="center"/>
              <w:rPr>
                <w:rFonts w:eastAsia="Calibri"/>
                <w:szCs w:val="21"/>
                <w:u w:val="single" w:color="auto"/>
              </w:rPr>
            </w:pPr>
            <w:r>
              <w:rPr>
                <w:szCs w:val="21"/>
                <w:u w:val="single" w:color="auto"/>
              </w:rPr>
              <w:t>电磁辐射</w:t>
            </w:r>
          </w:p>
        </w:tc>
        <w:tc>
          <w:tcPr>
            <w:tcW w:w="1624" w:type="dxa"/>
            <w:noWrap w:val="0"/>
            <w:vAlign w:val="center"/>
          </w:tcPr>
          <w:p w14:paraId="602A9573">
            <w:pPr>
              <w:adjustRightInd w:val="0"/>
              <w:snapToGrid w:val="0"/>
              <w:jc w:val="center"/>
              <w:rPr>
                <w:rFonts w:eastAsia="Calibri"/>
                <w:szCs w:val="21"/>
                <w:u w:val="single" w:color="auto"/>
              </w:rPr>
            </w:pPr>
            <w:r>
              <w:rPr>
                <w:rFonts w:eastAsia="Calibri"/>
                <w:szCs w:val="21"/>
                <w:u w:val="single" w:color="auto"/>
              </w:rPr>
              <w:t>/</w:t>
            </w:r>
          </w:p>
        </w:tc>
        <w:tc>
          <w:tcPr>
            <w:tcW w:w="1396" w:type="dxa"/>
            <w:noWrap w:val="0"/>
            <w:vAlign w:val="center"/>
          </w:tcPr>
          <w:p w14:paraId="1CF9D6AD">
            <w:pPr>
              <w:adjustRightInd w:val="0"/>
              <w:snapToGrid w:val="0"/>
              <w:jc w:val="center"/>
              <w:rPr>
                <w:rFonts w:eastAsia="Calibri"/>
                <w:szCs w:val="21"/>
                <w:u w:val="single" w:color="auto"/>
              </w:rPr>
            </w:pPr>
            <w:r>
              <w:rPr>
                <w:rFonts w:eastAsia="Calibri"/>
                <w:szCs w:val="21"/>
                <w:u w:val="single" w:color="auto"/>
              </w:rPr>
              <w:t>/</w:t>
            </w:r>
          </w:p>
        </w:tc>
        <w:tc>
          <w:tcPr>
            <w:tcW w:w="2022" w:type="dxa"/>
            <w:noWrap w:val="0"/>
            <w:vAlign w:val="center"/>
          </w:tcPr>
          <w:p w14:paraId="7A401215">
            <w:pPr>
              <w:adjustRightInd w:val="0"/>
              <w:snapToGrid w:val="0"/>
              <w:jc w:val="center"/>
              <w:rPr>
                <w:rFonts w:eastAsia="Calibri"/>
                <w:szCs w:val="21"/>
                <w:u w:val="single" w:color="auto"/>
              </w:rPr>
            </w:pPr>
            <w:r>
              <w:rPr>
                <w:rFonts w:eastAsia="Calibri"/>
                <w:szCs w:val="21"/>
                <w:u w:val="single" w:color="auto"/>
              </w:rPr>
              <w:t>/</w:t>
            </w:r>
          </w:p>
        </w:tc>
        <w:tc>
          <w:tcPr>
            <w:tcW w:w="1980" w:type="dxa"/>
            <w:noWrap w:val="0"/>
            <w:vAlign w:val="center"/>
          </w:tcPr>
          <w:p w14:paraId="07913E76">
            <w:pPr>
              <w:adjustRightInd w:val="0"/>
              <w:snapToGrid w:val="0"/>
              <w:jc w:val="center"/>
              <w:rPr>
                <w:rFonts w:eastAsia="Calibri"/>
                <w:szCs w:val="21"/>
                <w:u w:val="single" w:color="auto"/>
              </w:rPr>
            </w:pPr>
            <w:r>
              <w:rPr>
                <w:rFonts w:eastAsia="Calibri"/>
                <w:szCs w:val="21"/>
                <w:u w:val="single" w:color="auto"/>
              </w:rPr>
              <w:t>/</w:t>
            </w:r>
          </w:p>
        </w:tc>
      </w:tr>
      <w:tr w14:paraId="21B3C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778" w:type="dxa"/>
            <w:noWrap w:val="0"/>
            <w:vAlign w:val="center"/>
          </w:tcPr>
          <w:p w14:paraId="56FEDDDC">
            <w:pPr>
              <w:adjustRightInd w:val="0"/>
              <w:snapToGrid w:val="0"/>
              <w:jc w:val="center"/>
              <w:rPr>
                <w:rFonts w:eastAsia="Calibri"/>
                <w:szCs w:val="21"/>
                <w:u w:val="single" w:color="auto"/>
              </w:rPr>
            </w:pPr>
            <w:r>
              <w:rPr>
                <w:szCs w:val="21"/>
                <w:u w:val="single" w:color="auto"/>
              </w:rPr>
              <w:t>固体废物</w:t>
            </w:r>
          </w:p>
        </w:tc>
        <w:tc>
          <w:tcPr>
            <w:tcW w:w="7022" w:type="dxa"/>
            <w:gridSpan w:val="4"/>
            <w:noWrap w:val="0"/>
            <w:vAlign w:val="center"/>
          </w:tcPr>
          <w:p w14:paraId="7BE61020">
            <w:pPr>
              <w:adjustRightInd w:val="0"/>
              <w:snapToGrid w:val="0"/>
              <w:rPr>
                <w:rFonts w:eastAsia="Calibri"/>
                <w:iCs/>
                <w:szCs w:val="21"/>
                <w:u w:val="single" w:color="auto"/>
              </w:rPr>
            </w:pPr>
            <w:r>
              <w:rPr>
                <w:rFonts w:hint="eastAsia"/>
                <w:color w:val="auto"/>
                <w:u w:val="single" w:color="auto"/>
              </w:rPr>
              <w:t>生活垃圾</w:t>
            </w:r>
            <w:r>
              <w:rPr>
                <w:rFonts w:hint="eastAsia"/>
                <w:color w:val="auto"/>
                <w:u w:val="single" w:color="auto"/>
                <w:lang w:val="en-US" w:eastAsia="zh-CN"/>
              </w:rPr>
              <w:t>收集后交</w:t>
            </w:r>
            <w:r>
              <w:rPr>
                <w:rFonts w:hint="eastAsia"/>
                <w:color w:val="auto"/>
                <w:u w:val="single" w:color="auto"/>
              </w:rPr>
              <w:t>由环卫部门</w:t>
            </w:r>
            <w:r>
              <w:rPr>
                <w:rFonts w:hint="eastAsia"/>
                <w:color w:val="auto"/>
                <w:u w:val="single" w:color="auto"/>
                <w:lang w:val="en-US" w:eastAsia="zh-CN"/>
              </w:rPr>
              <w:t>统一</w:t>
            </w:r>
            <w:r>
              <w:rPr>
                <w:rFonts w:hint="eastAsia"/>
                <w:color w:val="auto"/>
                <w:u w:val="single" w:color="auto"/>
              </w:rPr>
              <w:t>处理</w:t>
            </w:r>
            <w:r>
              <w:rPr>
                <w:rFonts w:hint="eastAsia"/>
                <w:color w:val="auto"/>
                <w:u w:val="single" w:color="auto"/>
                <w:lang w:eastAsia="zh-CN"/>
              </w:rPr>
              <w:t>；</w:t>
            </w:r>
            <w:r>
              <w:rPr>
                <w:rFonts w:hint="eastAsia"/>
                <w:color w:val="auto"/>
                <w:szCs w:val="21"/>
                <w:u w:val="single" w:color="auto"/>
                <w:lang w:val="en-US" w:eastAsia="zh-CN"/>
              </w:rPr>
              <w:t>除尘器收集粉尘回用于生产；废布袋收集后交由厂家回收利用；沉淀池沉淀物定期清掏，回用于生产；化验室废试样收集后交由建材厂综合利用</w:t>
            </w:r>
            <w:r>
              <w:rPr>
                <w:rFonts w:hint="eastAsia"/>
                <w:color w:val="auto"/>
                <w:u w:val="single" w:color="auto"/>
              </w:rPr>
              <w:t>。</w:t>
            </w:r>
          </w:p>
        </w:tc>
      </w:tr>
      <w:tr w14:paraId="25E37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778" w:type="dxa"/>
            <w:noWrap w:val="0"/>
            <w:vAlign w:val="center"/>
          </w:tcPr>
          <w:p w14:paraId="45928649">
            <w:pPr>
              <w:adjustRightInd w:val="0"/>
              <w:snapToGrid w:val="0"/>
              <w:jc w:val="center"/>
              <w:rPr>
                <w:rFonts w:eastAsia="Calibri"/>
                <w:szCs w:val="21"/>
                <w:u w:val="single" w:color="auto"/>
              </w:rPr>
            </w:pPr>
            <w:r>
              <w:rPr>
                <w:szCs w:val="21"/>
                <w:u w:val="single" w:color="auto"/>
              </w:rPr>
              <w:t>土壤及地下水</w:t>
            </w:r>
          </w:p>
          <w:p w14:paraId="03862745">
            <w:pPr>
              <w:adjustRightInd w:val="0"/>
              <w:snapToGrid w:val="0"/>
              <w:jc w:val="center"/>
              <w:rPr>
                <w:rFonts w:eastAsia="Calibri"/>
                <w:szCs w:val="21"/>
                <w:u w:val="single" w:color="auto"/>
              </w:rPr>
            </w:pPr>
            <w:r>
              <w:rPr>
                <w:szCs w:val="21"/>
                <w:u w:val="single" w:color="auto"/>
              </w:rPr>
              <w:t>污染防治措施</w:t>
            </w:r>
          </w:p>
        </w:tc>
        <w:tc>
          <w:tcPr>
            <w:tcW w:w="7022" w:type="dxa"/>
            <w:gridSpan w:val="4"/>
            <w:noWrap w:val="0"/>
            <w:vAlign w:val="center"/>
          </w:tcPr>
          <w:p w14:paraId="7FF26AD6">
            <w:pPr>
              <w:adjustRightInd w:val="0"/>
              <w:snapToGrid w:val="0"/>
              <w:jc w:val="both"/>
              <w:rPr>
                <w:rFonts w:eastAsia="Calibri"/>
                <w:szCs w:val="21"/>
                <w:u w:val="single" w:color="auto"/>
              </w:rPr>
            </w:pPr>
            <w:r>
              <w:rPr>
                <w:rFonts w:hint="default" w:ascii="Times New Roman" w:hAnsi="Times New Roman" w:eastAsia="宋体" w:cs="Times New Roman"/>
                <w:sz w:val="21"/>
                <w:szCs w:val="21"/>
                <w:u w:val="single" w:color="auto"/>
              </w:rPr>
              <w:t>厂区进行分区防渗</w:t>
            </w:r>
            <w:r>
              <w:rPr>
                <w:rFonts w:hint="default" w:ascii="Times New Roman" w:hAnsi="Times New Roman" w:cs="Times New Roman"/>
                <w:sz w:val="21"/>
                <w:szCs w:val="21"/>
                <w:u w:val="single" w:color="auto"/>
                <w:lang w:eastAsia="zh-CN"/>
              </w:rPr>
              <w:t>，</w:t>
            </w:r>
            <w:r>
              <w:rPr>
                <w:rFonts w:hint="default" w:ascii="Times New Roman" w:hAnsi="Times New Roman" w:eastAsia="宋体" w:cs="Times New Roman"/>
                <w:sz w:val="21"/>
                <w:szCs w:val="21"/>
                <w:u w:val="single" w:color="auto"/>
              </w:rPr>
              <w:t>外加剂储罐区</w:t>
            </w:r>
            <w:r>
              <w:rPr>
                <w:rFonts w:hint="eastAsia" w:ascii="Times New Roman" w:hAnsi="Times New Roman" w:cs="Times New Roman"/>
                <w:sz w:val="21"/>
                <w:szCs w:val="21"/>
                <w:u w:val="single" w:color="auto"/>
                <w:lang w:eastAsia="zh-CN"/>
              </w:rPr>
              <w:t>、</w:t>
            </w:r>
            <w:r>
              <w:rPr>
                <w:rFonts w:hint="eastAsia" w:cs="Times New Roman"/>
                <w:sz w:val="21"/>
                <w:szCs w:val="21"/>
                <w:u w:val="single" w:color="auto"/>
                <w:lang w:eastAsia="zh-CN"/>
              </w:rPr>
              <w:t>三级</w:t>
            </w:r>
            <w:r>
              <w:rPr>
                <w:rFonts w:hint="default" w:ascii="Times New Roman" w:hAnsi="Times New Roman" w:eastAsia="宋体" w:cs="Times New Roman"/>
                <w:sz w:val="21"/>
                <w:szCs w:val="21"/>
                <w:u w:val="single" w:color="auto"/>
              </w:rPr>
              <w:t>沉淀池按照一般防渗区进行防渗，防渗层的设置要求等效黏土防渗层Mb≥1.5m，K≤1.0×10</w:t>
            </w:r>
            <w:r>
              <w:rPr>
                <w:rFonts w:hint="default" w:ascii="Times New Roman" w:hAnsi="Times New Roman" w:eastAsia="宋体" w:cs="Times New Roman"/>
                <w:sz w:val="21"/>
                <w:szCs w:val="21"/>
                <w:u w:val="single" w:color="auto"/>
                <w:vertAlign w:val="superscript"/>
              </w:rPr>
              <w:t>-7</w:t>
            </w:r>
            <w:r>
              <w:rPr>
                <w:rFonts w:hint="default" w:ascii="Times New Roman" w:hAnsi="Times New Roman" w:eastAsia="宋体" w:cs="Times New Roman"/>
                <w:sz w:val="21"/>
                <w:szCs w:val="21"/>
                <w:u w:val="single" w:color="auto"/>
              </w:rPr>
              <w:t>cm/s，或参照GB18598执行；厂区道路、办公</w:t>
            </w:r>
            <w:r>
              <w:rPr>
                <w:rFonts w:hint="eastAsia" w:cs="Times New Roman"/>
                <w:sz w:val="21"/>
                <w:szCs w:val="21"/>
                <w:u w:val="single" w:color="auto"/>
                <w:lang w:eastAsia="zh-CN"/>
              </w:rPr>
              <w:t>综合楼</w:t>
            </w:r>
            <w:r>
              <w:rPr>
                <w:rFonts w:hint="eastAsia"/>
                <w:color w:val="000000" w:themeColor="text1"/>
                <w:sz w:val="21"/>
                <w:szCs w:val="21"/>
                <w:u w:val="single" w:color="auto"/>
                <w:lang w:eastAsia="zh-CN"/>
                <w14:textFill>
                  <w14:solidFill>
                    <w14:schemeClr w14:val="tx1"/>
                  </w14:solidFill>
                </w14:textFill>
              </w:rPr>
              <w:t>、骨料料库</w:t>
            </w:r>
            <w:r>
              <w:rPr>
                <w:rFonts w:hint="default" w:ascii="Times New Roman" w:hAnsi="Times New Roman" w:eastAsia="宋体" w:cs="Times New Roman"/>
                <w:sz w:val="21"/>
                <w:szCs w:val="21"/>
                <w:u w:val="single" w:color="auto"/>
              </w:rPr>
              <w:t>等其他区域按照简单防渗区进行防渗，一般地面硬化即可。</w:t>
            </w:r>
          </w:p>
        </w:tc>
      </w:tr>
      <w:tr w14:paraId="4AAD7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78" w:type="dxa"/>
            <w:noWrap w:val="0"/>
            <w:vAlign w:val="center"/>
          </w:tcPr>
          <w:p w14:paraId="0F11341A">
            <w:pPr>
              <w:adjustRightInd w:val="0"/>
              <w:snapToGrid w:val="0"/>
              <w:jc w:val="center"/>
              <w:rPr>
                <w:rFonts w:eastAsia="Calibri"/>
                <w:szCs w:val="21"/>
                <w:u w:val="single" w:color="auto"/>
              </w:rPr>
            </w:pPr>
            <w:r>
              <w:rPr>
                <w:szCs w:val="21"/>
                <w:u w:val="single" w:color="auto"/>
              </w:rPr>
              <w:t>生态保护措施</w:t>
            </w:r>
          </w:p>
        </w:tc>
        <w:tc>
          <w:tcPr>
            <w:tcW w:w="7022" w:type="dxa"/>
            <w:gridSpan w:val="4"/>
            <w:noWrap w:val="0"/>
            <w:vAlign w:val="center"/>
          </w:tcPr>
          <w:p w14:paraId="0182D6A0">
            <w:pPr>
              <w:adjustRightInd w:val="0"/>
              <w:snapToGrid w:val="0"/>
              <w:jc w:val="center"/>
              <w:rPr>
                <w:rFonts w:eastAsia="Calibri"/>
                <w:szCs w:val="21"/>
                <w:u w:val="single" w:color="auto"/>
              </w:rPr>
            </w:pPr>
            <w:r>
              <w:rPr>
                <w:rFonts w:eastAsia="Calibri"/>
                <w:szCs w:val="21"/>
                <w:u w:val="single" w:color="auto"/>
              </w:rPr>
              <w:t>/</w:t>
            </w:r>
          </w:p>
        </w:tc>
      </w:tr>
      <w:tr w14:paraId="5DA23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1778" w:type="dxa"/>
            <w:noWrap w:val="0"/>
            <w:vAlign w:val="center"/>
          </w:tcPr>
          <w:p w14:paraId="6D1769B7">
            <w:pPr>
              <w:adjustRightInd w:val="0"/>
              <w:snapToGrid w:val="0"/>
              <w:jc w:val="center"/>
              <w:rPr>
                <w:rFonts w:eastAsia="Calibri"/>
                <w:spacing w:val="-8"/>
                <w:szCs w:val="21"/>
                <w:u w:val="single" w:color="auto"/>
              </w:rPr>
            </w:pPr>
            <w:r>
              <w:rPr>
                <w:spacing w:val="-8"/>
                <w:szCs w:val="21"/>
                <w:u w:val="single" w:color="auto"/>
              </w:rPr>
              <w:t>环境风险</w:t>
            </w:r>
          </w:p>
          <w:p w14:paraId="74CB42B4">
            <w:pPr>
              <w:adjustRightInd w:val="0"/>
              <w:snapToGrid w:val="0"/>
              <w:jc w:val="center"/>
              <w:rPr>
                <w:rFonts w:eastAsia="Calibri"/>
                <w:spacing w:val="-8"/>
                <w:szCs w:val="21"/>
                <w:u w:val="single" w:color="auto"/>
              </w:rPr>
            </w:pPr>
            <w:r>
              <w:rPr>
                <w:spacing w:val="-8"/>
                <w:szCs w:val="21"/>
                <w:u w:val="single" w:color="auto"/>
              </w:rPr>
              <w:t>防范措施</w:t>
            </w:r>
          </w:p>
        </w:tc>
        <w:tc>
          <w:tcPr>
            <w:tcW w:w="7022" w:type="dxa"/>
            <w:gridSpan w:val="4"/>
            <w:noWrap w:val="0"/>
            <w:vAlign w:val="center"/>
          </w:tcPr>
          <w:p w14:paraId="5C96A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szCs w:val="21"/>
                <w:u w:val="single" w:color="auto"/>
              </w:rPr>
            </w:pPr>
            <w:r>
              <w:rPr>
                <w:rFonts w:hint="eastAsia" w:ascii="宋体" w:hAnsi="宋体" w:eastAsia="宋体" w:cs="宋体"/>
                <w:b w:val="0"/>
                <w:bCs w:val="0"/>
                <w:color w:val="000000"/>
                <w:kern w:val="0"/>
                <w:sz w:val="21"/>
                <w:szCs w:val="21"/>
                <w:u w:val="single" w:color="auto"/>
                <w:lang w:val="en-US" w:eastAsia="zh-CN" w:bidi="ar"/>
              </w:rPr>
              <w:t>①生产线开始工作前，先运行各配套风机及废气处理装置；在停止相应作业后，保持废气风机及处理装置继续运转，待废气完全排出后再停止，确保在开、停工阶段排出的污染物得到有效处理</w:t>
            </w:r>
            <w:r>
              <w:rPr>
                <w:rFonts w:hint="eastAsia" w:ascii="宋体" w:hAnsi="宋体" w:cs="宋体"/>
                <w:b w:val="0"/>
                <w:bCs w:val="0"/>
                <w:color w:val="000000"/>
                <w:kern w:val="0"/>
                <w:sz w:val="21"/>
                <w:szCs w:val="21"/>
                <w:u w:val="single" w:color="auto"/>
                <w:lang w:val="en-US" w:eastAsia="zh-CN" w:bidi="ar"/>
              </w:rPr>
              <w:t>。</w:t>
            </w:r>
            <w:r>
              <w:rPr>
                <w:rFonts w:hint="eastAsia" w:ascii="宋体" w:hAnsi="宋体" w:eastAsia="宋体" w:cs="宋体"/>
                <w:b w:val="0"/>
                <w:bCs w:val="0"/>
                <w:color w:val="000000"/>
                <w:kern w:val="0"/>
                <w:sz w:val="21"/>
                <w:szCs w:val="21"/>
                <w:u w:val="single" w:color="auto"/>
                <w:lang w:val="en-US" w:eastAsia="zh-CN" w:bidi="ar"/>
              </w:rPr>
              <w:t>②废气处理装置配套的风机、管道等选购和制作时应选用耐腐蚀材料</w:t>
            </w:r>
            <w:r>
              <w:rPr>
                <w:rFonts w:hint="eastAsia" w:ascii="宋体" w:hAnsi="宋体" w:cs="宋体"/>
                <w:b w:val="0"/>
                <w:bCs w:val="0"/>
                <w:color w:val="000000"/>
                <w:kern w:val="0"/>
                <w:sz w:val="21"/>
                <w:szCs w:val="21"/>
                <w:u w:val="single" w:color="auto"/>
                <w:lang w:val="en-US" w:eastAsia="zh-CN" w:bidi="ar"/>
              </w:rPr>
              <w:t>。</w:t>
            </w:r>
            <w:r>
              <w:rPr>
                <w:rFonts w:hint="eastAsia" w:ascii="宋体" w:hAnsi="宋体" w:eastAsia="宋体" w:cs="宋体"/>
                <w:b w:val="0"/>
                <w:bCs w:val="0"/>
                <w:color w:val="000000"/>
                <w:kern w:val="0"/>
                <w:sz w:val="21"/>
                <w:szCs w:val="21"/>
                <w:u w:val="single" w:color="auto"/>
                <w:lang w:val="en-US" w:eastAsia="zh-CN" w:bidi="ar"/>
              </w:rPr>
              <w:t>③针对废气处理设施故障造成废气超标排放的风险，要求企业安排专人对风机、废气处理设备和生产设施进行日常维护，如发现问题及时上报维修，必要时要停产检修，确保废气达标排放。在产生事故后应先停止生产设备，立即停止生产，维修或更换处理设备保证废气达标排放后再行生产。④操作及管理人员的技术水平可直接影响到风险事故的发生，本项目建成投产后，应对操作和管理人员的技术水平从严要求，上岗之前必须参加培训，培训不合格严禁上岗。⑤沉淀池、外加剂储罐区等进行防渗硬化处理，对池体、储罐情况定期进行检查是否破损，有问题及时进行修补。</w:t>
            </w:r>
          </w:p>
        </w:tc>
      </w:tr>
      <w:tr w14:paraId="17BE9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78" w:type="dxa"/>
            <w:noWrap w:val="0"/>
            <w:vAlign w:val="center"/>
          </w:tcPr>
          <w:p w14:paraId="2D0006F3">
            <w:pPr>
              <w:adjustRightInd w:val="0"/>
              <w:snapToGrid w:val="0"/>
              <w:jc w:val="center"/>
              <w:rPr>
                <w:rFonts w:eastAsia="Calibri"/>
                <w:spacing w:val="-8"/>
                <w:szCs w:val="21"/>
                <w:u w:val="single" w:color="auto"/>
              </w:rPr>
            </w:pPr>
            <w:r>
              <w:rPr>
                <w:spacing w:val="-8"/>
                <w:szCs w:val="21"/>
                <w:u w:val="single" w:color="auto"/>
              </w:rPr>
              <w:t>其他环境</w:t>
            </w:r>
          </w:p>
          <w:p w14:paraId="7E324BBE">
            <w:pPr>
              <w:adjustRightInd w:val="0"/>
              <w:snapToGrid w:val="0"/>
              <w:jc w:val="center"/>
              <w:rPr>
                <w:rFonts w:eastAsia="Calibri"/>
                <w:spacing w:val="-8"/>
                <w:szCs w:val="21"/>
                <w:u w:val="single" w:color="auto"/>
              </w:rPr>
            </w:pPr>
            <w:r>
              <w:rPr>
                <w:spacing w:val="-8"/>
                <w:szCs w:val="21"/>
                <w:u w:val="single" w:color="auto"/>
              </w:rPr>
              <w:t>管理要求</w:t>
            </w:r>
          </w:p>
        </w:tc>
        <w:tc>
          <w:tcPr>
            <w:tcW w:w="7022" w:type="dxa"/>
            <w:gridSpan w:val="4"/>
            <w:noWrap w:val="0"/>
            <w:vAlign w:val="center"/>
          </w:tcPr>
          <w:p w14:paraId="2081F395">
            <w:pPr>
              <w:rPr>
                <w:rFonts w:hint="eastAsia" w:ascii="Times New Roman" w:hAnsi="Times New Roman" w:eastAsia="宋体" w:cs="Times New Roman"/>
                <w:color w:val="auto"/>
                <w:kern w:val="21"/>
                <w:sz w:val="21"/>
                <w:szCs w:val="21"/>
                <w:u w:val="single" w:color="auto"/>
                <w:lang w:val="en-US" w:eastAsia="zh-CN"/>
              </w:rPr>
            </w:pPr>
            <w:r>
              <w:rPr>
                <w:szCs w:val="21"/>
                <w:u w:val="single" w:color="auto"/>
              </w:rPr>
              <w:t>根据国家环保政策、标准及环境监测要求，制定该项目运营期环境管理规章制度、各种污染物排放指标；对</w:t>
            </w:r>
            <w:r>
              <w:rPr>
                <w:rFonts w:hint="eastAsia"/>
                <w:szCs w:val="21"/>
                <w:u w:val="single" w:color="auto"/>
              </w:rPr>
              <w:t>厂区</w:t>
            </w:r>
            <w:r>
              <w:rPr>
                <w:szCs w:val="21"/>
                <w:u w:val="single" w:color="auto"/>
              </w:rPr>
              <w:t>内的</w:t>
            </w:r>
            <w:r>
              <w:rPr>
                <w:rFonts w:hint="eastAsia"/>
                <w:szCs w:val="21"/>
                <w:u w:val="single" w:color="auto"/>
              </w:rPr>
              <w:t>生产</w:t>
            </w:r>
            <w:r>
              <w:rPr>
                <w:szCs w:val="21"/>
                <w:u w:val="single" w:color="auto"/>
              </w:rPr>
              <w:t>设施进行定期维护和检修，确保</w:t>
            </w:r>
            <w:r>
              <w:rPr>
                <w:rFonts w:hint="eastAsia"/>
                <w:szCs w:val="21"/>
                <w:u w:val="single" w:color="auto"/>
              </w:rPr>
              <w:t>生产</w:t>
            </w:r>
            <w:r>
              <w:rPr>
                <w:szCs w:val="21"/>
                <w:u w:val="single" w:color="auto"/>
              </w:rPr>
              <w:t>设施的正常运行</w:t>
            </w:r>
            <w:r>
              <w:rPr>
                <w:rFonts w:hint="eastAsia"/>
                <w:szCs w:val="21"/>
                <w:u w:val="single" w:color="auto"/>
                <w:lang w:eastAsia="zh-CN"/>
              </w:rPr>
              <w:t>。</w:t>
            </w:r>
            <w:r>
              <w:rPr>
                <w:rFonts w:hint="eastAsia" w:ascii="Times New Roman" w:hAnsi="Times New Roman" w:eastAsia="宋体" w:cs="Times New Roman"/>
                <w:color w:val="auto"/>
                <w:kern w:val="21"/>
                <w:sz w:val="21"/>
                <w:szCs w:val="21"/>
                <w:u w:val="single" w:color="auto"/>
                <w:lang w:val="en-US" w:eastAsia="zh-CN"/>
              </w:rPr>
              <w:t>建设单位根据《建设项目竣工环境保护验收暂行办法》（国环规环评[2017]4号）要求执行验收规定。建设单位是项目竣工环境保护验收的责任主体，应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7D040BC7">
            <w:pPr>
              <w:pStyle w:val="2"/>
              <w:rPr>
                <w:rFonts w:hint="eastAsia" w:ascii="Times New Roman" w:hAnsi="Times New Roman" w:eastAsia="宋体" w:cs="Times New Roman"/>
                <w:color w:val="auto"/>
                <w:kern w:val="21"/>
                <w:sz w:val="21"/>
                <w:szCs w:val="21"/>
                <w:u w:val="single" w:color="auto"/>
                <w:lang w:val="en-US" w:eastAsia="zh-CN"/>
              </w:rPr>
            </w:pPr>
          </w:p>
          <w:p w14:paraId="3D4A6191">
            <w:pPr>
              <w:pStyle w:val="2"/>
              <w:rPr>
                <w:rFonts w:hint="eastAsia" w:ascii="Times New Roman" w:hAnsi="Times New Roman" w:eastAsia="宋体" w:cs="Times New Roman"/>
                <w:color w:val="auto"/>
                <w:kern w:val="21"/>
                <w:sz w:val="21"/>
                <w:szCs w:val="21"/>
                <w:u w:val="single" w:color="auto"/>
                <w:lang w:val="en-US" w:eastAsia="zh-CN"/>
              </w:rPr>
            </w:pPr>
          </w:p>
          <w:p w14:paraId="4E1290FA">
            <w:pPr>
              <w:pStyle w:val="2"/>
              <w:rPr>
                <w:rFonts w:hint="eastAsia" w:ascii="Times New Roman" w:hAnsi="Times New Roman" w:eastAsia="宋体" w:cs="Times New Roman"/>
                <w:color w:val="auto"/>
                <w:kern w:val="21"/>
                <w:sz w:val="21"/>
                <w:szCs w:val="21"/>
                <w:u w:val="single" w:color="auto"/>
                <w:lang w:val="en-US" w:eastAsia="zh-CN"/>
              </w:rPr>
            </w:pPr>
          </w:p>
          <w:p w14:paraId="5B47D24F">
            <w:pPr>
              <w:pStyle w:val="2"/>
              <w:rPr>
                <w:rFonts w:hint="eastAsia" w:ascii="Times New Roman" w:hAnsi="Times New Roman" w:eastAsia="宋体" w:cs="Times New Roman"/>
                <w:color w:val="auto"/>
                <w:kern w:val="21"/>
                <w:sz w:val="21"/>
                <w:szCs w:val="21"/>
                <w:u w:val="single" w:color="auto"/>
                <w:lang w:val="en-US" w:eastAsia="zh-CN"/>
              </w:rPr>
            </w:pPr>
          </w:p>
          <w:p w14:paraId="69AF38B7">
            <w:pPr>
              <w:pStyle w:val="2"/>
              <w:rPr>
                <w:rFonts w:hint="eastAsia" w:ascii="Times New Roman" w:hAnsi="Times New Roman" w:eastAsia="宋体" w:cs="Times New Roman"/>
                <w:color w:val="auto"/>
                <w:kern w:val="21"/>
                <w:sz w:val="21"/>
                <w:szCs w:val="21"/>
                <w:u w:val="single" w:color="auto"/>
                <w:lang w:val="en-US" w:eastAsia="zh-CN"/>
              </w:rPr>
            </w:pPr>
          </w:p>
          <w:p w14:paraId="136ADBB8">
            <w:pPr>
              <w:pStyle w:val="2"/>
              <w:rPr>
                <w:rFonts w:hint="eastAsia" w:ascii="Times New Roman" w:hAnsi="Times New Roman" w:eastAsia="宋体" w:cs="Times New Roman"/>
                <w:color w:val="auto"/>
                <w:kern w:val="21"/>
                <w:sz w:val="21"/>
                <w:szCs w:val="21"/>
                <w:u w:val="single" w:color="auto"/>
                <w:lang w:val="en-US" w:eastAsia="zh-CN"/>
              </w:rPr>
            </w:pPr>
          </w:p>
          <w:p w14:paraId="21789964">
            <w:pPr>
              <w:pStyle w:val="2"/>
              <w:rPr>
                <w:rFonts w:hint="eastAsia" w:ascii="Times New Roman" w:hAnsi="Times New Roman" w:eastAsia="宋体" w:cs="Times New Roman"/>
                <w:color w:val="auto"/>
                <w:kern w:val="21"/>
                <w:sz w:val="21"/>
                <w:szCs w:val="21"/>
                <w:u w:val="single" w:color="auto"/>
                <w:lang w:val="en-US" w:eastAsia="zh-CN"/>
              </w:rPr>
            </w:pPr>
          </w:p>
        </w:tc>
      </w:tr>
    </w:tbl>
    <w:p w14:paraId="23329E48">
      <w:pPr>
        <w:pStyle w:val="18"/>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3237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22F0C34D">
            <w:pPr>
              <w:spacing w:line="360" w:lineRule="auto"/>
              <w:ind w:firstLine="480" w:firstLineChars="200"/>
              <w:jc w:val="both"/>
              <w:rPr>
                <w:rFonts w:ascii="宋体" w:cs="宋体"/>
                <w:sz w:val="24"/>
              </w:rPr>
            </w:pPr>
            <w:r>
              <w:rPr>
                <w:rFonts w:hint="eastAsia"/>
                <w:sz w:val="24"/>
                <w:szCs w:val="24"/>
              </w:rPr>
              <w:t>通过对本项目进行工程分析以及环境影响分析后认为，本项目符合国家产业政策要求，选址符合</w:t>
            </w:r>
            <w:r>
              <w:rPr>
                <w:rFonts w:hint="eastAsia"/>
                <w:sz w:val="24"/>
                <w:szCs w:val="24"/>
                <w:lang w:eastAsia="zh-CN"/>
              </w:rPr>
              <w:t>《</w:t>
            </w:r>
            <w:r>
              <w:rPr>
                <w:rFonts w:hint="eastAsia" w:ascii="Times New Roman" w:hAnsi="Times New Roman" w:cs="Times New Roman"/>
                <w:color w:val="auto"/>
                <w:kern w:val="0"/>
                <w:sz w:val="24"/>
                <w:szCs w:val="24"/>
                <w:highlight w:val="none"/>
                <w:lang w:eastAsia="zh-CN"/>
              </w:rPr>
              <w:t>吉林临江边境经济合作区总体规划</w:t>
            </w:r>
            <w:r>
              <w:rPr>
                <w:rFonts w:hint="default" w:ascii="Times New Roman" w:hAnsi="Times New Roman" w:cs="Times New Roman"/>
                <w:color w:val="auto"/>
                <w:kern w:val="0"/>
                <w:sz w:val="24"/>
                <w:szCs w:val="24"/>
                <w:highlight w:val="none"/>
              </w:rPr>
              <w:t>（2018-2035）</w:t>
            </w:r>
            <w:r>
              <w:rPr>
                <w:rFonts w:hint="eastAsia"/>
                <w:sz w:val="24"/>
                <w:szCs w:val="24"/>
                <w:lang w:eastAsia="zh-CN"/>
              </w:rPr>
              <w:t>》</w:t>
            </w:r>
            <w:r>
              <w:rPr>
                <w:rFonts w:hint="eastAsia"/>
                <w:sz w:val="24"/>
                <w:szCs w:val="24"/>
              </w:rPr>
              <w:t>，选址合理，采用的各项环保设施合理、可靠、有效，总体上对区域环境影响较小，本评价认为，从环保角度来讲，本项目在所在地建设是可行的。</w:t>
            </w:r>
          </w:p>
        </w:tc>
      </w:tr>
    </w:tbl>
    <w:p w14:paraId="72358762">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4E2BD17">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14:paraId="43A6A0E4">
      <w:pPr>
        <w:pStyle w:val="18"/>
        <w:adjustRightInd w:val="0"/>
        <w:snapToGrid w:val="0"/>
        <w:spacing w:before="0" w:beforeAutospacing="0" w:after="0" w:afterAutospacing="0" w:line="240" w:lineRule="auto"/>
        <w:jc w:val="center"/>
        <w:outlineLvl w:val="0"/>
        <w:rPr>
          <w:rFonts w:hint="eastAsia" w:ascii="方正小标宋_GBK" w:hAnsi="黑体" w:eastAsia="方正小标宋_GBK"/>
          <w:snapToGrid w:val="0"/>
          <w:sz w:val="38"/>
          <w:szCs w:val="38"/>
          <w:u w:val="single"/>
        </w:rPr>
      </w:pPr>
      <w:r>
        <w:rPr>
          <w:rFonts w:hint="eastAsia" w:ascii="方正小标宋_GBK" w:hAnsi="黑体" w:eastAsia="方正小标宋_GBK"/>
          <w:snapToGrid w:val="0"/>
          <w:sz w:val="38"/>
          <w:szCs w:val="38"/>
          <w:u w:val="single"/>
        </w:rPr>
        <w:t>建设项目污染物排放量汇总表</w:t>
      </w:r>
    </w:p>
    <w:tbl>
      <w:tblPr>
        <w:tblStyle w:val="21"/>
        <w:tblW w:w="140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528"/>
        <w:gridCol w:w="1701"/>
        <w:gridCol w:w="1276"/>
        <w:gridCol w:w="1701"/>
        <w:gridCol w:w="1559"/>
        <w:gridCol w:w="1761"/>
        <w:gridCol w:w="1783"/>
        <w:gridCol w:w="1258"/>
      </w:tblGrid>
      <w:tr w14:paraId="4C236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7" w:type="dxa"/>
            <w:tcBorders>
              <w:tl2br w:val="single" w:color="auto" w:sz="4" w:space="0"/>
            </w:tcBorders>
            <w:noWrap w:val="0"/>
            <w:tcMar>
              <w:left w:w="28" w:type="dxa"/>
              <w:right w:w="28" w:type="dxa"/>
            </w:tcMar>
            <w:vAlign w:val="center"/>
          </w:tcPr>
          <w:p w14:paraId="141FB70A">
            <w:pPr>
              <w:pStyle w:val="42"/>
              <w:spacing w:beforeLines="0" w:afterLines="0" w:line="240" w:lineRule="auto"/>
              <w:jc w:val="right"/>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项目</w:t>
            </w:r>
          </w:p>
          <w:p w14:paraId="0D570E53">
            <w:pPr>
              <w:pStyle w:val="42"/>
              <w:spacing w:beforeLines="0" w:afterLines="0" w:line="240" w:lineRule="auto"/>
              <w:jc w:val="left"/>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分类</w:t>
            </w:r>
          </w:p>
        </w:tc>
        <w:tc>
          <w:tcPr>
            <w:tcW w:w="1528" w:type="dxa"/>
            <w:noWrap w:val="0"/>
            <w:tcMar>
              <w:left w:w="28" w:type="dxa"/>
              <w:right w:w="28" w:type="dxa"/>
            </w:tcMar>
            <w:vAlign w:val="center"/>
          </w:tcPr>
          <w:p w14:paraId="4E9EF813">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污染物名称</w:t>
            </w:r>
          </w:p>
        </w:tc>
        <w:tc>
          <w:tcPr>
            <w:tcW w:w="1701" w:type="dxa"/>
            <w:noWrap w:val="0"/>
            <w:tcMar>
              <w:left w:w="28" w:type="dxa"/>
              <w:right w:w="28" w:type="dxa"/>
            </w:tcMar>
            <w:vAlign w:val="center"/>
          </w:tcPr>
          <w:p w14:paraId="47123B2E">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现有工程</w:t>
            </w:r>
          </w:p>
          <w:p w14:paraId="75210772">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排放量（固体废物产生量）</w:t>
            </w:r>
            <w:r>
              <w:rPr>
                <w:rFonts w:ascii="Times New Roman" w:eastAsia="Calibri"/>
                <w:snapToGrid w:val="0"/>
                <w:color w:val="000000"/>
                <w:spacing w:val="-6"/>
                <w:kern w:val="21"/>
                <w:sz w:val="21"/>
                <w:szCs w:val="21"/>
                <w:u w:val="single"/>
              </w:rPr>
              <w:fldChar w:fldCharType="begin"/>
            </w:r>
            <w:r>
              <w:rPr>
                <w:rFonts w:ascii="Times New Roman" w:eastAsia="Calibri"/>
                <w:snapToGrid w:val="0"/>
                <w:color w:val="000000"/>
                <w:spacing w:val="-6"/>
                <w:kern w:val="21"/>
                <w:sz w:val="21"/>
                <w:szCs w:val="21"/>
                <w:u w:val="single"/>
              </w:rPr>
              <w:instrText xml:space="preserve"> = 1 \* GB3 \* MERGEFORMAT </w:instrText>
            </w:r>
            <w:r>
              <w:rPr>
                <w:rFonts w:ascii="Times New Roman" w:eastAsia="Calibri"/>
                <w:snapToGrid w:val="0"/>
                <w:color w:val="000000"/>
                <w:spacing w:val="-6"/>
                <w:kern w:val="21"/>
                <w:sz w:val="21"/>
                <w:szCs w:val="21"/>
                <w:u w:val="single"/>
              </w:rPr>
              <w:fldChar w:fldCharType="separate"/>
            </w:r>
            <w:r>
              <w:rPr>
                <w:rFonts w:ascii="宋体" w:hAnsi="宋体" w:eastAsia="宋体" w:cs="宋体"/>
                <w:kern w:val="2"/>
                <w:sz w:val="21"/>
                <w:szCs w:val="21"/>
                <w:u w:val="single"/>
              </w:rPr>
              <w:t>①</w:t>
            </w:r>
            <w:r>
              <w:rPr>
                <w:rFonts w:ascii="Times New Roman" w:eastAsia="Calibri"/>
                <w:snapToGrid w:val="0"/>
                <w:color w:val="000000"/>
                <w:spacing w:val="-6"/>
                <w:kern w:val="21"/>
                <w:sz w:val="21"/>
                <w:szCs w:val="21"/>
                <w:u w:val="single"/>
              </w:rPr>
              <w:fldChar w:fldCharType="end"/>
            </w:r>
          </w:p>
        </w:tc>
        <w:tc>
          <w:tcPr>
            <w:tcW w:w="1276" w:type="dxa"/>
            <w:noWrap w:val="0"/>
            <w:tcMar>
              <w:left w:w="28" w:type="dxa"/>
              <w:right w:w="28" w:type="dxa"/>
            </w:tcMar>
            <w:vAlign w:val="center"/>
          </w:tcPr>
          <w:p w14:paraId="4098F28F">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现有工程</w:t>
            </w:r>
          </w:p>
          <w:p w14:paraId="54BAAE94">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许可排放量</w:t>
            </w:r>
          </w:p>
          <w:p w14:paraId="77525B64">
            <w:pPr>
              <w:pStyle w:val="42"/>
              <w:spacing w:beforeLines="0" w:afterLines="0"/>
              <w:rPr>
                <w:rFonts w:ascii="Times New Roman" w:eastAsia="Calibri"/>
                <w:snapToGrid w:val="0"/>
                <w:color w:val="000000"/>
                <w:spacing w:val="-6"/>
                <w:kern w:val="21"/>
                <w:sz w:val="21"/>
                <w:szCs w:val="21"/>
                <w:u w:val="single"/>
              </w:rPr>
            </w:pPr>
            <w:r>
              <w:rPr>
                <w:rFonts w:ascii="Times New Roman" w:eastAsia="Calibri"/>
                <w:snapToGrid w:val="0"/>
                <w:color w:val="000000"/>
                <w:spacing w:val="-6"/>
                <w:kern w:val="21"/>
                <w:sz w:val="21"/>
                <w:szCs w:val="21"/>
                <w:u w:val="single"/>
              </w:rPr>
              <w:fldChar w:fldCharType="begin"/>
            </w:r>
            <w:r>
              <w:rPr>
                <w:rFonts w:ascii="Times New Roman" w:eastAsia="Calibri"/>
                <w:snapToGrid w:val="0"/>
                <w:color w:val="000000"/>
                <w:spacing w:val="-6"/>
                <w:kern w:val="21"/>
                <w:sz w:val="21"/>
                <w:szCs w:val="21"/>
                <w:u w:val="single"/>
              </w:rPr>
              <w:instrText xml:space="preserve"> = 2 \* GB3 \* MERGEFORMAT </w:instrText>
            </w:r>
            <w:r>
              <w:rPr>
                <w:rFonts w:ascii="Times New Roman" w:eastAsia="Calibri"/>
                <w:snapToGrid w:val="0"/>
                <w:color w:val="000000"/>
                <w:spacing w:val="-6"/>
                <w:kern w:val="21"/>
                <w:sz w:val="21"/>
                <w:szCs w:val="21"/>
                <w:u w:val="single"/>
              </w:rPr>
              <w:fldChar w:fldCharType="separate"/>
            </w:r>
            <w:r>
              <w:rPr>
                <w:rFonts w:ascii="宋体" w:hAnsi="宋体" w:eastAsia="宋体" w:cs="宋体"/>
                <w:snapToGrid w:val="0"/>
                <w:color w:val="000000"/>
                <w:spacing w:val="-6"/>
                <w:kern w:val="21"/>
                <w:sz w:val="21"/>
                <w:szCs w:val="21"/>
                <w:u w:val="single"/>
              </w:rPr>
              <w:t>②</w:t>
            </w:r>
            <w:r>
              <w:rPr>
                <w:rFonts w:ascii="Times New Roman" w:eastAsia="Calibri"/>
                <w:snapToGrid w:val="0"/>
                <w:color w:val="000000"/>
                <w:spacing w:val="-6"/>
                <w:kern w:val="21"/>
                <w:sz w:val="21"/>
                <w:szCs w:val="21"/>
                <w:u w:val="single"/>
              </w:rPr>
              <w:fldChar w:fldCharType="end"/>
            </w:r>
          </w:p>
        </w:tc>
        <w:tc>
          <w:tcPr>
            <w:tcW w:w="1701" w:type="dxa"/>
            <w:noWrap w:val="0"/>
            <w:tcMar>
              <w:left w:w="28" w:type="dxa"/>
              <w:right w:w="28" w:type="dxa"/>
            </w:tcMar>
            <w:vAlign w:val="center"/>
          </w:tcPr>
          <w:p w14:paraId="75BC49CA">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在建工程</w:t>
            </w:r>
          </w:p>
          <w:p w14:paraId="34302576">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排放量（固体废物产生量）</w:t>
            </w:r>
            <w:r>
              <w:rPr>
                <w:rFonts w:ascii="Times New Roman" w:eastAsia="Calibri"/>
                <w:snapToGrid w:val="0"/>
                <w:color w:val="000000"/>
                <w:spacing w:val="-6"/>
                <w:kern w:val="21"/>
                <w:sz w:val="21"/>
                <w:szCs w:val="21"/>
                <w:u w:val="single"/>
              </w:rPr>
              <w:fldChar w:fldCharType="begin"/>
            </w:r>
            <w:r>
              <w:rPr>
                <w:rFonts w:ascii="Times New Roman" w:eastAsia="Calibri"/>
                <w:snapToGrid w:val="0"/>
                <w:color w:val="000000"/>
                <w:spacing w:val="-6"/>
                <w:kern w:val="21"/>
                <w:sz w:val="21"/>
                <w:szCs w:val="21"/>
                <w:u w:val="single"/>
              </w:rPr>
              <w:instrText xml:space="preserve"> = 3 \* GB3 \* MERGEFORMAT </w:instrText>
            </w:r>
            <w:r>
              <w:rPr>
                <w:rFonts w:ascii="Times New Roman" w:eastAsia="Calibri"/>
                <w:snapToGrid w:val="0"/>
                <w:color w:val="000000"/>
                <w:spacing w:val="-6"/>
                <w:kern w:val="21"/>
                <w:sz w:val="21"/>
                <w:szCs w:val="21"/>
                <w:u w:val="single"/>
              </w:rPr>
              <w:fldChar w:fldCharType="separate"/>
            </w:r>
            <w:r>
              <w:rPr>
                <w:rFonts w:ascii="宋体" w:hAnsi="宋体" w:eastAsia="宋体" w:cs="宋体"/>
                <w:kern w:val="2"/>
                <w:sz w:val="21"/>
                <w:szCs w:val="21"/>
                <w:u w:val="single"/>
              </w:rPr>
              <w:t>③</w:t>
            </w:r>
            <w:r>
              <w:rPr>
                <w:rFonts w:ascii="Times New Roman" w:eastAsia="Calibri"/>
                <w:snapToGrid w:val="0"/>
                <w:color w:val="000000"/>
                <w:spacing w:val="-6"/>
                <w:kern w:val="21"/>
                <w:sz w:val="21"/>
                <w:szCs w:val="21"/>
                <w:u w:val="single"/>
              </w:rPr>
              <w:fldChar w:fldCharType="end"/>
            </w:r>
          </w:p>
        </w:tc>
        <w:tc>
          <w:tcPr>
            <w:tcW w:w="1559" w:type="dxa"/>
            <w:noWrap w:val="0"/>
            <w:tcMar>
              <w:left w:w="28" w:type="dxa"/>
              <w:right w:w="28" w:type="dxa"/>
            </w:tcMar>
            <w:vAlign w:val="center"/>
          </w:tcPr>
          <w:p w14:paraId="20A4AF3F">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本项目</w:t>
            </w:r>
          </w:p>
          <w:p w14:paraId="60A9065C">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排放量（固体废物产生量）</w:t>
            </w:r>
            <w:r>
              <w:rPr>
                <w:rFonts w:ascii="Times New Roman" w:eastAsia="Calibri"/>
                <w:snapToGrid w:val="0"/>
                <w:color w:val="000000"/>
                <w:spacing w:val="-6"/>
                <w:kern w:val="21"/>
                <w:sz w:val="21"/>
                <w:szCs w:val="21"/>
                <w:u w:val="single"/>
              </w:rPr>
              <w:fldChar w:fldCharType="begin"/>
            </w:r>
            <w:r>
              <w:rPr>
                <w:rFonts w:ascii="Times New Roman" w:eastAsia="Calibri"/>
                <w:snapToGrid w:val="0"/>
                <w:color w:val="000000"/>
                <w:spacing w:val="-6"/>
                <w:kern w:val="21"/>
                <w:sz w:val="21"/>
                <w:szCs w:val="21"/>
                <w:u w:val="single"/>
              </w:rPr>
              <w:instrText xml:space="preserve"> = 4 \* GB3 \* MERGEFORMAT </w:instrText>
            </w:r>
            <w:r>
              <w:rPr>
                <w:rFonts w:ascii="Times New Roman" w:eastAsia="Calibri"/>
                <w:snapToGrid w:val="0"/>
                <w:color w:val="000000"/>
                <w:spacing w:val="-6"/>
                <w:kern w:val="21"/>
                <w:sz w:val="21"/>
                <w:szCs w:val="21"/>
                <w:u w:val="single"/>
              </w:rPr>
              <w:fldChar w:fldCharType="separate"/>
            </w:r>
            <w:r>
              <w:rPr>
                <w:rFonts w:ascii="宋体" w:hAnsi="宋体" w:eastAsia="宋体" w:cs="宋体"/>
                <w:kern w:val="2"/>
                <w:sz w:val="21"/>
                <w:szCs w:val="21"/>
                <w:u w:val="single"/>
              </w:rPr>
              <w:t>④</w:t>
            </w:r>
            <w:r>
              <w:rPr>
                <w:rFonts w:ascii="Times New Roman" w:eastAsia="Calibri"/>
                <w:snapToGrid w:val="0"/>
                <w:color w:val="000000"/>
                <w:spacing w:val="-6"/>
                <w:kern w:val="21"/>
                <w:sz w:val="21"/>
                <w:szCs w:val="21"/>
                <w:u w:val="single"/>
              </w:rPr>
              <w:fldChar w:fldCharType="end"/>
            </w:r>
          </w:p>
        </w:tc>
        <w:tc>
          <w:tcPr>
            <w:tcW w:w="1761" w:type="dxa"/>
            <w:noWrap w:val="0"/>
            <w:tcMar>
              <w:left w:w="28" w:type="dxa"/>
              <w:right w:w="28" w:type="dxa"/>
            </w:tcMar>
            <w:vAlign w:val="center"/>
          </w:tcPr>
          <w:p w14:paraId="1F18DA90">
            <w:pPr>
              <w:pStyle w:val="42"/>
              <w:spacing w:beforeLines="0" w:afterLines="0" w:line="240" w:lineRule="auto"/>
              <w:rPr>
                <w:rFonts w:ascii="Times New Roman" w:eastAsia="Calibri"/>
                <w:snapToGrid w:val="0"/>
                <w:color w:val="000000"/>
                <w:spacing w:val="-16"/>
                <w:kern w:val="21"/>
                <w:sz w:val="21"/>
                <w:szCs w:val="21"/>
                <w:u w:val="single"/>
              </w:rPr>
            </w:pPr>
            <w:r>
              <w:rPr>
                <w:rFonts w:ascii="宋体" w:hAnsi="宋体" w:eastAsia="宋体" w:cs="宋体"/>
                <w:snapToGrid w:val="0"/>
                <w:color w:val="000000"/>
                <w:spacing w:val="-16"/>
                <w:kern w:val="21"/>
                <w:sz w:val="21"/>
                <w:szCs w:val="21"/>
                <w:u w:val="single"/>
              </w:rPr>
              <w:t>以新带老削减量</w:t>
            </w:r>
          </w:p>
          <w:p w14:paraId="2F250996">
            <w:pPr>
              <w:pStyle w:val="42"/>
              <w:spacing w:beforeLines="0" w:afterLines="0" w:line="240" w:lineRule="auto"/>
              <w:rPr>
                <w:rFonts w:ascii="Times New Roman" w:eastAsia="Calibri"/>
                <w:snapToGrid w:val="0"/>
                <w:color w:val="000000"/>
                <w:spacing w:val="-16"/>
                <w:kern w:val="21"/>
                <w:sz w:val="21"/>
                <w:szCs w:val="21"/>
                <w:u w:val="single"/>
              </w:rPr>
            </w:pPr>
            <w:r>
              <w:rPr>
                <w:rFonts w:ascii="宋体" w:hAnsi="宋体" w:eastAsia="宋体" w:cs="宋体"/>
                <w:snapToGrid w:val="0"/>
                <w:color w:val="000000"/>
                <w:spacing w:val="-16"/>
                <w:kern w:val="21"/>
                <w:sz w:val="21"/>
                <w:szCs w:val="21"/>
                <w:u w:val="single"/>
              </w:rPr>
              <w:t>（新建项目不填）</w:t>
            </w:r>
            <w:r>
              <w:rPr>
                <w:rFonts w:ascii="Times New Roman" w:eastAsia="Calibri"/>
                <w:snapToGrid w:val="0"/>
                <w:color w:val="000000"/>
                <w:spacing w:val="-16"/>
                <w:kern w:val="21"/>
                <w:sz w:val="21"/>
                <w:szCs w:val="21"/>
                <w:u w:val="single"/>
              </w:rPr>
              <w:fldChar w:fldCharType="begin"/>
            </w:r>
            <w:r>
              <w:rPr>
                <w:rFonts w:ascii="Times New Roman" w:eastAsia="Calibri"/>
                <w:snapToGrid w:val="0"/>
                <w:color w:val="000000"/>
                <w:spacing w:val="-16"/>
                <w:kern w:val="21"/>
                <w:sz w:val="21"/>
                <w:szCs w:val="21"/>
                <w:u w:val="single"/>
              </w:rPr>
              <w:instrText xml:space="preserve"> = 5 \* GB3 \* MERGEFORMAT </w:instrText>
            </w:r>
            <w:r>
              <w:rPr>
                <w:rFonts w:ascii="Times New Roman" w:eastAsia="Calibri"/>
                <w:snapToGrid w:val="0"/>
                <w:color w:val="000000"/>
                <w:spacing w:val="-16"/>
                <w:kern w:val="21"/>
                <w:sz w:val="21"/>
                <w:szCs w:val="21"/>
                <w:u w:val="single"/>
              </w:rPr>
              <w:fldChar w:fldCharType="separate"/>
            </w:r>
            <w:r>
              <w:rPr>
                <w:rFonts w:ascii="宋体" w:hAnsi="宋体" w:eastAsia="宋体" w:cs="宋体"/>
                <w:kern w:val="2"/>
                <w:sz w:val="21"/>
                <w:szCs w:val="21"/>
                <w:u w:val="single"/>
              </w:rPr>
              <w:t>⑤</w:t>
            </w:r>
            <w:r>
              <w:rPr>
                <w:rFonts w:ascii="Times New Roman" w:eastAsia="Calibri"/>
                <w:snapToGrid w:val="0"/>
                <w:color w:val="000000"/>
                <w:spacing w:val="-16"/>
                <w:kern w:val="21"/>
                <w:sz w:val="21"/>
                <w:szCs w:val="21"/>
                <w:u w:val="single"/>
              </w:rPr>
              <w:fldChar w:fldCharType="end"/>
            </w:r>
          </w:p>
        </w:tc>
        <w:tc>
          <w:tcPr>
            <w:tcW w:w="1783" w:type="dxa"/>
            <w:noWrap w:val="0"/>
            <w:tcMar>
              <w:left w:w="28" w:type="dxa"/>
              <w:right w:w="28" w:type="dxa"/>
            </w:tcMar>
            <w:vAlign w:val="center"/>
          </w:tcPr>
          <w:p w14:paraId="5FD5C4FD">
            <w:pPr>
              <w:pStyle w:val="42"/>
              <w:spacing w:beforeLines="0" w:afterLines="0" w:line="240" w:lineRule="auto"/>
              <w:rPr>
                <w:rFonts w:ascii="Times New Roman" w:eastAsia="Calibri"/>
                <w:snapToGrid w:val="0"/>
                <w:color w:val="000000"/>
                <w:spacing w:val="-16"/>
                <w:kern w:val="21"/>
                <w:sz w:val="21"/>
                <w:szCs w:val="21"/>
                <w:u w:val="single"/>
              </w:rPr>
            </w:pPr>
            <w:r>
              <w:rPr>
                <w:rFonts w:ascii="宋体" w:hAnsi="宋体" w:eastAsia="宋体" w:cs="宋体"/>
                <w:snapToGrid w:val="0"/>
                <w:color w:val="000000"/>
                <w:spacing w:val="-16"/>
                <w:kern w:val="21"/>
                <w:sz w:val="21"/>
                <w:szCs w:val="21"/>
                <w:u w:val="single"/>
              </w:rPr>
              <w:t>本项目建成后</w:t>
            </w:r>
          </w:p>
          <w:p w14:paraId="6FE568D2">
            <w:pPr>
              <w:pStyle w:val="42"/>
              <w:spacing w:beforeLines="0" w:afterLines="0" w:line="240" w:lineRule="auto"/>
              <w:rPr>
                <w:rFonts w:ascii="Times New Roman" w:eastAsia="Calibri"/>
                <w:snapToGrid w:val="0"/>
                <w:color w:val="000000"/>
                <w:spacing w:val="-16"/>
                <w:kern w:val="21"/>
                <w:sz w:val="21"/>
                <w:szCs w:val="21"/>
                <w:u w:val="single"/>
              </w:rPr>
            </w:pPr>
            <w:r>
              <w:rPr>
                <w:rFonts w:ascii="宋体" w:hAnsi="宋体" w:eastAsia="宋体" w:cs="宋体"/>
                <w:snapToGrid w:val="0"/>
                <w:color w:val="000000"/>
                <w:spacing w:val="-16"/>
                <w:kern w:val="21"/>
                <w:sz w:val="21"/>
                <w:szCs w:val="21"/>
                <w:u w:val="single"/>
              </w:rPr>
              <w:t>全厂排放量（固体废物产生量）</w:t>
            </w:r>
            <w:r>
              <w:rPr>
                <w:rFonts w:ascii="Times New Roman" w:eastAsia="Calibri"/>
                <w:snapToGrid w:val="0"/>
                <w:color w:val="000000"/>
                <w:spacing w:val="-16"/>
                <w:kern w:val="21"/>
                <w:sz w:val="21"/>
                <w:szCs w:val="21"/>
                <w:u w:val="single"/>
              </w:rPr>
              <w:fldChar w:fldCharType="begin"/>
            </w:r>
            <w:r>
              <w:rPr>
                <w:rFonts w:ascii="Times New Roman" w:eastAsia="Calibri"/>
                <w:snapToGrid w:val="0"/>
                <w:color w:val="000000"/>
                <w:spacing w:val="-16"/>
                <w:kern w:val="21"/>
                <w:sz w:val="21"/>
                <w:szCs w:val="21"/>
                <w:u w:val="single"/>
              </w:rPr>
              <w:instrText xml:space="preserve"> = 6 \* GB3 \* MERGEFORMAT </w:instrText>
            </w:r>
            <w:r>
              <w:rPr>
                <w:rFonts w:ascii="Times New Roman" w:eastAsia="Calibri"/>
                <w:snapToGrid w:val="0"/>
                <w:color w:val="000000"/>
                <w:spacing w:val="-16"/>
                <w:kern w:val="21"/>
                <w:sz w:val="21"/>
                <w:szCs w:val="21"/>
                <w:u w:val="single"/>
              </w:rPr>
              <w:fldChar w:fldCharType="separate"/>
            </w:r>
            <w:r>
              <w:rPr>
                <w:rFonts w:ascii="宋体" w:hAnsi="宋体" w:eastAsia="宋体" w:cs="宋体"/>
                <w:kern w:val="2"/>
                <w:sz w:val="21"/>
                <w:szCs w:val="21"/>
                <w:u w:val="single"/>
              </w:rPr>
              <w:t>⑥</w:t>
            </w:r>
            <w:r>
              <w:rPr>
                <w:rFonts w:ascii="Times New Roman" w:eastAsia="Calibri"/>
                <w:snapToGrid w:val="0"/>
                <w:color w:val="000000"/>
                <w:spacing w:val="-16"/>
                <w:kern w:val="21"/>
                <w:sz w:val="21"/>
                <w:szCs w:val="21"/>
                <w:u w:val="single"/>
              </w:rPr>
              <w:fldChar w:fldCharType="end"/>
            </w:r>
          </w:p>
        </w:tc>
        <w:tc>
          <w:tcPr>
            <w:tcW w:w="1258" w:type="dxa"/>
            <w:noWrap w:val="0"/>
            <w:tcMar>
              <w:left w:w="28" w:type="dxa"/>
              <w:right w:w="28" w:type="dxa"/>
            </w:tcMar>
            <w:vAlign w:val="center"/>
          </w:tcPr>
          <w:p w14:paraId="505D12C9">
            <w:pPr>
              <w:pStyle w:val="42"/>
              <w:spacing w:beforeLines="0" w:afterLines="0" w:line="240" w:lineRule="auto"/>
              <w:rPr>
                <w:rFonts w:ascii="Times New Roman" w:eastAsia="Calibri"/>
                <w:snapToGrid w:val="0"/>
                <w:color w:val="000000"/>
                <w:spacing w:val="-6"/>
                <w:kern w:val="21"/>
                <w:sz w:val="21"/>
                <w:szCs w:val="21"/>
                <w:u w:val="single"/>
              </w:rPr>
            </w:pPr>
            <w:r>
              <w:rPr>
                <w:rFonts w:ascii="宋体" w:hAnsi="宋体" w:eastAsia="宋体" w:cs="宋体"/>
                <w:snapToGrid w:val="0"/>
                <w:color w:val="000000"/>
                <w:spacing w:val="-6"/>
                <w:kern w:val="21"/>
                <w:sz w:val="21"/>
                <w:szCs w:val="21"/>
                <w:u w:val="single"/>
              </w:rPr>
              <w:t>变化量</w:t>
            </w:r>
          </w:p>
          <w:p w14:paraId="65C68C56">
            <w:pPr>
              <w:pStyle w:val="42"/>
              <w:spacing w:beforeLines="0" w:afterLines="0" w:line="240" w:lineRule="auto"/>
              <w:rPr>
                <w:rFonts w:ascii="Times New Roman" w:eastAsia="Calibri"/>
                <w:snapToGrid w:val="0"/>
                <w:color w:val="000000"/>
                <w:spacing w:val="-6"/>
                <w:kern w:val="21"/>
                <w:sz w:val="21"/>
                <w:szCs w:val="21"/>
                <w:u w:val="single"/>
              </w:rPr>
            </w:pPr>
            <w:r>
              <w:rPr>
                <w:rFonts w:ascii="Times New Roman" w:eastAsia="Calibri"/>
                <w:snapToGrid w:val="0"/>
                <w:color w:val="000000"/>
                <w:spacing w:val="-6"/>
                <w:kern w:val="21"/>
                <w:sz w:val="21"/>
                <w:szCs w:val="21"/>
                <w:u w:val="single"/>
              </w:rPr>
              <w:fldChar w:fldCharType="begin"/>
            </w:r>
            <w:r>
              <w:rPr>
                <w:rFonts w:ascii="Times New Roman" w:eastAsia="Calibri"/>
                <w:snapToGrid w:val="0"/>
                <w:color w:val="000000"/>
                <w:spacing w:val="-6"/>
                <w:kern w:val="21"/>
                <w:sz w:val="21"/>
                <w:szCs w:val="21"/>
                <w:u w:val="single"/>
              </w:rPr>
              <w:instrText xml:space="preserve"> = 7 \* GB3 \* MERGEFORMAT </w:instrText>
            </w:r>
            <w:r>
              <w:rPr>
                <w:rFonts w:ascii="Times New Roman" w:eastAsia="Calibri"/>
                <w:snapToGrid w:val="0"/>
                <w:color w:val="000000"/>
                <w:spacing w:val="-6"/>
                <w:kern w:val="21"/>
                <w:sz w:val="21"/>
                <w:szCs w:val="21"/>
                <w:u w:val="single"/>
              </w:rPr>
              <w:fldChar w:fldCharType="separate"/>
            </w:r>
            <w:r>
              <w:rPr>
                <w:rFonts w:ascii="宋体" w:hAnsi="宋体" w:eastAsia="宋体" w:cs="宋体"/>
                <w:kern w:val="2"/>
                <w:sz w:val="21"/>
                <w:szCs w:val="21"/>
                <w:u w:val="single"/>
              </w:rPr>
              <w:t>⑦</w:t>
            </w:r>
            <w:r>
              <w:rPr>
                <w:rFonts w:ascii="Times New Roman" w:eastAsia="Calibri"/>
                <w:snapToGrid w:val="0"/>
                <w:color w:val="000000"/>
                <w:spacing w:val="-6"/>
                <w:kern w:val="21"/>
                <w:sz w:val="21"/>
                <w:szCs w:val="21"/>
                <w:u w:val="single"/>
              </w:rPr>
              <w:fldChar w:fldCharType="end"/>
            </w:r>
          </w:p>
        </w:tc>
      </w:tr>
      <w:tr w14:paraId="3C127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77" w:type="dxa"/>
            <w:noWrap w:val="0"/>
            <w:vAlign w:val="center"/>
          </w:tcPr>
          <w:p w14:paraId="6F0814F3">
            <w:pPr>
              <w:pStyle w:val="42"/>
              <w:spacing w:beforeLines="0" w:afterLines="0" w:line="240" w:lineRule="auto"/>
              <w:rPr>
                <w:rFonts w:ascii="宋体" w:hAnsi="宋体" w:eastAsia="宋体" w:cs="宋体"/>
                <w:snapToGrid w:val="0"/>
                <w:color w:val="000000"/>
                <w:kern w:val="21"/>
                <w:sz w:val="21"/>
                <w:szCs w:val="21"/>
                <w:u w:val="single"/>
              </w:rPr>
            </w:pPr>
            <w:r>
              <w:rPr>
                <w:rFonts w:ascii="宋体" w:hAnsi="宋体" w:eastAsia="宋体" w:cs="宋体"/>
                <w:snapToGrid w:val="0"/>
                <w:color w:val="000000"/>
                <w:kern w:val="21"/>
                <w:sz w:val="21"/>
                <w:szCs w:val="21"/>
                <w:u w:val="single"/>
              </w:rPr>
              <w:t>废气</w:t>
            </w:r>
          </w:p>
        </w:tc>
        <w:tc>
          <w:tcPr>
            <w:tcW w:w="1528" w:type="dxa"/>
            <w:noWrap w:val="0"/>
            <w:vAlign w:val="center"/>
          </w:tcPr>
          <w:p w14:paraId="321D88C2">
            <w:pPr>
              <w:spacing w:line="276" w:lineRule="auto"/>
              <w:jc w:val="center"/>
              <w:rPr>
                <w:rFonts w:hint="eastAsia"/>
                <w:sz w:val="21"/>
                <w:szCs w:val="21"/>
                <w:u w:val="single"/>
              </w:rPr>
            </w:pPr>
            <w:r>
              <w:rPr>
                <w:rFonts w:hint="eastAsia"/>
                <w:sz w:val="21"/>
                <w:szCs w:val="21"/>
                <w:u w:val="single"/>
                <w:lang w:val="en-US" w:eastAsia="zh-CN"/>
              </w:rPr>
              <w:t>颗粒物</w:t>
            </w:r>
          </w:p>
        </w:tc>
        <w:tc>
          <w:tcPr>
            <w:tcW w:w="1701" w:type="dxa"/>
            <w:noWrap w:val="0"/>
            <w:vAlign w:val="center"/>
          </w:tcPr>
          <w:p w14:paraId="46561A5B">
            <w:pPr>
              <w:pStyle w:val="42"/>
              <w:spacing w:beforeLines="0" w:afterLines="0" w:line="240" w:lineRule="auto"/>
              <w:rPr>
                <w:rFonts w:hint="eastAsia" w:ascii="Times New Roman" w:eastAsia="宋体"/>
                <w:snapToGrid w:val="0"/>
                <w:color w:val="000000"/>
                <w:kern w:val="21"/>
                <w:sz w:val="21"/>
                <w:szCs w:val="21"/>
                <w:u w:val="single"/>
                <w:lang w:val="en-US" w:eastAsia="zh-CN"/>
              </w:rPr>
            </w:pPr>
            <w:r>
              <w:rPr>
                <w:rFonts w:hint="eastAsia" w:ascii="Times New Roman" w:eastAsia="宋体"/>
                <w:snapToGrid w:val="0"/>
                <w:color w:val="000000"/>
                <w:kern w:val="21"/>
                <w:sz w:val="21"/>
                <w:szCs w:val="21"/>
                <w:u w:val="single"/>
                <w:lang w:val="en-US" w:eastAsia="zh-CN"/>
              </w:rPr>
              <w:t>0</w:t>
            </w:r>
          </w:p>
        </w:tc>
        <w:tc>
          <w:tcPr>
            <w:tcW w:w="1276" w:type="dxa"/>
            <w:noWrap w:val="0"/>
            <w:vAlign w:val="center"/>
          </w:tcPr>
          <w:p w14:paraId="6014E7B5">
            <w:pPr>
              <w:pStyle w:val="42"/>
              <w:spacing w:beforeLines="0" w:afterLines="0" w:line="240" w:lineRule="auto"/>
              <w:rPr>
                <w:rFonts w:hint="eastAsia" w:ascii="Times New Roman" w:eastAsia="宋体"/>
                <w:snapToGrid w:val="0"/>
                <w:color w:val="000000"/>
                <w:kern w:val="21"/>
                <w:sz w:val="21"/>
                <w:szCs w:val="21"/>
                <w:highlight w:val="none"/>
                <w:u w:val="single"/>
                <w:lang w:val="en-US" w:eastAsia="zh-CN"/>
              </w:rPr>
            </w:pPr>
            <w:r>
              <w:rPr>
                <w:rFonts w:hint="eastAsia" w:ascii="Times New Roman" w:eastAsia="宋体"/>
                <w:snapToGrid w:val="0"/>
                <w:color w:val="000000"/>
                <w:kern w:val="21"/>
                <w:sz w:val="21"/>
                <w:szCs w:val="21"/>
                <w:highlight w:val="none"/>
                <w:u w:val="single"/>
                <w:lang w:val="en-US" w:eastAsia="zh-CN"/>
              </w:rPr>
              <w:t>/</w:t>
            </w:r>
          </w:p>
        </w:tc>
        <w:tc>
          <w:tcPr>
            <w:tcW w:w="1701" w:type="dxa"/>
            <w:noWrap w:val="0"/>
            <w:vAlign w:val="center"/>
          </w:tcPr>
          <w:p w14:paraId="15B61BB1">
            <w:pPr>
              <w:pStyle w:val="42"/>
              <w:spacing w:beforeLines="0" w:afterLines="0" w:line="240" w:lineRule="auto"/>
              <w:rPr>
                <w:rFonts w:ascii="Times New Roman" w:eastAsia="Calibri"/>
                <w:snapToGrid w:val="0"/>
                <w:color w:val="000000"/>
                <w:kern w:val="21"/>
                <w:sz w:val="21"/>
                <w:szCs w:val="21"/>
                <w:highlight w:val="none"/>
                <w:u w:val="single"/>
              </w:rPr>
            </w:pPr>
            <w:r>
              <w:rPr>
                <w:rFonts w:hint="eastAsia" w:ascii="Times New Roman" w:eastAsia="宋体"/>
                <w:snapToGrid w:val="0"/>
                <w:color w:val="000000"/>
                <w:kern w:val="21"/>
                <w:sz w:val="21"/>
                <w:szCs w:val="21"/>
                <w:u w:val="single"/>
                <w:lang w:val="en-US" w:eastAsia="zh-CN"/>
              </w:rPr>
              <w:t>0</w:t>
            </w:r>
          </w:p>
        </w:tc>
        <w:tc>
          <w:tcPr>
            <w:tcW w:w="1559" w:type="dxa"/>
            <w:noWrap w:val="0"/>
            <w:vAlign w:val="center"/>
          </w:tcPr>
          <w:p w14:paraId="7F98CCA6">
            <w:pPr>
              <w:adjustRightInd w:val="0"/>
              <w:snapToGrid w:val="0"/>
              <w:jc w:val="center"/>
              <w:rPr>
                <w:rFonts w:hint="default" w:eastAsia="宋体"/>
                <w:sz w:val="21"/>
                <w:szCs w:val="21"/>
                <w:highlight w:val="none"/>
                <w:u w:val="single"/>
                <w:lang w:val="en-US" w:eastAsia="zh-CN"/>
              </w:rPr>
            </w:pPr>
            <w:r>
              <w:rPr>
                <w:rFonts w:hint="eastAsia"/>
                <w:sz w:val="21"/>
                <w:szCs w:val="21"/>
                <w:highlight w:val="none"/>
                <w:u w:val="single"/>
                <w:lang w:val="en-US" w:eastAsia="zh-CN"/>
              </w:rPr>
              <w:t>0.8364</w:t>
            </w:r>
          </w:p>
        </w:tc>
        <w:tc>
          <w:tcPr>
            <w:tcW w:w="1761" w:type="dxa"/>
            <w:noWrap w:val="0"/>
            <w:vAlign w:val="center"/>
          </w:tcPr>
          <w:p w14:paraId="6DB04685">
            <w:pPr>
              <w:spacing w:beforeLines="0" w:afterLines="0" w:line="240" w:lineRule="auto"/>
              <w:jc w:val="center"/>
              <w:rPr>
                <w:rFonts w:ascii="Times New Roman" w:eastAsia="Calibri"/>
                <w:snapToGrid w:val="0"/>
                <w:color w:val="000000"/>
                <w:kern w:val="21"/>
                <w:sz w:val="21"/>
                <w:szCs w:val="21"/>
                <w:highlight w:val="none"/>
                <w:u w:val="single"/>
              </w:rPr>
            </w:pPr>
            <w:r>
              <w:rPr>
                <w:rFonts w:hint="eastAsia" w:ascii="Times New Roman" w:eastAsia="宋体"/>
                <w:snapToGrid w:val="0"/>
                <w:color w:val="000000"/>
                <w:kern w:val="21"/>
                <w:sz w:val="21"/>
                <w:szCs w:val="21"/>
                <w:highlight w:val="none"/>
                <w:u w:val="single"/>
                <w:lang w:val="en-US" w:eastAsia="zh-CN"/>
              </w:rPr>
              <w:t>0</w:t>
            </w:r>
          </w:p>
        </w:tc>
        <w:tc>
          <w:tcPr>
            <w:tcW w:w="1783" w:type="dxa"/>
            <w:shd w:val="clear" w:color="auto" w:fill="auto"/>
            <w:noWrap w:val="0"/>
            <w:vAlign w:val="center"/>
          </w:tcPr>
          <w:p w14:paraId="58318456">
            <w:pPr>
              <w:adjustRightInd w:val="0"/>
              <w:snapToGrid w:val="0"/>
              <w:jc w:val="center"/>
              <w:rPr>
                <w:rFonts w:hint="default" w:ascii="Times New Roman" w:hAnsi="Times New Roman" w:eastAsia="宋体" w:cs="Times New Roman"/>
                <w:kern w:val="2"/>
                <w:sz w:val="21"/>
                <w:szCs w:val="21"/>
                <w:highlight w:val="none"/>
                <w:u w:val="single"/>
                <w:lang w:val="en-US" w:eastAsia="zh-CN" w:bidi="ar-SA"/>
              </w:rPr>
            </w:pPr>
            <w:r>
              <w:rPr>
                <w:rFonts w:hint="eastAsia"/>
                <w:sz w:val="21"/>
                <w:szCs w:val="21"/>
                <w:highlight w:val="none"/>
                <w:u w:val="single"/>
                <w:lang w:val="en-US" w:eastAsia="zh-CN"/>
              </w:rPr>
              <w:t>0.8364</w:t>
            </w:r>
          </w:p>
        </w:tc>
        <w:tc>
          <w:tcPr>
            <w:tcW w:w="1258" w:type="dxa"/>
            <w:shd w:val="clear" w:color="auto" w:fill="auto"/>
            <w:noWrap w:val="0"/>
            <w:vAlign w:val="center"/>
          </w:tcPr>
          <w:p w14:paraId="0CECC3E7">
            <w:pPr>
              <w:adjustRightInd w:val="0"/>
              <w:snapToGrid w:val="0"/>
              <w:jc w:val="center"/>
              <w:rPr>
                <w:rFonts w:hint="default" w:ascii="Times New Roman" w:hAnsi="Times New Roman" w:eastAsia="宋体" w:cs="Times New Roman"/>
                <w:bCs/>
                <w:snapToGrid w:val="0"/>
                <w:color w:val="000000"/>
                <w:kern w:val="21"/>
                <w:sz w:val="21"/>
                <w:szCs w:val="21"/>
                <w:highlight w:val="none"/>
                <w:u w:val="single"/>
                <w:lang w:val="en-US" w:eastAsia="zh-CN" w:bidi="ar-SA"/>
              </w:rPr>
            </w:pPr>
            <w:r>
              <w:rPr>
                <w:rFonts w:hint="eastAsia"/>
                <w:sz w:val="21"/>
                <w:szCs w:val="21"/>
                <w:highlight w:val="none"/>
                <w:u w:val="single"/>
                <w:lang w:val="en-US" w:eastAsia="zh-CN"/>
              </w:rPr>
              <w:t>+0.8364</w:t>
            </w:r>
          </w:p>
        </w:tc>
      </w:tr>
      <w:tr w14:paraId="43CB6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477" w:type="dxa"/>
            <w:vMerge w:val="restart"/>
            <w:noWrap w:val="0"/>
            <w:vAlign w:val="center"/>
          </w:tcPr>
          <w:p w14:paraId="63549DFB">
            <w:pPr>
              <w:pStyle w:val="42"/>
              <w:spacing w:beforeLines="0" w:afterLines="0" w:line="240" w:lineRule="auto"/>
              <w:rPr>
                <w:rFonts w:ascii="Times New Roman" w:eastAsia="Calibri"/>
                <w:snapToGrid w:val="0"/>
                <w:color w:val="000000"/>
                <w:kern w:val="21"/>
                <w:sz w:val="21"/>
                <w:szCs w:val="21"/>
                <w:u w:val="single"/>
              </w:rPr>
            </w:pPr>
            <w:r>
              <w:rPr>
                <w:rFonts w:ascii="宋体" w:hAnsi="宋体" w:eastAsia="宋体" w:cs="宋体"/>
                <w:snapToGrid w:val="0"/>
                <w:color w:val="000000"/>
                <w:kern w:val="21"/>
                <w:sz w:val="21"/>
                <w:szCs w:val="21"/>
                <w:u w:val="single"/>
              </w:rPr>
              <w:t>废水</w:t>
            </w:r>
          </w:p>
        </w:tc>
        <w:tc>
          <w:tcPr>
            <w:tcW w:w="1528" w:type="dxa"/>
            <w:noWrap w:val="0"/>
            <w:vAlign w:val="center"/>
          </w:tcPr>
          <w:p w14:paraId="36EF2148">
            <w:pPr>
              <w:pStyle w:val="42"/>
              <w:spacing w:beforeLines="0" w:afterLines="0" w:line="240" w:lineRule="auto"/>
              <w:rPr>
                <w:rFonts w:ascii="Times New Roman" w:eastAsia="宋体"/>
                <w:snapToGrid w:val="0"/>
                <w:color w:val="000000"/>
                <w:kern w:val="21"/>
                <w:sz w:val="21"/>
                <w:szCs w:val="21"/>
                <w:u w:val="single"/>
              </w:rPr>
            </w:pPr>
            <w:r>
              <w:rPr>
                <w:rFonts w:hint="default" w:ascii="Times New Roman" w:hAnsi="Times New Roman" w:eastAsia="宋体" w:cs="Times New Roman"/>
                <w:b w:val="0"/>
                <w:bCs w:val="0"/>
                <w:color w:val="auto"/>
                <w:kern w:val="21"/>
                <w:sz w:val="21"/>
                <w:szCs w:val="21"/>
                <w:u w:val="single"/>
              </w:rPr>
              <w:t>COD</w:t>
            </w:r>
          </w:p>
        </w:tc>
        <w:tc>
          <w:tcPr>
            <w:tcW w:w="1701" w:type="dxa"/>
            <w:noWrap w:val="0"/>
            <w:vAlign w:val="center"/>
          </w:tcPr>
          <w:p w14:paraId="025E552D">
            <w:pPr>
              <w:pStyle w:val="42"/>
              <w:spacing w:beforeLines="0" w:afterLines="0" w:line="240" w:lineRule="auto"/>
              <w:rPr>
                <w:rFonts w:hint="eastAsia" w:ascii="Times New Roman" w:eastAsia="宋体"/>
                <w:snapToGrid w:val="0"/>
                <w:color w:val="000000"/>
                <w:kern w:val="21"/>
                <w:sz w:val="21"/>
                <w:szCs w:val="21"/>
                <w:u w:val="single"/>
                <w:lang w:val="en-US" w:eastAsia="zh-CN"/>
              </w:rPr>
            </w:pPr>
            <w:r>
              <w:rPr>
                <w:rFonts w:hint="eastAsia" w:ascii="Times New Roman" w:eastAsia="宋体"/>
                <w:snapToGrid w:val="0"/>
                <w:color w:val="000000"/>
                <w:kern w:val="21"/>
                <w:sz w:val="21"/>
                <w:szCs w:val="21"/>
                <w:u w:val="single"/>
                <w:lang w:val="en-US" w:eastAsia="zh-CN"/>
              </w:rPr>
              <w:t>0</w:t>
            </w:r>
          </w:p>
        </w:tc>
        <w:tc>
          <w:tcPr>
            <w:tcW w:w="1276" w:type="dxa"/>
            <w:noWrap w:val="0"/>
            <w:vAlign w:val="center"/>
          </w:tcPr>
          <w:p w14:paraId="5315E465">
            <w:pPr>
              <w:pStyle w:val="42"/>
              <w:spacing w:beforeLines="0" w:afterLines="0" w:line="240" w:lineRule="auto"/>
              <w:rPr>
                <w:rFonts w:hint="eastAsia" w:ascii="Times New Roman" w:eastAsia="宋体"/>
                <w:snapToGrid w:val="0"/>
                <w:color w:val="000000"/>
                <w:kern w:val="21"/>
                <w:sz w:val="21"/>
                <w:szCs w:val="21"/>
                <w:highlight w:val="none"/>
                <w:u w:val="single"/>
                <w:lang w:val="en-US" w:eastAsia="zh-CN"/>
              </w:rPr>
            </w:pPr>
            <w:r>
              <w:rPr>
                <w:rFonts w:hint="eastAsia" w:ascii="Times New Roman" w:eastAsia="宋体"/>
                <w:snapToGrid w:val="0"/>
                <w:color w:val="000000"/>
                <w:kern w:val="21"/>
                <w:sz w:val="21"/>
                <w:szCs w:val="21"/>
                <w:highlight w:val="none"/>
                <w:u w:val="single"/>
                <w:lang w:val="en-US" w:eastAsia="zh-CN"/>
              </w:rPr>
              <w:t>/</w:t>
            </w:r>
          </w:p>
        </w:tc>
        <w:tc>
          <w:tcPr>
            <w:tcW w:w="1701" w:type="dxa"/>
            <w:noWrap w:val="0"/>
            <w:vAlign w:val="center"/>
          </w:tcPr>
          <w:p w14:paraId="231A096C">
            <w:pPr>
              <w:pStyle w:val="42"/>
              <w:spacing w:beforeLines="0" w:afterLines="0" w:line="240" w:lineRule="auto"/>
              <w:rPr>
                <w:rFonts w:ascii="Times New Roman" w:eastAsia="Calibri"/>
                <w:snapToGrid w:val="0"/>
                <w:color w:val="000000"/>
                <w:kern w:val="21"/>
                <w:sz w:val="21"/>
                <w:szCs w:val="21"/>
                <w:highlight w:val="none"/>
                <w:u w:val="single"/>
              </w:rPr>
            </w:pPr>
            <w:r>
              <w:rPr>
                <w:rFonts w:hint="eastAsia" w:ascii="Times New Roman" w:eastAsia="宋体"/>
                <w:snapToGrid w:val="0"/>
                <w:color w:val="000000"/>
                <w:kern w:val="21"/>
                <w:sz w:val="21"/>
                <w:szCs w:val="21"/>
                <w:u w:val="single"/>
                <w:lang w:val="en-US" w:eastAsia="zh-CN"/>
              </w:rPr>
              <w:t>0</w:t>
            </w:r>
          </w:p>
        </w:tc>
        <w:tc>
          <w:tcPr>
            <w:tcW w:w="1559" w:type="dxa"/>
            <w:noWrap w:val="0"/>
            <w:vAlign w:val="center"/>
          </w:tcPr>
          <w:p w14:paraId="314644F1">
            <w:pPr>
              <w:pStyle w:val="42"/>
              <w:spacing w:beforeLines="0" w:afterLines="0" w:line="240" w:lineRule="auto"/>
              <w:rPr>
                <w:rFonts w:hint="eastAsia" w:ascii="Times New Roman" w:eastAsia="宋体"/>
                <w:snapToGrid w:val="0"/>
                <w:color w:val="000000"/>
                <w:kern w:val="21"/>
                <w:sz w:val="21"/>
                <w:szCs w:val="21"/>
                <w:highlight w:val="none"/>
                <w:u w:val="single"/>
                <w:lang w:val="en-US" w:eastAsia="zh-CN"/>
              </w:rPr>
            </w:pPr>
            <w:r>
              <w:rPr>
                <w:rFonts w:hint="eastAsia" w:ascii="Times New Roman"/>
                <w:snapToGrid w:val="0"/>
                <w:color w:val="000000"/>
                <w:kern w:val="21"/>
                <w:sz w:val="21"/>
                <w:szCs w:val="21"/>
                <w:highlight w:val="none"/>
                <w:u w:val="single"/>
                <w:lang w:val="en-US" w:eastAsia="zh-CN"/>
              </w:rPr>
              <w:t>0</w:t>
            </w:r>
          </w:p>
        </w:tc>
        <w:tc>
          <w:tcPr>
            <w:tcW w:w="1761" w:type="dxa"/>
            <w:noWrap w:val="0"/>
            <w:vAlign w:val="center"/>
          </w:tcPr>
          <w:p w14:paraId="32123B22">
            <w:pPr>
              <w:pStyle w:val="42"/>
              <w:spacing w:beforeLines="0" w:afterLines="0" w:line="240" w:lineRule="auto"/>
              <w:rPr>
                <w:rFonts w:hint="eastAsia" w:ascii="Times New Roman" w:eastAsia="宋体"/>
                <w:snapToGrid w:val="0"/>
                <w:color w:val="000000"/>
                <w:kern w:val="21"/>
                <w:sz w:val="21"/>
                <w:szCs w:val="21"/>
                <w:highlight w:val="none"/>
                <w:u w:val="single"/>
                <w:lang w:val="en-US" w:eastAsia="zh-CN"/>
              </w:rPr>
            </w:pPr>
            <w:r>
              <w:rPr>
                <w:rFonts w:hint="eastAsia" w:ascii="Times New Roman" w:eastAsia="宋体"/>
                <w:snapToGrid w:val="0"/>
                <w:color w:val="000000"/>
                <w:kern w:val="21"/>
                <w:sz w:val="21"/>
                <w:szCs w:val="21"/>
                <w:highlight w:val="none"/>
                <w:u w:val="single"/>
                <w:lang w:val="en-US" w:eastAsia="zh-CN"/>
              </w:rPr>
              <w:t>0</w:t>
            </w:r>
          </w:p>
        </w:tc>
        <w:tc>
          <w:tcPr>
            <w:tcW w:w="1783" w:type="dxa"/>
            <w:shd w:val="clear" w:color="auto" w:fill="auto"/>
            <w:noWrap w:val="0"/>
            <w:vAlign w:val="center"/>
          </w:tcPr>
          <w:p w14:paraId="6FC441EA">
            <w:pPr>
              <w:pStyle w:val="42"/>
              <w:spacing w:beforeLines="0" w:afterLines="0" w:line="240" w:lineRule="auto"/>
              <w:rPr>
                <w:rFonts w:hint="default"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snapToGrid w:val="0"/>
                <w:color w:val="000000"/>
                <w:kern w:val="21"/>
                <w:sz w:val="21"/>
                <w:szCs w:val="21"/>
                <w:highlight w:val="none"/>
                <w:u w:val="single"/>
                <w:lang w:val="en-US" w:eastAsia="zh-CN"/>
              </w:rPr>
              <w:t>0</w:t>
            </w:r>
          </w:p>
        </w:tc>
        <w:tc>
          <w:tcPr>
            <w:tcW w:w="1258" w:type="dxa"/>
            <w:shd w:val="clear" w:color="auto" w:fill="auto"/>
            <w:noWrap w:val="0"/>
            <w:vAlign w:val="center"/>
          </w:tcPr>
          <w:p w14:paraId="6A2B26A6">
            <w:pPr>
              <w:pStyle w:val="42"/>
              <w:spacing w:beforeLines="0" w:afterLines="0" w:line="240" w:lineRule="auto"/>
              <w:rPr>
                <w:rFonts w:hint="default"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snapToGrid w:val="0"/>
                <w:color w:val="000000"/>
                <w:kern w:val="21"/>
                <w:sz w:val="21"/>
                <w:szCs w:val="21"/>
                <w:highlight w:val="none"/>
                <w:u w:val="single"/>
                <w:lang w:val="en-US" w:eastAsia="zh-CN"/>
              </w:rPr>
              <w:t>0</w:t>
            </w:r>
          </w:p>
        </w:tc>
      </w:tr>
      <w:tr w14:paraId="4D3B6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77" w:type="dxa"/>
            <w:vMerge w:val="continue"/>
            <w:noWrap w:val="0"/>
            <w:vAlign w:val="center"/>
          </w:tcPr>
          <w:p w14:paraId="5B851FFB">
            <w:pPr>
              <w:pStyle w:val="42"/>
              <w:spacing w:beforeLines="0" w:afterLines="0" w:line="240" w:lineRule="auto"/>
              <w:rPr>
                <w:rFonts w:ascii="宋体" w:hAnsi="宋体" w:eastAsia="宋体" w:cs="宋体"/>
                <w:snapToGrid w:val="0"/>
                <w:color w:val="000000"/>
                <w:kern w:val="21"/>
                <w:sz w:val="21"/>
                <w:szCs w:val="21"/>
                <w:u w:val="single"/>
              </w:rPr>
            </w:pPr>
          </w:p>
        </w:tc>
        <w:tc>
          <w:tcPr>
            <w:tcW w:w="1528" w:type="dxa"/>
            <w:noWrap w:val="0"/>
            <w:vAlign w:val="center"/>
          </w:tcPr>
          <w:p w14:paraId="15519908">
            <w:pPr>
              <w:pStyle w:val="42"/>
              <w:spacing w:beforeLines="0" w:afterLines="0" w:line="240" w:lineRule="auto"/>
              <w:rPr>
                <w:rFonts w:hint="default" w:ascii="Times New Roman" w:hAnsi="Times New Roman" w:eastAsia="宋体" w:cs="Times New Roman"/>
                <w:b w:val="0"/>
                <w:bCs w:val="0"/>
                <w:color w:val="auto"/>
                <w:kern w:val="21"/>
                <w:sz w:val="21"/>
                <w:szCs w:val="21"/>
                <w:u w:val="single"/>
                <w:lang w:val="en-US" w:eastAsia="zh-CN"/>
              </w:rPr>
            </w:pPr>
            <w:r>
              <w:rPr>
                <w:rFonts w:hint="eastAsia" w:ascii="Times New Roman" w:eastAsia="宋体" w:cs="Times New Roman"/>
                <w:b w:val="0"/>
                <w:bCs w:val="0"/>
                <w:color w:val="auto"/>
                <w:kern w:val="21"/>
                <w:sz w:val="21"/>
                <w:szCs w:val="21"/>
                <w:u w:val="single"/>
                <w:lang w:val="en-US" w:eastAsia="zh-CN"/>
              </w:rPr>
              <w:t>NH</w:t>
            </w:r>
            <w:r>
              <w:rPr>
                <w:rFonts w:hint="eastAsia" w:ascii="Times New Roman" w:eastAsia="宋体" w:cs="Times New Roman"/>
                <w:b w:val="0"/>
                <w:bCs w:val="0"/>
                <w:color w:val="auto"/>
                <w:kern w:val="21"/>
                <w:sz w:val="21"/>
                <w:szCs w:val="21"/>
                <w:u w:val="single"/>
                <w:vertAlign w:val="subscript"/>
                <w:lang w:val="en-US" w:eastAsia="zh-CN"/>
              </w:rPr>
              <w:t>3</w:t>
            </w:r>
            <w:r>
              <w:rPr>
                <w:rFonts w:hint="eastAsia" w:ascii="Times New Roman" w:eastAsia="宋体" w:cs="Times New Roman"/>
                <w:b w:val="0"/>
                <w:bCs w:val="0"/>
                <w:color w:val="auto"/>
                <w:kern w:val="21"/>
                <w:sz w:val="21"/>
                <w:szCs w:val="21"/>
                <w:u w:val="single"/>
                <w:lang w:val="en-US" w:eastAsia="zh-CN"/>
              </w:rPr>
              <w:t>-N</w:t>
            </w:r>
          </w:p>
        </w:tc>
        <w:tc>
          <w:tcPr>
            <w:tcW w:w="1701" w:type="dxa"/>
            <w:shd w:val="clear" w:color="auto" w:fill="auto"/>
            <w:noWrap w:val="0"/>
            <w:vAlign w:val="center"/>
          </w:tcPr>
          <w:p w14:paraId="0C24FDAF">
            <w:pPr>
              <w:pStyle w:val="42"/>
              <w:spacing w:beforeLines="0" w:afterLines="0" w:line="240" w:lineRule="auto"/>
              <w:rPr>
                <w:rFonts w:hint="eastAsia" w:ascii="Times New Roman" w:hAnsi="Times New Roman" w:eastAsia="宋体" w:cs="Times New Roman"/>
                <w:bCs/>
                <w:snapToGrid w:val="0"/>
                <w:color w:val="000000"/>
                <w:kern w:val="21"/>
                <w:sz w:val="21"/>
                <w:szCs w:val="21"/>
                <w:u w:val="single"/>
                <w:lang w:val="en-US" w:eastAsia="zh-CN" w:bidi="ar-SA"/>
              </w:rPr>
            </w:pPr>
            <w:r>
              <w:rPr>
                <w:rFonts w:hint="eastAsia" w:ascii="Times New Roman" w:eastAsia="宋体"/>
                <w:snapToGrid w:val="0"/>
                <w:color w:val="000000"/>
                <w:kern w:val="21"/>
                <w:sz w:val="21"/>
                <w:szCs w:val="21"/>
                <w:u w:val="single"/>
                <w:lang w:val="en-US" w:eastAsia="zh-CN"/>
              </w:rPr>
              <w:t>0</w:t>
            </w:r>
          </w:p>
        </w:tc>
        <w:tc>
          <w:tcPr>
            <w:tcW w:w="1276" w:type="dxa"/>
            <w:shd w:val="clear" w:color="auto" w:fill="auto"/>
            <w:noWrap w:val="0"/>
            <w:vAlign w:val="center"/>
          </w:tcPr>
          <w:p w14:paraId="7A610921">
            <w:pPr>
              <w:pStyle w:val="42"/>
              <w:spacing w:beforeLines="0" w:afterLines="0" w:line="240" w:lineRule="auto"/>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highlight w:val="none"/>
                <w:u w:val="single"/>
                <w:lang w:val="en-US" w:eastAsia="zh-CN"/>
              </w:rPr>
              <w:t>/</w:t>
            </w:r>
          </w:p>
        </w:tc>
        <w:tc>
          <w:tcPr>
            <w:tcW w:w="1701" w:type="dxa"/>
            <w:shd w:val="clear" w:color="auto" w:fill="auto"/>
            <w:noWrap w:val="0"/>
            <w:vAlign w:val="center"/>
          </w:tcPr>
          <w:p w14:paraId="7852B909">
            <w:pPr>
              <w:pStyle w:val="42"/>
              <w:spacing w:beforeLines="0" w:afterLines="0" w:line="240" w:lineRule="auto"/>
              <w:rPr>
                <w:rFonts w:hint="eastAsia" w:ascii="Times New Roman" w:hAnsi="Times New Roman" w:eastAsia="Calibri"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u w:val="single"/>
                <w:lang w:val="en-US" w:eastAsia="zh-CN"/>
              </w:rPr>
              <w:t>0</w:t>
            </w:r>
          </w:p>
        </w:tc>
        <w:tc>
          <w:tcPr>
            <w:tcW w:w="1559" w:type="dxa"/>
            <w:shd w:val="clear" w:color="auto" w:fill="auto"/>
            <w:noWrap w:val="0"/>
            <w:vAlign w:val="center"/>
          </w:tcPr>
          <w:p w14:paraId="0EA57822">
            <w:pPr>
              <w:pStyle w:val="42"/>
              <w:spacing w:beforeLines="0" w:afterLines="0" w:line="240" w:lineRule="auto"/>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snapToGrid w:val="0"/>
                <w:color w:val="000000"/>
                <w:kern w:val="21"/>
                <w:sz w:val="21"/>
                <w:szCs w:val="21"/>
                <w:highlight w:val="none"/>
                <w:u w:val="single"/>
                <w:lang w:val="en-US" w:eastAsia="zh-CN"/>
              </w:rPr>
              <w:t>0</w:t>
            </w:r>
          </w:p>
        </w:tc>
        <w:tc>
          <w:tcPr>
            <w:tcW w:w="1761" w:type="dxa"/>
            <w:shd w:val="clear" w:color="auto" w:fill="auto"/>
            <w:noWrap w:val="0"/>
            <w:vAlign w:val="center"/>
          </w:tcPr>
          <w:p w14:paraId="424817BB">
            <w:pPr>
              <w:pStyle w:val="42"/>
              <w:spacing w:beforeLines="0" w:afterLines="0" w:line="240" w:lineRule="auto"/>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highlight w:val="none"/>
                <w:u w:val="single"/>
                <w:lang w:val="en-US" w:eastAsia="zh-CN"/>
              </w:rPr>
              <w:t>0</w:t>
            </w:r>
          </w:p>
        </w:tc>
        <w:tc>
          <w:tcPr>
            <w:tcW w:w="1783" w:type="dxa"/>
            <w:shd w:val="clear" w:color="auto" w:fill="auto"/>
            <w:noWrap w:val="0"/>
            <w:vAlign w:val="center"/>
          </w:tcPr>
          <w:p w14:paraId="2C1E89EB">
            <w:pPr>
              <w:pStyle w:val="42"/>
              <w:spacing w:beforeLines="0" w:afterLines="0" w:line="240" w:lineRule="auto"/>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snapToGrid w:val="0"/>
                <w:color w:val="000000"/>
                <w:kern w:val="21"/>
                <w:sz w:val="21"/>
                <w:szCs w:val="21"/>
                <w:highlight w:val="none"/>
                <w:u w:val="single"/>
                <w:lang w:val="en-US" w:eastAsia="zh-CN"/>
              </w:rPr>
              <w:t>0</w:t>
            </w:r>
          </w:p>
        </w:tc>
        <w:tc>
          <w:tcPr>
            <w:tcW w:w="1258" w:type="dxa"/>
            <w:shd w:val="clear" w:color="auto" w:fill="auto"/>
            <w:noWrap w:val="0"/>
            <w:vAlign w:val="center"/>
          </w:tcPr>
          <w:p w14:paraId="3F43094E">
            <w:pPr>
              <w:pStyle w:val="42"/>
              <w:spacing w:beforeLines="0" w:afterLines="0" w:line="240" w:lineRule="auto"/>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snapToGrid w:val="0"/>
                <w:color w:val="000000"/>
                <w:kern w:val="21"/>
                <w:sz w:val="21"/>
                <w:szCs w:val="21"/>
                <w:highlight w:val="none"/>
                <w:u w:val="single"/>
                <w:lang w:val="en-US" w:eastAsia="zh-CN"/>
              </w:rPr>
              <w:t>0</w:t>
            </w:r>
          </w:p>
        </w:tc>
      </w:tr>
      <w:tr w14:paraId="2D41E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77" w:type="dxa"/>
            <w:vMerge w:val="restart"/>
            <w:noWrap w:val="0"/>
            <w:vAlign w:val="center"/>
          </w:tcPr>
          <w:p w14:paraId="614866F9">
            <w:pPr>
              <w:pStyle w:val="42"/>
              <w:spacing w:beforeLines="0" w:afterLines="0" w:line="240" w:lineRule="auto"/>
              <w:rPr>
                <w:rFonts w:ascii="Times New Roman" w:eastAsia="Calibri"/>
                <w:snapToGrid w:val="0"/>
                <w:color w:val="000000"/>
                <w:kern w:val="21"/>
                <w:sz w:val="21"/>
                <w:szCs w:val="21"/>
                <w:u w:val="single"/>
              </w:rPr>
            </w:pPr>
            <w:r>
              <w:rPr>
                <w:rFonts w:ascii="宋体" w:hAnsi="宋体" w:eastAsia="宋体" w:cs="宋体"/>
                <w:snapToGrid w:val="0"/>
                <w:color w:val="000000"/>
                <w:kern w:val="21"/>
                <w:sz w:val="21"/>
                <w:szCs w:val="21"/>
                <w:u w:val="single"/>
              </w:rPr>
              <w:t>一般工业</w:t>
            </w:r>
          </w:p>
          <w:p w14:paraId="0FE708BB">
            <w:pPr>
              <w:pStyle w:val="42"/>
              <w:spacing w:beforeLines="0" w:afterLines="0" w:line="240" w:lineRule="auto"/>
              <w:rPr>
                <w:rFonts w:ascii="Times New Roman" w:eastAsia="Calibri"/>
                <w:snapToGrid w:val="0"/>
                <w:color w:val="000000"/>
                <w:kern w:val="21"/>
                <w:sz w:val="21"/>
                <w:szCs w:val="21"/>
                <w:u w:val="single"/>
              </w:rPr>
            </w:pPr>
            <w:r>
              <w:rPr>
                <w:rFonts w:ascii="宋体" w:hAnsi="宋体" w:eastAsia="宋体" w:cs="宋体"/>
                <w:snapToGrid w:val="0"/>
                <w:color w:val="000000"/>
                <w:kern w:val="21"/>
                <w:sz w:val="21"/>
                <w:szCs w:val="21"/>
                <w:u w:val="single"/>
              </w:rPr>
              <w:t>固体废物</w:t>
            </w:r>
          </w:p>
        </w:tc>
        <w:tc>
          <w:tcPr>
            <w:tcW w:w="1528" w:type="dxa"/>
            <w:shd w:val="clear" w:color="auto" w:fill="auto"/>
            <w:noWrap w:val="0"/>
            <w:vAlign w:val="center"/>
          </w:tcPr>
          <w:p w14:paraId="7AD4FDE2">
            <w:pPr>
              <w:spacing w:line="276" w:lineRule="auto"/>
              <w:ind w:left="-105" w:leftChars="-50" w:right="-105" w:rightChars="-50"/>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rPr>
              <w:t>生活垃圾</w:t>
            </w:r>
          </w:p>
        </w:tc>
        <w:tc>
          <w:tcPr>
            <w:tcW w:w="1701" w:type="dxa"/>
            <w:shd w:val="clear" w:color="auto" w:fill="auto"/>
            <w:noWrap w:val="0"/>
            <w:vAlign w:val="center"/>
          </w:tcPr>
          <w:p w14:paraId="2855D3D0">
            <w:pPr>
              <w:pStyle w:val="42"/>
              <w:spacing w:beforeLines="0" w:afterLines="0" w:line="240" w:lineRule="auto"/>
              <w:rPr>
                <w:rFonts w:hint="eastAsia" w:ascii="Times New Roman" w:hAnsi="Times New Roman" w:eastAsia="宋体" w:cs="Times New Roman"/>
                <w:bCs/>
                <w:snapToGrid w:val="0"/>
                <w:color w:val="000000"/>
                <w:kern w:val="21"/>
                <w:sz w:val="21"/>
                <w:szCs w:val="21"/>
                <w:u w:val="single"/>
                <w:lang w:val="en-US" w:eastAsia="zh-CN" w:bidi="ar-SA"/>
              </w:rPr>
            </w:pPr>
            <w:r>
              <w:rPr>
                <w:rFonts w:hint="eastAsia" w:ascii="Times New Roman" w:eastAsia="宋体"/>
                <w:snapToGrid w:val="0"/>
                <w:color w:val="000000"/>
                <w:kern w:val="21"/>
                <w:sz w:val="21"/>
                <w:szCs w:val="21"/>
                <w:u w:val="single"/>
                <w:lang w:val="en-US" w:eastAsia="zh-CN"/>
              </w:rPr>
              <w:t>0</w:t>
            </w:r>
          </w:p>
        </w:tc>
        <w:tc>
          <w:tcPr>
            <w:tcW w:w="1276" w:type="dxa"/>
            <w:shd w:val="clear" w:color="auto" w:fill="auto"/>
            <w:noWrap w:val="0"/>
            <w:vAlign w:val="center"/>
          </w:tcPr>
          <w:p w14:paraId="1328A7F1">
            <w:pPr>
              <w:pStyle w:val="42"/>
              <w:spacing w:beforeLines="0" w:afterLines="0" w:line="240" w:lineRule="auto"/>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highlight w:val="none"/>
                <w:u w:val="single"/>
                <w:lang w:val="en-US" w:eastAsia="zh-CN"/>
              </w:rPr>
              <w:t>/</w:t>
            </w:r>
          </w:p>
        </w:tc>
        <w:tc>
          <w:tcPr>
            <w:tcW w:w="1701" w:type="dxa"/>
            <w:shd w:val="clear" w:color="auto" w:fill="auto"/>
            <w:noWrap w:val="0"/>
            <w:vAlign w:val="center"/>
          </w:tcPr>
          <w:p w14:paraId="551F4A6F">
            <w:pPr>
              <w:pStyle w:val="42"/>
              <w:spacing w:beforeLines="0" w:afterLines="0" w:line="240" w:lineRule="auto"/>
              <w:rPr>
                <w:rFonts w:ascii="Times New Roman" w:hAnsi="Times New Roman" w:eastAsia="Calibri"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u w:val="single"/>
                <w:lang w:val="en-US" w:eastAsia="zh-CN"/>
              </w:rPr>
              <w:t>0</w:t>
            </w:r>
          </w:p>
        </w:tc>
        <w:tc>
          <w:tcPr>
            <w:tcW w:w="1559" w:type="dxa"/>
            <w:shd w:val="clear" w:color="auto" w:fill="auto"/>
            <w:noWrap w:val="0"/>
            <w:vAlign w:val="center"/>
          </w:tcPr>
          <w:p w14:paraId="0EFF90AA">
            <w:pPr>
              <w:adjustRightInd w:val="0"/>
              <w:snapToGrid w:val="0"/>
              <w:spacing w:line="276" w:lineRule="auto"/>
              <w:jc w:val="center"/>
              <w:rPr>
                <w:rFonts w:hint="default" w:ascii="Times New Roman" w:hAnsi="Times New Roman" w:eastAsia="宋体" w:cs="Times New Roman"/>
                <w:snapToGrid w:val="0"/>
                <w:color w:val="000000"/>
                <w:kern w:val="21"/>
                <w:sz w:val="21"/>
                <w:szCs w:val="21"/>
                <w:highlight w:val="none"/>
                <w:u w:val="single"/>
                <w:lang w:val="en-US" w:eastAsia="zh-CN" w:bidi="ar-SA"/>
              </w:rPr>
            </w:pPr>
            <w:r>
              <w:rPr>
                <w:rFonts w:hint="eastAsia"/>
                <w:snapToGrid w:val="0"/>
                <w:color w:val="000000"/>
                <w:kern w:val="21"/>
                <w:sz w:val="21"/>
                <w:szCs w:val="21"/>
                <w:highlight w:val="none"/>
                <w:u w:val="single"/>
                <w:lang w:val="en-US" w:eastAsia="zh-CN"/>
              </w:rPr>
              <w:t>2.4</w:t>
            </w:r>
          </w:p>
        </w:tc>
        <w:tc>
          <w:tcPr>
            <w:tcW w:w="1761" w:type="dxa"/>
            <w:shd w:val="clear" w:color="auto" w:fill="auto"/>
            <w:noWrap w:val="0"/>
            <w:vAlign w:val="center"/>
          </w:tcPr>
          <w:p w14:paraId="592AD7F8">
            <w:pPr>
              <w:spacing w:beforeLines="0" w:afterLines="0" w:line="240" w:lineRule="auto"/>
              <w:jc w:val="center"/>
              <w:rPr>
                <w:rFonts w:ascii="Times New Roman" w:hAnsi="Times New Roman" w:eastAsia="Calibri" w:cs="Times New Roman"/>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highlight w:val="none"/>
                <w:u w:val="single"/>
                <w:lang w:val="en-US" w:eastAsia="zh-CN"/>
              </w:rPr>
              <w:t>0</w:t>
            </w:r>
          </w:p>
        </w:tc>
        <w:tc>
          <w:tcPr>
            <w:tcW w:w="1783" w:type="dxa"/>
            <w:shd w:val="clear" w:color="auto" w:fill="auto"/>
            <w:noWrap w:val="0"/>
            <w:vAlign w:val="center"/>
          </w:tcPr>
          <w:p w14:paraId="051E6E19">
            <w:pPr>
              <w:adjustRightInd w:val="0"/>
              <w:snapToGrid w:val="0"/>
              <w:spacing w:line="276" w:lineRule="auto"/>
              <w:jc w:val="center"/>
              <w:rPr>
                <w:rFonts w:hint="default" w:ascii="Times New Roman" w:hAnsi="Times New Roman" w:eastAsia="宋体" w:cs="Times New Roman"/>
                <w:snapToGrid w:val="0"/>
                <w:color w:val="000000"/>
                <w:kern w:val="21"/>
                <w:sz w:val="21"/>
                <w:szCs w:val="21"/>
                <w:highlight w:val="none"/>
                <w:u w:val="single"/>
                <w:lang w:val="en-US" w:eastAsia="zh-CN" w:bidi="ar-SA"/>
              </w:rPr>
            </w:pPr>
            <w:r>
              <w:rPr>
                <w:rFonts w:hint="eastAsia"/>
                <w:snapToGrid w:val="0"/>
                <w:color w:val="000000"/>
                <w:kern w:val="21"/>
                <w:sz w:val="21"/>
                <w:szCs w:val="21"/>
                <w:highlight w:val="none"/>
                <w:u w:val="single"/>
                <w:lang w:val="en-US" w:eastAsia="zh-CN"/>
              </w:rPr>
              <w:t>2.4</w:t>
            </w:r>
          </w:p>
        </w:tc>
        <w:tc>
          <w:tcPr>
            <w:tcW w:w="1258" w:type="dxa"/>
            <w:shd w:val="clear" w:color="auto" w:fill="auto"/>
            <w:noWrap w:val="0"/>
            <w:vAlign w:val="center"/>
          </w:tcPr>
          <w:p w14:paraId="0A621022">
            <w:pPr>
              <w:adjustRightInd w:val="0"/>
              <w:snapToGrid w:val="0"/>
              <w:spacing w:line="276" w:lineRule="auto"/>
              <w:jc w:val="center"/>
              <w:rPr>
                <w:rFonts w:hint="default" w:ascii="Times New Roman" w:hAnsi="Times New Roman" w:eastAsia="宋体" w:cs="Times New Roman"/>
                <w:bCs/>
                <w:snapToGrid w:val="0"/>
                <w:color w:val="000000"/>
                <w:kern w:val="21"/>
                <w:sz w:val="21"/>
                <w:szCs w:val="21"/>
                <w:highlight w:val="none"/>
                <w:u w:val="single"/>
                <w:lang w:val="en-US" w:eastAsia="zh-CN" w:bidi="ar-SA"/>
              </w:rPr>
            </w:pPr>
            <w:r>
              <w:rPr>
                <w:rFonts w:hint="eastAsia"/>
                <w:snapToGrid w:val="0"/>
                <w:color w:val="000000"/>
                <w:kern w:val="21"/>
                <w:sz w:val="21"/>
                <w:szCs w:val="21"/>
                <w:highlight w:val="none"/>
                <w:u w:val="single"/>
                <w:lang w:val="en-US" w:eastAsia="zh-CN"/>
              </w:rPr>
              <w:t>+2.4</w:t>
            </w:r>
          </w:p>
        </w:tc>
      </w:tr>
      <w:tr w14:paraId="0EB8B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77" w:type="dxa"/>
            <w:vMerge w:val="continue"/>
            <w:noWrap w:val="0"/>
            <w:vAlign w:val="center"/>
          </w:tcPr>
          <w:p w14:paraId="26054EA1">
            <w:pPr>
              <w:pStyle w:val="42"/>
              <w:spacing w:beforeLines="0" w:afterLines="0" w:line="240" w:lineRule="auto"/>
              <w:rPr>
                <w:rFonts w:ascii="宋体" w:hAnsi="宋体" w:eastAsia="宋体" w:cs="宋体"/>
                <w:snapToGrid w:val="0"/>
                <w:color w:val="000000"/>
                <w:kern w:val="21"/>
                <w:sz w:val="21"/>
                <w:szCs w:val="21"/>
                <w:u w:val="single"/>
              </w:rPr>
            </w:pPr>
          </w:p>
        </w:tc>
        <w:tc>
          <w:tcPr>
            <w:tcW w:w="1528" w:type="dxa"/>
            <w:shd w:val="clear" w:color="auto" w:fill="auto"/>
            <w:noWrap w:val="0"/>
            <w:vAlign w:val="center"/>
          </w:tcPr>
          <w:p w14:paraId="368D45EA">
            <w:pPr>
              <w:spacing w:line="276" w:lineRule="auto"/>
              <w:ind w:left="-105" w:leftChars="-50" w:right="-105" w:rightChars="-50"/>
              <w:jc w:val="center"/>
              <w:rPr>
                <w:rFonts w:hint="eastAsia" w:eastAsia="宋体"/>
                <w:sz w:val="21"/>
                <w:szCs w:val="21"/>
                <w:u w:val="single"/>
                <w:lang w:eastAsia="zh-CN"/>
              </w:rPr>
            </w:pPr>
            <w:r>
              <w:rPr>
                <w:rFonts w:hint="eastAsia"/>
                <w:sz w:val="21"/>
                <w:szCs w:val="21"/>
                <w:u w:val="single"/>
                <w:lang w:eastAsia="zh-CN"/>
              </w:rPr>
              <w:t>除尘器收集粉尘</w:t>
            </w:r>
          </w:p>
        </w:tc>
        <w:tc>
          <w:tcPr>
            <w:tcW w:w="1701" w:type="dxa"/>
            <w:shd w:val="clear" w:color="auto" w:fill="auto"/>
            <w:noWrap w:val="0"/>
            <w:vAlign w:val="center"/>
          </w:tcPr>
          <w:p w14:paraId="03A8FA16">
            <w:pPr>
              <w:pStyle w:val="42"/>
              <w:spacing w:beforeLines="0" w:afterLines="0" w:line="240" w:lineRule="auto"/>
              <w:rPr>
                <w:rFonts w:hint="eastAsia" w:ascii="Times New Roman" w:hAnsi="Times New Roman" w:eastAsia="宋体" w:cs="Times New Roman"/>
                <w:bCs/>
                <w:snapToGrid w:val="0"/>
                <w:color w:val="000000"/>
                <w:kern w:val="21"/>
                <w:sz w:val="21"/>
                <w:szCs w:val="21"/>
                <w:u w:val="single"/>
                <w:lang w:val="en-US" w:eastAsia="zh-CN" w:bidi="ar-SA"/>
              </w:rPr>
            </w:pPr>
            <w:r>
              <w:rPr>
                <w:rFonts w:hint="eastAsia" w:ascii="Times New Roman" w:eastAsia="宋体"/>
                <w:snapToGrid w:val="0"/>
                <w:color w:val="000000"/>
                <w:kern w:val="21"/>
                <w:sz w:val="21"/>
                <w:szCs w:val="21"/>
                <w:u w:val="single"/>
                <w:lang w:val="en-US" w:eastAsia="zh-CN"/>
              </w:rPr>
              <w:t>0</w:t>
            </w:r>
          </w:p>
        </w:tc>
        <w:tc>
          <w:tcPr>
            <w:tcW w:w="1276" w:type="dxa"/>
            <w:shd w:val="clear" w:color="auto" w:fill="auto"/>
            <w:noWrap w:val="0"/>
            <w:vAlign w:val="center"/>
          </w:tcPr>
          <w:p w14:paraId="348F95DB">
            <w:pPr>
              <w:pStyle w:val="42"/>
              <w:spacing w:beforeLines="0" w:afterLines="0" w:line="240" w:lineRule="auto"/>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highlight w:val="none"/>
                <w:u w:val="single"/>
                <w:lang w:val="en-US" w:eastAsia="zh-CN"/>
              </w:rPr>
              <w:t>/</w:t>
            </w:r>
          </w:p>
        </w:tc>
        <w:tc>
          <w:tcPr>
            <w:tcW w:w="1701" w:type="dxa"/>
            <w:shd w:val="clear" w:color="auto" w:fill="auto"/>
            <w:noWrap w:val="0"/>
            <w:vAlign w:val="center"/>
          </w:tcPr>
          <w:p w14:paraId="1D8CE85D">
            <w:pPr>
              <w:pStyle w:val="42"/>
              <w:spacing w:beforeLines="0" w:afterLines="0" w:line="240" w:lineRule="auto"/>
              <w:rPr>
                <w:rFonts w:hint="eastAsia" w:ascii="Times New Roman" w:hAnsi="Times New Roman" w:eastAsia="Calibri"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u w:val="single"/>
                <w:lang w:val="en-US" w:eastAsia="zh-CN"/>
              </w:rPr>
              <w:t>0</w:t>
            </w:r>
          </w:p>
        </w:tc>
        <w:tc>
          <w:tcPr>
            <w:tcW w:w="1559" w:type="dxa"/>
            <w:shd w:val="clear" w:color="auto" w:fill="auto"/>
            <w:noWrap w:val="0"/>
            <w:vAlign w:val="center"/>
          </w:tcPr>
          <w:p w14:paraId="48AB2965">
            <w:pPr>
              <w:pStyle w:val="66"/>
              <w:adjustRightInd w:val="0"/>
              <w:ind w:left="-63" w:leftChars="-30" w:right="-63" w:rightChars="-30"/>
              <w:jc w:val="center"/>
              <w:rPr>
                <w:rFonts w:hint="default" w:ascii="Times New Roman" w:hAnsi="Times New Roman" w:eastAsia="宋体" w:cs="Times New Roman"/>
                <w:b w:val="0"/>
                <w:bCs w:val="0"/>
                <w:color w:val="auto"/>
                <w:kern w:val="2"/>
                <w:sz w:val="21"/>
                <w:szCs w:val="21"/>
                <w:u w:val="single"/>
                <w:lang w:val="en-US" w:eastAsia="zh-CN" w:bidi="ar-SA"/>
              </w:rPr>
            </w:pPr>
            <w:r>
              <w:rPr>
                <w:rFonts w:hint="eastAsia"/>
                <w:b w:val="0"/>
                <w:bCs w:val="0"/>
                <w:color w:val="auto"/>
                <w:sz w:val="21"/>
                <w:szCs w:val="21"/>
                <w:u w:val="single"/>
                <w:lang w:val="en-US" w:eastAsia="zh-CN"/>
              </w:rPr>
              <w:t>26.1772</w:t>
            </w:r>
          </w:p>
        </w:tc>
        <w:tc>
          <w:tcPr>
            <w:tcW w:w="1761" w:type="dxa"/>
            <w:shd w:val="clear" w:color="auto" w:fill="auto"/>
            <w:noWrap w:val="0"/>
            <w:vAlign w:val="center"/>
          </w:tcPr>
          <w:p w14:paraId="5412E3FF">
            <w:pPr>
              <w:spacing w:beforeLines="0" w:afterLines="0" w:line="240" w:lineRule="auto"/>
              <w:jc w:val="center"/>
              <w:rPr>
                <w:rFonts w:hint="eastAsia" w:ascii="Times New Roman" w:hAnsi="Times New Roman" w:eastAsia="Calibri" w:cs="Times New Roman"/>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highlight w:val="none"/>
                <w:u w:val="single"/>
                <w:lang w:val="en-US" w:eastAsia="zh-CN"/>
              </w:rPr>
              <w:t>0</w:t>
            </w:r>
          </w:p>
        </w:tc>
        <w:tc>
          <w:tcPr>
            <w:tcW w:w="1783" w:type="dxa"/>
            <w:shd w:val="clear" w:color="auto" w:fill="auto"/>
            <w:noWrap w:val="0"/>
            <w:vAlign w:val="center"/>
          </w:tcPr>
          <w:p w14:paraId="42FCE642">
            <w:pPr>
              <w:pStyle w:val="66"/>
              <w:adjustRightInd w:val="0"/>
              <w:ind w:left="-63" w:leftChars="-30" w:right="-63" w:rightChars="-30"/>
              <w:jc w:val="center"/>
              <w:rPr>
                <w:rFonts w:hint="eastAsia" w:ascii="Times New Roman" w:hAnsi="Times New Roman" w:eastAsia="宋体" w:cs="Times New Roman"/>
                <w:b w:val="0"/>
                <w:bCs w:val="0"/>
                <w:color w:val="auto"/>
                <w:kern w:val="2"/>
                <w:sz w:val="21"/>
                <w:szCs w:val="21"/>
                <w:u w:val="single"/>
                <w:lang w:val="en-US" w:eastAsia="zh-CN" w:bidi="ar-SA"/>
              </w:rPr>
            </w:pPr>
            <w:r>
              <w:rPr>
                <w:rFonts w:hint="eastAsia"/>
                <w:b w:val="0"/>
                <w:bCs w:val="0"/>
                <w:color w:val="auto"/>
                <w:sz w:val="21"/>
                <w:szCs w:val="21"/>
                <w:u w:val="single"/>
                <w:lang w:val="en-US" w:eastAsia="zh-CN"/>
              </w:rPr>
              <w:t>26.1772</w:t>
            </w:r>
          </w:p>
        </w:tc>
        <w:tc>
          <w:tcPr>
            <w:tcW w:w="1258" w:type="dxa"/>
            <w:shd w:val="clear" w:color="auto" w:fill="auto"/>
            <w:noWrap w:val="0"/>
            <w:vAlign w:val="center"/>
          </w:tcPr>
          <w:p w14:paraId="1F0A54FC">
            <w:pPr>
              <w:pStyle w:val="66"/>
              <w:adjustRightInd w:val="0"/>
              <w:ind w:left="-63" w:leftChars="-30" w:right="-63" w:rightChars="-30"/>
              <w:jc w:val="center"/>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b w:val="0"/>
                <w:bCs w:val="0"/>
                <w:color w:val="auto"/>
                <w:sz w:val="21"/>
                <w:szCs w:val="21"/>
                <w:u w:val="single"/>
                <w:lang w:val="en-US" w:eastAsia="zh-CN"/>
              </w:rPr>
              <w:t>+26.1772</w:t>
            </w:r>
          </w:p>
        </w:tc>
      </w:tr>
      <w:tr w14:paraId="65CBE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77" w:type="dxa"/>
            <w:vMerge w:val="continue"/>
            <w:noWrap w:val="0"/>
            <w:vAlign w:val="center"/>
          </w:tcPr>
          <w:p w14:paraId="72532CF7">
            <w:pPr>
              <w:pStyle w:val="42"/>
              <w:spacing w:beforeLines="0" w:afterLines="0" w:line="240" w:lineRule="auto"/>
              <w:rPr>
                <w:rFonts w:ascii="宋体" w:hAnsi="宋体" w:eastAsia="宋体" w:cs="宋体"/>
                <w:snapToGrid w:val="0"/>
                <w:color w:val="000000"/>
                <w:kern w:val="21"/>
                <w:sz w:val="21"/>
                <w:szCs w:val="21"/>
                <w:u w:val="single"/>
              </w:rPr>
            </w:pPr>
          </w:p>
        </w:tc>
        <w:tc>
          <w:tcPr>
            <w:tcW w:w="1528" w:type="dxa"/>
            <w:shd w:val="clear" w:color="auto" w:fill="auto"/>
            <w:noWrap w:val="0"/>
            <w:vAlign w:val="center"/>
          </w:tcPr>
          <w:p w14:paraId="3B7592FF">
            <w:pPr>
              <w:spacing w:line="276" w:lineRule="auto"/>
              <w:ind w:left="-105" w:leftChars="-50" w:right="-105" w:rightChars="-50"/>
              <w:jc w:val="center"/>
              <w:rPr>
                <w:rFonts w:hint="eastAsia" w:eastAsia="宋体"/>
                <w:sz w:val="21"/>
                <w:szCs w:val="21"/>
                <w:u w:val="single"/>
                <w:lang w:eastAsia="zh-CN"/>
              </w:rPr>
            </w:pPr>
            <w:r>
              <w:rPr>
                <w:rFonts w:hint="eastAsia"/>
                <w:sz w:val="21"/>
                <w:szCs w:val="21"/>
                <w:u w:val="single"/>
                <w:lang w:eastAsia="zh-CN"/>
              </w:rPr>
              <w:t>废布袋</w:t>
            </w:r>
          </w:p>
        </w:tc>
        <w:tc>
          <w:tcPr>
            <w:tcW w:w="1701" w:type="dxa"/>
            <w:shd w:val="clear" w:color="auto" w:fill="auto"/>
            <w:noWrap w:val="0"/>
            <w:vAlign w:val="center"/>
          </w:tcPr>
          <w:p w14:paraId="60D9405B">
            <w:pPr>
              <w:pStyle w:val="42"/>
              <w:spacing w:beforeLines="0" w:afterLines="0" w:line="240" w:lineRule="auto"/>
              <w:rPr>
                <w:rFonts w:hint="default" w:ascii="Times New Roman" w:eastAsia="宋体"/>
                <w:snapToGrid w:val="0"/>
                <w:color w:val="000000"/>
                <w:kern w:val="21"/>
                <w:sz w:val="21"/>
                <w:szCs w:val="21"/>
                <w:u w:val="single"/>
                <w:lang w:val="en-US" w:eastAsia="zh-CN"/>
              </w:rPr>
            </w:pPr>
            <w:r>
              <w:rPr>
                <w:rFonts w:hint="eastAsia" w:ascii="Times New Roman" w:eastAsia="宋体"/>
                <w:snapToGrid w:val="0"/>
                <w:color w:val="000000"/>
                <w:kern w:val="21"/>
                <w:sz w:val="21"/>
                <w:szCs w:val="21"/>
                <w:u w:val="single"/>
                <w:lang w:val="en-US" w:eastAsia="zh-CN"/>
              </w:rPr>
              <w:t>0</w:t>
            </w:r>
          </w:p>
        </w:tc>
        <w:tc>
          <w:tcPr>
            <w:tcW w:w="1276" w:type="dxa"/>
            <w:shd w:val="clear" w:color="auto" w:fill="auto"/>
            <w:noWrap w:val="0"/>
            <w:vAlign w:val="center"/>
          </w:tcPr>
          <w:p w14:paraId="009AA381">
            <w:pPr>
              <w:pStyle w:val="42"/>
              <w:spacing w:beforeLines="0" w:afterLines="0" w:line="240" w:lineRule="auto"/>
              <w:rPr>
                <w:rFonts w:hint="default" w:ascii="Times New Roman" w:eastAsia="宋体"/>
                <w:snapToGrid w:val="0"/>
                <w:color w:val="000000"/>
                <w:kern w:val="21"/>
                <w:sz w:val="21"/>
                <w:szCs w:val="21"/>
                <w:highlight w:val="none"/>
                <w:u w:val="single"/>
                <w:lang w:val="en-US" w:eastAsia="zh-CN"/>
              </w:rPr>
            </w:pPr>
            <w:r>
              <w:rPr>
                <w:rFonts w:hint="eastAsia" w:ascii="Times New Roman" w:eastAsia="宋体"/>
                <w:snapToGrid w:val="0"/>
                <w:color w:val="000000"/>
                <w:kern w:val="21"/>
                <w:sz w:val="21"/>
                <w:szCs w:val="21"/>
                <w:highlight w:val="none"/>
                <w:u w:val="single"/>
                <w:lang w:val="en-US" w:eastAsia="zh-CN"/>
              </w:rPr>
              <w:t>/</w:t>
            </w:r>
          </w:p>
        </w:tc>
        <w:tc>
          <w:tcPr>
            <w:tcW w:w="1701" w:type="dxa"/>
            <w:shd w:val="clear" w:color="auto" w:fill="auto"/>
            <w:noWrap w:val="0"/>
            <w:vAlign w:val="center"/>
          </w:tcPr>
          <w:p w14:paraId="5AC863A9">
            <w:pPr>
              <w:pStyle w:val="42"/>
              <w:spacing w:beforeLines="0" w:afterLines="0" w:line="240" w:lineRule="auto"/>
              <w:rPr>
                <w:rFonts w:hint="default" w:ascii="Times New Roman" w:eastAsia="宋体"/>
                <w:snapToGrid w:val="0"/>
                <w:color w:val="000000"/>
                <w:kern w:val="21"/>
                <w:sz w:val="21"/>
                <w:szCs w:val="21"/>
                <w:u w:val="single"/>
                <w:lang w:val="en-US" w:eastAsia="zh-CN"/>
              </w:rPr>
            </w:pPr>
            <w:r>
              <w:rPr>
                <w:rFonts w:hint="eastAsia" w:ascii="Times New Roman" w:eastAsia="宋体"/>
                <w:snapToGrid w:val="0"/>
                <w:color w:val="000000"/>
                <w:kern w:val="21"/>
                <w:sz w:val="21"/>
                <w:szCs w:val="21"/>
                <w:u w:val="single"/>
                <w:lang w:val="en-US" w:eastAsia="zh-CN"/>
              </w:rPr>
              <w:t>0</w:t>
            </w:r>
          </w:p>
        </w:tc>
        <w:tc>
          <w:tcPr>
            <w:tcW w:w="1559" w:type="dxa"/>
            <w:shd w:val="clear" w:color="auto" w:fill="auto"/>
            <w:noWrap w:val="0"/>
            <w:vAlign w:val="center"/>
          </w:tcPr>
          <w:p w14:paraId="59362E3B">
            <w:pPr>
              <w:pStyle w:val="66"/>
              <w:adjustRightInd w:val="0"/>
              <w:ind w:left="-63" w:leftChars="-30" w:right="-63" w:rightChars="-30"/>
              <w:jc w:val="center"/>
              <w:rPr>
                <w:rFonts w:hint="default" w:ascii="Times New Roman" w:hAnsi="Times New Roman" w:eastAsia="宋体" w:cs="Times New Roman"/>
                <w:b w:val="0"/>
                <w:bCs w:val="0"/>
                <w:color w:val="auto"/>
                <w:kern w:val="2"/>
                <w:sz w:val="21"/>
                <w:szCs w:val="21"/>
                <w:u w:val="single"/>
                <w:lang w:val="en-US" w:eastAsia="zh-CN" w:bidi="ar-SA"/>
              </w:rPr>
            </w:pPr>
            <w:r>
              <w:rPr>
                <w:rFonts w:hint="eastAsia"/>
                <w:b w:val="0"/>
                <w:bCs w:val="0"/>
                <w:color w:val="auto"/>
                <w:sz w:val="21"/>
                <w:szCs w:val="21"/>
                <w:u w:val="single"/>
                <w:lang w:val="en-US" w:eastAsia="zh-CN"/>
              </w:rPr>
              <w:t>0.05</w:t>
            </w:r>
          </w:p>
        </w:tc>
        <w:tc>
          <w:tcPr>
            <w:tcW w:w="1761" w:type="dxa"/>
            <w:shd w:val="clear" w:color="auto" w:fill="auto"/>
            <w:noWrap w:val="0"/>
            <w:vAlign w:val="center"/>
          </w:tcPr>
          <w:p w14:paraId="122056B1">
            <w:pPr>
              <w:spacing w:beforeLines="0" w:afterLines="0" w:line="240" w:lineRule="auto"/>
              <w:jc w:val="center"/>
              <w:rPr>
                <w:rFonts w:hint="default" w:ascii="Times New Roman" w:eastAsia="宋体"/>
                <w:snapToGrid w:val="0"/>
                <w:color w:val="000000"/>
                <w:kern w:val="21"/>
                <w:sz w:val="21"/>
                <w:szCs w:val="21"/>
                <w:highlight w:val="none"/>
                <w:u w:val="single"/>
                <w:lang w:val="en-US" w:eastAsia="zh-CN"/>
              </w:rPr>
            </w:pPr>
            <w:r>
              <w:rPr>
                <w:rFonts w:hint="eastAsia"/>
                <w:snapToGrid w:val="0"/>
                <w:color w:val="000000"/>
                <w:kern w:val="21"/>
                <w:sz w:val="21"/>
                <w:szCs w:val="21"/>
                <w:highlight w:val="none"/>
                <w:u w:val="single"/>
                <w:lang w:val="en-US" w:eastAsia="zh-CN"/>
              </w:rPr>
              <w:t>0</w:t>
            </w:r>
          </w:p>
        </w:tc>
        <w:tc>
          <w:tcPr>
            <w:tcW w:w="1783" w:type="dxa"/>
            <w:shd w:val="clear" w:color="auto" w:fill="auto"/>
            <w:noWrap w:val="0"/>
            <w:vAlign w:val="center"/>
          </w:tcPr>
          <w:p w14:paraId="2E257219">
            <w:pPr>
              <w:pStyle w:val="66"/>
              <w:adjustRightInd w:val="0"/>
              <w:ind w:left="-63" w:leftChars="-30" w:right="-63" w:rightChars="-30"/>
              <w:jc w:val="center"/>
              <w:rPr>
                <w:rFonts w:hint="default" w:ascii="Times New Roman" w:hAnsi="Times New Roman" w:eastAsia="宋体" w:cs="Times New Roman"/>
                <w:b w:val="0"/>
                <w:bCs w:val="0"/>
                <w:color w:val="auto"/>
                <w:kern w:val="2"/>
                <w:sz w:val="21"/>
                <w:szCs w:val="21"/>
                <w:u w:val="single"/>
                <w:lang w:val="en-US" w:eastAsia="zh-CN" w:bidi="ar-SA"/>
              </w:rPr>
            </w:pPr>
            <w:r>
              <w:rPr>
                <w:rFonts w:hint="eastAsia"/>
                <w:b w:val="0"/>
                <w:bCs w:val="0"/>
                <w:color w:val="auto"/>
                <w:sz w:val="21"/>
                <w:szCs w:val="21"/>
                <w:u w:val="single"/>
                <w:lang w:val="en-US" w:eastAsia="zh-CN"/>
              </w:rPr>
              <w:t>0.05</w:t>
            </w:r>
          </w:p>
        </w:tc>
        <w:tc>
          <w:tcPr>
            <w:tcW w:w="1258" w:type="dxa"/>
            <w:shd w:val="clear" w:color="auto" w:fill="auto"/>
            <w:noWrap w:val="0"/>
            <w:vAlign w:val="center"/>
          </w:tcPr>
          <w:p w14:paraId="35A1AF6B">
            <w:pPr>
              <w:pStyle w:val="66"/>
              <w:adjustRightInd w:val="0"/>
              <w:ind w:left="-63" w:leftChars="-30" w:right="-63" w:rightChars="-30"/>
              <w:jc w:val="center"/>
              <w:rPr>
                <w:rFonts w:hint="default" w:ascii="Times New Roman" w:hAnsi="Times New Roman" w:eastAsia="宋体" w:cs="Times New Roman"/>
                <w:bCs/>
                <w:snapToGrid w:val="0"/>
                <w:color w:val="000000"/>
                <w:kern w:val="21"/>
                <w:sz w:val="21"/>
                <w:szCs w:val="21"/>
                <w:highlight w:val="none"/>
                <w:u w:val="single"/>
                <w:lang w:val="en-US" w:eastAsia="zh-CN" w:bidi="ar-SA"/>
              </w:rPr>
            </w:pPr>
            <w:r>
              <w:rPr>
                <w:rFonts w:hint="eastAsia"/>
                <w:b w:val="0"/>
                <w:bCs w:val="0"/>
                <w:color w:val="auto"/>
                <w:sz w:val="21"/>
                <w:szCs w:val="21"/>
                <w:u w:val="single"/>
                <w:lang w:val="en-US" w:eastAsia="zh-CN"/>
              </w:rPr>
              <w:t>+0.05</w:t>
            </w:r>
          </w:p>
        </w:tc>
      </w:tr>
      <w:tr w14:paraId="040A3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77" w:type="dxa"/>
            <w:vMerge w:val="continue"/>
            <w:noWrap w:val="0"/>
            <w:vAlign w:val="center"/>
          </w:tcPr>
          <w:p w14:paraId="2984BB8E">
            <w:pPr>
              <w:pStyle w:val="42"/>
              <w:spacing w:beforeLines="0" w:afterLines="0" w:line="240" w:lineRule="auto"/>
              <w:rPr>
                <w:rFonts w:ascii="宋体" w:hAnsi="宋体" w:eastAsia="宋体" w:cs="宋体"/>
                <w:snapToGrid w:val="0"/>
                <w:color w:val="000000"/>
                <w:kern w:val="21"/>
                <w:sz w:val="21"/>
                <w:szCs w:val="21"/>
                <w:u w:val="single"/>
              </w:rPr>
            </w:pPr>
          </w:p>
        </w:tc>
        <w:tc>
          <w:tcPr>
            <w:tcW w:w="1528" w:type="dxa"/>
            <w:noWrap w:val="0"/>
            <w:vAlign w:val="center"/>
          </w:tcPr>
          <w:p w14:paraId="545C7A3F">
            <w:pPr>
              <w:spacing w:line="276" w:lineRule="auto"/>
              <w:ind w:left="-105" w:leftChars="-50" w:right="-105" w:rightChars="-50"/>
              <w:jc w:val="center"/>
              <w:rPr>
                <w:rFonts w:hint="eastAsia"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沉淀池沉淀物</w:t>
            </w:r>
          </w:p>
        </w:tc>
        <w:tc>
          <w:tcPr>
            <w:tcW w:w="1701" w:type="dxa"/>
            <w:shd w:val="clear" w:color="auto" w:fill="auto"/>
            <w:noWrap w:val="0"/>
            <w:vAlign w:val="center"/>
          </w:tcPr>
          <w:p w14:paraId="7BDC356A">
            <w:pPr>
              <w:pStyle w:val="42"/>
              <w:spacing w:beforeLines="0" w:afterLines="0" w:line="240" w:lineRule="auto"/>
              <w:rPr>
                <w:rFonts w:hint="eastAsia" w:ascii="Times New Roman" w:hAnsi="Times New Roman" w:eastAsia="宋体" w:cs="Times New Roman"/>
                <w:bCs/>
                <w:snapToGrid w:val="0"/>
                <w:color w:val="000000"/>
                <w:kern w:val="21"/>
                <w:sz w:val="21"/>
                <w:szCs w:val="21"/>
                <w:u w:val="single"/>
                <w:lang w:val="en-US" w:eastAsia="zh-CN" w:bidi="ar-SA"/>
              </w:rPr>
            </w:pPr>
            <w:r>
              <w:rPr>
                <w:rFonts w:hint="eastAsia" w:ascii="Times New Roman" w:eastAsia="宋体"/>
                <w:snapToGrid w:val="0"/>
                <w:color w:val="000000"/>
                <w:kern w:val="21"/>
                <w:sz w:val="21"/>
                <w:szCs w:val="21"/>
                <w:u w:val="single"/>
                <w:lang w:val="en-US" w:eastAsia="zh-CN"/>
              </w:rPr>
              <w:t>0</w:t>
            </w:r>
          </w:p>
        </w:tc>
        <w:tc>
          <w:tcPr>
            <w:tcW w:w="1276" w:type="dxa"/>
            <w:shd w:val="clear" w:color="auto" w:fill="auto"/>
            <w:noWrap w:val="0"/>
            <w:vAlign w:val="center"/>
          </w:tcPr>
          <w:p w14:paraId="059D93F3">
            <w:pPr>
              <w:pStyle w:val="42"/>
              <w:spacing w:beforeLines="0" w:afterLines="0" w:line="240" w:lineRule="auto"/>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highlight w:val="none"/>
                <w:u w:val="single"/>
                <w:lang w:val="en-US" w:eastAsia="zh-CN"/>
              </w:rPr>
              <w:t>/</w:t>
            </w:r>
          </w:p>
        </w:tc>
        <w:tc>
          <w:tcPr>
            <w:tcW w:w="1701" w:type="dxa"/>
            <w:shd w:val="clear" w:color="auto" w:fill="auto"/>
            <w:noWrap w:val="0"/>
            <w:vAlign w:val="center"/>
          </w:tcPr>
          <w:p w14:paraId="365CAF43">
            <w:pPr>
              <w:pStyle w:val="42"/>
              <w:spacing w:beforeLines="0" w:afterLines="0" w:line="240" w:lineRule="auto"/>
              <w:rPr>
                <w:rFonts w:hint="eastAsia" w:ascii="Times New Roman" w:hAnsi="Times New Roman" w:eastAsia="Calibri" w:cs="Times New Roman"/>
                <w:bCs/>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u w:val="single"/>
                <w:lang w:val="en-US" w:eastAsia="zh-CN"/>
              </w:rPr>
              <w:t>0</w:t>
            </w:r>
          </w:p>
        </w:tc>
        <w:tc>
          <w:tcPr>
            <w:tcW w:w="1559" w:type="dxa"/>
            <w:shd w:val="clear" w:color="auto" w:fill="auto"/>
            <w:noWrap w:val="0"/>
            <w:vAlign w:val="center"/>
          </w:tcPr>
          <w:p w14:paraId="3E2B0046">
            <w:pPr>
              <w:adjustRightInd w:val="0"/>
              <w:snapToGrid w:val="0"/>
              <w:spacing w:line="276" w:lineRule="auto"/>
              <w:jc w:val="center"/>
              <w:rPr>
                <w:rFonts w:hint="eastAsia" w:ascii="Times New Roman" w:hAnsi="Times New Roman" w:eastAsia="宋体" w:cs="Times New Roman"/>
                <w:snapToGrid w:val="0"/>
                <w:color w:val="000000"/>
                <w:kern w:val="21"/>
                <w:sz w:val="21"/>
                <w:szCs w:val="21"/>
                <w:highlight w:val="none"/>
                <w:u w:val="single"/>
                <w:lang w:val="en-US" w:eastAsia="zh-CN" w:bidi="ar-SA"/>
              </w:rPr>
            </w:pPr>
            <w:r>
              <w:rPr>
                <w:rFonts w:hint="eastAsia"/>
                <w:snapToGrid w:val="0"/>
                <w:color w:val="000000"/>
                <w:kern w:val="21"/>
                <w:sz w:val="21"/>
                <w:szCs w:val="21"/>
                <w:highlight w:val="none"/>
                <w:u w:val="single"/>
                <w:lang w:val="en-US" w:eastAsia="zh-CN"/>
              </w:rPr>
              <w:t>5</w:t>
            </w:r>
          </w:p>
        </w:tc>
        <w:tc>
          <w:tcPr>
            <w:tcW w:w="1761" w:type="dxa"/>
            <w:shd w:val="clear" w:color="auto" w:fill="auto"/>
            <w:noWrap w:val="0"/>
            <w:vAlign w:val="center"/>
          </w:tcPr>
          <w:p w14:paraId="16CB3EB3">
            <w:pPr>
              <w:spacing w:beforeLines="0" w:afterLines="0" w:line="240" w:lineRule="auto"/>
              <w:jc w:val="center"/>
              <w:rPr>
                <w:rFonts w:hint="eastAsia" w:ascii="Times New Roman" w:hAnsi="Times New Roman" w:eastAsia="Calibri" w:cs="Times New Roman"/>
                <w:snapToGrid w:val="0"/>
                <w:color w:val="000000"/>
                <w:kern w:val="21"/>
                <w:sz w:val="21"/>
                <w:szCs w:val="21"/>
                <w:highlight w:val="none"/>
                <w:u w:val="single"/>
                <w:lang w:val="en-US" w:eastAsia="zh-CN" w:bidi="ar-SA"/>
              </w:rPr>
            </w:pPr>
            <w:r>
              <w:rPr>
                <w:rFonts w:hint="eastAsia" w:ascii="Times New Roman" w:eastAsia="宋体"/>
                <w:snapToGrid w:val="0"/>
                <w:color w:val="000000"/>
                <w:kern w:val="21"/>
                <w:sz w:val="21"/>
                <w:szCs w:val="21"/>
                <w:highlight w:val="none"/>
                <w:u w:val="single"/>
                <w:lang w:val="en-US" w:eastAsia="zh-CN"/>
              </w:rPr>
              <w:t>0</w:t>
            </w:r>
          </w:p>
        </w:tc>
        <w:tc>
          <w:tcPr>
            <w:tcW w:w="1783" w:type="dxa"/>
            <w:shd w:val="clear" w:color="auto" w:fill="auto"/>
            <w:noWrap w:val="0"/>
            <w:vAlign w:val="center"/>
          </w:tcPr>
          <w:p w14:paraId="0742B0B6">
            <w:pPr>
              <w:adjustRightInd w:val="0"/>
              <w:snapToGrid w:val="0"/>
              <w:spacing w:line="276" w:lineRule="auto"/>
              <w:jc w:val="center"/>
              <w:rPr>
                <w:rFonts w:hint="eastAsia" w:ascii="Times New Roman" w:hAnsi="Times New Roman" w:eastAsia="宋体" w:cs="Times New Roman"/>
                <w:snapToGrid w:val="0"/>
                <w:color w:val="000000"/>
                <w:kern w:val="21"/>
                <w:sz w:val="21"/>
                <w:szCs w:val="21"/>
                <w:highlight w:val="none"/>
                <w:u w:val="single"/>
                <w:lang w:val="en-US" w:eastAsia="zh-CN" w:bidi="ar-SA"/>
              </w:rPr>
            </w:pPr>
            <w:r>
              <w:rPr>
                <w:rFonts w:hint="eastAsia"/>
                <w:snapToGrid w:val="0"/>
                <w:color w:val="000000"/>
                <w:kern w:val="21"/>
                <w:sz w:val="21"/>
                <w:szCs w:val="21"/>
                <w:highlight w:val="none"/>
                <w:u w:val="single"/>
                <w:lang w:val="en-US" w:eastAsia="zh-CN"/>
              </w:rPr>
              <w:t>5</w:t>
            </w:r>
          </w:p>
        </w:tc>
        <w:tc>
          <w:tcPr>
            <w:tcW w:w="1258" w:type="dxa"/>
            <w:shd w:val="clear" w:color="auto" w:fill="auto"/>
            <w:noWrap w:val="0"/>
            <w:vAlign w:val="center"/>
          </w:tcPr>
          <w:p w14:paraId="05DE33E3">
            <w:pPr>
              <w:adjustRightInd w:val="0"/>
              <w:snapToGrid w:val="0"/>
              <w:spacing w:line="276" w:lineRule="auto"/>
              <w:jc w:val="center"/>
              <w:rPr>
                <w:rFonts w:hint="eastAsia" w:ascii="Times New Roman" w:hAnsi="Times New Roman" w:eastAsia="宋体" w:cs="Times New Roman"/>
                <w:bCs/>
                <w:snapToGrid w:val="0"/>
                <w:color w:val="000000"/>
                <w:kern w:val="21"/>
                <w:sz w:val="21"/>
                <w:szCs w:val="21"/>
                <w:highlight w:val="none"/>
                <w:u w:val="single"/>
                <w:lang w:val="en-US" w:eastAsia="zh-CN" w:bidi="ar-SA"/>
              </w:rPr>
            </w:pPr>
            <w:r>
              <w:rPr>
                <w:rFonts w:hint="eastAsia"/>
                <w:snapToGrid w:val="0"/>
                <w:color w:val="000000"/>
                <w:kern w:val="21"/>
                <w:sz w:val="21"/>
                <w:szCs w:val="21"/>
                <w:highlight w:val="none"/>
                <w:u w:val="single"/>
                <w:lang w:val="en-US" w:eastAsia="zh-CN"/>
              </w:rPr>
              <w:t>+5</w:t>
            </w:r>
          </w:p>
        </w:tc>
      </w:tr>
      <w:tr w14:paraId="60D1C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77" w:type="dxa"/>
            <w:vMerge w:val="continue"/>
            <w:noWrap w:val="0"/>
            <w:vAlign w:val="center"/>
          </w:tcPr>
          <w:p w14:paraId="3429918D">
            <w:pPr>
              <w:pStyle w:val="42"/>
              <w:spacing w:beforeLines="0" w:afterLines="0" w:line="240" w:lineRule="auto"/>
              <w:rPr>
                <w:rFonts w:ascii="Times New Roman" w:eastAsia="Calibri"/>
                <w:snapToGrid w:val="0"/>
                <w:color w:val="000000"/>
                <w:kern w:val="21"/>
                <w:sz w:val="21"/>
                <w:szCs w:val="21"/>
                <w:u w:val="single"/>
              </w:rPr>
            </w:pPr>
          </w:p>
        </w:tc>
        <w:tc>
          <w:tcPr>
            <w:tcW w:w="1528" w:type="dxa"/>
            <w:noWrap w:val="0"/>
            <w:vAlign w:val="center"/>
          </w:tcPr>
          <w:p w14:paraId="586A3C56">
            <w:pPr>
              <w:spacing w:line="276" w:lineRule="auto"/>
              <w:ind w:left="-105" w:leftChars="-50" w:right="-105" w:rightChars="-50"/>
              <w:jc w:val="center"/>
              <w:rPr>
                <w:rFonts w:hint="default" w:eastAsia="宋体"/>
                <w:sz w:val="21"/>
                <w:szCs w:val="21"/>
                <w:u w:val="single"/>
                <w:lang w:val="en-US" w:eastAsia="zh-CN"/>
              </w:rPr>
            </w:pPr>
            <w:r>
              <w:rPr>
                <w:rFonts w:hint="eastAsia"/>
                <w:sz w:val="21"/>
                <w:szCs w:val="21"/>
                <w:u w:val="single"/>
                <w:lang w:val="en-US" w:eastAsia="zh-CN"/>
              </w:rPr>
              <w:t>化验室废试样</w:t>
            </w:r>
          </w:p>
        </w:tc>
        <w:tc>
          <w:tcPr>
            <w:tcW w:w="1701" w:type="dxa"/>
            <w:noWrap w:val="0"/>
            <w:vAlign w:val="center"/>
          </w:tcPr>
          <w:p w14:paraId="035B2257">
            <w:pPr>
              <w:pStyle w:val="42"/>
              <w:spacing w:beforeLines="0" w:afterLines="0" w:line="240" w:lineRule="auto"/>
              <w:rPr>
                <w:rFonts w:hint="default" w:ascii="Times New Roman" w:eastAsia="宋体"/>
                <w:snapToGrid w:val="0"/>
                <w:color w:val="000000"/>
                <w:kern w:val="21"/>
                <w:sz w:val="21"/>
                <w:szCs w:val="21"/>
                <w:u w:val="single"/>
                <w:lang w:val="en-US" w:eastAsia="zh-CN"/>
              </w:rPr>
            </w:pPr>
            <w:r>
              <w:rPr>
                <w:rFonts w:hint="eastAsia" w:ascii="Times New Roman"/>
                <w:snapToGrid w:val="0"/>
                <w:color w:val="000000"/>
                <w:kern w:val="21"/>
                <w:sz w:val="21"/>
                <w:szCs w:val="21"/>
                <w:u w:val="single"/>
                <w:lang w:val="en-US" w:eastAsia="zh-CN"/>
              </w:rPr>
              <w:t>0</w:t>
            </w:r>
          </w:p>
        </w:tc>
        <w:tc>
          <w:tcPr>
            <w:tcW w:w="1276" w:type="dxa"/>
            <w:noWrap w:val="0"/>
            <w:vAlign w:val="center"/>
          </w:tcPr>
          <w:p w14:paraId="61D5DF6B">
            <w:pPr>
              <w:pStyle w:val="42"/>
              <w:spacing w:beforeLines="0" w:afterLines="0" w:line="240" w:lineRule="auto"/>
              <w:rPr>
                <w:rFonts w:hint="eastAsia" w:ascii="Times New Roman" w:eastAsia="宋体"/>
                <w:snapToGrid w:val="0"/>
                <w:color w:val="000000"/>
                <w:kern w:val="21"/>
                <w:sz w:val="21"/>
                <w:szCs w:val="21"/>
                <w:highlight w:val="none"/>
                <w:u w:val="single"/>
                <w:lang w:val="en-US" w:eastAsia="zh-CN"/>
              </w:rPr>
            </w:pPr>
            <w:r>
              <w:rPr>
                <w:rFonts w:hint="eastAsia" w:ascii="Times New Roman" w:eastAsia="宋体"/>
                <w:snapToGrid w:val="0"/>
                <w:color w:val="000000"/>
                <w:kern w:val="21"/>
                <w:sz w:val="21"/>
                <w:szCs w:val="21"/>
                <w:highlight w:val="none"/>
                <w:u w:val="single"/>
                <w:lang w:val="en-US" w:eastAsia="zh-CN"/>
              </w:rPr>
              <w:t>/</w:t>
            </w:r>
          </w:p>
        </w:tc>
        <w:tc>
          <w:tcPr>
            <w:tcW w:w="1701" w:type="dxa"/>
            <w:noWrap w:val="0"/>
            <w:vAlign w:val="center"/>
          </w:tcPr>
          <w:p w14:paraId="32C06EE1">
            <w:pPr>
              <w:pStyle w:val="42"/>
              <w:spacing w:beforeLines="0" w:afterLines="0" w:line="240" w:lineRule="auto"/>
              <w:rPr>
                <w:rFonts w:hint="eastAsia" w:ascii="Times New Roman" w:eastAsia="宋体"/>
                <w:snapToGrid w:val="0"/>
                <w:color w:val="000000"/>
                <w:kern w:val="21"/>
                <w:sz w:val="21"/>
                <w:szCs w:val="21"/>
                <w:u w:val="single"/>
                <w:lang w:val="en-US" w:eastAsia="zh-CN"/>
              </w:rPr>
            </w:pPr>
            <w:r>
              <w:rPr>
                <w:rFonts w:hint="eastAsia" w:ascii="Times New Roman" w:eastAsia="宋体"/>
                <w:snapToGrid w:val="0"/>
                <w:color w:val="000000"/>
                <w:kern w:val="21"/>
                <w:sz w:val="21"/>
                <w:szCs w:val="21"/>
                <w:u w:val="single"/>
                <w:lang w:val="en-US" w:eastAsia="zh-CN"/>
              </w:rPr>
              <w:t>0</w:t>
            </w:r>
          </w:p>
        </w:tc>
        <w:tc>
          <w:tcPr>
            <w:tcW w:w="1559" w:type="dxa"/>
            <w:noWrap w:val="0"/>
            <w:vAlign w:val="center"/>
          </w:tcPr>
          <w:p w14:paraId="72549ED8">
            <w:pPr>
              <w:adjustRightInd w:val="0"/>
              <w:snapToGrid w:val="0"/>
              <w:spacing w:line="276" w:lineRule="auto"/>
              <w:jc w:val="center"/>
              <w:rPr>
                <w:rFonts w:hint="default" w:eastAsia="宋体"/>
                <w:snapToGrid w:val="0"/>
                <w:color w:val="000000"/>
                <w:kern w:val="21"/>
                <w:sz w:val="21"/>
                <w:szCs w:val="21"/>
                <w:highlight w:val="none"/>
                <w:u w:val="single"/>
                <w:lang w:val="en-US" w:eastAsia="zh-CN"/>
              </w:rPr>
            </w:pPr>
            <w:r>
              <w:rPr>
                <w:rFonts w:hint="eastAsia"/>
                <w:snapToGrid w:val="0"/>
                <w:color w:val="000000"/>
                <w:kern w:val="21"/>
                <w:sz w:val="21"/>
                <w:szCs w:val="21"/>
                <w:highlight w:val="none"/>
                <w:u w:val="single"/>
                <w:lang w:val="en-US" w:eastAsia="zh-CN"/>
              </w:rPr>
              <w:t>3</w:t>
            </w:r>
          </w:p>
        </w:tc>
        <w:tc>
          <w:tcPr>
            <w:tcW w:w="1761" w:type="dxa"/>
            <w:noWrap w:val="0"/>
            <w:vAlign w:val="center"/>
          </w:tcPr>
          <w:p w14:paraId="21B5E8FA">
            <w:pPr>
              <w:spacing w:beforeLines="0" w:afterLines="0" w:line="240" w:lineRule="auto"/>
              <w:jc w:val="center"/>
              <w:rPr>
                <w:rFonts w:hint="default" w:ascii="Times New Roman" w:eastAsia="宋体"/>
                <w:snapToGrid w:val="0"/>
                <w:color w:val="000000"/>
                <w:kern w:val="21"/>
                <w:sz w:val="21"/>
                <w:szCs w:val="21"/>
                <w:highlight w:val="none"/>
                <w:u w:val="single"/>
                <w:lang w:val="en-US" w:eastAsia="zh-CN"/>
              </w:rPr>
            </w:pPr>
            <w:r>
              <w:rPr>
                <w:rFonts w:hint="eastAsia"/>
                <w:snapToGrid w:val="0"/>
                <w:color w:val="000000"/>
                <w:kern w:val="21"/>
                <w:sz w:val="21"/>
                <w:szCs w:val="21"/>
                <w:highlight w:val="none"/>
                <w:u w:val="single"/>
                <w:lang w:val="en-US" w:eastAsia="zh-CN"/>
              </w:rPr>
              <w:t>0</w:t>
            </w:r>
          </w:p>
        </w:tc>
        <w:tc>
          <w:tcPr>
            <w:tcW w:w="1783" w:type="dxa"/>
            <w:shd w:val="clear" w:color="auto" w:fill="auto"/>
            <w:noWrap w:val="0"/>
            <w:vAlign w:val="center"/>
          </w:tcPr>
          <w:p w14:paraId="53C9D2B7">
            <w:pPr>
              <w:adjustRightInd w:val="0"/>
              <w:snapToGrid w:val="0"/>
              <w:spacing w:line="276" w:lineRule="auto"/>
              <w:jc w:val="center"/>
              <w:rPr>
                <w:rFonts w:hint="default" w:ascii="Times New Roman" w:hAnsi="Times New Roman" w:eastAsia="宋体" w:cs="Times New Roman"/>
                <w:snapToGrid w:val="0"/>
                <w:color w:val="000000"/>
                <w:kern w:val="21"/>
                <w:sz w:val="21"/>
                <w:szCs w:val="21"/>
                <w:highlight w:val="none"/>
                <w:u w:val="single"/>
                <w:lang w:val="en-US" w:eastAsia="zh-CN" w:bidi="ar-SA"/>
              </w:rPr>
            </w:pPr>
            <w:r>
              <w:rPr>
                <w:rFonts w:hint="eastAsia"/>
                <w:snapToGrid w:val="0"/>
                <w:color w:val="000000"/>
                <w:kern w:val="21"/>
                <w:sz w:val="21"/>
                <w:szCs w:val="21"/>
                <w:highlight w:val="none"/>
                <w:u w:val="single"/>
                <w:lang w:val="en-US" w:eastAsia="zh-CN"/>
              </w:rPr>
              <w:t>3</w:t>
            </w:r>
          </w:p>
        </w:tc>
        <w:tc>
          <w:tcPr>
            <w:tcW w:w="1258" w:type="dxa"/>
            <w:shd w:val="clear" w:color="auto" w:fill="auto"/>
            <w:noWrap w:val="0"/>
            <w:vAlign w:val="center"/>
          </w:tcPr>
          <w:p w14:paraId="426B68AB">
            <w:pPr>
              <w:adjustRightInd w:val="0"/>
              <w:snapToGrid w:val="0"/>
              <w:spacing w:line="276" w:lineRule="auto"/>
              <w:jc w:val="center"/>
              <w:rPr>
                <w:rFonts w:hint="default" w:ascii="Times New Roman" w:hAnsi="Times New Roman" w:eastAsia="宋体" w:cs="Times New Roman"/>
                <w:bCs/>
                <w:snapToGrid w:val="0"/>
                <w:color w:val="000000"/>
                <w:kern w:val="21"/>
                <w:sz w:val="21"/>
                <w:szCs w:val="21"/>
                <w:highlight w:val="none"/>
                <w:u w:val="single"/>
                <w:lang w:val="en-US" w:eastAsia="zh-CN" w:bidi="ar-SA"/>
              </w:rPr>
            </w:pPr>
            <w:r>
              <w:rPr>
                <w:rFonts w:hint="eastAsia"/>
                <w:snapToGrid w:val="0"/>
                <w:color w:val="000000"/>
                <w:kern w:val="21"/>
                <w:sz w:val="21"/>
                <w:szCs w:val="21"/>
                <w:highlight w:val="none"/>
                <w:u w:val="single"/>
                <w:lang w:val="en-US" w:eastAsia="zh-CN"/>
              </w:rPr>
              <w:t>+3</w:t>
            </w:r>
          </w:p>
        </w:tc>
      </w:tr>
    </w:tbl>
    <w:p w14:paraId="0890C08F">
      <w:pPr>
        <w:pStyle w:val="42"/>
        <w:spacing w:before="192" w:beforeLines="80" w:after="24"/>
        <w:jc w:val="left"/>
        <w:rPr>
          <w:rFonts w:hint="eastAsia"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571FA622">
      <w:pPr>
        <w:rPr>
          <w:rFonts w:hint="eastAsia"/>
        </w:rPr>
      </w:pPr>
    </w:p>
    <w:p w14:paraId="2DBA7712">
      <w:pPr>
        <w:bidi w:val="0"/>
        <w:rPr>
          <w:rFonts w:hint="eastAsia" w:ascii="Times New Roman" w:hAnsi="Times New Roman" w:eastAsia="宋体" w:cs="Times New Roman"/>
          <w:kern w:val="2"/>
          <w:sz w:val="21"/>
          <w:szCs w:val="24"/>
          <w:lang w:val="en-US" w:eastAsia="zh-CN" w:bidi="ar-SA"/>
        </w:rPr>
      </w:pPr>
    </w:p>
    <w:p w14:paraId="0540DEE6">
      <w:pPr>
        <w:bidi w:val="0"/>
        <w:rPr>
          <w:rFonts w:hint="eastAsia"/>
          <w:lang w:val="en-US" w:eastAsia="zh-CN"/>
        </w:rPr>
      </w:pPr>
    </w:p>
    <w:p w14:paraId="34D46CFE">
      <w:pPr>
        <w:bidi w:val="0"/>
        <w:rPr>
          <w:rFonts w:hint="eastAsia"/>
          <w:lang w:val="en-US" w:eastAsia="zh-CN"/>
        </w:rPr>
      </w:pPr>
    </w:p>
    <w:p w14:paraId="45DD0EA3">
      <w:pPr>
        <w:bidi w:val="0"/>
        <w:rPr>
          <w:rFonts w:hint="default"/>
          <w:lang w:val="en-US" w:eastAsia="zh-CN"/>
        </w:rPr>
      </w:pPr>
    </w:p>
    <w:p w14:paraId="5785F460">
      <w:pPr>
        <w:bidi w:val="0"/>
        <w:rPr>
          <w:rFonts w:hint="eastAsia"/>
          <w:lang w:val="en-US" w:eastAsia="zh-CN"/>
        </w:rPr>
      </w:pPr>
    </w:p>
    <w:p w14:paraId="7E2C14A0">
      <w:pPr>
        <w:bidi w:val="0"/>
        <w:rPr>
          <w:rFonts w:hint="eastAsia"/>
          <w:lang w:val="en-US" w:eastAsia="zh-CN"/>
        </w:rPr>
      </w:pPr>
    </w:p>
    <w:p w14:paraId="3E9711AA">
      <w:pPr>
        <w:bidi w:val="0"/>
        <w:rPr>
          <w:rFonts w:hint="eastAsia"/>
          <w:lang w:val="en-US" w:eastAsia="zh-CN"/>
        </w:rPr>
      </w:pPr>
    </w:p>
    <w:p w14:paraId="0115F712">
      <w:pPr>
        <w:bidi w:val="0"/>
        <w:rPr>
          <w:rFonts w:hint="eastAsia"/>
          <w:lang w:val="en-US" w:eastAsia="zh-CN"/>
        </w:rPr>
      </w:pPr>
    </w:p>
    <w:p w14:paraId="7FA43390">
      <w:pPr>
        <w:tabs>
          <w:tab w:val="left" w:pos="355"/>
        </w:tabs>
        <w:bidi w:val="0"/>
        <w:jc w:val="left"/>
        <w:rPr>
          <w:rFonts w:ascii="宋体" w:hAnsi="宋体" w:eastAsia="黑体"/>
        </w:rPr>
      </w:pPr>
      <w:r>
        <w:rPr>
          <w:rFonts w:hint="eastAsia"/>
          <w:lang w:val="en-US" w:eastAsia="zh-CN"/>
        </w:rPr>
        <w:tab/>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FA5C">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E060">
    <w:pPr>
      <w:pStyle w:val="14"/>
      <w:framePr w:wrap="around" w:vAnchor="text" w:hAnchor="margin" w:xAlign="center" w:y="1"/>
      <w:rPr>
        <w:rStyle w:val="24"/>
      </w:rPr>
    </w:pPr>
    <w:r>
      <w:fldChar w:fldCharType="begin"/>
    </w:r>
    <w:r>
      <w:rPr>
        <w:rStyle w:val="24"/>
      </w:rPr>
      <w:instrText xml:space="preserve">PAGE  </w:instrText>
    </w:r>
    <w:r>
      <w:fldChar w:fldCharType="end"/>
    </w:r>
  </w:p>
  <w:p w14:paraId="15722ED7">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A7B4">
    <w:pPr>
      <w:pStyle w:val="14"/>
      <w:framePr w:wrap="around" w:vAnchor="text" w:hAnchor="margin" w:xAlign="outside" w:y="1"/>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9</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p w14:paraId="6BC70BEB">
    <w:pPr>
      <w:pStyle w:val="1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9317">
    <w:pPr>
      <w:pStyle w:val="14"/>
      <w:framePr w:wrap="around" w:vAnchor="text" w:hAnchor="margin" w:xAlign="outside" w:y="1"/>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11</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p w14:paraId="67F06532">
    <w:pPr>
      <w:pStyle w:val="14"/>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E030F"/>
    <w:multiLevelType w:val="singleLevel"/>
    <w:tmpl w:val="88DE030F"/>
    <w:lvl w:ilvl="0" w:tentative="0">
      <w:start w:val="1"/>
      <w:numFmt w:val="bullet"/>
      <w:pStyle w:val="59"/>
      <w:lvlText w:val=""/>
      <w:lvlJc w:val="left"/>
      <w:pPr>
        <w:tabs>
          <w:tab w:val="left" w:pos="2040"/>
        </w:tabs>
        <w:ind w:left="2040" w:hanging="360"/>
      </w:pPr>
      <w:rPr>
        <w:rFonts w:hint="default" w:ascii="Wingdings" w:hAnsi="Wingdings"/>
      </w:rPr>
    </w:lvl>
  </w:abstractNum>
  <w:abstractNum w:abstractNumId="1">
    <w:nsid w:val="63C60C0D"/>
    <w:multiLevelType w:val="multilevel"/>
    <w:tmpl w:val="63C60C0D"/>
    <w:lvl w:ilvl="0" w:tentative="0">
      <w:start w:val="1"/>
      <w:numFmt w:val="decimal"/>
      <w:pStyle w:val="67"/>
      <w:suff w:val="space"/>
      <w:lvlText w:val="表%1  "/>
      <w:lvlJc w:val="left"/>
      <w:pPr>
        <w:tabs>
          <w:tab w:val="left" w:pos="0"/>
        </w:tabs>
        <w:ind w:left="6102" w:hanging="432"/>
      </w:pPr>
      <w:rPr>
        <w:rFonts w:hint="default" w:ascii="Times New Roman" w:hAnsi="Times New Roman" w:eastAsia="宋体" w:cs="Times New Roman"/>
        <w:b/>
        <w:bCs/>
        <w:i w:val="0"/>
        <w:iCs w:val="0"/>
        <w:caps w:val="0"/>
        <w:smallCaps w:val="0"/>
        <w:strike w:val="0"/>
        <w:dstrike w:val="0"/>
        <w:vanish w:val="0"/>
        <w:color w:val="000000"/>
        <w:spacing w:val="0"/>
        <w:w w:val="100"/>
        <w:kern w:val="0"/>
        <w:position w:val="0"/>
        <w:sz w:val="24"/>
        <w:szCs w:val="24"/>
        <w:u w:val="none"/>
        <w:shd w:val="clear" w:color="auto" w:fill="auto"/>
        <w:vertAlign w:val="baseline"/>
      </w:rPr>
    </w:lvl>
    <w:lvl w:ilvl="1" w:tentative="0">
      <w:start w:val="1"/>
      <w:numFmt w:val="decimal"/>
      <w:suff w:val="space"/>
      <w:lvlText w:val="%1.%2"/>
      <w:lvlJc w:val="left"/>
      <w:pPr>
        <w:ind w:left="3936" w:hanging="576"/>
      </w:pPr>
      <w:rPr>
        <w:rFonts w:hint="default"/>
      </w:rPr>
    </w:lvl>
    <w:lvl w:ilvl="2" w:tentative="0">
      <w:start w:val="1"/>
      <w:numFmt w:val="decimal"/>
      <w:suff w:val="space"/>
      <w:lvlText w:val="%1.%2.%3"/>
      <w:lvlJc w:val="left"/>
      <w:pPr>
        <w:ind w:left="4506" w:hanging="720"/>
      </w:pPr>
      <w:rPr>
        <w:rFonts w:hint="default" w:ascii="Times New Roman" w:hAnsi="Times New Roman" w:eastAsia="宋体" w:cs="Arial"/>
      </w:rPr>
    </w:lvl>
    <w:lvl w:ilvl="3" w:tentative="0">
      <w:start w:val="1"/>
      <w:numFmt w:val="decimal"/>
      <w:suff w:val="space"/>
      <w:lvlText w:val="%1.%2.%3.%4"/>
      <w:lvlJc w:val="left"/>
      <w:pPr>
        <w:ind w:left="4791" w:hanging="864"/>
      </w:pPr>
      <w:rPr>
        <w:rFonts w:hint="default"/>
        <w:spacing w:val="-20"/>
      </w:rPr>
    </w:lvl>
    <w:lvl w:ilvl="4" w:tentative="0">
      <w:start w:val="1"/>
      <w:numFmt w:val="decimal"/>
      <w:lvlText w:val="%1.%2.%3.%4.%5"/>
      <w:lvlJc w:val="left"/>
      <w:pPr>
        <w:ind w:left="4368" w:hanging="1008"/>
      </w:pPr>
      <w:rPr>
        <w:rFonts w:hint="eastAsia"/>
      </w:rPr>
    </w:lvl>
    <w:lvl w:ilvl="5" w:tentative="0">
      <w:start w:val="1"/>
      <w:numFmt w:val="decimal"/>
      <w:lvlText w:val="%1.%2.%3.%4.%5.%6"/>
      <w:lvlJc w:val="left"/>
      <w:pPr>
        <w:ind w:left="4512" w:hanging="1152"/>
      </w:pPr>
      <w:rPr>
        <w:rFonts w:hint="eastAsia"/>
      </w:rPr>
    </w:lvl>
    <w:lvl w:ilvl="6" w:tentative="0">
      <w:start w:val="1"/>
      <w:numFmt w:val="decimal"/>
      <w:lvlText w:val="%1.%2.%3.%4.%5.%6.%7"/>
      <w:lvlJc w:val="left"/>
      <w:pPr>
        <w:ind w:left="4656" w:hanging="1296"/>
      </w:pPr>
      <w:rPr>
        <w:rFonts w:hint="eastAsia"/>
      </w:rPr>
    </w:lvl>
    <w:lvl w:ilvl="7" w:tentative="0">
      <w:start w:val="1"/>
      <w:numFmt w:val="decimal"/>
      <w:lvlText w:val="%1.%2.%3.%4.%5.%6.%7.%8"/>
      <w:lvlJc w:val="left"/>
      <w:pPr>
        <w:ind w:left="4800" w:hanging="1440"/>
      </w:pPr>
      <w:rPr>
        <w:rFonts w:hint="eastAsia"/>
      </w:rPr>
    </w:lvl>
    <w:lvl w:ilvl="8" w:tentative="0">
      <w:start w:val="1"/>
      <w:numFmt w:val="decimal"/>
      <w:lvlText w:val="%1.%2.%3.%4.%5.%6.%7.%8.%9"/>
      <w:lvlJc w:val="left"/>
      <w:pPr>
        <w:ind w:left="494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TBhOGQ0MDRmMTNjNDZjNWVhMmYzN2ExZGQ3ODYifQ=="/>
  </w:docVars>
  <w:rsids>
    <w:rsidRoot w:val="00A14947"/>
    <w:rsid w:val="000060B3"/>
    <w:rsid w:val="0004364B"/>
    <w:rsid w:val="00061B1F"/>
    <w:rsid w:val="00063340"/>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100F"/>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5623"/>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50D"/>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743B5"/>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817F6"/>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0569BB"/>
    <w:rsid w:val="01290C26"/>
    <w:rsid w:val="01290F7E"/>
    <w:rsid w:val="015514B2"/>
    <w:rsid w:val="015D1E09"/>
    <w:rsid w:val="01636D07"/>
    <w:rsid w:val="023E5043"/>
    <w:rsid w:val="02446DD2"/>
    <w:rsid w:val="02663C42"/>
    <w:rsid w:val="02697903"/>
    <w:rsid w:val="02920B5A"/>
    <w:rsid w:val="02CD2C4F"/>
    <w:rsid w:val="02F96569"/>
    <w:rsid w:val="03A367D0"/>
    <w:rsid w:val="03EA7B21"/>
    <w:rsid w:val="04070238"/>
    <w:rsid w:val="043919FD"/>
    <w:rsid w:val="04AB6BDD"/>
    <w:rsid w:val="04B700E5"/>
    <w:rsid w:val="04B844FD"/>
    <w:rsid w:val="04BC223F"/>
    <w:rsid w:val="04C028D5"/>
    <w:rsid w:val="04DF7CDC"/>
    <w:rsid w:val="04FB1BE1"/>
    <w:rsid w:val="0517487A"/>
    <w:rsid w:val="052469E0"/>
    <w:rsid w:val="053E0EA6"/>
    <w:rsid w:val="05404C1F"/>
    <w:rsid w:val="056337F9"/>
    <w:rsid w:val="058F45E8"/>
    <w:rsid w:val="05A71182"/>
    <w:rsid w:val="05CF1AFF"/>
    <w:rsid w:val="05F83EAE"/>
    <w:rsid w:val="063E7D85"/>
    <w:rsid w:val="069778EF"/>
    <w:rsid w:val="06D21D6E"/>
    <w:rsid w:val="07061F74"/>
    <w:rsid w:val="070E6657"/>
    <w:rsid w:val="07293586"/>
    <w:rsid w:val="07295285"/>
    <w:rsid w:val="07391F00"/>
    <w:rsid w:val="07636392"/>
    <w:rsid w:val="07770C56"/>
    <w:rsid w:val="07A86AAB"/>
    <w:rsid w:val="07F13FAE"/>
    <w:rsid w:val="08585CEB"/>
    <w:rsid w:val="087E0BBD"/>
    <w:rsid w:val="08975873"/>
    <w:rsid w:val="089F7953"/>
    <w:rsid w:val="092217DD"/>
    <w:rsid w:val="09225932"/>
    <w:rsid w:val="09323212"/>
    <w:rsid w:val="093876D2"/>
    <w:rsid w:val="093A7294"/>
    <w:rsid w:val="095962AF"/>
    <w:rsid w:val="095A5B83"/>
    <w:rsid w:val="09E0252C"/>
    <w:rsid w:val="0A263993"/>
    <w:rsid w:val="0A2D3AC2"/>
    <w:rsid w:val="0AA16D63"/>
    <w:rsid w:val="0AA755DF"/>
    <w:rsid w:val="0AB17A25"/>
    <w:rsid w:val="0B120D44"/>
    <w:rsid w:val="0B297F03"/>
    <w:rsid w:val="0B2A12DF"/>
    <w:rsid w:val="0B6131F9"/>
    <w:rsid w:val="0BD27BF6"/>
    <w:rsid w:val="0C3A70AC"/>
    <w:rsid w:val="0C3B3C7D"/>
    <w:rsid w:val="0C6D108C"/>
    <w:rsid w:val="0C7956F4"/>
    <w:rsid w:val="0C796C68"/>
    <w:rsid w:val="0CAB2EAE"/>
    <w:rsid w:val="0CC55DDF"/>
    <w:rsid w:val="0CF40E93"/>
    <w:rsid w:val="0D3D7C96"/>
    <w:rsid w:val="0D621C7D"/>
    <w:rsid w:val="0D9D0734"/>
    <w:rsid w:val="0D9D24E2"/>
    <w:rsid w:val="0DD71C3F"/>
    <w:rsid w:val="0DF82C6A"/>
    <w:rsid w:val="0E660607"/>
    <w:rsid w:val="0E73034D"/>
    <w:rsid w:val="0E7B2823"/>
    <w:rsid w:val="0E7B2ECC"/>
    <w:rsid w:val="0EE626FA"/>
    <w:rsid w:val="0F0E3698"/>
    <w:rsid w:val="0F13775A"/>
    <w:rsid w:val="0F2403D1"/>
    <w:rsid w:val="0F344E27"/>
    <w:rsid w:val="0F5341AC"/>
    <w:rsid w:val="0F5F45FE"/>
    <w:rsid w:val="0F6239E3"/>
    <w:rsid w:val="0F6E2388"/>
    <w:rsid w:val="0F6F7CEE"/>
    <w:rsid w:val="0F946D68"/>
    <w:rsid w:val="0F9A112B"/>
    <w:rsid w:val="0FCC2AAA"/>
    <w:rsid w:val="100E1475"/>
    <w:rsid w:val="10684CE2"/>
    <w:rsid w:val="106D2F64"/>
    <w:rsid w:val="107C6D27"/>
    <w:rsid w:val="10A30526"/>
    <w:rsid w:val="10B63710"/>
    <w:rsid w:val="10DC56FA"/>
    <w:rsid w:val="10E546AD"/>
    <w:rsid w:val="10F10820"/>
    <w:rsid w:val="10FC4772"/>
    <w:rsid w:val="111C2F7A"/>
    <w:rsid w:val="11252F1A"/>
    <w:rsid w:val="11515ABE"/>
    <w:rsid w:val="11665CA1"/>
    <w:rsid w:val="11692789"/>
    <w:rsid w:val="11750ABD"/>
    <w:rsid w:val="11885AEC"/>
    <w:rsid w:val="118C0983"/>
    <w:rsid w:val="11D11E4B"/>
    <w:rsid w:val="11DF5B87"/>
    <w:rsid w:val="11EB607C"/>
    <w:rsid w:val="123553DF"/>
    <w:rsid w:val="125A6BF4"/>
    <w:rsid w:val="126922A8"/>
    <w:rsid w:val="12B80FCE"/>
    <w:rsid w:val="12DC7A15"/>
    <w:rsid w:val="13042D1A"/>
    <w:rsid w:val="130C4392"/>
    <w:rsid w:val="13246FD7"/>
    <w:rsid w:val="13467824"/>
    <w:rsid w:val="13951726"/>
    <w:rsid w:val="139F7F2B"/>
    <w:rsid w:val="13B07DFB"/>
    <w:rsid w:val="13C277AD"/>
    <w:rsid w:val="141C7E60"/>
    <w:rsid w:val="14396509"/>
    <w:rsid w:val="143C0CA7"/>
    <w:rsid w:val="143C409A"/>
    <w:rsid w:val="148D648C"/>
    <w:rsid w:val="149504BA"/>
    <w:rsid w:val="14CC1CBB"/>
    <w:rsid w:val="14DD2C3C"/>
    <w:rsid w:val="14F016F6"/>
    <w:rsid w:val="153B0F5F"/>
    <w:rsid w:val="154305BC"/>
    <w:rsid w:val="159D5775"/>
    <w:rsid w:val="15D942D4"/>
    <w:rsid w:val="15F03EF5"/>
    <w:rsid w:val="15F50D1A"/>
    <w:rsid w:val="160809B7"/>
    <w:rsid w:val="16087E1D"/>
    <w:rsid w:val="161C0D90"/>
    <w:rsid w:val="16280BC9"/>
    <w:rsid w:val="16742266"/>
    <w:rsid w:val="168441F2"/>
    <w:rsid w:val="172F68A1"/>
    <w:rsid w:val="17451C21"/>
    <w:rsid w:val="176015D1"/>
    <w:rsid w:val="17701D14"/>
    <w:rsid w:val="17735226"/>
    <w:rsid w:val="179356B0"/>
    <w:rsid w:val="17AF0923"/>
    <w:rsid w:val="17EE050A"/>
    <w:rsid w:val="180513B0"/>
    <w:rsid w:val="18115979"/>
    <w:rsid w:val="18626802"/>
    <w:rsid w:val="189F624C"/>
    <w:rsid w:val="18CE3A45"/>
    <w:rsid w:val="18DA45EA"/>
    <w:rsid w:val="19116E77"/>
    <w:rsid w:val="199B3EA9"/>
    <w:rsid w:val="19C01A32"/>
    <w:rsid w:val="19C72ED7"/>
    <w:rsid w:val="19DC7860"/>
    <w:rsid w:val="1A1C66C0"/>
    <w:rsid w:val="1A42393B"/>
    <w:rsid w:val="1AA13AFA"/>
    <w:rsid w:val="1AAD45DE"/>
    <w:rsid w:val="1AC45552"/>
    <w:rsid w:val="1AFF47DC"/>
    <w:rsid w:val="1B046F80"/>
    <w:rsid w:val="1B06316F"/>
    <w:rsid w:val="1B071A62"/>
    <w:rsid w:val="1B3267B5"/>
    <w:rsid w:val="1B40161D"/>
    <w:rsid w:val="1B441859"/>
    <w:rsid w:val="1B53648A"/>
    <w:rsid w:val="1B544B28"/>
    <w:rsid w:val="1B5F3824"/>
    <w:rsid w:val="1B6606B1"/>
    <w:rsid w:val="1B950F86"/>
    <w:rsid w:val="1BD619E1"/>
    <w:rsid w:val="1BF9747E"/>
    <w:rsid w:val="1C1F1057"/>
    <w:rsid w:val="1C2C33AF"/>
    <w:rsid w:val="1C5E7925"/>
    <w:rsid w:val="1C6C5EA1"/>
    <w:rsid w:val="1CFD070F"/>
    <w:rsid w:val="1D063C00"/>
    <w:rsid w:val="1D1E76A6"/>
    <w:rsid w:val="1D2052C1"/>
    <w:rsid w:val="1D2F75FB"/>
    <w:rsid w:val="1D5C3464"/>
    <w:rsid w:val="1D5F6196"/>
    <w:rsid w:val="1D6132A5"/>
    <w:rsid w:val="1D734ADD"/>
    <w:rsid w:val="1D8334A3"/>
    <w:rsid w:val="1D8E56D5"/>
    <w:rsid w:val="1E5239AE"/>
    <w:rsid w:val="1E5C28CF"/>
    <w:rsid w:val="1E7A43DA"/>
    <w:rsid w:val="1E945C91"/>
    <w:rsid w:val="1ED95739"/>
    <w:rsid w:val="1F070103"/>
    <w:rsid w:val="1F281DCF"/>
    <w:rsid w:val="1F5C68D7"/>
    <w:rsid w:val="1F78690B"/>
    <w:rsid w:val="1F833E1D"/>
    <w:rsid w:val="1F841754"/>
    <w:rsid w:val="1FD53463"/>
    <w:rsid w:val="1FE7539E"/>
    <w:rsid w:val="20671BE0"/>
    <w:rsid w:val="208D63E6"/>
    <w:rsid w:val="20963CB8"/>
    <w:rsid w:val="20A35C0A"/>
    <w:rsid w:val="20A81A1B"/>
    <w:rsid w:val="20B07FB6"/>
    <w:rsid w:val="20B646FB"/>
    <w:rsid w:val="210C37AF"/>
    <w:rsid w:val="21134B3E"/>
    <w:rsid w:val="213B74B1"/>
    <w:rsid w:val="215A2310"/>
    <w:rsid w:val="2160284E"/>
    <w:rsid w:val="219914E7"/>
    <w:rsid w:val="21B80C1E"/>
    <w:rsid w:val="21DE318A"/>
    <w:rsid w:val="21EF5B80"/>
    <w:rsid w:val="22576990"/>
    <w:rsid w:val="22603FEC"/>
    <w:rsid w:val="226D5959"/>
    <w:rsid w:val="22A939AB"/>
    <w:rsid w:val="22DF56C1"/>
    <w:rsid w:val="22F47480"/>
    <w:rsid w:val="231921B3"/>
    <w:rsid w:val="235976EC"/>
    <w:rsid w:val="23902475"/>
    <w:rsid w:val="23DE1C48"/>
    <w:rsid w:val="23FC7B0B"/>
    <w:rsid w:val="240210CD"/>
    <w:rsid w:val="241A61E3"/>
    <w:rsid w:val="24795D6D"/>
    <w:rsid w:val="249661B1"/>
    <w:rsid w:val="24AC1323"/>
    <w:rsid w:val="24BB1774"/>
    <w:rsid w:val="24BF09F7"/>
    <w:rsid w:val="252D53FE"/>
    <w:rsid w:val="25721BFE"/>
    <w:rsid w:val="25965D3D"/>
    <w:rsid w:val="25EC2D81"/>
    <w:rsid w:val="25F72C80"/>
    <w:rsid w:val="26360F68"/>
    <w:rsid w:val="264C30D3"/>
    <w:rsid w:val="2677792E"/>
    <w:rsid w:val="2691754F"/>
    <w:rsid w:val="26A329C6"/>
    <w:rsid w:val="273B094A"/>
    <w:rsid w:val="274912B9"/>
    <w:rsid w:val="27615DC2"/>
    <w:rsid w:val="27644345"/>
    <w:rsid w:val="277057A2"/>
    <w:rsid w:val="27847288"/>
    <w:rsid w:val="281149BF"/>
    <w:rsid w:val="287265EE"/>
    <w:rsid w:val="287C746C"/>
    <w:rsid w:val="28A45311"/>
    <w:rsid w:val="29206EB8"/>
    <w:rsid w:val="29345F99"/>
    <w:rsid w:val="2939541D"/>
    <w:rsid w:val="294E6008"/>
    <w:rsid w:val="29595666"/>
    <w:rsid w:val="2968164F"/>
    <w:rsid w:val="29874881"/>
    <w:rsid w:val="29AD620E"/>
    <w:rsid w:val="29C87580"/>
    <w:rsid w:val="29E325E0"/>
    <w:rsid w:val="2A2D23CB"/>
    <w:rsid w:val="2A44045E"/>
    <w:rsid w:val="2A452503"/>
    <w:rsid w:val="2A554575"/>
    <w:rsid w:val="2A68414C"/>
    <w:rsid w:val="2A8A6E5F"/>
    <w:rsid w:val="2B166589"/>
    <w:rsid w:val="2BA936A8"/>
    <w:rsid w:val="2BCE6F93"/>
    <w:rsid w:val="2BDF21EC"/>
    <w:rsid w:val="2BED788C"/>
    <w:rsid w:val="2C315A5A"/>
    <w:rsid w:val="2C4B1C25"/>
    <w:rsid w:val="2C5428A4"/>
    <w:rsid w:val="2C60124A"/>
    <w:rsid w:val="2C82701B"/>
    <w:rsid w:val="2C862667"/>
    <w:rsid w:val="2CF55A3F"/>
    <w:rsid w:val="2D281971"/>
    <w:rsid w:val="2D5409B8"/>
    <w:rsid w:val="2D917516"/>
    <w:rsid w:val="2D9E56F5"/>
    <w:rsid w:val="2DA90D03"/>
    <w:rsid w:val="2E4346F5"/>
    <w:rsid w:val="2E444FC9"/>
    <w:rsid w:val="2E551123"/>
    <w:rsid w:val="2E666BF4"/>
    <w:rsid w:val="2E667F96"/>
    <w:rsid w:val="2E806395"/>
    <w:rsid w:val="2E8226AB"/>
    <w:rsid w:val="2E9301BA"/>
    <w:rsid w:val="2EB8389C"/>
    <w:rsid w:val="2EBC6814"/>
    <w:rsid w:val="2EE336AE"/>
    <w:rsid w:val="2EEE2746"/>
    <w:rsid w:val="2EFC0F11"/>
    <w:rsid w:val="2F0B154A"/>
    <w:rsid w:val="2FD065E6"/>
    <w:rsid w:val="2FD96870"/>
    <w:rsid w:val="30301A4C"/>
    <w:rsid w:val="30415B28"/>
    <w:rsid w:val="30580BC9"/>
    <w:rsid w:val="30A9726C"/>
    <w:rsid w:val="30C65728"/>
    <w:rsid w:val="30C978F2"/>
    <w:rsid w:val="3110013A"/>
    <w:rsid w:val="311E2ED7"/>
    <w:rsid w:val="31200E6A"/>
    <w:rsid w:val="312723CB"/>
    <w:rsid w:val="31306953"/>
    <w:rsid w:val="314A1D01"/>
    <w:rsid w:val="314C0871"/>
    <w:rsid w:val="314E571E"/>
    <w:rsid w:val="315619EE"/>
    <w:rsid w:val="315C449C"/>
    <w:rsid w:val="31687D65"/>
    <w:rsid w:val="31736D64"/>
    <w:rsid w:val="31945827"/>
    <w:rsid w:val="31B82709"/>
    <w:rsid w:val="31D05482"/>
    <w:rsid w:val="31FE0EF2"/>
    <w:rsid w:val="32400B34"/>
    <w:rsid w:val="324F5BF1"/>
    <w:rsid w:val="328C29A2"/>
    <w:rsid w:val="32911D66"/>
    <w:rsid w:val="329E6876"/>
    <w:rsid w:val="32AA4EA7"/>
    <w:rsid w:val="32CA2AD7"/>
    <w:rsid w:val="33015626"/>
    <w:rsid w:val="333015F2"/>
    <w:rsid w:val="334B6320"/>
    <w:rsid w:val="335F75C4"/>
    <w:rsid w:val="33883B0D"/>
    <w:rsid w:val="339A4C4A"/>
    <w:rsid w:val="33D934D4"/>
    <w:rsid w:val="33FE2F6A"/>
    <w:rsid w:val="340E07E5"/>
    <w:rsid w:val="34235BF7"/>
    <w:rsid w:val="345474EF"/>
    <w:rsid w:val="34693D49"/>
    <w:rsid w:val="349B6ECC"/>
    <w:rsid w:val="34CB5A03"/>
    <w:rsid w:val="351728F1"/>
    <w:rsid w:val="351C6656"/>
    <w:rsid w:val="352D1338"/>
    <w:rsid w:val="358C5FA8"/>
    <w:rsid w:val="358E07DF"/>
    <w:rsid w:val="35A149B6"/>
    <w:rsid w:val="35BE4538"/>
    <w:rsid w:val="35C15DF1"/>
    <w:rsid w:val="35EB0E3B"/>
    <w:rsid w:val="35EF6872"/>
    <w:rsid w:val="36074A7F"/>
    <w:rsid w:val="36147991"/>
    <w:rsid w:val="362D1063"/>
    <w:rsid w:val="362F4A3A"/>
    <w:rsid w:val="36657792"/>
    <w:rsid w:val="368D6CE8"/>
    <w:rsid w:val="36923549"/>
    <w:rsid w:val="36B61F9B"/>
    <w:rsid w:val="36B75FBF"/>
    <w:rsid w:val="36BD0C45"/>
    <w:rsid w:val="36D00FFA"/>
    <w:rsid w:val="36F570EA"/>
    <w:rsid w:val="37135440"/>
    <w:rsid w:val="376B3BDC"/>
    <w:rsid w:val="378C0D4E"/>
    <w:rsid w:val="37A67BEE"/>
    <w:rsid w:val="37E00298"/>
    <w:rsid w:val="38044D88"/>
    <w:rsid w:val="380626B1"/>
    <w:rsid w:val="38333A05"/>
    <w:rsid w:val="38B302F9"/>
    <w:rsid w:val="38BA2058"/>
    <w:rsid w:val="38F117B0"/>
    <w:rsid w:val="38F12CD3"/>
    <w:rsid w:val="38F74B54"/>
    <w:rsid w:val="38F94775"/>
    <w:rsid w:val="38FB3B53"/>
    <w:rsid w:val="392971ED"/>
    <w:rsid w:val="392D7775"/>
    <w:rsid w:val="39325651"/>
    <w:rsid w:val="39355B41"/>
    <w:rsid w:val="39365415"/>
    <w:rsid w:val="39980C40"/>
    <w:rsid w:val="399D36E6"/>
    <w:rsid w:val="3A137505"/>
    <w:rsid w:val="3A3251F9"/>
    <w:rsid w:val="3A872856"/>
    <w:rsid w:val="3AF5052A"/>
    <w:rsid w:val="3AF7527B"/>
    <w:rsid w:val="3B3763D1"/>
    <w:rsid w:val="3B516334"/>
    <w:rsid w:val="3B6E533A"/>
    <w:rsid w:val="3B822B94"/>
    <w:rsid w:val="3B9C472F"/>
    <w:rsid w:val="3BC1190E"/>
    <w:rsid w:val="3C074E47"/>
    <w:rsid w:val="3C1A6364"/>
    <w:rsid w:val="3C2F6E1E"/>
    <w:rsid w:val="3C3519B4"/>
    <w:rsid w:val="3C447E49"/>
    <w:rsid w:val="3C4F64BA"/>
    <w:rsid w:val="3C6509BF"/>
    <w:rsid w:val="3C90308E"/>
    <w:rsid w:val="3CA37012"/>
    <w:rsid w:val="3CA54D8C"/>
    <w:rsid w:val="3CBD0327"/>
    <w:rsid w:val="3CDA245A"/>
    <w:rsid w:val="3D1E06B7"/>
    <w:rsid w:val="3D6E7757"/>
    <w:rsid w:val="3D876CD5"/>
    <w:rsid w:val="3DAC6046"/>
    <w:rsid w:val="3DB4423A"/>
    <w:rsid w:val="3E0B6E71"/>
    <w:rsid w:val="3E622493"/>
    <w:rsid w:val="3E721583"/>
    <w:rsid w:val="3E7A7172"/>
    <w:rsid w:val="3E815E94"/>
    <w:rsid w:val="3ED92ACB"/>
    <w:rsid w:val="3EDA0523"/>
    <w:rsid w:val="3F125FDD"/>
    <w:rsid w:val="3FA550A3"/>
    <w:rsid w:val="3FCA3E4D"/>
    <w:rsid w:val="3FF12096"/>
    <w:rsid w:val="400A4E00"/>
    <w:rsid w:val="402E5098"/>
    <w:rsid w:val="40300E10"/>
    <w:rsid w:val="40347B91"/>
    <w:rsid w:val="403B1563"/>
    <w:rsid w:val="405014B2"/>
    <w:rsid w:val="407A6407"/>
    <w:rsid w:val="40A20BE6"/>
    <w:rsid w:val="40A25573"/>
    <w:rsid w:val="40F402D6"/>
    <w:rsid w:val="414F3518"/>
    <w:rsid w:val="415723CD"/>
    <w:rsid w:val="41636FC4"/>
    <w:rsid w:val="417A4EF6"/>
    <w:rsid w:val="4185310F"/>
    <w:rsid w:val="41A710C5"/>
    <w:rsid w:val="41F61BE6"/>
    <w:rsid w:val="41FB71FC"/>
    <w:rsid w:val="4200449D"/>
    <w:rsid w:val="420166A1"/>
    <w:rsid w:val="423A3BCC"/>
    <w:rsid w:val="423E7B4A"/>
    <w:rsid w:val="424E57D2"/>
    <w:rsid w:val="425144BA"/>
    <w:rsid w:val="42585E4B"/>
    <w:rsid w:val="426B4382"/>
    <w:rsid w:val="42890CAC"/>
    <w:rsid w:val="42B26C49"/>
    <w:rsid w:val="42F62A10"/>
    <w:rsid w:val="433A6FE6"/>
    <w:rsid w:val="43480868"/>
    <w:rsid w:val="4350713C"/>
    <w:rsid w:val="436653E0"/>
    <w:rsid w:val="437B6846"/>
    <w:rsid w:val="43851473"/>
    <w:rsid w:val="4386057F"/>
    <w:rsid w:val="439E3F57"/>
    <w:rsid w:val="43C4431A"/>
    <w:rsid w:val="43C9668D"/>
    <w:rsid w:val="43D32954"/>
    <w:rsid w:val="4407632C"/>
    <w:rsid w:val="442B11A3"/>
    <w:rsid w:val="44693A30"/>
    <w:rsid w:val="44863AA4"/>
    <w:rsid w:val="448B4867"/>
    <w:rsid w:val="44A25232"/>
    <w:rsid w:val="44B951CC"/>
    <w:rsid w:val="44CD14E0"/>
    <w:rsid w:val="44D24FDB"/>
    <w:rsid w:val="44F20B0B"/>
    <w:rsid w:val="44F52628"/>
    <w:rsid w:val="4501705F"/>
    <w:rsid w:val="45084337"/>
    <w:rsid w:val="4513089B"/>
    <w:rsid w:val="452151CC"/>
    <w:rsid w:val="452E5F4C"/>
    <w:rsid w:val="45612018"/>
    <w:rsid w:val="458946E9"/>
    <w:rsid w:val="45A47C0E"/>
    <w:rsid w:val="45C1250B"/>
    <w:rsid w:val="45DA7DB5"/>
    <w:rsid w:val="46001CC0"/>
    <w:rsid w:val="46101D34"/>
    <w:rsid w:val="46275F28"/>
    <w:rsid w:val="4640090D"/>
    <w:rsid w:val="46577FD6"/>
    <w:rsid w:val="4669507C"/>
    <w:rsid w:val="4674757D"/>
    <w:rsid w:val="46B8390E"/>
    <w:rsid w:val="46D955A7"/>
    <w:rsid w:val="47133957"/>
    <w:rsid w:val="47285831"/>
    <w:rsid w:val="475A3A64"/>
    <w:rsid w:val="47A07E0C"/>
    <w:rsid w:val="47D76015"/>
    <w:rsid w:val="47DF6CDD"/>
    <w:rsid w:val="480F57AF"/>
    <w:rsid w:val="4855661E"/>
    <w:rsid w:val="4860600B"/>
    <w:rsid w:val="4870272E"/>
    <w:rsid w:val="487B1097"/>
    <w:rsid w:val="48B45470"/>
    <w:rsid w:val="48FF75D2"/>
    <w:rsid w:val="490B1629"/>
    <w:rsid w:val="49255A17"/>
    <w:rsid w:val="492E7EB7"/>
    <w:rsid w:val="495530D2"/>
    <w:rsid w:val="495B6BCE"/>
    <w:rsid w:val="496F29A9"/>
    <w:rsid w:val="497A134E"/>
    <w:rsid w:val="49A50DA8"/>
    <w:rsid w:val="49DC7715"/>
    <w:rsid w:val="49E568FA"/>
    <w:rsid w:val="49F93EBB"/>
    <w:rsid w:val="4A023139"/>
    <w:rsid w:val="4A091676"/>
    <w:rsid w:val="4A383C0C"/>
    <w:rsid w:val="4A4E6A63"/>
    <w:rsid w:val="4A631ECC"/>
    <w:rsid w:val="4A7B576F"/>
    <w:rsid w:val="4AC705C3"/>
    <w:rsid w:val="4AF561A9"/>
    <w:rsid w:val="4B025A2E"/>
    <w:rsid w:val="4B833ACF"/>
    <w:rsid w:val="4B8D7117"/>
    <w:rsid w:val="4BC35D95"/>
    <w:rsid w:val="4C351901"/>
    <w:rsid w:val="4C4A0649"/>
    <w:rsid w:val="4C6663B8"/>
    <w:rsid w:val="4C7E5ECA"/>
    <w:rsid w:val="4C876AA5"/>
    <w:rsid w:val="4D0E00FB"/>
    <w:rsid w:val="4D176606"/>
    <w:rsid w:val="4D3F2693"/>
    <w:rsid w:val="4D686A82"/>
    <w:rsid w:val="4D866514"/>
    <w:rsid w:val="4D902EEE"/>
    <w:rsid w:val="4D9E1AAF"/>
    <w:rsid w:val="4DA31884"/>
    <w:rsid w:val="4DB06F7F"/>
    <w:rsid w:val="4DBC25E2"/>
    <w:rsid w:val="4DE6537B"/>
    <w:rsid w:val="4DEC4FB0"/>
    <w:rsid w:val="4DED58E0"/>
    <w:rsid w:val="4E075D8A"/>
    <w:rsid w:val="4E45017D"/>
    <w:rsid w:val="4E604FB7"/>
    <w:rsid w:val="4E9927C2"/>
    <w:rsid w:val="4EA529C9"/>
    <w:rsid w:val="4EC00FAD"/>
    <w:rsid w:val="4EEA00C3"/>
    <w:rsid w:val="4F0A496E"/>
    <w:rsid w:val="4F1749C6"/>
    <w:rsid w:val="4F1E6598"/>
    <w:rsid w:val="4F48318F"/>
    <w:rsid w:val="4F5222C9"/>
    <w:rsid w:val="4F5A7B8B"/>
    <w:rsid w:val="4F6B59C1"/>
    <w:rsid w:val="4F743BD9"/>
    <w:rsid w:val="4F9843DC"/>
    <w:rsid w:val="4FC62A8C"/>
    <w:rsid w:val="4FE20F0D"/>
    <w:rsid w:val="4FE51552"/>
    <w:rsid w:val="4FFE1298"/>
    <w:rsid w:val="50504C4B"/>
    <w:rsid w:val="50615016"/>
    <w:rsid w:val="50641288"/>
    <w:rsid w:val="507C59AC"/>
    <w:rsid w:val="509C6E7C"/>
    <w:rsid w:val="50CB623F"/>
    <w:rsid w:val="50CD0A99"/>
    <w:rsid w:val="50FC1AD1"/>
    <w:rsid w:val="510065DD"/>
    <w:rsid w:val="51053BA8"/>
    <w:rsid w:val="512247A5"/>
    <w:rsid w:val="512F0C70"/>
    <w:rsid w:val="51385D77"/>
    <w:rsid w:val="5162104E"/>
    <w:rsid w:val="516516C4"/>
    <w:rsid w:val="51A71627"/>
    <w:rsid w:val="51BC1602"/>
    <w:rsid w:val="51DD691E"/>
    <w:rsid w:val="51EE75DB"/>
    <w:rsid w:val="51FF4AE6"/>
    <w:rsid w:val="52402727"/>
    <w:rsid w:val="525A213B"/>
    <w:rsid w:val="52833D9E"/>
    <w:rsid w:val="529369ED"/>
    <w:rsid w:val="52940917"/>
    <w:rsid w:val="52AC36FC"/>
    <w:rsid w:val="53110B06"/>
    <w:rsid w:val="53797911"/>
    <w:rsid w:val="53A039CC"/>
    <w:rsid w:val="53A1505A"/>
    <w:rsid w:val="53BB19B4"/>
    <w:rsid w:val="53C77D9E"/>
    <w:rsid w:val="54063E08"/>
    <w:rsid w:val="541F2B19"/>
    <w:rsid w:val="543437E8"/>
    <w:rsid w:val="54350724"/>
    <w:rsid w:val="54484523"/>
    <w:rsid w:val="54C53DC5"/>
    <w:rsid w:val="54F73313"/>
    <w:rsid w:val="54F80955"/>
    <w:rsid w:val="55277D5F"/>
    <w:rsid w:val="552E3BD8"/>
    <w:rsid w:val="553F42C2"/>
    <w:rsid w:val="555170A7"/>
    <w:rsid w:val="556E7FB9"/>
    <w:rsid w:val="558108A6"/>
    <w:rsid w:val="5587536D"/>
    <w:rsid w:val="559B174B"/>
    <w:rsid w:val="55A25EB5"/>
    <w:rsid w:val="55CE0CF4"/>
    <w:rsid w:val="55CE7630"/>
    <w:rsid w:val="564E5B90"/>
    <w:rsid w:val="567809C3"/>
    <w:rsid w:val="56AA47B0"/>
    <w:rsid w:val="56B22A9C"/>
    <w:rsid w:val="57044B1F"/>
    <w:rsid w:val="572A4F61"/>
    <w:rsid w:val="572A7F10"/>
    <w:rsid w:val="576176AA"/>
    <w:rsid w:val="578D077E"/>
    <w:rsid w:val="57B72A76"/>
    <w:rsid w:val="57C3426C"/>
    <w:rsid w:val="57CE1F93"/>
    <w:rsid w:val="58112E7E"/>
    <w:rsid w:val="58337298"/>
    <w:rsid w:val="583956E1"/>
    <w:rsid w:val="583B1553"/>
    <w:rsid w:val="585500D6"/>
    <w:rsid w:val="588743D1"/>
    <w:rsid w:val="5887701A"/>
    <w:rsid w:val="59B175F9"/>
    <w:rsid w:val="59C0439F"/>
    <w:rsid w:val="59C7413C"/>
    <w:rsid w:val="5A154E97"/>
    <w:rsid w:val="5A24535C"/>
    <w:rsid w:val="5A731BCE"/>
    <w:rsid w:val="5AAC3332"/>
    <w:rsid w:val="5AB67D0C"/>
    <w:rsid w:val="5ABA3CA0"/>
    <w:rsid w:val="5ABE2233"/>
    <w:rsid w:val="5AF429FD"/>
    <w:rsid w:val="5B04316E"/>
    <w:rsid w:val="5B157129"/>
    <w:rsid w:val="5B17005C"/>
    <w:rsid w:val="5B4517BC"/>
    <w:rsid w:val="5B757CF2"/>
    <w:rsid w:val="5B7F5FF8"/>
    <w:rsid w:val="5B8E6DC8"/>
    <w:rsid w:val="5B935A8E"/>
    <w:rsid w:val="5BA94302"/>
    <w:rsid w:val="5BDA678F"/>
    <w:rsid w:val="5BDF5D95"/>
    <w:rsid w:val="5BFE7528"/>
    <w:rsid w:val="5C1E5D9F"/>
    <w:rsid w:val="5C45068A"/>
    <w:rsid w:val="5CA50038"/>
    <w:rsid w:val="5CCE2685"/>
    <w:rsid w:val="5CE7432B"/>
    <w:rsid w:val="5CFC234E"/>
    <w:rsid w:val="5D2D69AC"/>
    <w:rsid w:val="5D3C0A1B"/>
    <w:rsid w:val="5D912C50"/>
    <w:rsid w:val="5DA14CA4"/>
    <w:rsid w:val="5DA84284"/>
    <w:rsid w:val="5DD60DF1"/>
    <w:rsid w:val="5E190A27"/>
    <w:rsid w:val="5E2467F1"/>
    <w:rsid w:val="5E4915C3"/>
    <w:rsid w:val="5E5B1C06"/>
    <w:rsid w:val="5E79177D"/>
    <w:rsid w:val="5EC35E4E"/>
    <w:rsid w:val="5EE17A4E"/>
    <w:rsid w:val="5EE233A8"/>
    <w:rsid w:val="5F1A2B43"/>
    <w:rsid w:val="5F3071DF"/>
    <w:rsid w:val="5F3153C8"/>
    <w:rsid w:val="5F5A335C"/>
    <w:rsid w:val="5FB837BB"/>
    <w:rsid w:val="5FF3115D"/>
    <w:rsid w:val="5FF336BD"/>
    <w:rsid w:val="60640A3E"/>
    <w:rsid w:val="606C718A"/>
    <w:rsid w:val="60CC405A"/>
    <w:rsid w:val="617821BF"/>
    <w:rsid w:val="61BD341C"/>
    <w:rsid w:val="61E215D8"/>
    <w:rsid w:val="61F53810"/>
    <w:rsid w:val="621B3775"/>
    <w:rsid w:val="62364782"/>
    <w:rsid w:val="624A085E"/>
    <w:rsid w:val="625A6BDD"/>
    <w:rsid w:val="625D29E9"/>
    <w:rsid w:val="62944DD7"/>
    <w:rsid w:val="62B27BEF"/>
    <w:rsid w:val="62BC37D2"/>
    <w:rsid w:val="634E4F86"/>
    <w:rsid w:val="635D341B"/>
    <w:rsid w:val="638C5281"/>
    <w:rsid w:val="6394356A"/>
    <w:rsid w:val="639A2FF9"/>
    <w:rsid w:val="63B70D7D"/>
    <w:rsid w:val="63C61B2C"/>
    <w:rsid w:val="63D40BE9"/>
    <w:rsid w:val="640D3093"/>
    <w:rsid w:val="64102431"/>
    <w:rsid w:val="642D0164"/>
    <w:rsid w:val="647C43B1"/>
    <w:rsid w:val="647E189B"/>
    <w:rsid w:val="648F3AA8"/>
    <w:rsid w:val="649C7F73"/>
    <w:rsid w:val="64A5243A"/>
    <w:rsid w:val="64A958BA"/>
    <w:rsid w:val="64C03C61"/>
    <w:rsid w:val="64F531DE"/>
    <w:rsid w:val="65090757"/>
    <w:rsid w:val="651F73F4"/>
    <w:rsid w:val="65373578"/>
    <w:rsid w:val="654143E6"/>
    <w:rsid w:val="658C4C1C"/>
    <w:rsid w:val="65C4125C"/>
    <w:rsid w:val="65EC0A86"/>
    <w:rsid w:val="663A5CF9"/>
    <w:rsid w:val="665D5938"/>
    <w:rsid w:val="667F7DB1"/>
    <w:rsid w:val="668E4F07"/>
    <w:rsid w:val="669F393A"/>
    <w:rsid w:val="66BB3A5B"/>
    <w:rsid w:val="671F124A"/>
    <w:rsid w:val="674F3E22"/>
    <w:rsid w:val="677A33C6"/>
    <w:rsid w:val="67D0065F"/>
    <w:rsid w:val="67FC1454"/>
    <w:rsid w:val="680F0716"/>
    <w:rsid w:val="681F6961"/>
    <w:rsid w:val="68273FF7"/>
    <w:rsid w:val="68610A2F"/>
    <w:rsid w:val="68805514"/>
    <w:rsid w:val="68B0223F"/>
    <w:rsid w:val="68EA5751"/>
    <w:rsid w:val="690579C7"/>
    <w:rsid w:val="69316E2F"/>
    <w:rsid w:val="694E2071"/>
    <w:rsid w:val="696E6382"/>
    <w:rsid w:val="69730B3F"/>
    <w:rsid w:val="69766163"/>
    <w:rsid w:val="697A3B33"/>
    <w:rsid w:val="69824BCF"/>
    <w:rsid w:val="69937B96"/>
    <w:rsid w:val="69961435"/>
    <w:rsid w:val="69AA3132"/>
    <w:rsid w:val="69D44760"/>
    <w:rsid w:val="6A2353BE"/>
    <w:rsid w:val="6A372C18"/>
    <w:rsid w:val="6A520EC7"/>
    <w:rsid w:val="6ADC7CCC"/>
    <w:rsid w:val="6AE10DD5"/>
    <w:rsid w:val="6AF87E20"/>
    <w:rsid w:val="6B322639"/>
    <w:rsid w:val="6B481FF8"/>
    <w:rsid w:val="6B883B2D"/>
    <w:rsid w:val="6B98777E"/>
    <w:rsid w:val="6BC87862"/>
    <w:rsid w:val="6C081755"/>
    <w:rsid w:val="6C237A83"/>
    <w:rsid w:val="6C3B62C3"/>
    <w:rsid w:val="6C4273D6"/>
    <w:rsid w:val="6C636C38"/>
    <w:rsid w:val="6CAB169B"/>
    <w:rsid w:val="6CE16E6B"/>
    <w:rsid w:val="6D3871BB"/>
    <w:rsid w:val="6D770664"/>
    <w:rsid w:val="6D8F68C7"/>
    <w:rsid w:val="6DB34098"/>
    <w:rsid w:val="6DB545B6"/>
    <w:rsid w:val="6DE02FB4"/>
    <w:rsid w:val="6E192634"/>
    <w:rsid w:val="6E514CED"/>
    <w:rsid w:val="6EAD6321"/>
    <w:rsid w:val="6EB563D5"/>
    <w:rsid w:val="6EBC431B"/>
    <w:rsid w:val="6EC3312E"/>
    <w:rsid w:val="6ED92677"/>
    <w:rsid w:val="6F225983"/>
    <w:rsid w:val="6F2F210F"/>
    <w:rsid w:val="6F347726"/>
    <w:rsid w:val="6F4A764A"/>
    <w:rsid w:val="6FBE7937"/>
    <w:rsid w:val="6FE529E1"/>
    <w:rsid w:val="6FEE6726"/>
    <w:rsid w:val="6FFC5590"/>
    <w:rsid w:val="70453BB5"/>
    <w:rsid w:val="7064228D"/>
    <w:rsid w:val="706D1DD0"/>
    <w:rsid w:val="70804F95"/>
    <w:rsid w:val="7084648B"/>
    <w:rsid w:val="70856B87"/>
    <w:rsid w:val="708C3591"/>
    <w:rsid w:val="70AA5C52"/>
    <w:rsid w:val="70C04FE9"/>
    <w:rsid w:val="70C41F7F"/>
    <w:rsid w:val="70D527EE"/>
    <w:rsid w:val="70FD4426"/>
    <w:rsid w:val="7100647C"/>
    <w:rsid w:val="71096990"/>
    <w:rsid w:val="710A7D82"/>
    <w:rsid w:val="710B2708"/>
    <w:rsid w:val="71324139"/>
    <w:rsid w:val="715220E5"/>
    <w:rsid w:val="715B5300"/>
    <w:rsid w:val="71900E5F"/>
    <w:rsid w:val="71950224"/>
    <w:rsid w:val="71B206D8"/>
    <w:rsid w:val="71BF1547"/>
    <w:rsid w:val="71D27F8A"/>
    <w:rsid w:val="71F92C75"/>
    <w:rsid w:val="7206241B"/>
    <w:rsid w:val="72553024"/>
    <w:rsid w:val="728269FA"/>
    <w:rsid w:val="72987FCC"/>
    <w:rsid w:val="72D56C9B"/>
    <w:rsid w:val="72FA446E"/>
    <w:rsid w:val="73122968"/>
    <w:rsid w:val="731F5D5E"/>
    <w:rsid w:val="73425AD5"/>
    <w:rsid w:val="734B3290"/>
    <w:rsid w:val="73722F12"/>
    <w:rsid w:val="737E3665"/>
    <w:rsid w:val="738A200A"/>
    <w:rsid w:val="73C51AD5"/>
    <w:rsid w:val="741E6BF6"/>
    <w:rsid w:val="741E793C"/>
    <w:rsid w:val="743B1556"/>
    <w:rsid w:val="745E3944"/>
    <w:rsid w:val="747D6C54"/>
    <w:rsid w:val="748A4EA4"/>
    <w:rsid w:val="74F75C98"/>
    <w:rsid w:val="75041948"/>
    <w:rsid w:val="75192500"/>
    <w:rsid w:val="7545775C"/>
    <w:rsid w:val="75783DED"/>
    <w:rsid w:val="75976C60"/>
    <w:rsid w:val="75CF73CC"/>
    <w:rsid w:val="75D74C84"/>
    <w:rsid w:val="75E31EA6"/>
    <w:rsid w:val="75F37AA8"/>
    <w:rsid w:val="761402B1"/>
    <w:rsid w:val="76195E75"/>
    <w:rsid w:val="7635099D"/>
    <w:rsid w:val="763A0087"/>
    <w:rsid w:val="763B6CD4"/>
    <w:rsid w:val="76676633"/>
    <w:rsid w:val="768B0A84"/>
    <w:rsid w:val="76941DB2"/>
    <w:rsid w:val="76B16A0C"/>
    <w:rsid w:val="76FD0D45"/>
    <w:rsid w:val="771F2069"/>
    <w:rsid w:val="77762421"/>
    <w:rsid w:val="77892449"/>
    <w:rsid w:val="77B56B1F"/>
    <w:rsid w:val="780F09F4"/>
    <w:rsid w:val="782E3B07"/>
    <w:rsid w:val="786C7F30"/>
    <w:rsid w:val="789D62EF"/>
    <w:rsid w:val="78A90480"/>
    <w:rsid w:val="78AA55EB"/>
    <w:rsid w:val="78EB3E8D"/>
    <w:rsid w:val="79153CF6"/>
    <w:rsid w:val="79257D62"/>
    <w:rsid w:val="7931157B"/>
    <w:rsid w:val="793928F1"/>
    <w:rsid w:val="797F1EE5"/>
    <w:rsid w:val="799F662B"/>
    <w:rsid w:val="79CD595E"/>
    <w:rsid w:val="79D93626"/>
    <w:rsid w:val="79DD5F14"/>
    <w:rsid w:val="79EF64B4"/>
    <w:rsid w:val="79F14F58"/>
    <w:rsid w:val="7A2B7977"/>
    <w:rsid w:val="7A364017"/>
    <w:rsid w:val="7A8265E1"/>
    <w:rsid w:val="7AAC0AB8"/>
    <w:rsid w:val="7B023B5E"/>
    <w:rsid w:val="7B0579F4"/>
    <w:rsid w:val="7B2E3BC3"/>
    <w:rsid w:val="7B4B2990"/>
    <w:rsid w:val="7B632266"/>
    <w:rsid w:val="7B686D42"/>
    <w:rsid w:val="7B8220B7"/>
    <w:rsid w:val="7B841746"/>
    <w:rsid w:val="7BA619AB"/>
    <w:rsid w:val="7BA7680B"/>
    <w:rsid w:val="7BC2255D"/>
    <w:rsid w:val="7BFD3595"/>
    <w:rsid w:val="7C5E3A7A"/>
    <w:rsid w:val="7C661524"/>
    <w:rsid w:val="7C6C5AC7"/>
    <w:rsid w:val="7C6F1179"/>
    <w:rsid w:val="7C6F7D55"/>
    <w:rsid w:val="7C9B5040"/>
    <w:rsid w:val="7CC6544B"/>
    <w:rsid w:val="7D0239FF"/>
    <w:rsid w:val="7D084B43"/>
    <w:rsid w:val="7D0A7855"/>
    <w:rsid w:val="7D281D4F"/>
    <w:rsid w:val="7D580892"/>
    <w:rsid w:val="7D5E40CD"/>
    <w:rsid w:val="7D9E0CD0"/>
    <w:rsid w:val="7DB008BF"/>
    <w:rsid w:val="7DCD56F2"/>
    <w:rsid w:val="7E0568B0"/>
    <w:rsid w:val="7EB75C7D"/>
    <w:rsid w:val="7EB77A2B"/>
    <w:rsid w:val="7EDB7BBE"/>
    <w:rsid w:val="7EF90889"/>
    <w:rsid w:val="7F001CE7"/>
    <w:rsid w:val="7F08297D"/>
    <w:rsid w:val="7F250E39"/>
    <w:rsid w:val="7F286B7B"/>
    <w:rsid w:val="7F5B2AAD"/>
    <w:rsid w:val="7F6C6A68"/>
    <w:rsid w:val="7F9229B1"/>
    <w:rsid w:val="7FA84C63"/>
    <w:rsid w:val="7FE47E50"/>
    <w:rsid w:val="7FF645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qFormat="1" w:unhideWhenUsed="0" w:uiPriority="99"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23">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locked/>
    <w:uiPriority w:val="0"/>
    <w:pPr>
      <w:spacing w:after="120" w:line="240" w:lineRule="auto"/>
      <w:ind w:firstLine="420" w:firstLineChars="100"/>
    </w:pPr>
    <w:rPr>
      <w:rFonts w:ascii="Times New Roman" w:eastAsia="宋体"/>
      <w:sz w:val="21"/>
    </w:rPr>
  </w:style>
  <w:style w:type="paragraph" w:styleId="3">
    <w:name w:val="Body Text"/>
    <w:basedOn w:val="1"/>
    <w:link w:val="31"/>
    <w:autoRedefine/>
    <w:qFormat/>
    <w:uiPriority w:val="0"/>
    <w:pPr>
      <w:widowControl/>
      <w:snapToGrid w:val="0"/>
      <w:spacing w:before="60" w:after="160" w:line="259" w:lineRule="auto"/>
      <w:ind w:right="113"/>
    </w:pPr>
    <w:rPr>
      <w:kern w:val="0"/>
      <w:sz w:val="18"/>
      <w:szCs w:val="20"/>
    </w:rPr>
  </w:style>
  <w:style w:type="paragraph" w:styleId="5">
    <w:name w:val="Normal Indent"/>
    <w:basedOn w:val="1"/>
    <w:qFormat/>
    <w:locked/>
    <w:uiPriority w:val="0"/>
    <w:pPr>
      <w:spacing w:line="500" w:lineRule="exact"/>
      <w:ind w:firstLine="480"/>
    </w:pPr>
    <w:rPr>
      <w:rFonts w:ascii="宋体" w:hAnsi="宋体"/>
    </w:rPr>
  </w:style>
  <w:style w:type="paragraph" w:styleId="6">
    <w:name w:val="caption"/>
    <w:basedOn w:val="1"/>
    <w:next w:val="1"/>
    <w:autoRedefine/>
    <w:qFormat/>
    <w:locked/>
    <w:uiPriority w:val="0"/>
    <w:pPr>
      <w:widowControl w:val="0"/>
      <w:tabs>
        <w:tab w:val="center" w:pos="10467"/>
        <w:tab w:val="left" w:pos="13095"/>
      </w:tabs>
      <w:spacing w:beforeLines="25" w:afterLines="25"/>
      <w:jc w:val="center"/>
    </w:pPr>
    <w:rPr>
      <w:rFonts w:ascii="Arial" w:hAnsi="Arial" w:eastAsia="宋体" w:cs="Times New Roman"/>
      <w:b/>
      <w:kern w:val="0"/>
      <w:sz w:val="24"/>
      <w:szCs w:val="20"/>
    </w:rPr>
  </w:style>
  <w:style w:type="paragraph" w:styleId="7">
    <w:name w:val="annotation text"/>
    <w:basedOn w:val="1"/>
    <w:link w:val="30"/>
    <w:autoRedefine/>
    <w:semiHidden/>
    <w:qFormat/>
    <w:uiPriority w:val="0"/>
    <w:pPr>
      <w:jc w:val="left"/>
    </w:pPr>
    <w:rPr>
      <w:kern w:val="0"/>
      <w:sz w:val="24"/>
      <w:szCs w:val="20"/>
    </w:rPr>
  </w:style>
  <w:style w:type="paragraph" w:styleId="8">
    <w:name w:val="Body Text Indent"/>
    <w:basedOn w:val="1"/>
    <w:next w:val="9"/>
    <w:link w:val="32"/>
    <w:autoRedefine/>
    <w:qFormat/>
    <w:uiPriority w:val="0"/>
    <w:pPr>
      <w:spacing w:after="120"/>
      <w:ind w:left="420" w:leftChars="200"/>
    </w:pPr>
    <w:rPr>
      <w:kern w:val="0"/>
      <w:sz w:val="24"/>
      <w:szCs w:val="20"/>
    </w:rPr>
  </w:style>
  <w:style w:type="paragraph" w:styleId="9">
    <w:name w:val="header"/>
    <w:basedOn w:val="1"/>
    <w:link w:val="36"/>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0">
    <w:name w:val="Plain Text"/>
    <w:basedOn w:val="1"/>
    <w:next w:val="1"/>
    <w:autoRedefine/>
    <w:qFormat/>
    <w:locked/>
    <w:uiPriority w:val="0"/>
    <w:pPr>
      <w:widowControl/>
      <w:spacing w:before="100" w:beforeAutospacing="1" w:after="100" w:afterAutospacing="1"/>
      <w:jc w:val="left"/>
    </w:pPr>
    <w:rPr>
      <w:rFonts w:ascii="宋体" w:hAnsi="宋体"/>
      <w:kern w:val="0"/>
      <w:sz w:val="24"/>
    </w:rPr>
  </w:style>
  <w:style w:type="paragraph" w:styleId="11">
    <w:name w:val="Date"/>
    <w:basedOn w:val="1"/>
    <w:next w:val="1"/>
    <w:link w:val="33"/>
    <w:autoRedefine/>
    <w:qFormat/>
    <w:uiPriority w:val="0"/>
    <w:pPr>
      <w:ind w:left="100" w:leftChars="2500"/>
    </w:pPr>
    <w:rPr>
      <w:kern w:val="0"/>
      <w:sz w:val="24"/>
      <w:szCs w:val="20"/>
    </w:rPr>
  </w:style>
  <w:style w:type="paragraph" w:styleId="12">
    <w:name w:val="Body Text Indent 2"/>
    <w:basedOn w:val="1"/>
    <w:next w:val="1"/>
    <w:autoRedefine/>
    <w:qFormat/>
    <w:locked/>
    <w:uiPriority w:val="0"/>
    <w:pPr>
      <w:adjustRightInd w:val="0"/>
      <w:snapToGrid w:val="0"/>
      <w:spacing w:line="360" w:lineRule="auto"/>
      <w:ind w:firstLine="1944" w:firstLineChars="1080"/>
    </w:pPr>
    <w:rPr>
      <w:sz w:val="18"/>
    </w:rPr>
  </w:style>
  <w:style w:type="paragraph" w:styleId="13">
    <w:name w:val="Balloon Text"/>
    <w:basedOn w:val="1"/>
    <w:link w:val="34"/>
    <w:autoRedefine/>
    <w:semiHidden/>
    <w:qFormat/>
    <w:uiPriority w:val="0"/>
    <w:rPr>
      <w:kern w:val="0"/>
      <w:sz w:val="18"/>
      <w:szCs w:val="20"/>
    </w:rPr>
  </w:style>
  <w:style w:type="paragraph" w:styleId="14">
    <w:name w:val="footer"/>
    <w:basedOn w:val="1"/>
    <w:link w:val="35"/>
    <w:autoRedefine/>
    <w:qFormat/>
    <w:uiPriority w:val="99"/>
    <w:pPr>
      <w:tabs>
        <w:tab w:val="center" w:pos="4153"/>
        <w:tab w:val="right" w:pos="8306"/>
      </w:tabs>
      <w:snapToGrid w:val="0"/>
      <w:jc w:val="left"/>
    </w:pPr>
    <w:rPr>
      <w:kern w:val="0"/>
      <w:sz w:val="18"/>
      <w:szCs w:val="20"/>
    </w:rPr>
  </w:style>
  <w:style w:type="paragraph" w:styleId="15">
    <w:name w:val="List"/>
    <w:basedOn w:val="1"/>
    <w:autoRedefine/>
    <w:qFormat/>
    <w:locked/>
    <w:uiPriority w:val="0"/>
    <w:pPr>
      <w:spacing w:line="360" w:lineRule="auto"/>
    </w:pPr>
    <w:rPr>
      <w:sz w:val="24"/>
      <w:szCs w:val="20"/>
    </w:rPr>
  </w:style>
  <w:style w:type="paragraph" w:styleId="16">
    <w:name w:val="toc 2"/>
    <w:basedOn w:val="1"/>
    <w:next w:val="1"/>
    <w:autoRedefine/>
    <w:qFormat/>
    <w:locked/>
    <w:uiPriority w:val="39"/>
    <w:pPr>
      <w:ind w:left="210"/>
      <w:jc w:val="left"/>
    </w:pPr>
    <w:rPr>
      <w:smallCaps/>
      <w:sz w:val="20"/>
    </w:rPr>
  </w:style>
  <w:style w:type="paragraph" w:styleId="17">
    <w:name w:val="Message Header"/>
    <w:basedOn w:val="1"/>
    <w:qFormat/>
    <w:locked/>
    <w:uiPriority w:val="99"/>
    <w:pPr>
      <w:widowControl/>
      <w:pBdr>
        <w:top w:val="single" w:color="auto" w:sz="6" w:space="1"/>
        <w:left w:val="single" w:color="auto" w:sz="6" w:space="1"/>
        <w:bottom w:val="single" w:color="auto" w:sz="6" w:space="1"/>
        <w:right w:val="single" w:color="auto" w:sz="6" w:space="1"/>
      </w:pBdr>
      <w:shd w:val="pct20" w:color="auto" w:fill="auto"/>
      <w:spacing w:line="520" w:lineRule="exact"/>
      <w:ind w:left="1080" w:leftChars="500" w:hanging="1080" w:hangingChars="500"/>
    </w:pPr>
    <w:rPr>
      <w:rFonts w:ascii="Arial" w:hAnsi="Arial"/>
      <w:bCs/>
      <w:szCs w:val="24"/>
    </w:rPr>
  </w:style>
  <w:style w:type="paragraph" w:styleId="18">
    <w:name w:val="Normal (Web)"/>
    <w:basedOn w:val="1"/>
    <w:next w:val="1"/>
    <w:link w:val="37"/>
    <w:autoRedefine/>
    <w:qFormat/>
    <w:uiPriority w:val="0"/>
    <w:pPr>
      <w:widowControl/>
      <w:spacing w:before="100" w:beforeAutospacing="1" w:after="100" w:afterAutospacing="1"/>
      <w:jc w:val="left"/>
    </w:pPr>
    <w:rPr>
      <w:rFonts w:ascii="宋体" w:hAnsi="宋体"/>
      <w:kern w:val="0"/>
      <w:sz w:val="24"/>
      <w:szCs w:val="20"/>
    </w:rPr>
  </w:style>
  <w:style w:type="paragraph" w:styleId="19">
    <w:name w:val="annotation subject"/>
    <w:basedOn w:val="7"/>
    <w:next w:val="7"/>
    <w:link w:val="38"/>
    <w:autoRedefine/>
    <w:semiHidden/>
    <w:qFormat/>
    <w:uiPriority w:val="0"/>
    <w:rPr>
      <w:b/>
      <w:sz w:val="24"/>
      <w:szCs w:val="20"/>
    </w:rPr>
  </w:style>
  <w:style w:type="paragraph" w:styleId="20">
    <w:name w:val="Body Text First Indent 2"/>
    <w:basedOn w:val="8"/>
    <w:next w:val="1"/>
    <w:semiHidden/>
    <w:qFormat/>
    <w:locked/>
    <w:uiPriority w:val="0"/>
    <w:pPr>
      <w:ind w:left="0" w:leftChars="0" w:firstLine="470" w:firstLineChars="196"/>
    </w:pPr>
    <w:rPr>
      <w:sz w:val="24"/>
      <w:szCs w:val="24"/>
    </w:rPr>
  </w:style>
  <w:style w:type="table" w:styleId="22">
    <w:name w:val="Table Grid"/>
    <w:basedOn w:val="21"/>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locked/>
    <w:uiPriority w:val="0"/>
  </w:style>
  <w:style w:type="character" w:styleId="25">
    <w:name w:val="Hyperlink"/>
    <w:autoRedefine/>
    <w:qFormat/>
    <w:locked/>
    <w:uiPriority w:val="99"/>
    <w:rPr>
      <w:color w:val="136EC2"/>
      <w:u w:val="single"/>
    </w:rPr>
  </w:style>
  <w:style w:type="character" w:styleId="26">
    <w:name w:val="annotation reference"/>
    <w:autoRedefine/>
    <w:semiHidden/>
    <w:qFormat/>
    <w:uiPriority w:val="0"/>
    <w:rPr>
      <w:sz w:val="21"/>
    </w:rPr>
  </w:style>
  <w:style w:type="paragraph" w:customStyle="1" w:styleId="27">
    <w:name w:val="样式 正文文本缩进 + 行距: 1.5 倍行距"/>
    <w:basedOn w:val="8"/>
    <w:qFormat/>
    <w:uiPriority w:val="0"/>
    <w:pPr>
      <w:spacing w:after="120"/>
      <w:ind w:left="90" w:leftChars="32" w:firstLine="560" w:firstLineChars="200"/>
    </w:pPr>
    <w:rPr>
      <w:rFonts w:cs="宋体"/>
    </w:rPr>
  </w:style>
  <w:style w:type="paragraph" w:customStyle="1" w:styleId="28">
    <w:name w:val="Default"/>
    <w:basedOn w:val="29"/>
    <w:autoRedefine/>
    <w:qForma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29">
    <w:name w:val="纯文本1"/>
    <w:basedOn w:val="1"/>
    <w:autoRedefine/>
    <w:qFormat/>
    <w:uiPriority w:val="0"/>
    <w:pPr>
      <w:adjustRightInd w:val="0"/>
    </w:pPr>
    <w:rPr>
      <w:rFonts w:ascii="宋体" w:hAnsi="Courier New"/>
      <w:szCs w:val="20"/>
    </w:rPr>
  </w:style>
  <w:style w:type="character" w:customStyle="1" w:styleId="30">
    <w:name w:val="批注文字 Char"/>
    <w:link w:val="7"/>
    <w:autoRedefine/>
    <w:qFormat/>
    <w:locked/>
    <w:uiPriority w:val="0"/>
    <w:rPr>
      <w:rFonts w:ascii="Times New Roman" w:hAnsi="Times New Roman" w:eastAsia="宋体"/>
      <w:sz w:val="24"/>
    </w:rPr>
  </w:style>
  <w:style w:type="character" w:customStyle="1" w:styleId="31">
    <w:name w:val="正文文本 Char"/>
    <w:link w:val="3"/>
    <w:autoRedefine/>
    <w:qFormat/>
    <w:locked/>
    <w:uiPriority w:val="0"/>
    <w:rPr>
      <w:sz w:val="18"/>
    </w:rPr>
  </w:style>
  <w:style w:type="character" w:customStyle="1" w:styleId="32">
    <w:name w:val="正文文本缩进 Char"/>
    <w:link w:val="8"/>
    <w:autoRedefine/>
    <w:semiHidden/>
    <w:qFormat/>
    <w:locked/>
    <w:uiPriority w:val="0"/>
    <w:rPr>
      <w:rFonts w:ascii="Times New Roman" w:hAnsi="Times New Roman" w:eastAsia="宋体"/>
      <w:sz w:val="24"/>
    </w:rPr>
  </w:style>
  <w:style w:type="character" w:customStyle="1" w:styleId="33">
    <w:name w:val="日期 Char"/>
    <w:link w:val="11"/>
    <w:autoRedefine/>
    <w:qFormat/>
    <w:locked/>
    <w:uiPriority w:val="0"/>
    <w:rPr>
      <w:rFonts w:ascii="Times New Roman" w:hAnsi="Times New Roman" w:eastAsia="宋体"/>
      <w:sz w:val="24"/>
    </w:rPr>
  </w:style>
  <w:style w:type="character" w:customStyle="1" w:styleId="34">
    <w:name w:val="批注框文本 Char"/>
    <w:link w:val="13"/>
    <w:autoRedefine/>
    <w:semiHidden/>
    <w:qFormat/>
    <w:locked/>
    <w:uiPriority w:val="0"/>
    <w:rPr>
      <w:rFonts w:ascii="Times New Roman" w:hAnsi="Times New Roman" w:eastAsia="宋体"/>
      <w:sz w:val="18"/>
    </w:rPr>
  </w:style>
  <w:style w:type="character" w:customStyle="1" w:styleId="35">
    <w:name w:val="页脚 Char"/>
    <w:link w:val="14"/>
    <w:autoRedefine/>
    <w:qFormat/>
    <w:locked/>
    <w:uiPriority w:val="99"/>
    <w:rPr>
      <w:sz w:val="18"/>
    </w:rPr>
  </w:style>
  <w:style w:type="character" w:customStyle="1" w:styleId="36">
    <w:name w:val="页眉 Char"/>
    <w:link w:val="9"/>
    <w:autoRedefine/>
    <w:qFormat/>
    <w:locked/>
    <w:uiPriority w:val="0"/>
    <w:rPr>
      <w:sz w:val="18"/>
    </w:rPr>
  </w:style>
  <w:style w:type="character" w:customStyle="1" w:styleId="37">
    <w:name w:val="普通(网站) Char"/>
    <w:link w:val="18"/>
    <w:autoRedefine/>
    <w:qFormat/>
    <w:locked/>
    <w:uiPriority w:val="0"/>
    <w:rPr>
      <w:rFonts w:ascii="宋体" w:hAnsi="宋体" w:eastAsia="宋体"/>
      <w:sz w:val="24"/>
    </w:rPr>
  </w:style>
  <w:style w:type="character" w:customStyle="1" w:styleId="38">
    <w:name w:val="批注主题 Char"/>
    <w:link w:val="19"/>
    <w:autoRedefine/>
    <w:semiHidden/>
    <w:qFormat/>
    <w:locked/>
    <w:uiPriority w:val="0"/>
    <w:rPr>
      <w:rFonts w:ascii="Times New Roman" w:hAnsi="Times New Roman" w:eastAsia="宋体"/>
      <w:b/>
      <w:kern w:val="2"/>
      <w:sz w:val="24"/>
    </w:rPr>
  </w:style>
  <w:style w:type="character" w:customStyle="1" w:styleId="39">
    <w:name w:val="页脚 字符"/>
    <w:basedOn w:val="23"/>
    <w:autoRedefine/>
    <w:qFormat/>
    <w:uiPriority w:val="99"/>
  </w:style>
  <w:style w:type="character" w:customStyle="1" w:styleId="40">
    <w:name w:val="正文文本 字符1"/>
    <w:autoRedefine/>
    <w:semiHidden/>
    <w:qFormat/>
    <w:uiPriority w:val="0"/>
    <w:rPr>
      <w:rFonts w:ascii="Times New Roman" w:hAnsi="Times New Roman" w:eastAsia="宋体"/>
      <w:sz w:val="24"/>
    </w:rPr>
  </w:style>
  <w:style w:type="character" w:customStyle="1" w:styleId="41">
    <w:name w:val="表格 Char"/>
    <w:link w:val="42"/>
    <w:autoRedefine/>
    <w:qFormat/>
    <w:locked/>
    <w:uiPriority w:val="0"/>
    <w:rPr>
      <w:rFonts w:ascii="宋体"/>
      <w:sz w:val="21"/>
    </w:rPr>
  </w:style>
  <w:style w:type="paragraph" w:customStyle="1" w:styleId="42">
    <w:name w:val="表格"/>
    <w:basedOn w:val="43"/>
    <w:next w:val="1"/>
    <w:link w:val="41"/>
    <w:autoRedefine/>
    <w:qFormat/>
    <w:uiPriority w:val="0"/>
    <w:pPr>
      <w:adjustRightInd w:val="0"/>
      <w:snapToGrid w:val="0"/>
      <w:spacing w:beforeLines="10" w:afterLines="10" w:line="259" w:lineRule="auto"/>
      <w:jc w:val="center"/>
    </w:pPr>
    <w:rPr>
      <w:rFonts w:ascii="宋体"/>
      <w:kern w:val="0"/>
      <w:szCs w:val="20"/>
    </w:rPr>
  </w:style>
  <w:style w:type="paragraph" w:customStyle="1" w:styleId="43">
    <w:name w:val="表格格式"/>
    <w:basedOn w:val="1"/>
    <w:qFormat/>
    <w:uiPriority w:val="99"/>
    <w:rPr>
      <w:rFonts w:ascii="仿宋_GB2312" w:hAnsi="Times New Roman" w:eastAsia="仿宋_GB2312"/>
      <w:bCs/>
      <w:color w:val="000000"/>
      <w:sz w:val="21"/>
      <w:szCs w:val="21"/>
      <w:lang w:eastAsia="zh-CN"/>
    </w:rPr>
  </w:style>
  <w:style w:type="character" w:customStyle="1" w:styleId="44">
    <w:name w:val="日期 字符"/>
    <w:autoRedefine/>
    <w:semiHidden/>
    <w:qFormat/>
    <w:uiPriority w:val="0"/>
    <w:rPr>
      <w:rFonts w:ascii="Times New Roman" w:hAnsi="Times New Roman" w:eastAsia="宋体"/>
      <w:sz w:val="24"/>
    </w:rPr>
  </w:style>
  <w:style w:type="character" w:customStyle="1" w:styleId="45">
    <w:name w:val="批注文字 字符1"/>
    <w:autoRedefine/>
    <w:semiHidden/>
    <w:qFormat/>
    <w:uiPriority w:val="0"/>
    <w:rPr>
      <w:rFonts w:ascii="Times New Roman" w:hAnsi="Times New Roman" w:eastAsia="宋体"/>
      <w:sz w:val="24"/>
    </w:rPr>
  </w:style>
  <w:style w:type="paragraph" w:customStyle="1" w:styleId="4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48">
    <w:name w:val="表标题"/>
    <w:basedOn w:val="6"/>
    <w:autoRedefine/>
    <w:qFormat/>
    <w:uiPriority w:val="0"/>
    <w:pPr>
      <w:widowControl/>
      <w:spacing w:line="0" w:lineRule="atLeast"/>
      <w:jc w:val="center"/>
    </w:pPr>
    <w:rPr>
      <w:rFonts w:ascii="Times New Roman" w:hAnsi="Times New Roman" w:eastAsia="宋体"/>
      <w:color w:val="000000"/>
      <w:kern w:val="0"/>
      <w:szCs w:val="21"/>
      <w:u w:val="single" w:color="000000"/>
    </w:rPr>
  </w:style>
  <w:style w:type="character" w:customStyle="1" w:styleId="49">
    <w:name w:val="font01"/>
    <w:basedOn w:val="23"/>
    <w:autoRedefine/>
    <w:qFormat/>
    <w:uiPriority w:val="0"/>
    <w:rPr>
      <w:rFonts w:hint="eastAsia" w:ascii="宋体" w:hAnsi="宋体" w:eastAsia="宋体" w:cs="宋体"/>
      <w:color w:val="000000"/>
      <w:sz w:val="21"/>
      <w:szCs w:val="21"/>
      <w:u w:val="none"/>
    </w:rPr>
  </w:style>
  <w:style w:type="paragraph" w:customStyle="1" w:styleId="50">
    <w:name w:val="列出段落1"/>
    <w:basedOn w:val="1"/>
    <w:autoRedefine/>
    <w:qFormat/>
    <w:uiPriority w:val="99"/>
    <w:pPr>
      <w:widowControl/>
      <w:ind w:firstLine="420" w:firstLineChars="200"/>
    </w:pPr>
    <w:rPr>
      <w:rFonts w:ascii="Calibri" w:hAnsi="Calibri"/>
      <w:szCs w:val="20"/>
    </w:rPr>
  </w:style>
  <w:style w:type="paragraph" w:customStyle="1" w:styleId="51">
    <w:name w:val="表内5S"/>
    <w:basedOn w:val="1"/>
    <w:autoRedefine/>
    <w:qFormat/>
    <w:uiPriority w:val="0"/>
    <w:pPr>
      <w:spacing w:line="300" w:lineRule="atLeast"/>
      <w:ind w:firstLine="0" w:firstLineChars="0"/>
      <w:jc w:val="center"/>
    </w:pPr>
    <w:rPr>
      <w:rFonts w:eastAsia="方正宋三简体"/>
      <w:sz w:val="21"/>
      <w:szCs w:val="20"/>
    </w:rPr>
  </w:style>
  <w:style w:type="paragraph" w:customStyle="1" w:styleId="52">
    <w:name w:val="Re-正文"/>
    <w:basedOn w:val="1"/>
    <w:autoRedefine/>
    <w:qFormat/>
    <w:uiPriority w:val="3"/>
    <w:pPr>
      <w:spacing w:line="360" w:lineRule="auto"/>
      <w:ind w:firstLine="200" w:firstLineChars="200"/>
    </w:pPr>
    <w:rPr>
      <w:kern w:val="0"/>
      <w:sz w:val="24"/>
      <w:szCs w:val="24"/>
    </w:rPr>
  </w:style>
  <w:style w:type="paragraph" w:customStyle="1" w:styleId="53">
    <w:name w:val="管业正文"/>
    <w:basedOn w:val="1"/>
    <w:autoRedefine/>
    <w:qFormat/>
    <w:uiPriority w:val="0"/>
    <w:pPr>
      <w:spacing w:line="360" w:lineRule="auto"/>
      <w:ind w:firstLine="480" w:firstLineChars="200"/>
    </w:pPr>
    <w:rPr>
      <w:rFonts w:ascii="宋体" w:hAnsi="宋体"/>
      <w:szCs w:val="24"/>
    </w:rPr>
  </w:style>
  <w:style w:type="paragraph" w:customStyle="1" w:styleId="54">
    <w:name w:val="环保表头"/>
    <w:autoRedefine/>
    <w:unhideWhenUsed/>
    <w:qFormat/>
    <w:uiPriority w:val="0"/>
    <w:pPr>
      <w:adjustRightInd w:val="0"/>
      <w:snapToGrid w:val="0"/>
      <w:jc w:val="center"/>
    </w:pPr>
    <w:rPr>
      <w:rFonts w:ascii="Times New Roman" w:hAnsi="Times New Roman" w:eastAsia="仿宋" w:cs="Times New Roman"/>
      <w:b/>
      <w:sz w:val="24"/>
      <w:szCs w:val="22"/>
      <w:lang w:val="en-US" w:eastAsia="zh-CN" w:bidi="ar-SA"/>
    </w:rPr>
  </w:style>
  <w:style w:type="character" w:customStyle="1" w:styleId="55">
    <w:name w:val="font21"/>
    <w:autoRedefine/>
    <w:qFormat/>
    <w:uiPriority w:val="0"/>
    <w:rPr>
      <w:rFonts w:hint="default" w:ascii="Times New Roman" w:hAnsi="Times New Roman" w:cs="Times New Roman"/>
      <w:color w:val="000000"/>
      <w:sz w:val="21"/>
      <w:szCs w:val="21"/>
      <w:u w:val="none"/>
    </w:rPr>
  </w:style>
  <w:style w:type="paragraph" w:customStyle="1" w:styleId="56">
    <w:name w:val="样式 正文11 + 首行缩进:  2 字符"/>
    <w:basedOn w:val="1"/>
    <w:autoRedefine/>
    <w:qFormat/>
    <w:uiPriority w:val="0"/>
    <w:pPr>
      <w:spacing w:line="500" w:lineRule="exact"/>
      <w:ind w:firstLine="560" w:firstLineChars="200"/>
    </w:pPr>
    <w:rPr>
      <w:rFonts w:ascii="宋体" w:hAnsi="宋体" w:cs="宋体"/>
      <w:color w:val="FF0000"/>
      <w:sz w:val="28"/>
      <w:szCs w:val="20"/>
    </w:rPr>
  </w:style>
  <w:style w:type="paragraph" w:customStyle="1" w:styleId="57">
    <w:name w:val="样式 博士论文标题2 + 段前: 0.2 行 段后: 0.2 行"/>
    <w:basedOn w:val="1"/>
    <w:autoRedefine/>
    <w:qFormat/>
    <w:uiPriority w:val="0"/>
    <w:pPr>
      <w:widowControl/>
      <w:spacing w:before="20" w:beforeLines="20" w:after="20" w:afterLines="20"/>
      <w:jc w:val="left"/>
    </w:pPr>
    <w:rPr>
      <w:rFonts w:ascii="宋体" w:hAnsi="宋体" w:eastAsia="黑体" w:cs="宋体"/>
      <w:kern w:val="0"/>
      <w:sz w:val="28"/>
      <w:szCs w:val="28"/>
    </w:rPr>
  </w:style>
  <w:style w:type="paragraph" w:customStyle="1" w:styleId="58">
    <w:name w:val="【正文】"/>
    <w:basedOn w:val="1"/>
    <w:next w:val="17"/>
    <w:autoRedefine/>
    <w:qFormat/>
    <w:uiPriority w:val="0"/>
    <w:pPr>
      <w:spacing w:line="480" w:lineRule="exact"/>
      <w:ind w:firstLine="200" w:firstLineChars="200"/>
    </w:pPr>
    <w:rPr>
      <w:sz w:val="28"/>
    </w:rPr>
  </w:style>
  <w:style w:type="paragraph" w:customStyle="1" w:styleId="59">
    <w:name w:val="bgb表头"/>
    <w:basedOn w:val="1"/>
    <w:next w:val="1"/>
    <w:autoRedefine/>
    <w:qFormat/>
    <w:uiPriority w:val="0"/>
    <w:pPr>
      <w:numPr>
        <w:ilvl w:val="0"/>
        <w:numId w:val="1"/>
      </w:numPr>
      <w:adjustRightInd w:val="0"/>
      <w:snapToGrid w:val="0"/>
      <w:ind w:left="0" w:firstLine="0"/>
      <w:contextualSpacing/>
      <w:jc w:val="center"/>
    </w:pPr>
    <w:rPr>
      <w:color w:val="000000"/>
      <w:kern w:val="0"/>
      <w:szCs w:val="21"/>
    </w:rPr>
  </w:style>
  <w:style w:type="paragraph" w:customStyle="1" w:styleId="60">
    <w:name w:val="【表中文字】"/>
    <w:basedOn w:val="1"/>
    <w:autoRedefine/>
    <w:qFormat/>
    <w:uiPriority w:val="0"/>
    <w:pPr>
      <w:jc w:val="center"/>
    </w:pPr>
  </w:style>
  <w:style w:type="character" w:customStyle="1" w:styleId="61">
    <w:name w:val="font31"/>
    <w:autoRedefine/>
    <w:qFormat/>
    <w:uiPriority w:val="0"/>
    <w:rPr>
      <w:rFonts w:hint="eastAsia" w:ascii="宋体" w:hAnsi="宋体" w:eastAsia="宋体" w:cs="宋体"/>
      <w:color w:val="000000"/>
      <w:sz w:val="20"/>
      <w:szCs w:val="20"/>
      <w:u w:val="none"/>
      <w:vertAlign w:val="superscript"/>
    </w:rPr>
  </w:style>
  <w:style w:type="character" w:customStyle="1" w:styleId="62">
    <w:name w:val="font11"/>
    <w:autoRedefine/>
    <w:qFormat/>
    <w:uiPriority w:val="0"/>
    <w:rPr>
      <w:rFonts w:hint="eastAsia" w:ascii="宋体" w:hAnsi="宋体" w:eastAsia="宋体" w:cs="宋体"/>
      <w:color w:val="000000"/>
      <w:sz w:val="20"/>
      <w:szCs w:val="20"/>
      <w:u w:val="none"/>
    </w:rPr>
  </w:style>
  <w:style w:type="paragraph" w:customStyle="1" w:styleId="63">
    <w:name w:val="表内标题2"/>
    <w:basedOn w:val="1"/>
    <w:autoRedefine/>
    <w:qFormat/>
    <w:uiPriority w:val="0"/>
    <w:pPr>
      <w:numPr>
        <w:ilvl w:val="0"/>
        <w:numId w:val="0"/>
      </w:numPr>
      <w:ind w:firstLine="0" w:firstLineChars="0"/>
    </w:pPr>
    <w:rPr>
      <w:rFonts w:ascii="Times New Roman" w:hAnsi="Times New Roman" w:eastAsia="宋体"/>
      <w:b/>
      <w:sz w:val="28"/>
    </w:rPr>
  </w:style>
  <w:style w:type="paragraph" w:customStyle="1" w:styleId="64">
    <w:name w:val="pa-17"/>
    <w:basedOn w:val="1"/>
    <w:autoRedefine/>
    <w:qFormat/>
    <w:uiPriority w:val="0"/>
    <w:pPr>
      <w:widowControl/>
      <w:spacing w:before="150" w:after="150"/>
      <w:jc w:val="left"/>
    </w:pPr>
    <w:rPr>
      <w:rFonts w:ascii="宋体" w:hAnsi="宋体" w:cs="宋体"/>
      <w:kern w:val="0"/>
      <w:sz w:val="24"/>
      <w:szCs w:val="24"/>
    </w:rPr>
  </w:style>
  <w:style w:type="paragraph" w:customStyle="1" w:styleId="65">
    <w:name w:val="博士论文正文"/>
    <w:basedOn w:val="1"/>
    <w:autoRedefine/>
    <w:qFormat/>
    <w:uiPriority w:val="0"/>
    <w:pPr>
      <w:snapToGrid w:val="0"/>
      <w:spacing w:beforeLines="20" w:afterLines="20" w:line="360" w:lineRule="auto"/>
      <w:ind w:firstLine="200" w:firstLineChars="200"/>
    </w:pPr>
    <w:rPr>
      <w:sz w:val="24"/>
    </w:rPr>
  </w:style>
  <w:style w:type="paragraph" w:customStyle="1" w:styleId="66">
    <w:name w:val="0正文"/>
    <w:basedOn w:val="1"/>
    <w:autoRedefine/>
    <w:qFormat/>
    <w:uiPriority w:val="99"/>
    <w:pPr>
      <w:jc w:val="left"/>
    </w:pPr>
    <w:rPr>
      <w:color w:val="0000FF"/>
      <w:sz w:val="24"/>
    </w:rPr>
  </w:style>
  <w:style w:type="paragraph" w:customStyle="1" w:styleId="67">
    <w:name w:val="表头"/>
    <w:basedOn w:val="68"/>
    <w:next w:val="1"/>
    <w:autoRedefine/>
    <w:qFormat/>
    <w:uiPriority w:val="0"/>
    <w:pPr>
      <w:numPr>
        <w:ilvl w:val="0"/>
        <w:numId w:val="2"/>
      </w:numPr>
      <w:spacing w:line="240" w:lineRule="auto"/>
      <w:ind w:left="0" w:firstLine="0" w:firstLineChars="0"/>
      <w:jc w:val="center"/>
    </w:pPr>
    <w:rPr>
      <w:rFonts w:ascii="Times New Roman" w:hAnsi="Times New Roman" w:eastAsia="宋体" w:cs="Times New Roman"/>
      <w:b/>
      <w:bCs/>
      <w:sz w:val="24"/>
      <w:szCs w:val="24"/>
    </w:rPr>
  </w:style>
  <w:style w:type="paragraph" w:customStyle="1" w:styleId="68">
    <w:name w:val="内容"/>
    <w:basedOn w:val="1"/>
    <w:qFormat/>
    <w:uiPriority w:val="0"/>
    <w:pPr>
      <w:spacing w:line="360" w:lineRule="auto"/>
      <w:ind w:firstLine="454"/>
    </w:pPr>
    <w:rPr>
      <w:sz w:val="24"/>
    </w:rPr>
  </w:style>
  <w:style w:type="paragraph" w:customStyle="1" w:styleId="69">
    <w:name w:val="表格后"/>
    <w:basedOn w:val="1"/>
    <w:qFormat/>
    <w:uiPriority w:val="0"/>
    <w:pPr>
      <w:spacing w:line="240" w:lineRule="auto"/>
      <w:ind w:firstLine="482" w:firstLineChars="200"/>
    </w:pPr>
    <w:rPr>
      <w:rFonts w:ascii="Times New Roman" w:hAnsi="Times New Roman" w:eastAsia="宋体"/>
      <w:b/>
      <w:snapToGrid w:val="0"/>
      <w:color w:val="auto"/>
      <w:kern w:val="0"/>
      <w:sz w:val="18"/>
      <w:szCs w:val="28"/>
    </w:rPr>
  </w:style>
  <w:style w:type="table" w:customStyle="1" w:styleId="70">
    <w:name w:val="表格式4"/>
    <w:basedOn w:val="21"/>
    <w:qFormat/>
    <w:uiPriority w:val="59"/>
    <w:pPr>
      <w:widowControl w:val="0"/>
      <w:spacing w:before="120" w:after="120" w:line="360" w:lineRule="exact"/>
      <w:ind w:firstLine="482"/>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晓丹"/>
    <w:basedOn w:val="2"/>
    <w:qFormat/>
    <w:uiPriority w:val="0"/>
    <w:pPr>
      <w:adjustRightInd w:val="0"/>
      <w:snapToGrid w:val="0"/>
      <w:spacing w:after="0" w:line="360" w:lineRule="auto"/>
      <w:ind w:firstLine="200" w:firstLineChars="200"/>
      <w:textAlignment w:val="baseline"/>
    </w:pPr>
    <w:rPr>
      <w:rFonts w:ascii="宋体" w:hAnsi="宋体"/>
      <w:color w:val="000000"/>
      <w:spacing w:val="6"/>
      <w:kern w:val="0"/>
      <w:sz w:val="24"/>
    </w:rPr>
  </w:style>
  <w:style w:type="paragraph" w:customStyle="1" w:styleId="72">
    <w:name w:val="表格（窄）"/>
    <w:basedOn w:val="1"/>
    <w:qFormat/>
    <w:uiPriority w:val="0"/>
    <w:pPr>
      <w:jc w:val="center"/>
    </w:pPr>
    <w:rPr>
      <w:kern w:val="0"/>
      <w:szCs w:val="21"/>
    </w:rPr>
  </w:style>
  <w:style w:type="paragraph" w:customStyle="1" w:styleId="73">
    <w:name w:val="表格-文字（陈小米）"/>
    <w:basedOn w:val="1"/>
    <w:next w:val="1"/>
    <w:qFormat/>
    <w:uiPriority w:val="0"/>
    <w:pPr>
      <w:spacing w:line="240" w:lineRule="auto"/>
      <w:ind w:firstLine="0" w:firstLineChars="0"/>
      <w:jc w:val="center"/>
    </w:pPr>
    <w:rPr>
      <w:sz w:val="21"/>
    </w:rPr>
  </w:style>
  <w:style w:type="paragraph" w:customStyle="1" w:styleId="74">
    <w:name w:val="表格后（陈小米）"/>
    <w:basedOn w:val="1"/>
    <w:qFormat/>
    <w:uiPriority w:val="0"/>
    <w:pPr>
      <w:spacing w:line="240" w:lineRule="auto"/>
      <w:ind w:firstLine="0" w:firstLineChars="0"/>
    </w:pPr>
    <w:rPr>
      <w:b/>
      <w:sz w:val="18"/>
    </w:rPr>
  </w:style>
  <w:style w:type="paragraph" w:customStyle="1" w:styleId="75">
    <w:name w:val="报告表正文样式1"/>
    <w:basedOn w:val="1"/>
    <w:qFormat/>
    <w:uiPriority w:val="0"/>
    <w:pPr>
      <w:spacing w:line="360" w:lineRule="auto"/>
      <w:ind w:firstLine="480" w:firstLineChars="200"/>
    </w:pPr>
    <w:rPr>
      <w:rFonts w:cs="宋体"/>
      <w:sz w:val="24"/>
    </w:rPr>
  </w:style>
  <w:style w:type="paragraph" w:customStyle="1" w:styleId="76">
    <w:name w:val="正文 + 首行缩进:  2 字符"/>
    <w:basedOn w:val="1"/>
    <w:autoRedefine/>
    <w:qFormat/>
    <w:uiPriority w:val="99"/>
    <w:pPr>
      <w:spacing w:line="480" w:lineRule="exact"/>
      <w:ind w:firstLine="200" w:firstLineChars="200"/>
      <w:jc w:val="left"/>
    </w:pPr>
    <w:rPr>
      <w:snapToGrid w:val="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2.bin"/><Relationship Id="rId10" Type="http://schemas.openxmlformats.org/officeDocument/2006/relationships/image" Target="media/image2.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59</Pages>
  <Words>23583</Words>
  <Characters>25553</Characters>
  <Lines>13</Lines>
  <Paragraphs>3</Paragraphs>
  <TotalTime>2</TotalTime>
  <ScaleCrop>false</ScaleCrop>
  <LinksUpToDate>false</LinksUpToDate>
  <CharactersWithSpaces>25779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守望幸福145248</cp:lastModifiedBy>
  <cp:lastPrinted>2020-12-29T02:43:00Z</cp:lastPrinted>
  <dcterms:modified xsi:type="dcterms:W3CDTF">2026-04-28T08:16:05Z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341B07B40A8E4C6A8A86CBAB6D6C4272_13</vt:lpwstr>
  </property>
  <property fmtid="{D5CDD505-2E9C-101B-9397-08002B2CF9AE}" pid="4" name="KSOTemplateDocerSaveRecord">
    <vt:lpwstr>eyJoZGlkIjoiNzczMzgyMGNmMzk4MzhlM2IzMDRmYTAyZmJiMGI1YWIiLCJ1c2VySWQiOiIxNDUyNDgifQ==</vt:lpwstr>
  </property>
</Properties>
</file>